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int="eastAsia"/>
          <w:sz w:val="44"/>
        </w:rPr>
      </w:pPr>
      <w:bookmarkStart w:id="17" w:name="_GoBack"/>
      <w:bookmarkEnd w:id="17"/>
    </w:p>
    <w:p>
      <w:pPr>
        <w:pStyle w:val="21"/>
        <w:rPr>
          <w:rFonts w:hint="eastAsia"/>
          <w:sz w:val="44"/>
        </w:rPr>
      </w:pPr>
    </w:p>
    <w:p>
      <w:pPr>
        <w:pStyle w:val="21"/>
        <w:spacing w:before="0" w:after="0" w:line="360" w:lineRule="auto"/>
        <w:jc w:val="center"/>
        <w:rPr>
          <w:rFonts w:hint="eastAsia"/>
          <w:sz w:val="44"/>
        </w:rPr>
      </w:pPr>
      <w:r>
        <w:rPr>
          <w:rFonts w:hint="eastAsia"/>
          <w:sz w:val="56"/>
          <w:szCs w:val="56"/>
          <w:lang w:eastAsia="zh-CN"/>
        </w:rPr>
        <w:t>建设项目</w:t>
      </w:r>
      <w:r>
        <w:rPr>
          <w:rFonts w:hint="eastAsia"/>
          <w:sz w:val="56"/>
          <w:szCs w:val="56"/>
        </w:rPr>
        <w:t>环境影响报告表</w:t>
      </w:r>
    </w:p>
    <w:p>
      <w:pPr>
        <w:pStyle w:val="21"/>
        <w:spacing w:before="0" w:after="0" w:line="360" w:lineRule="auto"/>
        <w:jc w:val="center"/>
        <w:rPr>
          <w:rFonts w:hint="eastAsia"/>
        </w:rPr>
      </w:pPr>
      <w:r>
        <w:rPr>
          <w:rFonts w:hint="eastAsia"/>
          <w:sz w:val="44"/>
          <w:szCs w:val="44"/>
        </w:rPr>
        <w:t>（</w:t>
      </w:r>
      <w:r>
        <w:rPr>
          <w:rFonts w:hint="eastAsia"/>
          <w:sz w:val="44"/>
          <w:szCs w:val="44"/>
          <w:lang w:eastAsia="zh-CN"/>
        </w:rPr>
        <w:t>污染影响类</w:t>
      </w:r>
      <w:r>
        <w:rPr>
          <w:rFonts w:hint="eastAsia"/>
          <w:sz w:val="44"/>
          <w:szCs w:val="44"/>
        </w:rPr>
        <w:t>）</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80" w:lineRule="auto"/>
        <w:ind w:left="2238" w:leftChars="304" w:hanging="1600" w:hangingChars="5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项目名称：</w:t>
      </w:r>
      <w:r>
        <w:rPr>
          <w:rFonts w:hint="eastAsia" w:ascii="黑体" w:hAnsi="黑体" w:eastAsia="黑体" w:cs="黑体"/>
          <w:color w:val="000000"/>
          <w:sz w:val="32"/>
          <w:szCs w:val="32"/>
          <w:u w:val="single"/>
          <w:lang w:eastAsia="zh-CN"/>
        </w:rPr>
        <w:t>云南康帆医疗器械有限公司东川分公司一类、二类医疗器械生产线建设项目</w:t>
      </w:r>
      <w:r>
        <w:rPr>
          <w:rFonts w:hint="eastAsia" w:ascii="黑体" w:hAnsi="黑体" w:eastAsia="黑体" w:cs="黑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建设单位：</w:t>
      </w:r>
      <w:r>
        <w:rPr>
          <w:rFonts w:hint="eastAsia" w:ascii="黑体" w:hAnsi="黑体" w:eastAsia="黑体" w:cs="黑体"/>
          <w:color w:val="000000"/>
          <w:sz w:val="32"/>
          <w:szCs w:val="32"/>
          <w:u w:val="single"/>
        </w:rPr>
        <w:t>云南康帆医疗器械有限公司东川分公司</w:t>
      </w:r>
      <w:r>
        <w:rPr>
          <w:rFonts w:hint="eastAsia" w:ascii="黑体" w:hAnsi="黑体" w:eastAsia="黑体" w:cs="黑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编制</w:t>
      </w:r>
      <w:r>
        <w:rPr>
          <w:rFonts w:hint="eastAsia" w:ascii="黑体" w:hAnsi="黑体" w:eastAsia="黑体" w:cs="黑体"/>
          <w:color w:val="000000"/>
          <w:sz w:val="32"/>
          <w:szCs w:val="32"/>
          <w:lang w:eastAsia="zh-CN"/>
        </w:rPr>
        <w:t>日期：</w:t>
      </w:r>
      <w:r>
        <w:rPr>
          <w:rFonts w:hint="eastAsia" w:ascii="黑体" w:hAnsi="黑体" w:eastAsia="黑体" w:cs="黑体"/>
          <w:color w:val="000000"/>
          <w:sz w:val="32"/>
          <w:szCs w:val="32"/>
          <w:u w:val="single"/>
        </w:rPr>
        <w:t>20</w:t>
      </w:r>
      <w:r>
        <w:rPr>
          <w:rFonts w:hint="eastAsia" w:ascii="黑体" w:hAnsi="黑体" w:eastAsia="黑体" w:cs="黑体"/>
          <w:color w:val="000000"/>
          <w:sz w:val="32"/>
          <w:szCs w:val="32"/>
          <w:u w:val="single"/>
          <w:lang w:val="en-US" w:eastAsia="zh-CN"/>
        </w:rPr>
        <w:t>23</w:t>
      </w:r>
      <w:r>
        <w:rPr>
          <w:rFonts w:hint="eastAsia" w:ascii="黑体" w:hAnsi="黑体" w:eastAsia="黑体" w:cs="黑体"/>
          <w:color w:val="000000"/>
          <w:sz w:val="32"/>
          <w:szCs w:val="32"/>
          <w:u w:val="single"/>
        </w:rPr>
        <w:t>年</w:t>
      </w:r>
      <w:r>
        <w:rPr>
          <w:rFonts w:hint="eastAsia" w:ascii="黑体" w:hAnsi="黑体" w:eastAsia="黑体" w:cs="黑体"/>
          <w:color w:val="000000"/>
          <w:sz w:val="32"/>
          <w:szCs w:val="32"/>
          <w:u w:val="single"/>
          <w:lang w:val="en-US" w:eastAsia="zh-CN"/>
        </w:rPr>
        <w:t>12</w:t>
      </w:r>
      <w:r>
        <w:rPr>
          <w:rFonts w:hint="eastAsia" w:ascii="黑体" w:hAnsi="黑体" w:eastAsia="黑体" w:cs="黑体"/>
          <w:color w:val="000000"/>
          <w:sz w:val="32"/>
          <w:szCs w:val="32"/>
          <w:u w:val="single"/>
        </w:rPr>
        <w:t>月</w:t>
      </w:r>
      <w:r>
        <w:rPr>
          <w:rFonts w:hint="eastAsia" w:ascii="黑体" w:hAnsi="黑体" w:eastAsia="黑体" w:cs="黑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28"/>
          <w:szCs w:val="28"/>
          <w:lang w:eastAsia="zh-CN"/>
        </w:rPr>
        <w:t>中华人民共和国生态环境部制</w:t>
      </w:r>
    </w:p>
    <w:p>
      <w:pPr>
        <w:rPr>
          <w:rFonts w:hint="default" w:ascii="Times New Roman" w:hAnsi="Times New Roman" w:eastAsia="宋体" w:cs="Times New Roman"/>
          <w:b/>
          <w:color w:val="auto"/>
          <w:sz w:val="28"/>
          <w:szCs w:val="20"/>
          <w:lang w:eastAsia="zh-CN"/>
        </w:rPr>
      </w:pPr>
      <w:r>
        <w:rPr>
          <w:rFonts w:hint="default" w:ascii="Times New Roman" w:hAnsi="Times New Roman" w:eastAsia="宋体" w:cs="Times New Roman"/>
          <w:b/>
          <w:color w:val="auto"/>
          <w:sz w:val="28"/>
          <w:szCs w:val="20"/>
          <w:lang w:eastAsia="zh-CN"/>
        </w:rPr>
        <w:br w:type="page"/>
      </w:r>
    </w:p>
    <w:tbl>
      <w:tblPr>
        <w:tblStyle w:val="26"/>
        <w:tblpPr w:leftFromText="180" w:rightFromText="180" w:vertAnchor="page" w:horzAnchor="page" w:tblpX="1927" w:tblpY="2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rPr>
                <w:rFonts w:hint="eastAsia" w:eastAsiaTheme="minorEastAsia"/>
                <w:vertAlign w:val="baseline"/>
                <w:lang w:eastAsia="zh-CN"/>
              </w:rPr>
            </w:pPr>
            <w:r>
              <w:rPr>
                <w:rFonts w:hint="default" w:ascii="Times New Roman" w:hAnsi="Times New Roman" w:eastAsia="宋体" w:cs="Times New Roman"/>
                <w:b/>
                <w:color w:val="auto"/>
                <w:sz w:val="28"/>
                <w:szCs w:val="20"/>
                <w:lang w:eastAsia="zh-CN"/>
              </w:rPr>
              <w:br w:type="page"/>
            </w:r>
            <w:r>
              <w:rPr>
                <w:sz w:val="21"/>
              </w:rPr>
              <mc:AlternateContent>
                <mc:Choice Requires="wps">
                  <w:drawing>
                    <wp:anchor distT="0" distB="0" distL="114300" distR="114300" simplePos="0" relativeHeight="251659264" behindDoc="0" locked="0" layoutInCell="1" allowOverlap="1">
                      <wp:simplePos x="0" y="0"/>
                      <wp:positionH relativeFrom="column">
                        <wp:posOffset>1261745</wp:posOffset>
                      </wp:positionH>
                      <wp:positionV relativeFrom="paragraph">
                        <wp:posOffset>1580515</wp:posOffset>
                      </wp:positionV>
                      <wp:extent cx="1304925" cy="285750"/>
                      <wp:effectExtent l="0" t="0" r="0" b="0"/>
                      <wp:wrapNone/>
                      <wp:docPr id="3" name="文本框 3"/>
                      <wp:cNvGraphicFramePr/>
                      <a:graphic xmlns:a="http://schemas.openxmlformats.org/drawingml/2006/main">
                        <a:graphicData uri="http://schemas.microsoft.com/office/word/2010/wordprocessingShape">
                          <wps:wsp>
                            <wps:cNvSpPr txBox="1"/>
                            <wps:spPr>
                              <a:xfrm>
                                <a:off x="3132455" y="2896870"/>
                                <a:ext cx="1304925" cy="2857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5pt;margin-top:124.45pt;height:22.5pt;width:102.75pt;z-index:251659264;mso-width-relative:page;mso-height-relative:page;" filled="f" stroked="f" coordsize="21600,21600" o:gfxdata="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A/ApNkAAAALAQAADwAAAAAAAAAB&#10;ACAAAAAiAAAAZHJzL2Rvd25yZXYueG1sUEsBAhQAFAAAAAgAh07iQEmwmaZIAgAAcwQAAA4AAAAA&#10;AAAAAQAgAAAAKAEAAGRycy9lMm9Eb2MueG1sUEsFBgAAAAAGAAYAWQEAAOIFAAAAAA==&#10;">
                      <v:fill on="f" focussize="0,0"/>
                      <v:stroke on="f" weight="1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v:textbox>
                    </v:shape>
                  </w:pict>
                </mc:Fallback>
              </mc:AlternateContent>
            </w:r>
            <w:r>
              <w:rPr>
                <w:rFonts w:hint="eastAsia" w:eastAsiaTheme="minorEastAsia"/>
                <w:vertAlign w:val="baseline"/>
                <w:lang w:eastAsia="zh-CN"/>
              </w:rPr>
              <w:drawing>
                <wp:inline distT="0" distB="0" distL="114300" distR="114300">
                  <wp:extent cx="2590800" cy="1914525"/>
                  <wp:effectExtent l="0" t="0" r="0" b="9525"/>
                  <wp:docPr id="2" name="图片 2" descr="e90f98b8e13c672828f9e058b9ff40c"/>
                  <wp:cNvGraphicFramePr/>
                  <a:graphic xmlns:a="http://schemas.openxmlformats.org/drawingml/2006/main">
                    <a:graphicData uri="http://schemas.openxmlformats.org/drawingml/2006/picture">
                      <pic:pic xmlns:pic="http://schemas.openxmlformats.org/drawingml/2006/picture">
                        <pic:nvPicPr>
                          <pic:cNvPr id="2" name="图片 2" descr="e90f98b8e13c672828f9e058b9ff40c"/>
                          <pic:cNvPicPr/>
                        </pic:nvPicPr>
                        <pic:blipFill>
                          <a:blip r:embed="rId5"/>
                          <a:stretch>
                            <a:fillRect/>
                          </a:stretch>
                        </pic:blipFill>
                        <pic:spPr>
                          <a:xfrm>
                            <a:off x="0" y="0"/>
                            <a:ext cx="2590800" cy="1914525"/>
                          </a:xfrm>
                          <a:prstGeom prst="rect">
                            <a:avLst/>
                          </a:prstGeom>
                        </pic:spPr>
                      </pic:pic>
                    </a:graphicData>
                  </a:graphic>
                </wp:inline>
              </w:drawing>
            </w:r>
          </w:p>
        </w:tc>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vertAlign w:val="baseline"/>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1242060</wp:posOffset>
                      </wp:positionH>
                      <wp:positionV relativeFrom="paragraph">
                        <wp:posOffset>1599565</wp:posOffset>
                      </wp:positionV>
                      <wp:extent cx="1304925" cy="285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04925" cy="2857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8pt;margin-top:125.95pt;height:22.5pt;width:102.75pt;z-index:251664384;mso-width-relative:page;mso-height-relative:page;" filled="f" stroked="f" coordsize="21600,21600" o:gfxdata="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WDkljYAAAACwEAAA8AAAAAAAAAAQAgAAAAIgAAAGRycy9k&#10;b3ducmV2LnhtbFBLAQIUABQAAAAIAIdO4kCmJK94OwIAAGkEAAAOAAAAAAAAAAEAIAAAACcBAABk&#10;cnMvZTJvRG9jLnhtbFBLBQYAAAAABgAGAFkBAADUBQAAAAA=&#10;">
                      <v:fill on="f" focussize="0,0"/>
                      <v:stroke on="f" weight="1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v:textbox>
                    </v:shape>
                  </w:pict>
                </mc:Fallback>
              </mc:AlternateContent>
            </w:r>
            <w:r>
              <w:rPr>
                <w:rFonts w:hint="eastAsia" w:eastAsiaTheme="minorEastAsia"/>
                <w:vertAlign w:val="baseline"/>
                <w:lang w:eastAsia="zh-CN"/>
              </w:rPr>
              <w:drawing>
                <wp:inline distT="0" distB="0" distL="114300" distR="114300">
                  <wp:extent cx="1915160" cy="2592070"/>
                  <wp:effectExtent l="0" t="0" r="17780" b="8890"/>
                  <wp:docPr id="5" name="图片 5" descr="85d35462f595ad1a6a44073a732caaa"/>
                  <wp:cNvGraphicFramePr/>
                  <a:graphic xmlns:a="http://schemas.openxmlformats.org/drawingml/2006/main">
                    <a:graphicData uri="http://schemas.openxmlformats.org/drawingml/2006/picture">
                      <pic:pic xmlns:pic="http://schemas.openxmlformats.org/drawingml/2006/picture">
                        <pic:nvPicPr>
                          <pic:cNvPr id="5" name="图片 5" descr="85d35462f595ad1a6a44073a732caaa"/>
                          <pic:cNvPicPr/>
                        </pic:nvPicPr>
                        <pic:blipFill>
                          <a:blip r:embed="rId6"/>
                          <a:stretch>
                            <a:fillRect/>
                          </a:stretch>
                        </pic:blipFill>
                        <pic:spPr>
                          <a:xfrm rot="16200000">
                            <a:off x="0" y="0"/>
                            <a:ext cx="1915160" cy="25920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2#厂房外部</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1#厂房外部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1271270</wp:posOffset>
                      </wp:positionH>
                      <wp:positionV relativeFrom="paragraph">
                        <wp:posOffset>1605280</wp:posOffset>
                      </wp:positionV>
                      <wp:extent cx="1304925" cy="2857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04925" cy="2857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1pt;margin-top:126.4pt;height:22.5pt;width:102.75pt;z-index:251663360;mso-width-relative:page;mso-height-relative:page;" filled="f" stroked="f" coordsize="21600,21600" o:gfxdata="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PCwB9gAAAALAQAADwAAAAAAAAABACAAAAAiAAAAZHJzL2Rv&#10;d25yZXYueG1sUEsBAhQAFAAAAAgAh07iQDdw7CI6AgAAaQQAAA4AAAAAAAAAAQAgAAAAJwEAAGRy&#10;cy9lMm9Eb2MueG1sUEsFBgAAAAAGAAYAWQEAANMFAAAAAA==&#10;">
                      <v:fill on="f" focussize="0,0"/>
                      <v:stroke on="f" weight="1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v:textbox>
                    </v:shape>
                  </w:pict>
                </mc:Fallback>
              </mc:AlternateContent>
            </w:r>
            <w:r>
              <w:rPr>
                <w:rFonts w:hint="eastAsia" w:eastAsiaTheme="minorEastAsia"/>
                <w:vertAlign w:val="baseline"/>
                <w:lang w:eastAsia="zh-CN"/>
              </w:rPr>
              <w:drawing>
                <wp:inline distT="0" distB="0" distL="114300" distR="114300">
                  <wp:extent cx="1915160" cy="2592070"/>
                  <wp:effectExtent l="0" t="0" r="17780" b="8890"/>
                  <wp:docPr id="1" name="图片 1" descr="生产车间内部"/>
                  <wp:cNvGraphicFramePr/>
                  <a:graphic xmlns:a="http://schemas.openxmlformats.org/drawingml/2006/main">
                    <a:graphicData uri="http://schemas.openxmlformats.org/drawingml/2006/picture">
                      <pic:pic xmlns:pic="http://schemas.openxmlformats.org/drawingml/2006/picture">
                        <pic:nvPicPr>
                          <pic:cNvPr id="1" name="图片 1" descr="生产车间内部"/>
                          <pic:cNvPicPr/>
                        </pic:nvPicPr>
                        <pic:blipFill>
                          <a:blip r:embed="rId7"/>
                          <a:stretch>
                            <a:fillRect/>
                          </a:stretch>
                        </pic:blipFill>
                        <pic:spPr>
                          <a:xfrm rot="16200000">
                            <a:off x="0" y="0"/>
                            <a:ext cx="1915160" cy="2592070"/>
                          </a:xfrm>
                          <a:prstGeom prst="rect">
                            <a:avLst/>
                          </a:prstGeom>
                        </pic:spPr>
                      </pic:pic>
                    </a:graphicData>
                  </a:graphic>
                </wp:inline>
              </w:drawing>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1242060</wp:posOffset>
                      </wp:positionH>
                      <wp:positionV relativeFrom="paragraph">
                        <wp:posOffset>1605280</wp:posOffset>
                      </wp:positionV>
                      <wp:extent cx="1304925" cy="285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04925" cy="2857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8pt;margin-top:126.4pt;height:22.5pt;width:102.75pt;z-index:251661312;mso-width-relative:page;mso-height-relative:page;" filled="f" stroked="f" coordsize="21600,21600" o:gfxdata="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Lw8n2QAAAAsBAAAPAAAAAAAAAAEAIAAAACIAAABkcnMv&#10;ZG93bnJldi54bWxQSwECFAAUAAAACACHTuJA59tHdDsCAABnBAAADgAAAAAAAAABACAAAAAoAQAA&#10;ZHJzL2Uyb0RvYy54bWxQSwUGAAAAAAYABgBZAQAA1QUAAAAA&#10;">
                      <v:fill on="f" focussize="0,0"/>
                      <v:stroke on="f" weight="1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v:textbox>
                    </v:shape>
                  </w:pict>
                </mc:Fallback>
              </mc:AlternateContent>
            </w:r>
            <w:r>
              <w:rPr>
                <w:rFonts w:hint="eastAsia" w:eastAsiaTheme="minorEastAsia"/>
                <w:vertAlign w:val="baseline"/>
                <w:lang w:eastAsia="zh-CN"/>
              </w:rPr>
              <w:drawing>
                <wp:inline distT="0" distB="0" distL="114300" distR="114300">
                  <wp:extent cx="2592070" cy="1915160"/>
                  <wp:effectExtent l="0" t="0" r="17780" b="8890"/>
                  <wp:docPr id="6" name="图片 6" descr="冷却水塔"/>
                  <wp:cNvGraphicFramePr/>
                  <a:graphic xmlns:a="http://schemas.openxmlformats.org/drawingml/2006/main">
                    <a:graphicData uri="http://schemas.openxmlformats.org/drawingml/2006/picture">
                      <pic:pic xmlns:pic="http://schemas.openxmlformats.org/drawingml/2006/picture">
                        <pic:nvPicPr>
                          <pic:cNvPr id="6" name="图片 6" descr="冷却水塔"/>
                          <pic:cNvPicPr/>
                        </pic:nvPicPr>
                        <pic:blipFill>
                          <a:blip r:embed="rId8"/>
                          <a:stretch>
                            <a:fillRect/>
                          </a:stretch>
                        </pic:blipFill>
                        <pic:spPr>
                          <a:xfrm>
                            <a:off x="0" y="0"/>
                            <a:ext cx="2592070" cy="19151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生产车间</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冷却水塔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1261745</wp:posOffset>
                      </wp:positionH>
                      <wp:positionV relativeFrom="paragraph">
                        <wp:posOffset>1610995</wp:posOffset>
                      </wp:positionV>
                      <wp:extent cx="1304925" cy="2857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04925" cy="2857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5pt;margin-top:126.85pt;height:22.5pt;width:102.75pt;z-index:251662336;mso-width-relative:page;mso-height-relative:page;" filled="f" stroked="f" coordsize="21600,21600" o:gfxdata="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Sgq97XAAAACwEAAA8AAAAAAAAAAQAgAAAAIgAAAGRycy9k&#10;b3ducmV2LnhtbFBLAQIUABQAAAAIAIdO4kCHQQKiPAIAAGkEAAAOAAAAAAAAAAEAIAAAACYBAABk&#10;cnMvZTJvRG9jLnhtbFBLBQYAAAAABgAGAFkBAADUBQAAAAA=&#10;">
                      <v:fill on="f" focussize="0,0"/>
                      <v:stroke on="f" weight="1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v:textbox>
                    </v:shape>
                  </w:pict>
                </mc:Fallback>
              </mc:AlternateContent>
            </w:r>
            <w:r>
              <w:rPr>
                <w:rFonts w:hint="eastAsia" w:eastAsiaTheme="minorEastAsia"/>
                <w:vertAlign w:val="baseline"/>
                <w:lang w:eastAsia="zh-CN"/>
              </w:rPr>
              <w:drawing>
                <wp:inline distT="0" distB="0" distL="114300" distR="114300">
                  <wp:extent cx="1915160" cy="2592070"/>
                  <wp:effectExtent l="0" t="0" r="17780" b="8890"/>
                  <wp:docPr id="4" name="图片 4" descr="灭菌车间内部"/>
                  <wp:cNvGraphicFramePr/>
                  <a:graphic xmlns:a="http://schemas.openxmlformats.org/drawingml/2006/main">
                    <a:graphicData uri="http://schemas.openxmlformats.org/drawingml/2006/picture">
                      <pic:pic xmlns:pic="http://schemas.openxmlformats.org/drawingml/2006/picture">
                        <pic:nvPicPr>
                          <pic:cNvPr id="4" name="图片 4" descr="灭菌车间内部"/>
                          <pic:cNvPicPr/>
                        </pic:nvPicPr>
                        <pic:blipFill>
                          <a:blip r:embed="rId9"/>
                          <a:stretch>
                            <a:fillRect/>
                          </a:stretch>
                        </pic:blipFill>
                        <pic:spPr>
                          <a:xfrm rot="16200000">
                            <a:off x="0" y="0"/>
                            <a:ext cx="1915160" cy="2592070"/>
                          </a:xfrm>
                          <a:prstGeom prst="rect">
                            <a:avLst/>
                          </a:prstGeom>
                        </pic:spPr>
                      </pic:pic>
                    </a:graphicData>
                  </a:graphic>
                </wp:inline>
              </w:drawing>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1251585</wp:posOffset>
                      </wp:positionH>
                      <wp:positionV relativeFrom="paragraph">
                        <wp:posOffset>1591945</wp:posOffset>
                      </wp:positionV>
                      <wp:extent cx="1304925"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04925" cy="285750"/>
                              </a:xfrm>
                              <a:prstGeom prst="rect">
                                <a:avLst/>
                              </a:prstGeom>
                              <a:noFill/>
                              <a:ln w="1270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55pt;margin-top:125.35pt;height:22.5pt;width:102.75pt;z-index:251660288;mso-width-relative:page;mso-height-relative:page;" filled="f" stroked="f" coordsize="21600,21600" o:gfxdata="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vFRR2QAAAAsBAAAPAAAAAAAAAAEAIAAAACIAAABkcnMv&#10;ZG93bnJldi54bWxQSwECFAAUAAAACACHTuJAUHbA7DsCAABnBAAADgAAAAAAAAABACAAAAAoAQAA&#10;ZHJzL2Uyb0RvYy54bWxQSwUGAAAAAAYABgBZAQAA1QUAAAAA&#10;">
                      <v:fill on="f" focussize="0,0"/>
                      <v:stroke on="f" weight="1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22023年7月20日</w:t>
                            </w:r>
                          </w:p>
                        </w:txbxContent>
                      </v:textbox>
                    </v:shape>
                  </w:pict>
                </mc:Fallback>
              </mc:AlternateContent>
            </w:r>
            <w:r>
              <w:rPr>
                <w:rFonts w:hint="eastAsia" w:eastAsiaTheme="minorEastAsia"/>
                <w:vertAlign w:val="baseline"/>
                <w:lang w:eastAsia="zh-CN"/>
              </w:rPr>
              <w:drawing>
                <wp:inline distT="0" distB="0" distL="114300" distR="114300">
                  <wp:extent cx="1915160" cy="2592070"/>
                  <wp:effectExtent l="0" t="0" r="17780" b="8890"/>
                  <wp:docPr id="7" name="图片 7" descr="6d2d133d04a787651c9baf0b7b7a156"/>
                  <wp:cNvGraphicFramePr/>
                  <a:graphic xmlns:a="http://schemas.openxmlformats.org/drawingml/2006/main">
                    <a:graphicData uri="http://schemas.openxmlformats.org/drawingml/2006/picture">
                      <pic:pic xmlns:pic="http://schemas.openxmlformats.org/drawingml/2006/picture">
                        <pic:nvPicPr>
                          <pic:cNvPr id="7" name="图片 7" descr="6d2d133d04a787651c9baf0b7b7a156"/>
                          <pic:cNvPicPr/>
                        </pic:nvPicPr>
                        <pic:blipFill>
                          <a:blip r:embed="rId10"/>
                          <a:stretch>
                            <a:fillRect/>
                          </a:stretch>
                        </pic:blipFill>
                        <pic:spPr>
                          <a:xfrm rot="16200000">
                            <a:off x="0" y="0"/>
                            <a:ext cx="1915160" cy="25920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vertAlign w:val="baseline"/>
                <w:lang w:eastAsia="zh-CN"/>
              </w:rPr>
            </w:pPr>
            <w:r>
              <w:rPr>
                <w:rFonts w:hint="eastAsia"/>
                <w:vertAlign w:val="baseline"/>
                <w:lang w:eastAsia="zh-CN"/>
              </w:rPr>
              <w:t>灭菌车间内部</w:t>
            </w:r>
          </w:p>
        </w:tc>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vertAlign w:val="baseline"/>
                <w:lang w:eastAsia="zh-CN"/>
              </w:rPr>
            </w:pPr>
            <w:r>
              <w:rPr>
                <w:rFonts w:hint="eastAsia"/>
                <w:vertAlign w:val="baseline"/>
                <w:lang w:eastAsia="zh-CN"/>
              </w:rPr>
              <w:t>一体化污水处理设施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vertAlign w:val="baseline"/>
                <w:lang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p>
        </w:tc>
      </w:tr>
    </w:tbl>
    <w:p>
      <w:pPr>
        <w:rPr>
          <w:rFonts w:hint="default" w:ascii="Times New Roman" w:hAnsi="Times New Roman" w:eastAsia="宋体" w:cs="Times New Roman"/>
          <w:b/>
          <w:color w:val="auto"/>
          <w:sz w:val="28"/>
          <w:szCs w:val="20"/>
          <w:lang w:eastAsia="zh-CN"/>
        </w:rPr>
      </w:pPr>
      <w:r>
        <w:rPr>
          <w:rFonts w:hint="default" w:ascii="Times New Roman" w:hAnsi="Times New Roman" w:eastAsia="宋体" w:cs="Times New Roman"/>
          <w:b/>
          <w:color w:val="auto"/>
          <w:sz w:val="28"/>
          <w:szCs w:val="20"/>
          <w:lang w:eastAsia="zh-CN"/>
        </w:rPr>
        <w:br w:type="page"/>
      </w:r>
    </w:p>
    <w:p>
      <w:pPr>
        <w:numPr>
          <w:ilvl w:val="0"/>
          <w:numId w:val="0"/>
        </w:numPr>
        <w:spacing w:line="360" w:lineRule="auto"/>
        <w:jc w:val="center"/>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lang w:eastAsia="zh-CN"/>
        </w:rPr>
        <w:t>一、</w:t>
      </w:r>
      <w:r>
        <w:rPr>
          <w:rFonts w:hint="default" w:ascii="Times New Roman" w:hAnsi="Times New Roman" w:eastAsia="宋体" w:cs="Times New Roman"/>
          <w:b/>
          <w:color w:val="auto"/>
          <w:sz w:val="28"/>
          <w:szCs w:val="20"/>
        </w:rPr>
        <w:t>建设项目基本情况</w:t>
      </w:r>
    </w:p>
    <w:tbl>
      <w:tblPr>
        <w:tblStyle w:val="2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1"/>
        <w:gridCol w:w="802"/>
        <w:gridCol w:w="3188"/>
        <w:gridCol w:w="1701"/>
        <w:gridCol w:w="1"/>
        <w:gridCol w:w="1725"/>
        <w:gridCol w:w="14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8053" w:type="dxa"/>
            <w:gridSpan w:val="5"/>
            <w:vAlign w:val="center"/>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云南康帆医疗器械有限公司东川分公司一类、二类医疗器械生产线建设项目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p>
        </w:tc>
        <w:tc>
          <w:tcPr>
            <w:tcW w:w="8053" w:type="dxa"/>
            <w:gridSpan w:val="5"/>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云南康帆医疗器械有限公司东川分公司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8053" w:type="dxa"/>
            <w:gridSpan w:val="5"/>
            <w:vAlign w:val="center"/>
          </w:tcPr>
          <w:p>
            <w:pPr>
              <w:spacing w:line="360" w:lineRule="auto"/>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-04-01-</w:t>
            </w:r>
            <w:r>
              <w:rPr>
                <w:rFonts w:hint="eastAsia" w:ascii="Times New Roman" w:hAnsi="Times New Roman" w:eastAsia="宋体" w:cs="Times New Roman"/>
                <w:color w:val="auto"/>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w:t>
            </w:r>
          </w:p>
        </w:tc>
        <w:tc>
          <w:tcPr>
            <w:tcW w:w="3188" w:type="dxa"/>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杨</w:t>
            </w:r>
            <w:r>
              <w:rPr>
                <w:rFonts w:hint="eastAsia" w:ascii="Times New Roman" w:hAnsi="Times New Roman" w:eastAsia="宋体" w:cs="Times New Roman"/>
                <w:color w:val="auto"/>
                <w:sz w:val="24"/>
                <w:szCs w:val="24"/>
                <w:lang w:eastAsia="zh-CN"/>
              </w:rPr>
              <w:t>**</w:t>
            </w:r>
          </w:p>
        </w:tc>
        <w:tc>
          <w:tcPr>
            <w:tcW w:w="1701"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3164" w:type="dxa"/>
            <w:gridSpan w:val="3"/>
            <w:tcBorders>
              <w:lef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180</w:t>
            </w:r>
            <w:r>
              <w:rPr>
                <w:rFonts w:hint="eastAsia" w:ascii="Times New Roman" w:hAnsi="Times New Roman" w:eastAsia="宋体" w:cs="Times New Roman"/>
                <w:color w:val="auto"/>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8053" w:type="dxa"/>
            <w:gridSpan w:val="5"/>
            <w:vAlign w:val="center"/>
          </w:tcPr>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云南省昆明市东川区铜都街道办事处碧谷小新村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8053" w:type="dxa"/>
            <w:gridSpan w:val="5"/>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东经103°09'37.511"，北纬26°06'17.</w:t>
            </w:r>
            <w:r>
              <w:rPr>
                <w:rFonts w:hint="default" w:ascii="Times New Roman" w:hAnsi="Times New Roman" w:eastAsia="宋体" w:cs="Times New Roman"/>
                <w:color w:val="auto"/>
                <w:sz w:val="24"/>
                <w:szCs w:val="24"/>
                <w:lang w:val="en-US" w:eastAsia="zh-CN"/>
              </w:rPr>
              <w:t>831</w:t>
            </w:r>
            <w:r>
              <w:rPr>
                <w:rFonts w:hint="default" w:ascii="Times New Roman" w:hAnsi="Times New Roman" w:eastAsia="宋体" w:cs="Times New Roman"/>
                <w:color w:val="auto"/>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国民经济行业类别</w:t>
            </w:r>
          </w:p>
        </w:tc>
        <w:tc>
          <w:tcPr>
            <w:tcW w:w="3188" w:type="dxa"/>
            <w:tcBorders>
              <w:right w:val="single" w:color="auto" w:sz="4" w:space="0"/>
            </w:tcBorders>
            <w:vAlign w:val="center"/>
          </w:tcPr>
          <w:p>
            <w:pPr>
              <w:spacing w:line="360" w:lineRule="auto"/>
              <w:ind w:firstLine="240" w:firstLineChars="1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2770卫生材料及医药用品制造</w:t>
            </w:r>
          </w:p>
        </w:tc>
        <w:tc>
          <w:tcPr>
            <w:tcW w:w="1701"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建设项目行业类别</w:t>
            </w:r>
          </w:p>
        </w:tc>
        <w:tc>
          <w:tcPr>
            <w:tcW w:w="3164" w:type="dxa"/>
            <w:gridSpan w:val="3"/>
            <w:tcBorders>
              <w:left w:val="single" w:color="auto" w:sz="4" w:space="0"/>
            </w:tcBorders>
            <w:vAlign w:val="center"/>
          </w:tcPr>
          <w:p>
            <w:pPr>
              <w:spacing w:line="360" w:lineRule="auto"/>
              <w:ind w:firstLine="240" w:firstLineChars="1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二十四、医药制造业 27中“卫生材料及医药用品制造277”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318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新建</w:t>
            </w:r>
          </w:p>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扩建</w:t>
            </w:r>
          </w:p>
          <w:p>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1701"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建设项目申报情形</w:t>
            </w:r>
          </w:p>
        </w:tc>
        <w:tc>
          <w:tcPr>
            <w:tcW w:w="3164"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 xml:space="preserve">首次申报项目             </w:t>
            </w:r>
          </w:p>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 xml:space="preserve">超五年重新审核项目     </w:t>
            </w:r>
          </w:p>
          <w:p>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项目审批（核准/备案）部门（选填）</w:t>
            </w:r>
          </w:p>
        </w:tc>
        <w:tc>
          <w:tcPr>
            <w:tcW w:w="3188" w:type="dxa"/>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昆明市东川区发展和改革局</w:t>
            </w:r>
          </w:p>
        </w:tc>
        <w:tc>
          <w:tcPr>
            <w:tcW w:w="1701"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设立依据</w:t>
            </w:r>
          </w:p>
        </w:tc>
        <w:tc>
          <w:tcPr>
            <w:tcW w:w="3164" w:type="dxa"/>
            <w:gridSpan w:val="3"/>
            <w:tcBorders>
              <w:lef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投资项目备案证（项目代码：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-04-01-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3188" w:type="dxa"/>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2063.5</w:t>
            </w:r>
          </w:p>
        </w:tc>
        <w:tc>
          <w:tcPr>
            <w:tcW w:w="1701"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3164" w:type="dxa"/>
            <w:gridSpan w:val="3"/>
            <w:tcBorders>
              <w:left w:val="single" w:color="auto" w:sz="4" w:space="0"/>
            </w:tcBorders>
            <w:vAlign w:val="center"/>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87.81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3188" w:type="dxa"/>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val="en-US" w:eastAsia="zh-CN"/>
              </w:rPr>
              <w:t>4.3%</w:t>
            </w:r>
          </w:p>
        </w:tc>
        <w:tc>
          <w:tcPr>
            <w:tcW w:w="1701"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3164" w:type="dxa"/>
            <w:gridSpan w:val="3"/>
            <w:tcBorders>
              <w:lef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4890"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是：</w:t>
            </w:r>
            <w:r>
              <w:rPr>
                <w:rFonts w:hint="default" w:ascii="Times New Roman" w:hAnsi="Times New Roman" w:cs="Times New Roman" w:eastAsiaTheme="minorEastAsia"/>
                <w:color w:val="auto"/>
                <w:sz w:val="24"/>
                <w:szCs w:val="24"/>
              </w:rPr>
              <w:t>项目于</w:t>
            </w:r>
            <w:r>
              <w:rPr>
                <w:rFonts w:hint="default" w:ascii="Times New Roman" w:hAnsi="Times New Roman" w:cs="Times New Roman"/>
                <w:color w:val="auto"/>
                <w:sz w:val="24"/>
                <w:szCs w:val="24"/>
                <w:lang w:val="en-US" w:eastAsia="zh-CN"/>
              </w:rPr>
              <w:t>2022</w:t>
            </w:r>
            <w:r>
              <w:rPr>
                <w:rFonts w:hint="default" w:ascii="Times New Roman" w:hAnsi="Times New Roman" w:cs="Times New Roman" w:eastAsiaTheme="minorEastAsia"/>
                <w:color w:val="auto"/>
                <w:sz w:val="24"/>
                <w:szCs w:val="24"/>
              </w:rPr>
              <w:t>年</w:t>
            </w:r>
            <w:r>
              <w:rPr>
                <w:rFonts w:hint="default" w:ascii="Times New Roman" w:hAnsi="Times New Roman" w:cs="Times New Roman"/>
                <w:color w:val="auto"/>
                <w:sz w:val="24"/>
                <w:szCs w:val="24"/>
                <w:lang w:val="en-US" w:eastAsia="zh-CN"/>
              </w:rPr>
              <w:t>7月</w:t>
            </w:r>
            <w:r>
              <w:rPr>
                <w:rFonts w:hint="default" w:ascii="Times New Roman" w:hAnsi="Times New Roman" w:cs="Times New Roman" w:eastAsiaTheme="minorEastAsia"/>
                <w:color w:val="auto"/>
                <w:sz w:val="24"/>
                <w:szCs w:val="24"/>
              </w:rPr>
              <w:t>建成投产，</w:t>
            </w:r>
            <w:r>
              <w:rPr>
                <w:rFonts w:hint="default" w:ascii="Times New Roman" w:hAnsi="Times New Roman" w:cs="Times New Roman"/>
                <w:color w:val="auto"/>
                <w:sz w:val="24"/>
                <w:szCs w:val="24"/>
                <w:lang w:eastAsia="zh-CN"/>
              </w:rPr>
              <w:t>昆明市生态环境局</w:t>
            </w:r>
            <w:r>
              <w:rPr>
                <w:rFonts w:hint="default" w:ascii="Times New Roman" w:hAnsi="Times New Roman" w:cs="Times New Roman"/>
                <w:color w:val="auto"/>
                <w:sz w:val="24"/>
                <w:szCs w:val="24"/>
                <w:lang w:val="en-US" w:eastAsia="zh-CN"/>
              </w:rPr>
              <w:t>2023年10月30日进行现场检查，检查发现，公司正在生产，现场未能提供有关验收材料，并于2023年10月31日下发了《责令整改违法行为决定书》昆生环责字〔2023〕8-15号，要求立即完善相关环保手续，完成相关手续之前不得生产。</w:t>
            </w:r>
          </w:p>
        </w:tc>
        <w:tc>
          <w:tcPr>
            <w:tcW w:w="1725"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用地（用海）面积</w:t>
            </w:r>
            <w:r>
              <w:rPr>
                <w:rFonts w:hint="default" w:ascii="Times New Roman" w:hAnsi="Times New Roman" w:eastAsia="宋体" w:cs="Times New Roman"/>
                <w:color w:val="auto"/>
                <w:spacing w:val="-6"/>
                <w:sz w:val="24"/>
                <w:szCs w:val="24"/>
              </w:rPr>
              <w:t>（m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1438" w:type="dxa"/>
            <w:tcBorders>
              <w:left w:val="single" w:color="auto" w:sz="4" w:space="0"/>
            </w:tcBorders>
            <w:vAlign w:val="center"/>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13342.33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专项评价设置情况</w:t>
            </w:r>
          </w:p>
        </w:tc>
        <w:tc>
          <w:tcPr>
            <w:tcW w:w="8053" w:type="dxa"/>
            <w:gridSpan w:val="5"/>
            <w:tcBorders>
              <w:left w:val="single" w:color="auto" w:sz="4" w:space="0"/>
            </w:tcBorders>
            <w:vAlign w:val="center"/>
          </w:tcPr>
          <w:p>
            <w:pPr>
              <w:spacing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根据《建设项目环境影响报告表编制技术指南》（污染影响类）（试行）“表1专项评价设置原则表”的要求，</w:t>
            </w: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专项评价设置情况具体如下表所示。</w:t>
            </w:r>
          </w:p>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表1-1 专项评价设置情况分析表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3066"/>
              <w:gridCol w:w="3351"/>
              <w:gridCol w:w="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环境影响因素</w:t>
                  </w:r>
                </w:p>
              </w:tc>
              <w:tc>
                <w:tcPr>
                  <w:tcW w:w="298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专项设置原则</w:t>
                  </w:r>
                </w:p>
              </w:tc>
              <w:tc>
                <w:tcPr>
                  <w:tcW w:w="326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w:t>
                  </w:r>
                  <w:r>
                    <w:rPr>
                      <w:rFonts w:hint="default" w:ascii="Times New Roman" w:hAnsi="Times New Roman" w:eastAsia="宋体" w:cs="Times New Roman"/>
                      <w:color w:val="auto"/>
                      <w:sz w:val="21"/>
                      <w:szCs w:val="21"/>
                      <w:lang w:eastAsia="zh-CN"/>
                    </w:rPr>
                    <w:t>新建</w:t>
                  </w:r>
                  <w:r>
                    <w:rPr>
                      <w:rFonts w:hint="default" w:ascii="Times New Roman" w:hAnsi="Times New Roman" w:eastAsia="宋体" w:cs="Times New Roman"/>
                      <w:color w:val="auto"/>
                      <w:sz w:val="21"/>
                      <w:szCs w:val="21"/>
                    </w:rPr>
                    <w:t>建项目情况</w:t>
                  </w:r>
                </w:p>
              </w:tc>
              <w:tc>
                <w:tcPr>
                  <w:tcW w:w="641"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w:t>
                  </w:r>
                </w:p>
              </w:tc>
              <w:tc>
                <w:tcPr>
                  <w:tcW w:w="2984"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排放废气含有《有毒有害大气污染物名录》的污染物（不包括无排放标准的污染物）、二噁英、苯并[a]芘、氰化物、氯气且厂界外500米范围内有环境空气保护目标的建设项目。</w:t>
                  </w:r>
                </w:p>
              </w:tc>
              <w:tc>
                <w:tcPr>
                  <w:tcW w:w="326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该项目</w:t>
                  </w:r>
                  <w:r>
                    <w:rPr>
                      <w:rFonts w:hint="default" w:ascii="Times New Roman" w:hAnsi="Times New Roman" w:eastAsia="宋体" w:cs="Times New Roman"/>
                      <w:color w:val="auto"/>
                      <w:sz w:val="21"/>
                      <w:szCs w:val="21"/>
                    </w:rPr>
                    <w:t>排放的大气污染物主要包括</w:t>
                  </w:r>
                  <w:r>
                    <w:rPr>
                      <w:rFonts w:hint="default" w:ascii="Times New Roman" w:hAnsi="Times New Roman" w:eastAsia="宋体" w:cs="Times New Roman"/>
                      <w:color w:val="auto"/>
                      <w:sz w:val="21"/>
                      <w:szCs w:val="21"/>
                      <w:lang w:eastAsia="zh-CN"/>
                    </w:rPr>
                    <w:t>环氧乙烷、非甲烷总烃</w:t>
                  </w:r>
                  <w:r>
                    <w:rPr>
                      <w:rFonts w:hint="default" w:ascii="Times New Roman" w:hAnsi="Times New Roman" w:eastAsia="宋体" w:cs="Times New Roman"/>
                      <w:color w:val="auto"/>
                      <w:sz w:val="21"/>
                      <w:szCs w:val="21"/>
                    </w:rPr>
                    <w:t>和厨房油烟；不含上述需设置大气专项评价的排放因子，因此不设置大气专项评价。</w:t>
                  </w:r>
                </w:p>
              </w:tc>
              <w:tc>
                <w:tcPr>
                  <w:tcW w:w="641" w:type="dxa"/>
                  <w:vAlign w:val="center"/>
                </w:tcPr>
                <w:p>
                  <w:pPr>
                    <w:pStyle w:val="45"/>
                    <w:spacing w:line="360" w:lineRule="exac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w:t>
                  </w:r>
                </w:p>
              </w:tc>
              <w:tc>
                <w:tcPr>
                  <w:tcW w:w="2984"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新增工业废水直排建设项目（槽罐车外送污水处理厂的除外）；新增废水直排的污水集中处理厂。</w:t>
                  </w:r>
                </w:p>
              </w:tc>
              <w:tc>
                <w:tcPr>
                  <w:tcW w:w="326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该项目</w:t>
                  </w:r>
                  <w:r>
                    <w:rPr>
                      <w:rFonts w:hint="default" w:ascii="Times New Roman" w:hAnsi="Times New Roman" w:eastAsia="宋体" w:cs="Times New Roman"/>
                      <w:color w:val="auto"/>
                      <w:sz w:val="21"/>
                      <w:szCs w:val="21"/>
                    </w:rPr>
                    <w:t>产生的废水类型包括</w:t>
                  </w:r>
                  <w:r>
                    <w:rPr>
                      <w:rFonts w:hint="default" w:ascii="Times New Roman" w:hAnsi="Times New Roman" w:cs="Times New Roman"/>
                      <w:color w:val="auto"/>
                      <w:sz w:val="21"/>
                      <w:szCs w:val="21"/>
                      <w:lang w:eastAsia="zh-CN"/>
                    </w:rPr>
                    <w:t>地面清洁废水、纯水设备浓排水</w:t>
                  </w:r>
                  <w:r>
                    <w:rPr>
                      <w:rFonts w:hint="default" w:ascii="Times New Roman" w:hAnsi="Times New Roman" w:eastAsia="宋体" w:cs="Times New Roman"/>
                      <w:color w:val="auto"/>
                      <w:sz w:val="21"/>
                      <w:szCs w:val="21"/>
                    </w:rPr>
                    <w:t>、生活污水和初期雨水，</w:t>
                  </w:r>
                  <w:r>
                    <w:rPr>
                      <w:rFonts w:hint="default" w:ascii="Times New Roman" w:hAnsi="Times New Roman" w:cs="Times New Roman"/>
                      <w:color w:val="auto"/>
                      <w:sz w:val="21"/>
                      <w:szCs w:val="21"/>
                      <w:lang w:eastAsia="zh-CN"/>
                    </w:rPr>
                    <w:t>近期（污水管网建成前）</w:t>
                  </w:r>
                  <w:r>
                    <w:rPr>
                      <w:rFonts w:hint="default" w:ascii="Times New Roman" w:hAnsi="Times New Roman" w:eastAsia="宋体" w:cs="Times New Roman"/>
                      <w:color w:val="auto"/>
                      <w:sz w:val="21"/>
                      <w:szCs w:val="21"/>
                    </w:rPr>
                    <w:t>均经配套的</w:t>
                  </w:r>
                  <w:r>
                    <w:rPr>
                      <w:rFonts w:hint="default" w:ascii="Times New Roman" w:hAnsi="Times New Roman" w:cs="Times New Roman"/>
                      <w:color w:val="auto"/>
                      <w:sz w:val="21"/>
                      <w:szCs w:val="21"/>
                      <w:lang w:eastAsia="zh-CN"/>
                    </w:rPr>
                    <w:t>一体化污水处理设施</w:t>
                  </w:r>
                  <w:r>
                    <w:rPr>
                      <w:rFonts w:hint="default" w:ascii="Times New Roman" w:hAnsi="Times New Roman" w:eastAsia="宋体" w:cs="Times New Roman"/>
                      <w:color w:val="auto"/>
                      <w:sz w:val="21"/>
                      <w:szCs w:val="21"/>
                    </w:rPr>
                    <w:t>处理后回用，不外排；</w:t>
                  </w:r>
                  <w:r>
                    <w:rPr>
                      <w:rFonts w:hint="default" w:ascii="Times New Roman" w:hAnsi="Times New Roman" w:cs="Times New Roman"/>
                      <w:color w:val="auto"/>
                      <w:sz w:val="21"/>
                      <w:szCs w:val="21"/>
                      <w:lang w:eastAsia="zh-CN"/>
                    </w:rPr>
                    <w:t>远期（污水管网建成后）排入城市污水处理厂处理，</w:t>
                  </w:r>
                  <w:r>
                    <w:rPr>
                      <w:rFonts w:hint="default" w:ascii="Times New Roman" w:hAnsi="Times New Roman" w:eastAsia="宋体" w:cs="Times New Roman"/>
                      <w:color w:val="auto"/>
                      <w:sz w:val="21"/>
                      <w:szCs w:val="21"/>
                    </w:rPr>
                    <w:t>因此不设置地表水专项评价。</w:t>
                  </w:r>
                </w:p>
              </w:tc>
              <w:tc>
                <w:tcPr>
                  <w:tcW w:w="641"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w:t>
                  </w:r>
                </w:p>
              </w:tc>
              <w:tc>
                <w:tcPr>
                  <w:tcW w:w="2984"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有毒有害和易燃易爆危险物质存储量超过临界量的建设项目。</w:t>
                  </w:r>
                </w:p>
              </w:tc>
              <w:tc>
                <w:tcPr>
                  <w:tcW w:w="326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lang w:eastAsia="zh-CN"/>
                    </w:rPr>
                    <w:t>该项目</w:t>
                  </w:r>
                  <w:r>
                    <w:rPr>
                      <w:rFonts w:hint="default" w:ascii="Times New Roman" w:hAnsi="Times New Roman" w:eastAsia="宋体" w:cs="Times New Roman"/>
                      <w:color w:val="auto"/>
                      <w:sz w:val="21"/>
                      <w:szCs w:val="21"/>
                      <w:highlight w:val="none"/>
                    </w:rPr>
                    <w:t>涉及的危险物质包括</w:t>
                  </w:r>
                  <w:r>
                    <w:rPr>
                      <w:rFonts w:hint="default" w:ascii="Times New Roman" w:hAnsi="Times New Roman" w:eastAsia="宋体" w:cs="Times New Roman"/>
                      <w:color w:val="auto"/>
                      <w:sz w:val="21"/>
                      <w:szCs w:val="21"/>
                      <w:highlight w:val="none"/>
                      <w:lang w:eastAsia="zh-CN"/>
                    </w:rPr>
                    <w:t>灭菌使用的环氧乙烷、废化学试剂，</w:t>
                  </w:r>
                  <w:r>
                    <w:rPr>
                      <w:rFonts w:hint="default" w:ascii="Times New Roman" w:hAnsi="Times New Roman" w:eastAsia="宋体" w:cs="Times New Roman"/>
                      <w:color w:val="auto"/>
                      <w:sz w:val="21"/>
                      <w:szCs w:val="21"/>
                      <w:highlight w:val="none"/>
                    </w:rPr>
                    <w:t>其中</w:t>
                  </w:r>
                  <w:r>
                    <w:rPr>
                      <w:rFonts w:hint="default" w:ascii="Times New Roman" w:hAnsi="Times New Roman" w:eastAsia="宋体" w:cs="Times New Roman"/>
                      <w:color w:val="auto"/>
                      <w:sz w:val="21"/>
                      <w:szCs w:val="21"/>
                      <w:highlight w:val="none"/>
                      <w:lang w:eastAsia="zh-CN"/>
                    </w:rPr>
                    <w:t>环氧乙烷</w:t>
                  </w:r>
                  <w:r>
                    <w:rPr>
                      <w:rFonts w:hint="default" w:ascii="Times New Roman" w:hAnsi="Times New Roman" w:eastAsia="宋体" w:cs="Times New Roman"/>
                      <w:color w:val="auto"/>
                      <w:sz w:val="21"/>
                      <w:szCs w:val="21"/>
                      <w:highlight w:val="none"/>
                    </w:rPr>
                    <w:t>最大储存量为0.</w:t>
                  </w:r>
                  <w:r>
                    <w:rPr>
                      <w:rFonts w:hint="default" w:ascii="Times New Roman" w:hAnsi="Times New Roman" w:eastAsia="宋体" w:cs="Times New Roman"/>
                      <w:color w:val="auto"/>
                      <w:sz w:val="21"/>
                      <w:szCs w:val="21"/>
                      <w:highlight w:val="none"/>
                      <w:lang w:val="en-US" w:eastAsia="zh-CN"/>
                    </w:rPr>
                    <w:t>42</w:t>
                  </w:r>
                  <w:r>
                    <w:rPr>
                      <w:rFonts w:hint="default" w:ascii="Times New Roman" w:hAnsi="Times New Roman" w:eastAsia="宋体" w:cs="Times New Roman"/>
                      <w:color w:val="auto"/>
                      <w:sz w:val="21"/>
                      <w:szCs w:val="21"/>
                      <w:highlight w:val="none"/>
                    </w:rPr>
                    <w:t>t（临界量为</w:t>
                  </w:r>
                  <w:r>
                    <w:rPr>
                      <w:rFonts w:hint="default" w:ascii="Times New Roman" w:hAnsi="Times New Roman" w:eastAsia="宋体" w:cs="Times New Roman"/>
                      <w:color w:val="auto"/>
                      <w:sz w:val="21"/>
                      <w:szCs w:val="21"/>
                      <w:highlight w:val="none"/>
                      <w:lang w:val="en-US" w:eastAsia="zh-CN"/>
                    </w:rPr>
                    <w:t>7.5</w:t>
                  </w:r>
                  <w:r>
                    <w:rPr>
                      <w:rFonts w:hint="default" w:ascii="Times New Roman" w:hAnsi="Times New Roman" w:eastAsia="宋体" w:cs="Times New Roman"/>
                      <w:color w:val="auto"/>
                      <w:sz w:val="21"/>
                      <w:szCs w:val="21"/>
                      <w:highlight w:val="none"/>
                    </w:rPr>
                    <w:t>t）、次氯酸钠最大储存量为0.05t（临界量为5t），</w:t>
                  </w:r>
                  <w:r>
                    <w:rPr>
                      <w:rFonts w:hint="default" w:ascii="Times New Roman" w:hAnsi="Times New Roman" w:eastAsia="宋体" w:cs="Times New Roman"/>
                      <w:color w:val="auto"/>
                      <w:sz w:val="21"/>
                      <w:szCs w:val="21"/>
                      <w:highlight w:val="none"/>
                      <w:lang w:eastAsia="zh-CN"/>
                    </w:rPr>
                    <w:t>硫酸</w:t>
                  </w:r>
                  <w:r>
                    <w:rPr>
                      <w:rFonts w:hint="default" w:ascii="Times New Roman" w:hAnsi="Times New Roman" w:eastAsia="宋体" w:cs="Times New Roman"/>
                      <w:color w:val="auto"/>
                      <w:sz w:val="21"/>
                      <w:szCs w:val="21"/>
                      <w:highlight w:val="none"/>
                    </w:rPr>
                    <w:t>最大储存量为</w:t>
                  </w:r>
                  <w:r>
                    <w:rPr>
                      <w:rFonts w:hint="default" w:ascii="Times New Roman" w:hAnsi="Times New Roman" w:eastAsia="宋体" w:cs="Times New Roman"/>
                      <w:color w:val="auto"/>
                      <w:sz w:val="21"/>
                      <w:szCs w:val="21"/>
                      <w:highlight w:val="none"/>
                      <w:lang w:val="en-US" w:eastAsia="zh-CN"/>
                    </w:rPr>
                    <w:t>9.2×10</w:t>
                  </w:r>
                  <w:r>
                    <w:rPr>
                      <w:rFonts w:hint="default" w:ascii="Times New Roman" w:hAnsi="Times New Roman" w:eastAsia="宋体" w:cs="Times New Roman"/>
                      <w:color w:val="auto"/>
                      <w:sz w:val="21"/>
                      <w:szCs w:val="21"/>
                      <w:highlight w:val="none"/>
                      <w:vertAlign w:val="superscript"/>
                      <w:lang w:val="en-US" w:eastAsia="zh-CN"/>
                    </w:rPr>
                    <w:t>-7</w:t>
                  </w:r>
                  <w:r>
                    <w:rPr>
                      <w:rFonts w:hint="default" w:ascii="Times New Roman" w:hAnsi="Times New Roman" w:eastAsia="宋体" w:cs="Times New Roman"/>
                      <w:color w:val="auto"/>
                      <w:sz w:val="21"/>
                      <w:szCs w:val="21"/>
                      <w:highlight w:val="none"/>
                    </w:rPr>
                    <w:t>t（临界量为</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硝酸</w:t>
                  </w:r>
                  <w:r>
                    <w:rPr>
                      <w:rFonts w:hint="default" w:ascii="Times New Roman" w:hAnsi="Times New Roman" w:eastAsia="宋体" w:cs="Times New Roman"/>
                      <w:color w:val="auto"/>
                      <w:sz w:val="21"/>
                      <w:szCs w:val="21"/>
                      <w:highlight w:val="none"/>
                    </w:rPr>
                    <w:t>最大储存量为</w:t>
                  </w:r>
                  <w:r>
                    <w:rPr>
                      <w:rFonts w:hint="default" w:ascii="Times New Roman" w:hAnsi="Times New Roman" w:eastAsia="宋体" w:cs="Times New Roman"/>
                      <w:color w:val="auto"/>
                      <w:sz w:val="21"/>
                      <w:szCs w:val="21"/>
                      <w:highlight w:val="none"/>
                      <w:lang w:val="en-US" w:eastAsia="zh-CN"/>
                    </w:rPr>
                    <w:t>1.0×10</w:t>
                  </w:r>
                  <w:r>
                    <w:rPr>
                      <w:rFonts w:hint="default" w:ascii="Times New Roman" w:hAnsi="Times New Roman" w:eastAsia="宋体" w:cs="Times New Roman"/>
                      <w:color w:val="auto"/>
                      <w:sz w:val="21"/>
                      <w:szCs w:val="21"/>
                      <w:highlight w:val="none"/>
                      <w:vertAlign w:val="superscript"/>
                      <w:lang w:val="en-US" w:eastAsia="zh-CN"/>
                    </w:rPr>
                    <w:t>-7</w:t>
                  </w:r>
                  <w:r>
                    <w:rPr>
                      <w:rFonts w:hint="default" w:ascii="Times New Roman" w:hAnsi="Times New Roman" w:eastAsia="宋体" w:cs="Times New Roman"/>
                      <w:color w:val="auto"/>
                      <w:sz w:val="21"/>
                      <w:szCs w:val="21"/>
                      <w:highlight w:val="none"/>
                    </w:rPr>
                    <w:t>t（临界量为</w:t>
                  </w:r>
                  <w:r>
                    <w:rPr>
                      <w:rFonts w:hint="default" w:ascii="Times New Roman" w:hAnsi="Times New Roman" w:eastAsia="宋体" w:cs="Times New Roman"/>
                      <w:color w:val="auto"/>
                      <w:sz w:val="21"/>
                      <w:szCs w:val="21"/>
                      <w:highlight w:val="none"/>
                      <w:lang w:val="en-US" w:eastAsia="zh-CN"/>
                    </w:rPr>
                    <w:t>7.5</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、盐酸</w:t>
                  </w:r>
                  <w:r>
                    <w:rPr>
                      <w:rFonts w:hint="default" w:ascii="Times New Roman" w:hAnsi="Times New Roman" w:eastAsia="宋体" w:cs="Times New Roman"/>
                      <w:color w:val="auto"/>
                      <w:sz w:val="21"/>
                      <w:szCs w:val="21"/>
                      <w:highlight w:val="none"/>
                    </w:rPr>
                    <w:t>最大储存量为</w:t>
                  </w:r>
                  <w:r>
                    <w:rPr>
                      <w:rFonts w:hint="default" w:ascii="Times New Roman" w:hAnsi="Times New Roman" w:eastAsia="宋体" w:cs="Times New Roman"/>
                      <w:color w:val="auto"/>
                      <w:sz w:val="21"/>
                      <w:szCs w:val="21"/>
                      <w:highlight w:val="none"/>
                      <w:lang w:val="en-US" w:eastAsia="zh-CN"/>
                    </w:rPr>
                    <w:t>7.6×10</w:t>
                  </w:r>
                  <w:r>
                    <w:rPr>
                      <w:rFonts w:hint="default" w:ascii="Times New Roman" w:hAnsi="Times New Roman" w:eastAsia="宋体" w:cs="Times New Roman"/>
                      <w:color w:val="auto"/>
                      <w:sz w:val="21"/>
                      <w:szCs w:val="21"/>
                      <w:highlight w:val="none"/>
                      <w:vertAlign w:val="superscript"/>
                      <w:lang w:val="en-US" w:eastAsia="zh-CN"/>
                    </w:rPr>
                    <w:t>-7</w:t>
                  </w:r>
                  <w:r>
                    <w:rPr>
                      <w:rFonts w:hint="default" w:ascii="Times New Roman" w:hAnsi="Times New Roman" w:eastAsia="宋体" w:cs="Times New Roman"/>
                      <w:color w:val="auto"/>
                      <w:sz w:val="21"/>
                      <w:szCs w:val="21"/>
                      <w:highlight w:val="none"/>
                    </w:rPr>
                    <w:t>t（临界量为</w:t>
                  </w:r>
                  <w:r>
                    <w:rPr>
                      <w:rFonts w:hint="default" w:ascii="Times New Roman" w:hAnsi="Times New Roman" w:eastAsia="宋体" w:cs="Times New Roman"/>
                      <w:color w:val="auto"/>
                      <w:sz w:val="21"/>
                      <w:szCs w:val="21"/>
                      <w:highlight w:val="none"/>
                      <w:lang w:val="en-US" w:eastAsia="zh-CN"/>
                    </w:rPr>
                    <w:t>7.5</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Q值合计0.066</w:t>
                  </w:r>
                  <w:r>
                    <w:rPr>
                      <w:rFonts w:hint="default" w:ascii="Times New Roman" w:hAnsi="Times New Roman" w:eastAsia="宋体" w:cs="Times New Roman"/>
                      <w:color w:val="auto"/>
                      <w:sz w:val="21"/>
                      <w:szCs w:val="21"/>
                      <w:highlight w:val="none"/>
                    </w:rPr>
                    <w:t>未超过临界量，因此不需设置环境风险评价等级。</w:t>
                  </w:r>
                </w:p>
              </w:tc>
              <w:tc>
                <w:tcPr>
                  <w:tcW w:w="641"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w:t>
                  </w:r>
                </w:p>
              </w:tc>
              <w:tc>
                <w:tcPr>
                  <w:tcW w:w="2984"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取水口下游500米范围内有重要水生生物的自然产卵场、索饵场、越冬场和洄游通道的新增河道取水的污染类建设项目。</w:t>
                  </w:r>
                </w:p>
              </w:tc>
              <w:tc>
                <w:tcPr>
                  <w:tcW w:w="326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eastAsia="zh-CN"/>
                    </w:rPr>
                    <w:t>该项目</w:t>
                  </w:r>
                  <w:r>
                    <w:rPr>
                      <w:rFonts w:hint="default" w:ascii="Times New Roman" w:hAnsi="Times New Roman" w:eastAsia="宋体" w:cs="Times New Roman"/>
                      <w:color w:val="auto"/>
                      <w:sz w:val="21"/>
                      <w:szCs w:val="21"/>
                    </w:rPr>
                    <w:t>用水使用自来水，不涉及河道取水，因此不设置生态专项评价。</w:t>
                  </w:r>
                </w:p>
              </w:tc>
              <w:tc>
                <w:tcPr>
                  <w:tcW w:w="641" w:type="dxa"/>
                  <w:vAlign w:val="center"/>
                </w:tcPr>
                <w:p>
                  <w:pPr>
                    <w:pStyle w:val="45"/>
                    <w:spacing w:line="360" w:lineRule="exac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海洋</w:t>
                  </w:r>
                </w:p>
              </w:tc>
              <w:tc>
                <w:tcPr>
                  <w:tcW w:w="2984"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直接向海排放污染物的海洋工程建设项目。</w:t>
                  </w:r>
                </w:p>
              </w:tc>
              <w:tc>
                <w:tcPr>
                  <w:tcW w:w="326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该项目</w:t>
                  </w:r>
                  <w:r>
                    <w:rPr>
                      <w:rFonts w:hint="default" w:ascii="Times New Roman" w:hAnsi="Times New Roman" w:eastAsia="宋体" w:cs="Times New Roman"/>
                      <w:color w:val="auto"/>
                      <w:sz w:val="21"/>
                      <w:szCs w:val="21"/>
                    </w:rPr>
                    <w:t>不涉及海洋，因此不设置海洋专项评价。</w:t>
                  </w:r>
                </w:p>
              </w:tc>
              <w:tc>
                <w:tcPr>
                  <w:tcW w:w="641" w:type="dxa"/>
                  <w:vAlign w:val="center"/>
                </w:tcPr>
                <w:p>
                  <w:pPr>
                    <w:pStyle w:val="45"/>
                    <w:spacing w:line="360" w:lineRule="exac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否</w:t>
                  </w:r>
                </w:p>
              </w:tc>
            </w:tr>
          </w:tbl>
          <w:p>
            <w:pPr>
              <w:spacing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w:t>
            </w: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规划情况</w:t>
            </w:r>
          </w:p>
        </w:tc>
        <w:tc>
          <w:tcPr>
            <w:tcW w:w="8053" w:type="dxa"/>
            <w:gridSpan w:val="5"/>
            <w:tcBorders>
              <w:left w:val="single" w:color="auto" w:sz="4" w:space="0"/>
            </w:tcBorders>
            <w:vAlign w:val="center"/>
          </w:tcPr>
          <w:p>
            <w:pPr>
              <w:spacing w:beforeLines="50" w:line="360" w:lineRule="auto"/>
              <w:ind w:firstLine="480" w:firstLineChars="20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tcBorders>
              <w:top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规划环境影响评价情况</w:t>
            </w:r>
          </w:p>
        </w:tc>
        <w:tc>
          <w:tcPr>
            <w:tcW w:w="8053" w:type="dxa"/>
            <w:gridSpan w:val="5"/>
            <w:tcBorders>
              <w:top w:val="single" w:color="auto" w:sz="4" w:space="0"/>
              <w:left w:val="single" w:color="auto" w:sz="4" w:space="0"/>
            </w:tcBorders>
            <w:vAlign w:val="center"/>
          </w:tcPr>
          <w:p>
            <w:pPr>
              <w:spacing w:line="360" w:lineRule="auto"/>
              <w:ind w:firstLine="480" w:firstLineChars="20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3" w:type="dxa"/>
            <w:gridSpan w:val="2"/>
            <w:tcBorders>
              <w:right w:val="single" w:color="auto" w:sz="4" w:space="0"/>
            </w:tcBorders>
            <w:vAlign w:val="center"/>
          </w:tcPr>
          <w:p>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rPr>
              <w:t>规划及规划环境影响评价符合性分析</w:t>
            </w:r>
          </w:p>
        </w:tc>
        <w:tc>
          <w:tcPr>
            <w:tcW w:w="8053" w:type="dxa"/>
            <w:gridSpan w:val="5"/>
            <w:tcBorders>
              <w:left w:val="single" w:color="auto" w:sz="4" w:space="0"/>
            </w:tcBorders>
            <w:vAlign w:val="center"/>
          </w:tcPr>
          <w:p>
            <w:pPr>
              <w:spacing w:line="360" w:lineRule="auto"/>
              <w:ind w:firstLine="480" w:firstLineChars="20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1" w:type="dxa"/>
            <w:tcBorders>
              <w:right w:val="single" w:color="auto" w:sz="4" w:space="0"/>
            </w:tcBorders>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其他符合性分析</w:t>
            </w:r>
          </w:p>
        </w:tc>
        <w:tc>
          <w:tcPr>
            <w:tcW w:w="8855" w:type="dxa"/>
            <w:gridSpan w:val="6"/>
            <w:tcBorders>
              <w:left w:val="single" w:color="auto" w:sz="4" w:space="0"/>
            </w:tcBorders>
            <w:vAlign w:val="center"/>
          </w:tcPr>
          <w:p>
            <w:pPr>
              <w:spacing w:line="360" w:lineRule="auto"/>
              <w:ind w:firstLine="360" w:firstLineChars="150"/>
              <w:rPr>
                <w:rFonts w:hint="default" w:ascii="Times New Roman" w:hAnsi="Times New Roman" w:eastAsia="宋体" w:cs="Times New Roman"/>
                <w:b/>
                <w:color w:val="auto"/>
                <w:sz w:val="24"/>
                <w:szCs w:val="24"/>
              </w:rPr>
            </w:pPr>
            <w:bookmarkStart w:id="0" w:name="_Toc433545018"/>
            <w:r>
              <w:rPr>
                <w:rFonts w:hint="default" w:ascii="Times New Roman" w:hAnsi="Times New Roman" w:eastAsia="宋体" w:cs="Times New Roman"/>
                <w:color w:val="auto"/>
                <w:sz w:val="24"/>
                <w:szCs w:val="24"/>
              </w:rPr>
              <w:t>根据《建设项目环境影响报告表编制技术指南》（污染影响类）（试行）的要求，其他符合性包括“</w:t>
            </w:r>
            <w:r>
              <w:rPr>
                <w:rFonts w:hint="default" w:ascii="Times New Roman" w:hAnsi="Times New Roman" w:eastAsia="宋体" w:cs="Times New Roman"/>
                <w:color w:val="auto"/>
                <w:sz w:val="24"/>
                <w:szCs w:val="24"/>
                <w:lang w:eastAsia="zh-CN"/>
              </w:rPr>
              <w:t>三线一单</w:t>
            </w:r>
            <w:r>
              <w:rPr>
                <w:rFonts w:hint="default" w:ascii="Times New Roman" w:hAnsi="Times New Roman" w:eastAsia="宋体" w:cs="Times New Roman"/>
                <w:color w:val="auto"/>
                <w:sz w:val="24"/>
                <w:szCs w:val="24"/>
              </w:rPr>
              <w:t>”符合性、生态环境保护法律法规政策符合性和生态环境保护规划的符合性，具体如下：</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）产业政策符合性分析</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卫生材料及医药用品制造</w:t>
            </w:r>
            <w:r>
              <w:rPr>
                <w:rFonts w:hint="default" w:ascii="Times New Roman" w:hAnsi="Times New Roman" w:eastAsia="宋体" w:cs="Times New Roman"/>
                <w:color w:val="auto"/>
                <w:sz w:val="24"/>
                <w:szCs w:val="24"/>
              </w:rPr>
              <w:t>，查阅中华人民共和国国家发展和改革委员会第21号令《产业结构调整指导目录（2019年本）》，</w:t>
            </w:r>
            <w:r>
              <w:rPr>
                <w:rFonts w:hint="default" w:ascii="Times New Roman" w:hAnsi="Times New Roman" w:eastAsia="宋体" w:cs="Times New Roman"/>
                <w:color w:val="auto"/>
                <w:sz w:val="24"/>
                <w:szCs w:val="24"/>
                <w:lang w:val="en-US" w:eastAsia="zh-CN"/>
              </w:rPr>
              <w:t>本项目不属于限制类、淘汰类产业，亦不属于负面清单中禁止准入事项</w:t>
            </w:r>
            <w:r>
              <w:rPr>
                <w:rFonts w:hint="default" w:ascii="Times New Roman" w:hAnsi="Times New Roman" w:eastAsia="宋体" w:cs="Times New Roman"/>
                <w:color w:val="auto"/>
                <w:sz w:val="24"/>
                <w:szCs w:val="24"/>
                <w:lang w:eastAsia="zh-CN"/>
              </w:rPr>
              <w:t>，且</w:t>
            </w:r>
            <w:r>
              <w:rPr>
                <w:rFonts w:hint="default" w:ascii="Times New Roman" w:hAnsi="Times New Roman" w:eastAsia="宋体" w:cs="Times New Roman"/>
                <w:color w:val="auto"/>
                <w:sz w:val="24"/>
                <w:szCs w:val="24"/>
              </w:rPr>
              <w:t>该项目</w:t>
            </w:r>
            <w:r>
              <w:rPr>
                <w:rFonts w:hint="default" w:ascii="Times New Roman" w:hAnsi="Times New Roman" w:eastAsia="宋体" w:cs="Times New Roman"/>
                <w:color w:val="auto"/>
                <w:sz w:val="24"/>
                <w:szCs w:val="24"/>
                <w:lang w:eastAsia="zh-CN"/>
              </w:rPr>
              <w:t>已</w:t>
            </w:r>
            <w:r>
              <w:rPr>
                <w:rFonts w:hint="default" w:ascii="Times New Roman" w:hAnsi="Times New Roman" w:eastAsia="宋体" w:cs="Times New Roman"/>
                <w:color w:val="auto"/>
                <w:sz w:val="24"/>
                <w:szCs w:val="24"/>
              </w:rPr>
              <w:t>取得昆明市东川区发展和改革局下发的《投资项目备案证》（项目代码为：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-04-01-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）；因此项目建设符合国家的产业政策。</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2</w:t>
            </w: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eastAsia="zh-CN"/>
              </w:rPr>
              <w:t>三线一</w:t>
            </w:r>
            <w:r>
              <w:rPr>
                <w:rFonts w:hint="default" w:ascii="Times New Roman" w:hAnsi="Times New Roman" w:eastAsia="宋体" w:cs="Times New Roman"/>
                <w:b/>
                <w:color w:val="auto"/>
                <w:sz w:val="24"/>
                <w:szCs w:val="24"/>
              </w:rPr>
              <w:t>单”符合性分析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昆明市人民政府已发布《昆明市人民政府关于昆明市“三线一单”生态环境分区管控的实施意见》，</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符合性分析具体如下：</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①生态保护红线和一般生态空间</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云南省人民政府关于发布云南省生态保护红线的通知》（云政发〔2018〕32号）文，云南省生态红线主要包括包含生物多样性维护、水源涵养、水土保持三大红线类型，11个分区。其中和昆明行政区划内有关的分区有4个，又《昆明市人民政府关于昆明市“三线一单”生态环境分区管控的实施意见》明确将“将未划入生态保护红线的自然保护地、饮用水水源保护区、重要湿地、基本草原、生态公益林、天然林等生态功能</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重要生态环境敏感区域划为一般生态空间”，</w:t>
            </w: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z w:val="24"/>
                <w:szCs w:val="24"/>
              </w:rPr>
              <w:t>根据</w:t>
            </w:r>
            <w:r>
              <w:rPr>
                <w:rFonts w:hint="default" w:ascii="Times New Roman" w:hAnsi="Times New Roman" w:eastAsia="宋体" w:cs="Times New Roman"/>
                <w:bCs/>
                <w:color w:val="auto"/>
                <w:sz w:val="24"/>
                <w:szCs w:val="24"/>
                <w:lang w:eastAsia="zh-CN"/>
              </w:rPr>
              <w:t>昆明市东川区</w:t>
            </w:r>
            <w:r>
              <w:rPr>
                <w:rFonts w:hint="default" w:ascii="Times New Roman" w:hAnsi="Times New Roman" w:eastAsia="宋体" w:cs="Times New Roman"/>
                <w:bCs/>
                <w:color w:val="auto"/>
                <w:sz w:val="24"/>
                <w:szCs w:val="24"/>
              </w:rPr>
              <w:t>自然资源局</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东川“三区三线”数据查询结果</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，本项目</w:t>
            </w:r>
            <w:r>
              <w:rPr>
                <w:rFonts w:hint="default" w:ascii="Times New Roman" w:hAnsi="Times New Roman" w:eastAsia="宋体" w:cs="Times New Roman"/>
                <w:bCs/>
                <w:color w:val="auto"/>
                <w:sz w:val="24"/>
                <w:szCs w:val="24"/>
                <w:lang w:eastAsia="zh-CN"/>
              </w:rPr>
              <w:t>在城镇开发边界范围内，</w:t>
            </w:r>
            <w:r>
              <w:rPr>
                <w:rFonts w:hint="default" w:ascii="Times New Roman" w:hAnsi="Times New Roman" w:eastAsia="宋体" w:cs="Times New Roman"/>
                <w:bCs/>
                <w:color w:val="auto"/>
                <w:sz w:val="24"/>
                <w:szCs w:val="24"/>
              </w:rPr>
              <w:t>不涉及</w:t>
            </w:r>
            <w:r>
              <w:rPr>
                <w:rFonts w:hint="default" w:ascii="Times New Roman" w:hAnsi="Times New Roman" w:eastAsia="宋体" w:cs="Times New Roman"/>
                <w:bCs/>
                <w:color w:val="auto"/>
                <w:sz w:val="24"/>
                <w:szCs w:val="24"/>
                <w:lang w:val="en-US" w:eastAsia="zh-CN"/>
              </w:rPr>
              <w:t>永久基本农田保护区、</w:t>
            </w:r>
            <w:r>
              <w:rPr>
                <w:rFonts w:hint="default" w:ascii="Times New Roman" w:hAnsi="Times New Roman" w:eastAsia="宋体" w:cs="Times New Roman"/>
                <w:bCs/>
                <w:color w:val="auto"/>
                <w:sz w:val="24"/>
                <w:szCs w:val="24"/>
              </w:rPr>
              <w:t>生态保护红线</w:t>
            </w:r>
            <w:r>
              <w:rPr>
                <w:rFonts w:hint="default" w:ascii="Times New Roman" w:hAnsi="Times New Roman" w:eastAsia="宋体" w:cs="Times New Roman"/>
                <w:bCs/>
                <w:color w:val="auto"/>
                <w:sz w:val="24"/>
                <w:szCs w:val="24"/>
                <w:lang w:val="en-US" w:eastAsia="zh-CN"/>
              </w:rPr>
              <w:t>；根据招商引资协议，项目区土地性质为工业用地，不涉及一般生态空间</w:t>
            </w:r>
            <w:r>
              <w:rPr>
                <w:rFonts w:hint="default" w:ascii="Times New Roman" w:hAnsi="Times New Roman" w:eastAsia="宋体" w:cs="Times New Roman"/>
                <w:color w:val="auto"/>
                <w:sz w:val="24"/>
                <w:szCs w:val="24"/>
              </w:rPr>
              <w:t>。</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②环境质量底线</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《昆明市人民政府关于昆明市“三线一单”生态环境分区管控的实施意见》对环境质量底线设定了2025年和2035年两个目标，</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 w:val="24"/>
              </w:rPr>
              <w:t>，环境质量底线和</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相关的要求及符合性分析如下：</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fldChar w:fldCharType="begin"/>
            </w:r>
            <w:r>
              <w:rPr>
                <w:rFonts w:hint="default" w:ascii="Times New Roman" w:hAnsi="Times New Roman" w:eastAsia="宋体" w:cs="Times New Roman"/>
                <w:b/>
                <w:color w:val="auto"/>
                <w:sz w:val="24"/>
              </w:rPr>
              <w:instrText xml:space="preserve"> = 1 \* GB2 </w:instrText>
            </w:r>
            <w:r>
              <w:rPr>
                <w:rFonts w:hint="default" w:ascii="Times New Roman" w:hAnsi="Times New Roman" w:eastAsia="宋体" w:cs="Times New Roman"/>
                <w:b/>
                <w:color w:val="auto"/>
                <w:sz w:val="24"/>
              </w:rPr>
              <w:fldChar w:fldCharType="separate"/>
            </w:r>
            <w:r>
              <w:rPr>
                <w:rFonts w:hint="default" w:ascii="Times New Roman" w:hAnsi="Times New Roman" w:eastAsia="宋体" w:cs="Times New Roman"/>
                <w:b/>
                <w:color w:val="auto"/>
                <w:sz w:val="24"/>
              </w:rPr>
              <w:t>⑴</w:t>
            </w:r>
            <w:r>
              <w:rPr>
                <w:rFonts w:hint="default" w:ascii="Times New Roman" w:hAnsi="Times New Roman" w:eastAsia="宋体" w:cs="Times New Roman"/>
                <w:b/>
                <w:color w:val="auto"/>
                <w:sz w:val="24"/>
              </w:rPr>
              <w:fldChar w:fldCharType="end"/>
            </w:r>
            <w:r>
              <w:rPr>
                <w:rFonts w:hint="default" w:ascii="Times New Roman" w:hAnsi="Times New Roman" w:eastAsia="宋体" w:cs="Times New Roman"/>
                <w:b/>
                <w:color w:val="auto"/>
                <w:sz w:val="24"/>
              </w:rPr>
              <w:t>生态环境质量底线</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根据调查，项目的建设不涉及到生态保护红线和一般生态空间，因此项目建设和生态环境质量底线不冲突</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项目建设不会改变区域生态环境质量功能要求。</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fldChar w:fldCharType="begin"/>
            </w:r>
            <w:r>
              <w:rPr>
                <w:rFonts w:hint="default" w:ascii="Times New Roman" w:hAnsi="Times New Roman" w:eastAsia="宋体" w:cs="Times New Roman"/>
                <w:b/>
                <w:color w:val="auto"/>
                <w:sz w:val="24"/>
              </w:rPr>
              <w:instrText xml:space="preserve"> = 2 \* GB2 </w:instrText>
            </w:r>
            <w:r>
              <w:rPr>
                <w:rFonts w:hint="default" w:ascii="Times New Roman" w:hAnsi="Times New Roman" w:eastAsia="宋体" w:cs="Times New Roman"/>
                <w:b/>
                <w:color w:val="auto"/>
                <w:sz w:val="24"/>
              </w:rPr>
              <w:fldChar w:fldCharType="separate"/>
            </w:r>
            <w:r>
              <w:rPr>
                <w:rFonts w:hint="default" w:ascii="Times New Roman" w:hAnsi="Times New Roman" w:eastAsia="宋体" w:cs="Times New Roman"/>
                <w:b/>
                <w:color w:val="auto"/>
                <w:sz w:val="24"/>
              </w:rPr>
              <w:t>⑵</w:t>
            </w:r>
            <w:r>
              <w:rPr>
                <w:rFonts w:hint="default" w:ascii="Times New Roman" w:hAnsi="Times New Roman" w:eastAsia="宋体" w:cs="Times New Roman"/>
                <w:b/>
                <w:color w:val="auto"/>
                <w:sz w:val="24"/>
              </w:rPr>
              <w:fldChar w:fldCharType="end"/>
            </w:r>
            <w:r>
              <w:rPr>
                <w:rFonts w:hint="default" w:ascii="Times New Roman" w:hAnsi="Times New Roman" w:eastAsia="宋体" w:cs="Times New Roman"/>
                <w:b/>
                <w:color w:val="auto"/>
                <w:sz w:val="24"/>
              </w:rPr>
              <w:t>环境空气环境质量底线</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“实施意见”要求：到2025年，全市环境空气质量总体保持优良，主城建成区空气质量优良天数占比达99%以上，二氧化硫（SO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）和氮氧化物（NOx）排放总量控制在省下达的目标以内，主城区空气中颗粒物（PM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根据调查，</w:t>
            </w:r>
            <w:r>
              <w:rPr>
                <w:rFonts w:hint="default" w:ascii="Times New Roman" w:hAnsi="Times New Roman" w:eastAsia="宋体" w:cs="Times New Roman"/>
                <w:color w:val="auto"/>
                <w:sz w:val="24"/>
                <w:lang w:eastAsia="zh-CN"/>
              </w:rPr>
              <w:t>项</w:t>
            </w:r>
            <w:r>
              <w:rPr>
                <w:rFonts w:hint="default" w:ascii="Times New Roman" w:hAnsi="Times New Roman" w:eastAsia="宋体" w:cs="Times New Roman"/>
                <w:color w:val="auto"/>
                <w:sz w:val="24"/>
              </w:rPr>
              <w:t>目选址区域空气环境可达到《环境空气质量标准》（GB</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-2012）二级标准，属于空气达标区，且</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的建设不会改变区域环境空气质量功能要求。</w:t>
            </w:r>
          </w:p>
          <w:p>
            <w:pPr>
              <w:spacing w:line="360" w:lineRule="auto"/>
              <w:ind w:firstLine="482" w:firstLineChars="200"/>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rPr>
              <w:fldChar w:fldCharType="begin"/>
            </w:r>
            <w:r>
              <w:rPr>
                <w:rFonts w:hint="default" w:ascii="Times New Roman" w:hAnsi="Times New Roman" w:eastAsia="宋体" w:cs="Times New Roman"/>
                <w:b/>
                <w:color w:val="auto"/>
                <w:sz w:val="24"/>
              </w:rPr>
              <w:instrText xml:space="preserve"> = 3 \* GB2 </w:instrText>
            </w:r>
            <w:r>
              <w:rPr>
                <w:rFonts w:hint="default" w:ascii="Times New Roman" w:hAnsi="Times New Roman" w:eastAsia="宋体" w:cs="Times New Roman"/>
                <w:b/>
                <w:color w:val="auto"/>
                <w:sz w:val="24"/>
              </w:rPr>
              <w:fldChar w:fldCharType="separate"/>
            </w:r>
            <w:r>
              <w:rPr>
                <w:rFonts w:hint="default" w:ascii="Times New Roman" w:hAnsi="Times New Roman" w:eastAsia="宋体" w:cs="Times New Roman"/>
                <w:b/>
                <w:color w:val="auto"/>
                <w:sz w:val="24"/>
              </w:rPr>
              <w:t>⑶</w:t>
            </w:r>
            <w:r>
              <w:rPr>
                <w:rFonts w:hint="default" w:ascii="Times New Roman" w:hAnsi="Times New Roman" w:eastAsia="宋体" w:cs="Times New Roman"/>
                <w:b/>
                <w:color w:val="auto"/>
                <w:sz w:val="24"/>
              </w:rPr>
              <w:fldChar w:fldCharType="end"/>
            </w:r>
            <w:r>
              <w:rPr>
                <w:rFonts w:hint="default" w:ascii="Times New Roman" w:hAnsi="Times New Roman" w:eastAsia="宋体" w:cs="Times New Roman"/>
                <w:b/>
                <w:color w:val="auto"/>
                <w:sz w:val="24"/>
              </w:rPr>
              <w:t>地表水环境质量底线</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施意见”要求：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V类水体，集中式饮用水水源水质稳定达标。根据调查，</w:t>
            </w:r>
            <w:r>
              <w:rPr>
                <w:rFonts w:hint="default" w:ascii="Times New Roman" w:hAnsi="Times New Roman" w:eastAsia="宋体" w:cs="Times New Roman"/>
                <w:color w:val="auto"/>
                <w:sz w:val="24"/>
                <w:highlight w:val="none"/>
              </w:rPr>
              <w:t>小江（</w:t>
            </w:r>
            <w:r>
              <w:rPr>
                <w:rFonts w:hint="default" w:ascii="Times New Roman" w:hAnsi="Times New Roman" w:eastAsia="宋体" w:cs="Times New Roman"/>
                <w:color w:val="auto"/>
                <w:sz w:val="24"/>
                <w:highlight w:val="none"/>
                <w:lang w:eastAsia="zh-CN"/>
              </w:rPr>
              <w:t>姑海断面</w:t>
            </w:r>
            <w:r>
              <w:rPr>
                <w:rFonts w:hint="default" w:ascii="Times New Roman" w:hAnsi="Times New Roman" w:eastAsia="宋体" w:cs="Times New Roman"/>
                <w:color w:val="auto"/>
                <w:sz w:val="24"/>
                <w:highlight w:val="none"/>
              </w:rPr>
              <w:t>）水质可达到《地表水环境质量标准》（GB</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-2002）III类标准限值；且项目运行期间无废水外排入环境，不会改变区域地表水环境质量功能要求。</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fldChar w:fldCharType="begin"/>
            </w:r>
            <w:r>
              <w:rPr>
                <w:rFonts w:hint="default" w:ascii="Times New Roman" w:hAnsi="Times New Roman" w:eastAsia="宋体" w:cs="Times New Roman"/>
                <w:b/>
                <w:color w:val="auto"/>
                <w:sz w:val="24"/>
              </w:rPr>
              <w:instrText xml:space="preserve"> = 4 \* GB2 </w:instrText>
            </w:r>
            <w:r>
              <w:rPr>
                <w:rFonts w:hint="default" w:ascii="Times New Roman" w:hAnsi="Times New Roman" w:eastAsia="宋体" w:cs="Times New Roman"/>
                <w:b/>
                <w:color w:val="auto"/>
                <w:sz w:val="24"/>
              </w:rPr>
              <w:fldChar w:fldCharType="separate"/>
            </w:r>
            <w:r>
              <w:rPr>
                <w:rFonts w:hint="default" w:ascii="Times New Roman" w:hAnsi="Times New Roman" w:eastAsia="宋体" w:cs="Times New Roman"/>
                <w:b/>
                <w:color w:val="auto"/>
                <w:sz w:val="24"/>
              </w:rPr>
              <w:t>⑷</w:t>
            </w:r>
            <w:r>
              <w:rPr>
                <w:rFonts w:hint="default" w:ascii="Times New Roman" w:hAnsi="Times New Roman" w:eastAsia="宋体" w:cs="Times New Roman"/>
                <w:b/>
                <w:color w:val="auto"/>
                <w:sz w:val="24"/>
              </w:rPr>
              <w:fldChar w:fldCharType="end"/>
            </w:r>
            <w:r>
              <w:rPr>
                <w:rFonts w:hint="default" w:ascii="Times New Roman" w:hAnsi="Times New Roman" w:eastAsia="宋体" w:cs="Times New Roman"/>
                <w:b/>
                <w:color w:val="auto"/>
                <w:sz w:val="24"/>
              </w:rPr>
              <w:t>土壤环境质量底线</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szCs w:val="24"/>
              </w:rPr>
              <w:t>③资源利用上线</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根据调查，项目主要用水环节为</w:t>
            </w:r>
            <w:r>
              <w:rPr>
                <w:rFonts w:hint="default" w:ascii="Times New Roman" w:hAnsi="Times New Roman" w:eastAsia="宋体" w:cs="Times New Roman"/>
                <w:color w:val="auto"/>
                <w:sz w:val="24"/>
                <w:lang w:eastAsia="zh-CN"/>
              </w:rPr>
              <w:t>设备</w:t>
            </w:r>
            <w:r>
              <w:rPr>
                <w:rFonts w:hint="default" w:ascii="Times New Roman" w:hAnsi="Times New Roman" w:eastAsia="宋体" w:cs="Times New Roman"/>
                <w:color w:val="auto"/>
                <w:sz w:val="24"/>
              </w:rPr>
              <w:t>冷却</w:t>
            </w:r>
            <w:r>
              <w:rPr>
                <w:rFonts w:hint="default" w:ascii="Times New Roman" w:hAnsi="Times New Roman" w:eastAsia="宋体" w:cs="Times New Roman"/>
                <w:color w:val="auto"/>
                <w:sz w:val="24"/>
                <w:lang w:eastAsia="zh-CN"/>
              </w:rPr>
              <w:t>用</w:t>
            </w:r>
            <w:r>
              <w:rPr>
                <w:rFonts w:hint="default" w:ascii="Times New Roman" w:hAnsi="Times New Roman" w:eastAsia="宋体" w:cs="Times New Roman"/>
                <w:color w:val="auto"/>
                <w:sz w:val="24"/>
              </w:rPr>
              <w:t>水、生活用水</w:t>
            </w:r>
            <w:r>
              <w:rPr>
                <w:rFonts w:hint="default" w:ascii="Times New Roman" w:hAnsi="Times New Roman" w:eastAsia="宋体" w:cs="Times New Roman"/>
                <w:color w:val="auto"/>
                <w:sz w:val="24"/>
                <w:lang w:eastAsia="zh-CN"/>
              </w:rPr>
              <w:t>、纯水制备用水、理化实验室器皿清洗用水</w:t>
            </w:r>
            <w:r>
              <w:rPr>
                <w:rFonts w:hint="default" w:ascii="Times New Roman" w:hAnsi="Times New Roman" w:eastAsia="宋体" w:cs="Times New Roman"/>
                <w:color w:val="auto"/>
                <w:sz w:val="24"/>
              </w:rPr>
              <w:t>，用水量较全市工业用水量占比极小；项目选址位于</w:t>
            </w:r>
            <w:r>
              <w:rPr>
                <w:rFonts w:hint="default" w:ascii="Times New Roman" w:hAnsi="Times New Roman" w:eastAsia="宋体" w:cs="Times New Roman"/>
                <w:color w:val="auto"/>
                <w:sz w:val="24"/>
                <w:szCs w:val="24"/>
                <w:lang w:eastAsia="zh-CN"/>
              </w:rPr>
              <w:t>云南省昆明市东川区铜都街道办事处碧谷小新村，根据招商引资协议该项目选址属于工业用地，</w:t>
            </w:r>
            <w:r>
              <w:rPr>
                <w:rFonts w:hint="default" w:ascii="Times New Roman" w:hAnsi="Times New Roman" w:eastAsia="宋体" w:cs="Times New Roman"/>
                <w:color w:val="auto"/>
                <w:sz w:val="24"/>
              </w:rPr>
              <w:t>在</w:t>
            </w:r>
            <w:r>
              <w:rPr>
                <w:rFonts w:hint="default" w:ascii="Times New Roman" w:hAnsi="Times New Roman" w:eastAsia="宋体" w:cs="Times New Roman"/>
                <w:color w:val="auto"/>
                <w:sz w:val="24"/>
                <w:lang w:eastAsia="zh-CN"/>
              </w:rPr>
              <w:t>已建</w:t>
            </w:r>
            <w:r>
              <w:rPr>
                <w:rFonts w:hint="default" w:ascii="Times New Roman" w:hAnsi="Times New Roman" w:eastAsia="宋体" w:cs="Times New Roman"/>
                <w:color w:val="auto"/>
                <w:sz w:val="24"/>
              </w:rPr>
              <w:t>厂房内</w:t>
            </w:r>
            <w:r>
              <w:rPr>
                <w:rFonts w:hint="default" w:ascii="Times New Roman" w:hAnsi="Times New Roman" w:eastAsia="宋体" w:cs="Times New Roman"/>
                <w:color w:val="auto"/>
                <w:sz w:val="24"/>
                <w:lang w:eastAsia="zh-CN"/>
              </w:rPr>
              <w:t>建设</w:t>
            </w:r>
            <w:r>
              <w:rPr>
                <w:rFonts w:hint="default" w:ascii="Times New Roman" w:hAnsi="Times New Roman" w:eastAsia="宋体" w:cs="Times New Roman"/>
                <w:color w:val="auto"/>
                <w:sz w:val="24"/>
              </w:rPr>
              <w:t>生产线，不涉及耕地、基本农田等土地资源，项目能耗较低；因此项目资源利用符合国家相关要求。</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④</w:t>
            </w:r>
            <w:r>
              <w:rPr>
                <w:rFonts w:hint="default" w:ascii="Times New Roman" w:hAnsi="Times New Roman" w:eastAsia="宋体" w:cs="Times New Roman"/>
                <w:b/>
                <w:color w:val="auto"/>
                <w:sz w:val="24"/>
              </w:rPr>
              <w:t>环境准入负面清单</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根据调查，</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在城镇开发边界内，</w:t>
            </w:r>
            <w:r>
              <w:rPr>
                <w:rFonts w:hint="default" w:ascii="Times New Roman" w:hAnsi="Times New Roman" w:eastAsia="宋体" w:cs="Times New Roman"/>
                <w:color w:val="auto"/>
                <w:sz w:val="24"/>
              </w:rPr>
              <w:t>项目所在地属于云南东川</w:t>
            </w:r>
            <w:r>
              <w:rPr>
                <w:rFonts w:hint="default" w:ascii="Times New Roman" w:hAnsi="Times New Roman" w:eastAsia="宋体" w:cs="Times New Roman"/>
                <w:color w:val="auto"/>
                <w:sz w:val="24"/>
                <w:lang w:eastAsia="zh-CN"/>
              </w:rPr>
              <w:t>区县城重点</w:t>
            </w:r>
            <w:r>
              <w:rPr>
                <w:rFonts w:hint="default" w:ascii="Times New Roman" w:hAnsi="Times New Roman" w:eastAsia="宋体" w:cs="Times New Roman"/>
                <w:color w:val="auto"/>
                <w:sz w:val="24"/>
              </w:rPr>
              <w:t>管控单元，根据东川区环境管控单元生态环境准入清单的管理要求，</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环境准入负面清单符合性具体下表所示。</w:t>
            </w:r>
          </w:p>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表1-4 与东川区环境管控单元生态环境准入清单符合性分析一览表</w:t>
            </w:r>
          </w:p>
          <w:tbl>
            <w:tblPr>
              <w:tblStyle w:val="26"/>
              <w:tblW w:w="86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5"/>
              <w:gridCol w:w="659"/>
              <w:gridCol w:w="3375"/>
              <w:gridCol w:w="3150"/>
              <w:gridCol w:w="7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单元名称</w:t>
                  </w:r>
                </w:p>
              </w:tc>
              <w:tc>
                <w:tcPr>
                  <w:tcW w:w="4034" w:type="dxa"/>
                  <w:gridSpan w:val="2"/>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管控要求</w:t>
                  </w:r>
                </w:p>
              </w:tc>
              <w:tc>
                <w:tcPr>
                  <w:tcW w:w="3150"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项目实际情况</w:t>
                  </w:r>
                </w:p>
              </w:tc>
              <w:tc>
                <w:tcPr>
                  <w:tcW w:w="79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rPr>
                    <w:t>东川</w:t>
                  </w:r>
                  <w:r>
                    <w:rPr>
                      <w:rFonts w:hint="default" w:ascii="Times New Roman" w:hAnsi="Times New Roman" w:eastAsia="宋体" w:cs="Times New Roman"/>
                      <w:color w:val="auto"/>
                      <w:sz w:val="24"/>
                      <w:lang w:eastAsia="zh-CN"/>
                    </w:rPr>
                    <w:t>区县城重点</w:t>
                  </w:r>
                  <w:r>
                    <w:rPr>
                      <w:rFonts w:hint="default" w:ascii="Times New Roman" w:hAnsi="Times New Roman" w:eastAsia="宋体" w:cs="Times New Roman"/>
                      <w:color w:val="auto"/>
                      <w:sz w:val="24"/>
                    </w:rPr>
                    <w:t>管控单元</w:t>
                  </w:r>
                </w:p>
              </w:tc>
              <w:tc>
                <w:tcPr>
                  <w:tcW w:w="6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污染物排放管控</w:t>
                  </w:r>
                </w:p>
              </w:tc>
              <w:tc>
                <w:tcPr>
                  <w:tcW w:w="3375" w:type="dxa"/>
                  <w:vAlign w:val="center"/>
                </w:tcPr>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rPr>
                  </w:pPr>
                  <w:r>
                    <w:rPr>
                      <w:rStyle w:val="91"/>
                      <w:rFonts w:hint="default" w:ascii="Times New Roman" w:hAnsi="Times New Roman" w:eastAsia="宋体" w:cs="Times New Roman"/>
                      <w:color w:val="auto"/>
                      <w:kern w:val="0"/>
                      <w:szCs w:val="21"/>
                    </w:rPr>
                    <w:t>1.限制新建、改扩建各类畜禽养殖场，已建的应配套建设粪便污水贮存、处理、利用设施实现粪污综合利用。</w:t>
                  </w:r>
                </w:p>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rPr>
                  </w:pPr>
                  <w:r>
                    <w:rPr>
                      <w:rStyle w:val="91"/>
                      <w:rFonts w:hint="default" w:ascii="Times New Roman" w:hAnsi="Times New Roman" w:eastAsia="宋体" w:cs="Times New Roman"/>
                      <w:color w:val="auto"/>
                      <w:kern w:val="0"/>
                      <w:szCs w:val="21"/>
                    </w:rPr>
                    <w:t>2.现有散、小规模养殖场（户）应限期实现退养或标准化改造。</w:t>
                  </w:r>
                </w:p>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rPr>
                  </w:pPr>
                  <w:r>
                    <w:rPr>
                      <w:rStyle w:val="91"/>
                      <w:rFonts w:hint="default" w:ascii="Times New Roman" w:hAnsi="Times New Roman" w:eastAsia="宋体" w:cs="Times New Roman"/>
                      <w:color w:val="auto"/>
                      <w:kern w:val="0"/>
                      <w:szCs w:val="21"/>
                    </w:rPr>
                    <w:t>3.污水收集管网范围内除相关法律法规和标准规定必须单独设置排污口的情况外应全部纳入污水管网集中处理，现有的入河排污口应限期纳入污水管网。</w:t>
                  </w:r>
                </w:p>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rPr>
                  </w:pPr>
                  <w:r>
                    <w:rPr>
                      <w:rStyle w:val="91"/>
                      <w:rFonts w:hint="default" w:ascii="Times New Roman" w:hAnsi="Times New Roman" w:eastAsia="宋体" w:cs="Times New Roman"/>
                      <w:color w:val="auto"/>
                      <w:kern w:val="0"/>
                      <w:szCs w:val="21"/>
                    </w:rPr>
                    <w:t>4.城镇生活污水集中处理率达到80%以上，生活污水处理达标率达到100%。</w:t>
                  </w:r>
                </w:p>
                <w:p>
                  <w:pPr>
                    <w:pStyle w:val="45"/>
                    <w:keepNext w:val="0"/>
                    <w:keepLines w:val="0"/>
                    <w:pageBreakBefore w:val="0"/>
                    <w:widowControl/>
                    <w:kinsoku/>
                    <w:wordWrap/>
                    <w:overflowPunct w:val="0"/>
                    <w:topLinePunct w:val="0"/>
                    <w:autoSpaceDE/>
                    <w:autoSpaceDN/>
                    <w:bidi w:val="0"/>
                    <w:adjustRightInd w:val="0"/>
                    <w:snapToGrid/>
                    <w:spacing w:line="360" w:lineRule="exact"/>
                    <w:ind w:firstLine="190" w:firstLineChars="100"/>
                    <w:jc w:val="both"/>
                    <w:textAlignment w:val="baseline"/>
                    <w:rPr>
                      <w:rFonts w:hint="default" w:ascii="Times New Roman" w:hAnsi="Times New Roman" w:eastAsia="宋体" w:cs="Times New Roman"/>
                      <w:color w:val="auto"/>
                      <w:szCs w:val="21"/>
                    </w:rPr>
                  </w:pPr>
                  <w:r>
                    <w:rPr>
                      <w:rStyle w:val="91"/>
                      <w:rFonts w:hint="default" w:ascii="Times New Roman" w:hAnsi="Times New Roman" w:eastAsia="宋体" w:cs="Times New Roman"/>
                      <w:color w:val="auto"/>
                      <w:spacing w:val="-10"/>
                      <w:kern w:val="0"/>
                      <w:szCs w:val="21"/>
                    </w:rPr>
                    <w:t>5.</w:t>
                  </w:r>
                  <w:r>
                    <w:rPr>
                      <w:rStyle w:val="91"/>
                      <w:rFonts w:hint="default" w:ascii="Times New Roman" w:hAnsi="Times New Roman" w:eastAsia="宋体" w:cs="Times New Roman"/>
                      <w:color w:val="auto"/>
                      <w:kern w:val="0"/>
                      <w:szCs w:val="21"/>
                    </w:rPr>
                    <w:t>按国家、省、市相关标准要求建设、改造、提升满足实际需求的生活垃圾处理厂（场）、粪便处理厂、厨余垃圾处理厂、建筑垃圾（渣土）处理场、垃圾转运站、公共厕所、生活垃圾分类设施等环卫基础设施。</w:t>
                  </w:r>
                </w:p>
              </w:tc>
              <w:tc>
                <w:tcPr>
                  <w:tcW w:w="3150" w:type="dxa"/>
                  <w:vAlign w:val="center"/>
                </w:tcPr>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lang w:eastAsia="zh-CN"/>
                    </w:rPr>
                  </w:pPr>
                  <w:r>
                    <w:rPr>
                      <w:rStyle w:val="91"/>
                      <w:rFonts w:hint="default" w:ascii="Times New Roman" w:hAnsi="Times New Roman" w:eastAsia="宋体" w:cs="Times New Roman"/>
                      <w:color w:val="auto"/>
                      <w:kern w:val="0"/>
                      <w:szCs w:val="21"/>
                      <w:lang w:eastAsia="zh-CN"/>
                    </w:rPr>
                    <w:t>1</w:t>
                  </w:r>
                  <w:r>
                    <w:rPr>
                      <w:rStyle w:val="91"/>
                      <w:rFonts w:hint="default" w:ascii="Times New Roman" w:hAnsi="Times New Roman" w:eastAsia="宋体" w:cs="Times New Roman"/>
                      <w:color w:val="auto"/>
                      <w:kern w:val="0"/>
                      <w:szCs w:val="21"/>
                      <w:lang w:val="en-US" w:eastAsia="zh-CN"/>
                    </w:rPr>
                    <w:t>、</w:t>
                  </w:r>
                  <w:r>
                    <w:rPr>
                      <w:rStyle w:val="91"/>
                      <w:rFonts w:hint="default" w:ascii="Times New Roman" w:hAnsi="Times New Roman" w:eastAsia="宋体" w:cs="Times New Roman"/>
                      <w:color w:val="auto"/>
                      <w:kern w:val="0"/>
                      <w:szCs w:val="21"/>
                      <w:lang w:eastAsia="zh-CN"/>
                    </w:rPr>
                    <w:t>本项目为</w:t>
                  </w:r>
                  <w:r>
                    <w:rPr>
                      <w:rStyle w:val="91"/>
                      <w:rFonts w:hint="default" w:ascii="Times New Roman" w:hAnsi="Times New Roman" w:eastAsia="宋体" w:cs="Times New Roman"/>
                      <w:color w:val="auto"/>
                      <w:kern w:val="0"/>
                      <w:szCs w:val="21"/>
                      <w:lang w:val="en-US" w:eastAsia="zh-CN"/>
                    </w:rPr>
                    <w:t>卫生材料及医药用品制造项目</w:t>
                  </w:r>
                  <w:r>
                    <w:rPr>
                      <w:rStyle w:val="91"/>
                      <w:rFonts w:hint="default" w:ascii="Times New Roman" w:hAnsi="Times New Roman" w:eastAsia="宋体" w:cs="Times New Roman"/>
                      <w:color w:val="auto"/>
                      <w:kern w:val="0"/>
                      <w:szCs w:val="21"/>
                      <w:lang w:eastAsia="zh-CN"/>
                    </w:rPr>
                    <w:t>，不属于“畜禽养殖类”项目。</w:t>
                  </w:r>
                </w:p>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lang w:val="en-US" w:eastAsia="zh-CN"/>
                    </w:rPr>
                  </w:pPr>
                  <w:r>
                    <w:rPr>
                      <w:rStyle w:val="91"/>
                      <w:rFonts w:hint="default" w:ascii="Times New Roman" w:hAnsi="Times New Roman" w:eastAsia="宋体" w:cs="Times New Roman"/>
                      <w:color w:val="auto"/>
                      <w:kern w:val="0"/>
                      <w:szCs w:val="21"/>
                      <w:lang w:val="en-US" w:eastAsia="zh-CN"/>
                    </w:rPr>
                    <w:t>2、本项目不涉及</w:t>
                  </w:r>
                  <w:r>
                    <w:rPr>
                      <w:rStyle w:val="91"/>
                      <w:rFonts w:hint="default" w:ascii="Times New Roman" w:hAnsi="Times New Roman" w:eastAsia="宋体" w:cs="Times New Roman"/>
                      <w:color w:val="auto"/>
                      <w:kern w:val="0"/>
                      <w:szCs w:val="21"/>
                    </w:rPr>
                    <w:t>现有散、小规模养殖场（户）</w:t>
                  </w:r>
                  <w:r>
                    <w:rPr>
                      <w:rStyle w:val="91"/>
                      <w:rFonts w:hint="default" w:ascii="Times New Roman" w:hAnsi="Times New Roman" w:eastAsia="宋体" w:cs="Times New Roman"/>
                      <w:color w:val="auto"/>
                      <w:kern w:val="0"/>
                      <w:szCs w:val="21"/>
                      <w:lang w:eastAsia="zh-CN"/>
                    </w:rPr>
                    <w:t>。</w:t>
                  </w:r>
                </w:p>
                <w:p>
                  <w:pPr>
                    <w:keepNext w:val="0"/>
                    <w:keepLines w:val="0"/>
                    <w:pageBreakBefore w:val="0"/>
                    <w:kinsoku/>
                    <w:wordWrap/>
                    <w:topLinePunct w:val="0"/>
                    <w:autoSpaceDE/>
                    <w:autoSpaceDN/>
                    <w:bidi w:val="0"/>
                    <w:snapToGrid w:val="0"/>
                    <w:spacing w:line="360" w:lineRule="exact"/>
                    <w:ind w:firstLine="210" w:firstLineChars="100"/>
                    <w:rPr>
                      <w:rFonts w:hint="default" w:ascii="Times New Roman" w:hAnsi="Times New Roman" w:eastAsia="宋体" w:cs="Times New Roman"/>
                      <w:color w:val="auto"/>
                      <w:szCs w:val="21"/>
                      <w:lang w:eastAsia="zh-CN"/>
                    </w:rPr>
                  </w:pPr>
                  <w:r>
                    <w:rPr>
                      <w:rStyle w:val="91"/>
                      <w:rFonts w:hint="default" w:ascii="Times New Roman" w:hAnsi="Times New Roman" w:eastAsia="宋体" w:cs="Times New Roman"/>
                      <w:color w:val="auto"/>
                      <w:kern w:val="0"/>
                      <w:szCs w:val="21"/>
                      <w:lang w:eastAsia="zh-CN"/>
                    </w:rPr>
                    <w:t>3</w:t>
                  </w:r>
                  <w:r>
                    <w:rPr>
                      <w:rStyle w:val="91"/>
                      <w:rFonts w:hint="default" w:ascii="Times New Roman" w:hAnsi="Times New Roman" w:eastAsia="宋体" w:cs="Times New Roman"/>
                      <w:color w:val="auto"/>
                      <w:kern w:val="0"/>
                      <w:szCs w:val="21"/>
                      <w:lang w:val="en-US" w:eastAsia="zh-CN"/>
                    </w:rPr>
                    <w:t>、</w:t>
                  </w:r>
                  <w:r>
                    <w:rPr>
                      <w:rStyle w:val="91"/>
                      <w:rFonts w:hint="default" w:ascii="Times New Roman" w:hAnsi="Times New Roman" w:eastAsia="宋体" w:cs="Times New Roman"/>
                      <w:color w:val="auto"/>
                      <w:kern w:val="0"/>
                      <w:szCs w:val="21"/>
                      <w:lang w:eastAsia="zh-CN"/>
                    </w:rPr>
                    <w:t>本项目污水</w:t>
                  </w:r>
                  <w:r>
                    <w:rPr>
                      <w:rStyle w:val="91"/>
                      <w:rFonts w:hint="default" w:ascii="Times New Roman" w:hAnsi="Times New Roman" w:eastAsia="宋体" w:cs="Times New Roman"/>
                      <w:color w:val="auto"/>
                      <w:kern w:val="0"/>
                      <w:szCs w:val="21"/>
                    </w:rPr>
                    <w:t>近期（</w:t>
                  </w:r>
                  <w:r>
                    <w:rPr>
                      <w:rStyle w:val="91"/>
                      <w:rFonts w:hint="default" w:ascii="Times New Roman" w:hAnsi="Times New Roman" w:eastAsia="宋体" w:cs="Times New Roman"/>
                      <w:color w:val="auto"/>
                      <w:kern w:val="0"/>
                      <w:szCs w:val="21"/>
                      <w:lang w:eastAsia="zh-CN"/>
                    </w:rPr>
                    <w:t>污水管网</w:t>
                  </w:r>
                  <w:r>
                    <w:rPr>
                      <w:rStyle w:val="91"/>
                      <w:rFonts w:hint="default" w:ascii="Times New Roman" w:hAnsi="Times New Roman" w:eastAsia="宋体" w:cs="Times New Roman"/>
                      <w:color w:val="auto"/>
                      <w:kern w:val="0"/>
                      <w:szCs w:val="21"/>
                    </w:rPr>
                    <w:t>建成前）</w:t>
                  </w:r>
                  <w:r>
                    <w:rPr>
                      <w:rStyle w:val="91"/>
                      <w:rFonts w:hint="default" w:ascii="Times New Roman" w:hAnsi="Times New Roman" w:eastAsia="宋体" w:cs="Times New Roman"/>
                      <w:color w:val="auto"/>
                      <w:kern w:val="0"/>
                      <w:szCs w:val="21"/>
                      <w:lang w:eastAsia="zh-CN"/>
                    </w:rPr>
                    <w:t>经一体化污水处理设施处理后</w:t>
                  </w:r>
                  <w:r>
                    <w:rPr>
                      <w:rStyle w:val="91"/>
                      <w:rFonts w:hint="default" w:ascii="Times New Roman" w:hAnsi="Times New Roman" w:eastAsia="宋体" w:cs="Times New Roman"/>
                      <w:color w:val="auto"/>
                      <w:kern w:val="0"/>
                      <w:szCs w:val="21"/>
                    </w:rPr>
                    <w:t>回用</w:t>
                  </w:r>
                  <w:r>
                    <w:rPr>
                      <w:rStyle w:val="91"/>
                      <w:rFonts w:hint="default" w:ascii="Times New Roman" w:hAnsi="Times New Roman" w:eastAsia="宋体" w:cs="Times New Roman"/>
                      <w:color w:val="auto"/>
                      <w:kern w:val="0"/>
                      <w:szCs w:val="21"/>
                      <w:lang w:eastAsia="zh-CN"/>
                    </w:rPr>
                    <w:t>于绿化，</w:t>
                  </w:r>
                  <w:r>
                    <w:rPr>
                      <w:rStyle w:val="91"/>
                      <w:rFonts w:hint="default" w:ascii="Times New Roman" w:hAnsi="Times New Roman" w:eastAsia="宋体" w:cs="Times New Roman"/>
                      <w:color w:val="auto"/>
                      <w:kern w:val="0"/>
                      <w:szCs w:val="21"/>
                    </w:rPr>
                    <w:t>远期（</w:t>
                  </w:r>
                  <w:r>
                    <w:rPr>
                      <w:rStyle w:val="91"/>
                      <w:rFonts w:hint="default" w:ascii="Times New Roman" w:hAnsi="Times New Roman" w:eastAsia="宋体" w:cs="Times New Roman"/>
                      <w:color w:val="auto"/>
                      <w:kern w:val="0"/>
                      <w:szCs w:val="21"/>
                      <w:lang w:eastAsia="zh-CN"/>
                    </w:rPr>
                    <w:t>污水管网</w:t>
                  </w:r>
                  <w:r>
                    <w:rPr>
                      <w:rStyle w:val="91"/>
                      <w:rFonts w:hint="default" w:ascii="Times New Roman" w:hAnsi="Times New Roman" w:eastAsia="宋体" w:cs="Times New Roman"/>
                      <w:color w:val="auto"/>
                      <w:kern w:val="0"/>
                      <w:szCs w:val="21"/>
                    </w:rPr>
                    <w:t>建成后）</w:t>
                  </w:r>
                  <w:r>
                    <w:rPr>
                      <w:rStyle w:val="91"/>
                      <w:rFonts w:hint="default" w:ascii="Times New Roman" w:hAnsi="Times New Roman" w:eastAsia="宋体" w:cs="Times New Roman"/>
                      <w:color w:val="auto"/>
                      <w:kern w:val="0"/>
                      <w:szCs w:val="21"/>
                      <w:lang w:eastAsia="zh-CN"/>
                    </w:rPr>
                    <w:t>经污水管网</w:t>
                  </w:r>
                  <w:r>
                    <w:rPr>
                      <w:rStyle w:val="91"/>
                      <w:rFonts w:hint="default" w:ascii="Times New Roman" w:hAnsi="Times New Roman" w:eastAsia="宋体" w:cs="Times New Roman"/>
                      <w:color w:val="auto"/>
                      <w:kern w:val="0"/>
                      <w:szCs w:val="21"/>
                    </w:rPr>
                    <w:t>进入东川区城市污水处理厂</w:t>
                  </w:r>
                  <w:r>
                    <w:rPr>
                      <w:rStyle w:val="91"/>
                      <w:rFonts w:hint="default" w:ascii="Times New Roman" w:hAnsi="Times New Roman" w:eastAsia="宋体" w:cs="Times New Roman"/>
                      <w:color w:val="auto"/>
                      <w:kern w:val="0"/>
                      <w:szCs w:val="21"/>
                      <w:lang w:eastAsia="zh-CN"/>
                    </w:rPr>
                    <w:t>处理。</w:t>
                  </w:r>
                </w:p>
              </w:tc>
              <w:tc>
                <w:tcPr>
                  <w:tcW w:w="79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6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环境风险防控</w:t>
                  </w:r>
                </w:p>
              </w:tc>
              <w:tc>
                <w:tcPr>
                  <w:tcW w:w="337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198" w:firstLineChars="100"/>
                    <w:jc w:val="both"/>
                    <w:textAlignment w:val="baseline"/>
                    <w:rPr>
                      <w:rFonts w:hint="default" w:ascii="Times New Roman" w:hAnsi="Times New Roman" w:eastAsia="宋体" w:cs="Times New Roman"/>
                      <w:color w:val="auto"/>
                    </w:rPr>
                  </w:pPr>
                  <w:r>
                    <w:rPr>
                      <w:rStyle w:val="91"/>
                      <w:rFonts w:hint="default" w:ascii="Times New Roman" w:hAnsi="Times New Roman" w:eastAsia="宋体" w:cs="Times New Roman"/>
                      <w:color w:val="auto"/>
                      <w:spacing w:val="-6"/>
                      <w:kern w:val="0"/>
                      <w:szCs w:val="21"/>
                    </w:rPr>
                    <w:t>禁止在居民区、学校、医疗和养老机构等周边新建有色金属冶炼、焦化等行业企业。</w:t>
                  </w:r>
                </w:p>
              </w:tc>
              <w:tc>
                <w:tcPr>
                  <w:tcW w:w="3150" w:type="dxa"/>
                  <w:vAlign w:val="center"/>
                </w:tcPr>
                <w:p>
                  <w:pPr>
                    <w:pStyle w:val="45"/>
                    <w:keepNext w:val="0"/>
                    <w:keepLines w:val="0"/>
                    <w:pageBreakBefore w:val="0"/>
                    <w:kinsoku/>
                    <w:wordWrap/>
                    <w:topLinePunct w:val="0"/>
                    <w:autoSpaceDE/>
                    <w:autoSpaceDN/>
                    <w:bidi w:val="0"/>
                    <w:spacing w:line="360" w:lineRule="exact"/>
                    <w:ind w:firstLine="210" w:firstLineChars="10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该项目</w:t>
                  </w:r>
                  <w:r>
                    <w:rPr>
                      <w:rFonts w:hint="default" w:ascii="Times New Roman" w:hAnsi="Times New Roman" w:eastAsia="宋体" w:cs="Times New Roman"/>
                      <w:color w:val="auto"/>
                      <w:lang w:val="en-US" w:eastAsia="zh-CN"/>
                    </w:rPr>
                    <w:t>为</w:t>
                  </w:r>
                  <w:r>
                    <w:rPr>
                      <w:rStyle w:val="91"/>
                      <w:rFonts w:hint="default" w:ascii="Times New Roman" w:hAnsi="Times New Roman" w:cs="Times New Roman"/>
                      <w:color w:val="auto"/>
                      <w:kern w:val="0"/>
                      <w:szCs w:val="21"/>
                      <w:lang w:val="en-US" w:eastAsia="zh-CN"/>
                    </w:rPr>
                    <w:t>卫生材料及医药用品制造</w:t>
                  </w:r>
                  <w:r>
                    <w:rPr>
                      <w:rStyle w:val="91"/>
                      <w:rFonts w:hint="default" w:ascii="Times New Roman" w:hAnsi="Times New Roman" w:eastAsia="宋体" w:cs="Times New Roman"/>
                      <w:color w:val="auto"/>
                      <w:kern w:val="0"/>
                      <w:szCs w:val="21"/>
                      <w:lang w:val="en-US" w:eastAsia="zh-CN"/>
                    </w:rPr>
                    <w:t>项目</w:t>
                  </w:r>
                  <w:r>
                    <w:rPr>
                      <w:rFonts w:hint="default" w:ascii="Times New Roman" w:hAnsi="Times New Roman" w:eastAsia="宋体" w:cs="Times New Roman"/>
                      <w:color w:val="auto"/>
                      <w:lang w:val="en-US" w:eastAsia="zh-CN"/>
                    </w:rPr>
                    <w:t>，不属于新建有色金属冶炼、焦化等行业企业。</w:t>
                  </w:r>
                </w:p>
              </w:tc>
              <w:tc>
                <w:tcPr>
                  <w:tcW w:w="79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659" w:type="dxa"/>
                  <w:vAlign w:val="center"/>
                </w:tcPr>
                <w:p>
                  <w:pPr>
                    <w:pStyle w:val="45"/>
                    <w:spacing w:line="360" w:lineRule="exact"/>
                    <w:rPr>
                      <w:rFonts w:hint="default" w:ascii="Times New Roman" w:hAnsi="Times New Roman" w:eastAsia="宋体" w:cs="Times New Roman"/>
                      <w:bCs w:val="0"/>
                      <w:snapToGrid/>
                      <w:color w:val="auto"/>
                    </w:rPr>
                  </w:pPr>
                  <w:r>
                    <w:rPr>
                      <w:rFonts w:hint="default" w:ascii="Times New Roman" w:hAnsi="Times New Roman" w:eastAsia="宋体" w:cs="Times New Roman"/>
                      <w:color w:val="auto"/>
                      <w:szCs w:val="21"/>
                    </w:rPr>
                    <w:t>资源开发效率要求</w:t>
                  </w:r>
                </w:p>
              </w:tc>
              <w:tc>
                <w:tcPr>
                  <w:tcW w:w="3375" w:type="dxa"/>
                  <w:vAlign w:val="center"/>
                </w:tcPr>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rPr>
                  </w:pPr>
                  <w:r>
                    <w:rPr>
                      <w:rStyle w:val="91"/>
                      <w:rFonts w:hint="default" w:ascii="Times New Roman" w:hAnsi="Times New Roman" w:eastAsia="宋体" w:cs="Times New Roman"/>
                      <w:color w:val="auto"/>
                      <w:kern w:val="0"/>
                      <w:szCs w:val="21"/>
                    </w:rPr>
                    <w:t>1.按照《城市新区设立审核办法》，严格审核城市新区规划建设用地规模和布局。</w:t>
                  </w:r>
                </w:p>
                <w:p>
                  <w:pPr>
                    <w:keepNext w:val="0"/>
                    <w:keepLines w:val="0"/>
                    <w:pageBreakBefore w:val="0"/>
                    <w:kinsoku/>
                    <w:wordWrap/>
                    <w:topLinePunct w:val="0"/>
                    <w:autoSpaceDE/>
                    <w:autoSpaceDN/>
                    <w:bidi w:val="0"/>
                    <w:snapToGrid w:val="0"/>
                    <w:spacing w:line="360" w:lineRule="exact"/>
                    <w:ind w:firstLine="210" w:firstLineChars="100"/>
                    <w:rPr>
                      <w:rStyle w:val="91"/>
                      <w:rFonts w:hint="default" w:ascii="Times New Roman" w:hAnsi="Times New Roman" w:eastAsia="宋体" w:cs="Times New Roman"/>
                      <w:color w:val="auto"/>
                      <w:kern w:val="0"/>
                      <w:szCs w:val="21"/>
                    </w:rPr>
                  </w:pPr>
                  <w:r>
                    <w:rPr>
                      <w:rStyle w:val="91"/>
                      <w:rFonts w:hint="default" w:ascii="Times New Roman" w:hAnsi="Times New Roman" w:eastAsia="宋体" w:cs="Times New Roman"/>
                      <w:color w:val="auto"/>
                      <w:kern w:val="0"/>
                      <w:szCs w:val="21"/>
                    </w:rPr>
                    <w:t>2.禁止建设不符合《云南省用水定额》标准的项目。</w:t>
                  </w:r>
                </w:p>
                <w:p>
                  <w:pPr>
                    <w:pStyle w:val="45"/>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color w:val="auto"/>
                    </w:rPr>
                  </w:pPr>
                  <w:r>
                    <w:rPr>
                      <w:rStyle w:val="91"/>
                      <w:rFonts w:hint="default" w:ascii="Times New Roman" w:hAnsi="Times New Roman" w:eastAsia="宋体" w:cs="Times New Roman"/>
                      <w:color w:val="auto"/>
                      <w:kern w:val="0"/>
                      <w:szCs w:val="21"/>
                    </w:rPr>
                    <w:t>3.城市污水再生利用率达到20%以上。</w:t>
                  </w:r>
                </w:p>
              </w:tc>
              <w:tc>
                <w:tcPr>
                  <w:tcW w:w="3150" w:type="dxa"/>
                  <w:vAlign w:val="center"/>
                </w:tcPr>
                <w:p>
                  <w:pPr>
                    <w:pStyle w:val="45"/>
                    <w:spacing w:line="360" w:lineRule="exact"/>
                    <w:ind w:firstLine="210" w:firstLineChars="100"/>
                    <w:jc w:val="both"/>
                    <w:rPr>
                      <w:rFonts w:hint="default" w:ascii="Times New Roman" w:hAnsi="Times New Roman" w:eastAsia="宋体" w:cs="Times New Roman"/>
                      <w:color w:val="auto"/>
                    </w:rPr>
                  </w:pPr>
                  <w:r>
                    <w:rPr>
                      <w:rFonts w:hint="default" w:ascii="Times New Roman" w:hAnsi="Times New Roman" w:eastAsia="宋体" w:cs="Times New Roman"/>
                      <w:color w:val="auto"/>
                    </w:rPr>
                    <w:t>1、该项目与城市新区规划无关。</w:t>
                  </w:r>
                </w:p>
                <w:p>
                  <w:pPr>
                    <w:pStyle w:val="45"/>
                    <w:spacing w:line="360" w:lineRule="exact"/>
                    <w:ind w:firstLine="210" w:firstLineChars="100"/>
                    <w:jc w:val="both"/>
                    <w:rPr>
                      <w:rFonts w:hint="default" w:ascii="Times New Roman" w:hAnsi="Times New Roman" w:eastAsia="宋体" w:cs="Times New Roman"/>
                      <w:color w:val="auto"/>
                    </w:rPr>
                  </w:pPr>
                  <w:r>
                    <w:rPr>
                      <w:rFonts w:hint="default" w:ascii="Times New Roman" w:hAnsi="Times New Roman" w:eastAsia="宋体" w:cs="Times New Roman"/>
                      <w:color w:val="auto"/>
                    </w:rPr>
                    <w:t>2、该项目为“</w:t>
                  </w:r>
                  <w:r>
                    <w:rPr>
                      <w:rStyle w:val="91"/>
                      <w:rFonts w:hint="default" w:ascii="Times New Roman" w:hAnsi="Times New Roman" w:cs="Times New Roman"/>
                      <w:color w:val="auto"/>
                      <w:kern w:val="0"/>
                      <w:szCs w:val="21"/>
                      <w:lang w:val="en-US" w:eastAsia="zh-CN"/>
                    </w:rPr>
                    <w:t>卫生材料及医药用品制造</w:t>
                  </w:r>
                  <w:r>
                    <w:rPr>
                      <w:rStyle w:val="91"/>
                      <w:rFonts w:hint="default" w:ascii="Times New Roman" w:hAnsi="Times New Roman" w:eastAsia="宋体" w:cs="Times New Roman"/>
                      <w:color w:val="auto"/>
                      <w:kern w:val="0"/>
                      <w:szCs w:val="21"/>
                      <w:lang w:val="en-US" w:eastAsia="zh-CN"/>
                    </w:rPr>
                    <w:t>”项目</w:t>
                  </w:r>
                  <w:r>
                    <w:rPr>
                      <w:rFonts w:hint="default" w:ascii="Times New Roman" w:hAnsi="Times New Roman" w:eastAsia="宋体" w:cs="Times New Roman"/>
                      <w:color w:val="auto"/>
                    </w:rPr>
                    <w:t>，项目符合《云南省用水定额》标准。</w:t>
                  </w:r>
                </w:p>
                <w:p>
                  <w:pPr>
                    <w:pStyle w:val="45"/>
                    <w:keepNext w:val="0"/>
                    <w:keepLines w:val="0"/>
                    <w:pageBreakBefore w:val="0"/>
                    <w:kinsoku/>
                    <w:wordWrap/>
                    <w:topLinePunct w:val="0"/>
                    <w:autoSpaceDE/>
                    <w:autoSpaceDN/>
                    <w:bidi w:val="0"/>
                    <w:spacing w:line="360" w:lineRule="exact"/>
                    <w:ind w:firstLine="210" w:firstLineChars="1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3、</w:t>
                  </w:r>
                  <w:r>
                    <w:rPr>
                      <w:rFonts w:hint="default" w:ascii="Times New Roman" w:hAnsi="Times New Roman" w:cs="Times New Roman"/>
                      <w:color w:val="auto"/>
                      <w:lang w:eastAsia="zh-CN"/>
                    </w:rPr>
                    <w:t>根据调查</w:t>
                  </w:r>
                  <w:r>
                    <w:rPr>
                      <w:rFonts w:hint="default" w:ascii="Times New Roman" w:hAnsi="Times New Roman" w:eastAsia="宋体" w:cs="Times New Roman"/>
                      <w:color w:val="auto"/>
                      <w:lang w:eastAsia="zh-CN"/>
                    </w:rPr>
                    <w:t>，</w:t>
                  </w:r>
                  <w:r>
                    <w:rPr>
                      <w:rStyle w:val="91"/>
                      <w:rFonts w:hint="default" w:ascii="Times New Roman" w:hAnsi="Times New Roman" w:eastAsia="宋体" w:cs="Times New Roman"/>
                      <w:color w:val="auto"/>
                      <w:kern w:val="0"/>
                      <w:szCs w:val="21"/>
                    </w:rPr>
                    <w:t>近期（</w:t>
                  </w:r>
                  <w:r>
                    <w:rPr>
                      <w:rStyle w:val="91"/>
                      <w:rFonts w:hint="default" w:ascii="Times New Roman" w:hAnsi="Times New Roman" w:eastAsia="宋体" w:cs="Times New Roman"/>
                      <w:color w:val="auto"/>
                      <w:kern w:val="0"/>
                      <w:szCs w:val="21"/>
                      <w:lang w:eastAsia="zh-CN"/>
                    </w:rPr>
                    <w:t>污水管网</w:t>
                  </w:r>
                  <w:r>
                    <w:rPr>
                      <w:rStyle w:val="91"/>
                      <w:rFonts w:hint="default" w:ascii="Times New Roman" w:hAnsi="Times New Roman" w:eastAsia="宋体" w:cs="Times New Roman"/>
                      <w:color w:val="auto"/>
                      <w:kern w:val="0"/>
                      <w:szCs w:val="21"/>
                    </w:rPr>
                    <w:t>建成前）</w:t>
                  </w:r>
                  <w:r>
                    <w:rPr>
                      <w:rStyle w:val="91"/>
                      <w:rFonts w:hint="default" w:ascii="Times New Roman" w:hAnsi="Times New Roman" w:eastAsia="宋体" w:cs="Times New Roman"/>
                      <w:color w:val="auto"/>
                      <w:kern w:val="0"/>
                      <w:szCs w:val="21"/>
                      <w:lang w:eastAsia="zh-CN"/>
                    </w:rPr>
                    <w:t>经一体化污水处理设施处理后</w:t>
                  </w:r>
                  <w:r>
                    <w:rPr>
                      <w:rStyle w:val="91"/>
                      <w:rFonts w:hint="default" w:ascii="Times New Roman" w:hAnsi="Times New Roman" w:eastAsia="宋体" w:cs="Times New Roman"/>
                      <w:color w:val="auto"/>
                      <w:kern w:val="0"/>
                      <w:szCs w:val="21"/>
                    </w:rPr>
                    <w:t>回用</w:t>
                  </w:r>
                  <w:r>
                    <w:rPr>
                      <w:rStyle w:val="91"/>
                      <w:rFonts w:hint="default" w:ascii="Times New Roman" w:hAnsi="Times New Roman" w:eastAsia="宋体" w:cs="Times New Roman"/>
                      <w:color w:val="auto"/>
                      <w:kern w:val="0"/>
                      <w:szCs w:val="21"/>
                      <w:lang w:eastAsia="zh-CN"/>
                    </w:rPr>
                    <w:t>于绿化，</w:t>
                  </w:r>
                  <w:r>
                    <w:rPr>
                      <w:rStyle w:val="91"/>
                      <w:rFonts w:hint="default" w:ascii="Times New Roman" w:hAnsi="Times New Roman" w:eastAsia="宋体" w:cs="Times New Roman"/>
                      <w:color w:val="auto"/>
                      <w:kern w:val="0"/>
                      <w:szCs w:val="21"/>
                    </w:rPr>
                    <w:t>远期（</w:t>
                  </w:r>
                  <w:r>
                    <w:rPr>
                      <w:rStyle w:val="91"/>
                      <w:rFonts w:hint="default" w:ascii="Times New Roman" w:hAnsi="Times New Roman" w:eastAsia="宋体" w:cs="Times New Roman"/>
                      <w:color w:val="auto"/>
                      <w:kern w:val="0"/>
                      <w:szCs w:val="21"/>
                      <w:lang w:eastAsia="zh-CN"/>
                    </w:rPr>
                    <w:t>污水管网</w:t>
                  </w:r>
                  <w:r>
                    <w:rPr>
                      <w:rStyle w:val="91"/>
                      <w:rFonts w:hint="default" w:ascii="Times New Roman" w:hAnsi="Times New Roman" w:eastAsia="宋体" w:cs="Times New Roman"/>
                      <w:color w:val="auto"/>
                      <w:kern w:val="0"/>
                      <w:szCs w:val="21"/>
                    </w:rPr>
                    <w:t>建成后）</w:t>
                  </w:r>
                  <w:r>
                    <w:rPr>
                      <w:rStyle w:val="91"/>
                      <w:rFonts w:hint="default" w:ascii="Times New Roman" w:hAnsi="Times New Roman" w:eastAsia="宋体" w:cs="Times New Roman"/>
                      <w:color w:val="auto"/>
                      <w:kern w:val="0"/>
                      <w:szCs w:val="21"/>
                      <w:lang w:eastAsia="zh-CN"/>
                    </w:rPr>
                    <w:t>经污水管网</w:t>
                  </w:r>
                  <w:r>
                    <w:rPr>
                      <w:rStyle w:val="91"/>
                      <w:rFonts w:hint="default" w:ascii="Times New Roman" w:hAnsi="Times New Roman" w:eastAsia="宋体" w:cs="Times New Roman"/>
                      <w:color w:val="auto"/>
                      <w:kern w:val="0"/>
                      <w:szCs w:val="21"/>
                    </w:rPr>
                    <w:t>进入东川区城市污水处理厂</w:t>
                  </w:r>
                  <w:r>
                    <w:rPr>
                      <w:rStyle w:val="91"/>
                      <w:rFonts w:hint="default" w:ascii="Times New Roman" w:hAnsi="Times New Roman" w:eastAsia="宋体" w:cs="Times New Roman"/>
                      <w:color w:val="auto"/>
                      <w:kern w:val="0"/>
                      <w:szCs w:val="21"/>
                      <w:lang w:eastAsia="zh-CN"/>
                    </w:rPr>
                    <w:t>处理。</w:t>
                  </w:r>
                </w:p>
              </w:tc>
              <w:tc>
                <w:tcPr>
                  <w:tcW w:w="79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符合</w:t>
                  </w:r>
                </w:p>
              </w:tc>
            </w:tr>
          </w:tbl>
          <w:p>
            <w:pPr>
              <w:spacing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由上表可知，</w:t>
            </w: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建设满足东川区环境管控单元生态环境准入清单的相关要求。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综上分析，</w:t>
            </w:r>
            <w:r>
              <w:rPr>
                <w:rFonts w:hint="default" w:ascii="Times New Roman" w:hAnsi="Times New Roman" w:eastAsia="宋体" w:cs="Times New Roman"/>
                <w:color w:val="auto"/>
                <w:sz w:val="24"/>
                <w:lang w:eastAsia="zh-CN"/>
              </w:rPr>
              <w:t>该项目</w:t>
            </w:r>
            <w:r>
              <w:rPr>
                <w:rFonts w:hint="default" w:ascii="Times New Roman" w:hAnsi="Times New Roman" w:eastAsia="宋体" w:cs="Times New Roman"/>
                <w:color w:val="auto"/>
                <w:sz w:val="24"/>
              </w:rPr>
              <w:t>建设符合“三线一单”要求。</w:t>
            </w:r>
          </w:p>
          <w:p>
            <w:pPr>
              <w:spacing w:line="360" w:lineRule="auto"/>
              <w:ind w:firstLine="361" w:firstLineChars="15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）与《中华人民共和国长江保护法》</w:t>
            </w:r>
            <w:r>
              <w:rPr>
                <w:rFonts w:hint="default" w:ascii="Times New Roman" w:hAnsi="Times New Roman" w:eastAsia="宋体" w:cs="Times New Roman"/>
                <w:b/>
                <w:color w:val="auto"/>
                <w:sz w:val="24"/>
                <w:szCs w:val="24"/>
                <w:highlight w:val="none"/>
                <w:lang w:eastAsia="zh-CN"/>
              </w:rPr>
              <w:t>的符合性分析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根据调查，《中华人民共和国长江保护法》重点从空间管控、规划等方面提出了长江保护的相关要求，保护法提出的具体建设项目的措施符合性具体如下表所示。</w:t>
            </w:r>
          </w:p>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表1-5 与《中华人民共和国长江保护法》符合性分析一览表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8"/>
              <w:gridCol w:w="4320"/>
              <w:gridCol w:w="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序号</w:t>
                  </w:r>
                </w:p>
              </w:tc>
              <w:tc>
                <w:tcPr>
                  <w:tcW w:w="3211"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中华人民共和国长江保护法要求</w:t>
                  </w:r>
                </w:p>
              </w:tc>
              <w:tc>
                <w:tcPr>
                  <w:tcW w:w="4585"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eastAsia="zh-CN"/>
                    </w:rPr>
                    <w:t>该项目</w:t>
                  </w:r>
                  <w:r>
                    <w:rPr>
                      <w:rFonts w:hint="default" w:ascii="Times New Roman" w:hAnsi="Times New Roman" w:eastAsia="宋体" w:cs="Times New Roman"/>
                      <w:color w:val="auto"/>
                      <w:kern w:val="0"/>
                      <w:szCs w:val="21"/>
                    </w:rPr>
                    <w:t>实际情况</w:t>
                  </w:r>
                </w:p>
              </w:tc>
              <w:tc>
                <w:tcPr>
                  <w:tcW w:w="783"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3211" w:type="dxa"/>
                  <w:vAlign w:val="center"/>
                </w:tcPr>
                <w:p>
                  <w:pPr>
                    <w:pStyle w:val="45"/>
                    <w:spacing w:line="360" w:lineRule="exact"/>
                    <w:ind w:firstLine="210" w:firstLineChars="100"/>
                    <w:jc w:val="both"/>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禁止在长江干支流岸线一公里范围内新建、</w:t>
                  </w:r>
                  <w:r>
                    <w:rPr>
                      <w:rFonts w:hint="default" w:ascii="Times New Roman" w:hAnsi="Times New Roman" w:eastAsia="宋体" w:cs="Times New Roman"/>
                      <w:color w:val="auto"/>
                      <w:kern w:val="0"/>
                      <w:szCs w:val="21"/>
                      <w:lang w:eastAsia="zh-CN"/>
                    </w:rPr>
                    <w:t>新建</w:t>
                  </w:r>
                  <w:r>
                    <w:rPr>
                      <w:rFonts w:hint="default" w:ascii="Times New Roman" w:hAnsi="Times New Roman" w:eastAsia="宋体" w:cs="Times New Roman"/>
                      <w:color w:val="auto"/>
                      <w:kern w:val="0"/>
                      <w:szCs w:val="21"/>
                    </w:rPr>
                    <w:t>化工园区和化工项目。</w:t>
                  </w:r>
                </w:p>
              </w:tc>
              <w:tc>
                <w:tcPr>
                  <w:tcW w:w="4585" w:type="dxa"/>
                  <w:vAlign w:val="center"/>
                </w:tcPr>
                <w:p>
                  <w:pPr>
                    <w:pStyle w:val="45"/>
                    <w:spacing w:line="360" w:lineRule="exact"/>
                    <w:ind w:firstLine="210" w:firstLineChars="100"/>
                    <w:jc w:val="both"/>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根据调查，</w:t>
                  </w:r>
                  <w:r>
                    <w:rPr>
                      <w:rFonts w:hint="default" w:ascii="Times New Roman" w:hAnsi="Times New Roman" w:eastAsia="宋体" w:cs="Times New Roman"/>
                      <w:bCs/>
                      <w:color w:val="auto"/>
                      <w:szCs w:val="24"/>
                    </w:rPr>
                    <w:t>项目区属于小江的汇水范围，小江位于项目区西侧1123m。小江为</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"https://baike.baidu.com/item/%E9%87%91%E6%B2%99%E6%B1%9F/461344"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金沙江</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右岸支流，源出</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"https://baike.baidu.com/item/%E5%AF%BB%E7%94%B8%E5%9B%9E%E6%97%8F%E5%BD%9D%E6%97%8F%E8%87%AA%E6%B2%BB%E5%8E%BF/10539204"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寻甸回族彝族自治县</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"https://baike.baidu.com/item/%E8%A5%BF%E6%B9%96/4668821"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西湖</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（又名：车湖、</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"https://baike.baidu.com/item/%E6%B8%85%E6%B0%B4%E6%B5%B7/1859134"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清水海</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）。小江</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"https://baike.baidu.com/item/%E5%8C%97%E6%B5%81"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北流</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至</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"https://baike.baidu.com/item/%E5%93%8D%E6%B0%B4"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响水</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入</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"https://baike.baidu.com/item/%E4%B8%9C%E5%B7%9D%E5%B8%82"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东川区</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，至小</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"https://baike.baidu.com/item/%E6%B2%B3%E5%8F%A3" \t "_blank"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szCs w:val="24"/>
                    </w:rPr>
                    <w:t>河口</w:t>
                  </w:r>
                  <w:r>
                    <w:rPr>
                      <w:rFonts w:hint="default" w:ascii="Times New Roman" w:hAnsi="Times New Roman" w:eastAsia="宋体" w:cs="Times New Roman"/>
                      <w:bCs/>
                      <w:color w:val="auto"/>
                      <w:szCs w:val="24"/>
                    </w:rPr>
                    <w:fldChar w:fldCharType="end"/>
                  </w:r>
                  <w:r>
                    <w:rPr>
                      <w:rFonts w:hint="default" w:ascii="Times New Roman" w:hAnsi="Times New Roman" w:eastAsia="宋体" w:cs="Times New Roman"/>
                      <w:bCs/>
                      <w:color w:val="auto"/>
                      <w:szCs w:val="24"/>
                    </w:rPr>
                    <w:t>注入金沙</w:t>
                  </w:r>
                  <w:r>
                    <w:rPr>
                      <w:rFonts w:hint="default" w:ascii="Times New Roman" w:hAnsi="Times New Roman" w:eastAsia="宋体" w:cs="Times New Roman"/>
                      <w:color w:val="auto"/>
                    </w:rPr>
                    <w:t>江</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且</w:t>
                  </w:r>
                  <w:r>
                    <w:rPr>
                      <w:rFonts w:hint="default" w:ascii="Times New Roman" w:hAnsi="Times New Roman" w:cs="Times New Roman"/>
                      <w:color w:val="auto"/>
                      <w:lang w:eastAsia="zh-CN"/>
                    </w:rPr>
                    <w:t>该项目为</w:t>
                  </w:r>
                  <w:r>
                    <w:rPr>
                      <w:rStyle w:val="91"/>
                      <w:rFonts w:hint="default" w:ascii="Times New Roman" w:hAnsi="Times New Roman" w:cs="Times New Roman"/>
                      <w:color w:val="auto"/>
                      <w:kern w:val="0"/>
                      <w:szCs w:val="21"/>
                      <w:lang w:val="en-US" w:eastAsia="zh-CN"/>
                    </w:rPr>
                    <w:t>卫生材料及医药用品制造项目</w:t>
                  </w:r>
                  <w:r>
                    <w:rPr>
                      <w:rFonts w:hint="default" w:ascii="Times New Roman" w:hAnsi="Times New Roman" w:eastAsia="宋体" w:cs="Times New Roman"/>
                      <w:color w:val="auto"/>
                      <w:kern w:val="0"/>
                      <w:szCs w:val="21"/>
                    </w:rPr>
                    <w:t>，不属于化工项目。</w:t>
                  </w:r>
                </w:p>
              </w:tc>
              <w:tc>
                <w:tcPr>
                  <w:tcW w:w="783"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3211" w:type="dxa"/>
                  <w:vAlign w:val="center"/>
                </w:tcPr>
                <w:p>
                  <w:pPr>
                    <w:pStyle w:val="45"/>
                    <w:spacing w:line="360" w:lineRule="exact"/>
                    <w:ind w:firstLine="210" w:firstLineChars="100"/>
                    <w:jc w:val="both"/>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严格控制高耗水项目建设。</w:t>
                  </w:r>
                </w:p>
              </w:tc>
              <w:tc>
                <w:tcPr>
                  <w:tcW w:w="4585" w:type="dxa"/>
                  <w:vAlign w:val="center"/>
                </w:tcPr>
                <w:p>
                  <w:pPr>
                    <w:pStyle w:val="45"/>
                    <w:pBdr>
                      <w:bottom w:val="single" w:color="DDDDDD" w:sz="6" w:space="7"/>
                    </w:pBdr>
                    <w:spacing w:line="360" w:lineRule="exact"/>
                    <w:ind w:firstLine="210" w:firstLineChars="100"/>
                    <w:jc w:val="both"/>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水利部2019年发布《关于印发钢铁等十八项工业用水定额的通知》，18项传统高耗水行业包括：钢铁、火力发电、石油炼制、选煤、罐头食品、食糖、毛皮、皮革、核电、氨纶、锦纶、聚酯涤纶、维纶、再生涤纶、多晶硅、离子型稀土矿冶炼分离、对二甲苯、精对二甲苯。</w:t>
                  </w:r>
                </w:p>
                <w:p>
                  <w:pPr>
                    <w:pStyle w:val="45"/>
                    <w:pBdr>
                      <w:bottom w:val="single" w:color="DDDDDD" w:sz="6" w:space="7"/>
                    </w:pBdr>
                    <w:spacing w:line="360" w:lineRule="exact"/>
                    <w:ind w:firstLine="210" w:firstLineChars="100"/>
                    <w:jc w:val="both"/>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eastAsia="zh-CN"/>
                    </w:rPr>
                    <w:t>该项目</w:t>
                  </w:r>
                  <w:r>
                    <w:rPr>
                      <w:rFonts w:hint="default" w:ascii="Times New Roman" w:hAnsi="Times New Roman" w:eastAsia="宋体" w:cs="Times New Roman"/>
                      <w:color w:val="auto"/>
                      <w:kern w:val="0"/>
                      <w:szCs w:val="21"/>
                    </w:rPr>
                    <w:t>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eastAsia="宋体" w:cs="Times New Roman"/>
                      <w:color w:val="auto"/>
                      <w:kern w:val="0"/>
                      <w:szCs w:val="21"/>
                    </w:rPr>
                    <w:t>项目，不属于水利部发布18项传统高耗水行业。</w:t>
                  </w:r>
                </w:p>
              </w:tc>
              <w:tc>
                <w:tcPr>
                  <w:tcW w:w="783"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3211" w:type="dxa"/>
                  <w:vAlign w:val="center"/>
                </w:tcPr>
                <w:p>
                  <w:pPr>
                    <w:pStyle w:val="45"/>
                    <w:spacing w:line="360" w:lineRule="exact"/>
                    <w:ind w:firstLine="210" w:firstLineChars="100"/>
                    <w:jc w:val="both"/>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禁止在长江流域河湖管理范围内倾倒、填埋、堆放、弃置、处理固体废物。</w:t>
                  </w:r>
                </w:p>
              </w:tc>
              <w:tc>
                <w:tcPr>
                  <w:tcW w:w="4585" w:type="dxa"/>
                  <w:vAlign w:val="center"/>
                </w:tcPr>
                <w:p>
                  <w:pPr>
                    <w:pStyle w:val="45"/>
                    <w:spacing w:line="360" w:lineRule="exact"/>
                    <w:ind w:firstLine="210" w:firstLineChars="100"/>
                    <w:jc w:val="both"/>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eastAsia="zh-CN"/>
                    </w:rPr>
                    <w:t>该项目</w:t>
                  </w:r>
                  <w:r>
                    <w:rPr>
                      <w:rFonts w:hint="default" w:ascii="Times New Roman" w:hAnsi="Times New Roman" w:eastAsia="宋体" w:cs="Times New Roman"/>
                      <w:color w:val="auto"/>
                      <w:kern w:val="0"/>
                      <w:szCs w:val="21"/>
                    </w:rPr>
                    <w:t>位于</w:t>
                  </w:r>
                  <w:r>
                    <w:rPr>
                      <w:rFonts w:hint="default" w:ascii="Times New Roman" w:hAnsi="Times New Roman" w:eastAsia="宋体" w:cs="Times New Roman"/>
                      <w:color w:val="auto"/>
                      <w:kern w:val="0"/>
                      <w:szCs w:val="21"/>
                      <w:lang w:eastAsia="zh-CN"/>
                    </w:rPr>
                    <w:t>云南省昆明市东川区铜都街道办事处碧谷小新村</w:t>
                  </w:r>
                  <w:r>
                    <w:rPr>
                      <w:rFonts w:hint="default" w:ascii="Times New Roman" w:hAnsi="Times New Roman" w:eastAsia="宋体" w:cs="Times New Roman"/>
                      <w:color w:val="auto"/>
                      <w:kern w:val="0"/>
                      <w:szCs w:val="21"/>
                    </w:rPr>
                    <w:t>，该区域不属于长江流域河湖管理范围。</w:t>
                  </w:r>
                </w:p>
              </w:tc>
              <w:tc>
                <w:tcPr>
                  <w:tcW w:w="783" w:type="dxa"/>
                  <w:vAlign w:val="center"/>
                </w:tcPr>
                <w:p>
                  <w:pPr>
                    <w:pStyle w:val="45"/>
                    <w:spacing w:line="360" w:lineRule="exac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w:t>
                  </w:r>
                </w:p>
              </w:tc>
            </w:tr>
          </w:tbl>
          <w:p>
            <w:pPr>
              <w:spacing w:beforeLines="5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由上表可知，项目的建设符合《中华人民共和国长江保护法》的相关要求。</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en-US" w:eastAsia="zh-CN"/>
              </w:rPr>
              <w:t>4</w:t>
            </w:r>
            <w:r>
              <w:rPr>
                <w:rFonts w:hint="default" w:ascii="Times New Roman" w:hAnsi="Times New Roman" w:cs="Times New Roman"/>
                <w:b/>
                <w:color w:val="auto"/>
                <w:sz w:val="24"/>
                <w:szCs w:val="24"/>
              </w:rPr>
              <w:t>）与《长江经济带发展负面清单指南（试行，2022年版）》（长江办【2022】7号）》的符合性</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2022年1月19日，推动长江经济带发展领导小组办公室关于印发《长江经济带发展负面清单指南（试行，2022年版）的通知》（长江办【2022】7号），该项目位于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z w:val="24"/>
                <w:szCs w:val="24"/>
              </w:rPr>
              <w:t>项目区属于小江的汇水范围，小江位于项目区西侧1123m。</w:t>
            </w:r>
            <w:r>
              <w:rPr>
                <w:rFonts w:hint="default" w:ascii="Times New Roman" w:hAnsi="Times New Roman" w:eastAsia="宋体" w:cs="Times New Roman"/>
                <w:color w:val="auto"/>
                <w:sz w:val="24"/>
                <w:szCs w:val="24"/>
              </w:rPr>
              <w:t>小江属于长江的上游主要支流</w:t>
            </w:r>
            <w:r>
              <w:rPr>
                <w:rFonts w:hint="default" w:ascii="Times New Roman" w:hAnsi="Times New Roman" w:cs="Times New Roman"/>
                <w:color w:val="auto"/>
                <w:sz w:val="24"/>
              </w:rPr>
              <w:t>。因此，本环评须分析该项目与《长江经济带发展负面清单指南（试行，2022年版）》的符合性。具体分析如下表所示。</w:t>
            </w:r>
          </w:p>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b/>
                <w:color w:val="auto"/>
              </w:rPr>
            </w:pPr>
            <w:r>
              <w:rPr>
                <w:rFonts w:hint="default" w:ascii="Times New Roman" w:hAnsi="Times New Roman" w:cs="Times New Roman"/>
                <w:b/>
                <w:color w:val="auto"/>
              </w:rPr>
              <w:t>表1-</w:t>
            </w:r>
            <w:r>
              <w:rPr>
                <w:rFonts w:hint="default" w:ascii="Times New Roman" w:hAnsi="Times New Roman" w:cs="Times New Roman"/>
                <w:b/>
                <w:color w:val="auto"/>
                <w:lang w:val="en-US" w:eastAsia="zh-CN"/>
              </w:rPr>
              <w:t>6</w:t>
            </w:r>
            <w:r>
              <w:rPr>
                <w:rFonts w:hint="default" w:ascii="Times New Roman" w:hAnsi="Times New Roman" w:cs="Times New Roman"/>
                <w:b/>
                <w:color w:val="auto"/>
              </w:rPr>
              <w:t xml:space="preserve"> 与《长江经济带发展负面清单指南（试行，2022年版）》符合性分析一览表</w:t>
            </w:r>
          </w:p>
          <w:tbl>
            <w:tblPr>
              <w:tblStyle w:val="2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1"/>
              <w:gridCol w:w="3997"/>
              <w:gridCol w:w="3411"/>
              <w:gridCol w:w="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3997"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《长江经济带发展负面清单指南（试行，2022年版）》要求</w:t>
                  </w:r>
                </w:p>
              </w:tc>
              <w:tc>
                <w:tcPr>
                  <w:tcW w:w="341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该项目实际情况</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禁止建设不符合全国和省级港口布局规划以及港口总体规划的码头项目，禁止建设不符合 《长江于线过江通道布局规划》的过长江通道项目。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”类项目，位于</w:t>
                  </w:r>
                  <w:r>
                    <w:rPr>
                      <w:rFonts w:hint="default" w:ascii="Times New Roman" w:hAnsi="Times New Roman" w:cs="Times New Roman"/>
                      <w:color w:val="auto"/>
                      <w:kern w:val="0"/>
                      <w:szCs w:val="21"/>
                      <w:lang w:eastAsia="zh-CN"/>
                    </w:rPr>
                    <w:t>昆明市东川区铜都街道办事处碧谷小新村</w:t>
                  </w:r>
                  <w:r>
                    <w:rPr>
                      <w:rFonts w:hint="default" w:ascii="Times New Roman" w:hAnsi="Times New Roman" w:cs="Times New Roman"/>
                      <w:color w:val="auto"/>
                      <w:kern w:val="0"/>
                      <w:szCs w:val="21"/>
                    </w:rPr>
                    <w:t>，不涉及码头及过江通道。</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卫生材料及医药用品制造项目</w:t>
                  </w:r>
                  <w:r>
                    <w:rPr>
                      <w:rFonts w:hint="default" w:ascii="Times New Roman" w:hAnsi="Times New Roman" w:cs="Times New Roman"/>
                      <w:color w:val="auto"/>
                      <w:kern w:val="0"/>
                      <w:szCs w:val="21"/>
                    </w:rPr>
                    <w:t>”，位于</w:t>
                  </w:r>
                  <w:r>
                    <w:rPr>
                      <w:rFonts w:hint="default" w:ascii="Times New Roman" w:hAnsi="Times New Roman" w:cs="Times New Roman"/>
                      <w:color w:val="auto"/>
                      <w:kern w:val="0"/>
                      <w:szCs w:val="21"/>
                      <w:lang w:eastAsia="zh-CN"/>
                    </w:rPr>
                    <w:t>昆明市东川区铜都街道办事处碧谷小新村</w:t>
                  </w:r>
                  <w:r>
                    <w:rPr>
                      <w:rFonts w:hint="default" w:ascii="Times New Roman" w:hAnsi="Times New Roman" w:cs="Times New Roman"/>
                      <w:color w:val="auto"/>
                      <w:kern w:val="0"/>
                      <w:szCs w:val="21"/>
                    </w:rPr>
                    <w:t>，不涉及自然保护区核心区、风景名胜区等特殊敏感区。</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”类项目，位于</w:t>
                  </w:r>
                  <w:r>
                    <w:rPr>
                      <w:rFonts w:hint="default" w:ascii="Times New Roman" w:hAnsi="Times New Roman" w:cs="Times New Roman"/>
                      <w:color w:val="auto"/>
                      <w:kern w:val="0"/>
                      <w:szCs w:val="21"/>
                      <w:lang w:eastAsia="zh-CN"/>
                    </w:rPr>
                    <w:t>昆明市东川区铜都街道办事处碧谷小新村</w:t>
                  </w:r>
                  <w:r>
                    <w:rPr>
                      <w:rFonts w:hint="default" w:ascii="Times New Roman" w:hAnsi="Times New Roman" w:cs="Times New Roman"/>
                      <w:color w:val="auto"/>
                      <w:kern w:val="0"/>
                      <w:szCs w:val="21"/>
                    </w:rPr>
                    <w:t>，不涉及到饮用水水源地的一级保护区或二级保护区。</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”类项目，项目建设符合主体功能定位，项目所在地的纳污水体为小江（清水海-入金沙江口段），不属于水产种植资源保护区的岸线和河段范围。</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该项目位于</w:t>
                  </w:r>
                  <w:r>
                    <w:rPr>
                      <w:rFonts w:hint="default" w:ascii="Times New Roman" w:hAnsi="Times New Roman" w:cs="Times New Roman"/>
                      <w:color w:val="auto"/>
                      <w:kern w:val="0"/>
                      <w:szCs w:val="21"/>
                      <w:lang w:eastAsia="zh-CN"/>
                    </w:rPr>
                    <w:t>昆明市东川区铜都街道办事处碧谷小新村</w:t>
                  </w:r>
                  <w:r>
                    <w:rPr>
                      <w:rFonts w:hint="default" w:ascii="Times New Roman" w:hAnsi="Times New Roman" w:cs="Times New Roman"/>
                      <w:color w:val="auto"/>
                      <w:kern w:val="0"/>
                      <w:szCs w:val="21"/>
                    </w:rPr>
                    <w:t>，项目所在地的纳污水体为小江（清水海-入金沙江口段），该河段不属于《长江岸线保护和开发利用总体规划》划定的岸线保护区，也不属于全国重要江河湖泊水功能区划》划定的河段保护区、保留区。</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禁止未经许可在长江千支流及湖泊新设、改设或扩大排污口。</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项目不在长江千支流及湖泊新设、改设或扩大排污口。</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禁止在“一江一口两湖七河”和332个水生生物保护区开展生产性捕捞。</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该项目不涉及生产性捕捞。</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”类项目，不属于钢铁、石化、化工、焦化、建材、有色等高污染项目。</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禁止在合规园区外新建、扩建钢铁、石化、化工、焦化、建材、有色、制浆造纸等高污染项目。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”类项目，不属于钢铁、石化、化工、焦化、建材、有色、制浆造纸等高污染项目。</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禁止新建、扩建不符合国家石化、现代煤化工等产业布局规划的项目。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”类项目，不属于不符合国家石化、现代煤化工等产业布局规划的项目。</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该项目为“</w:t>
                  </w:r>
                  <w:r>
                    <w:rPr>
                      <w:rFonts w:hint="default" w:ascii="Times New Roman" w:hAnsi="Times New Roman" w:cs="Times New Roman"/>
                      <w:color w:val="auto"/>
                      <w:kern w:val="0"/>
                      <w:szCs w:val="21"/>
                      <w:lang w:eastAsia="zh-CN"/>
                    </w:rPr>
                    <w:t>卫生材料及医药用品制造</w:t>
                  </w:r>
                  <w:r>
                    <w:rPr>
                      <w:rFonts w:hint="default" w:ascii="Times New Roman" w:hAnsi="Times New Roman" w:cs="Times New Roman"/>
                      <w:color w:val="auto"/>
                      <w:kern w:val="0"/>
                      <w:szCs w:val="21"/>
                    </w:rPr>
                    <w:t>”类项目，根据《产业结构调整指导目录》（2019年本），该项目不属于淘汰类和限制类项目</w:t>
                  </w:r>
                  <w:r>
                    <w:rPr>
                      <w:rFonts w:hint="default" w:ascii="Times New Roman" w:hAnsi="Times New Roman" w:cs="Times New Roman"/>
                      <w:color w:val="auto"/>
                      <w:kern w:val="0"/>
                      <w:szCs w:val="21"/>
                      <w:lang w:eastAsia="zh-CN"/>
                    </w:rPr>
                    <w:t>。</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w:t>
                  </w:r>
                </w:p>
              </w:tc>
              <w:tc>
                <w:tcPr>
                  <w:tcW w:w="399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法律法规及相关政策文件有更加严格规定的从其规定。</w:t>
                  </w:r>
                </w:p>
              </w:tc>
              <w:tc>
                <w:tcPr>
                  <w:tcW w:w="3411"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项目将严格执行国家相关法律法规。</w:t>
                  </w:r>
                </w:p>
              </w:tc>
              <w:tc>
                <w:tcPr>
                  <w:tcW w:w="56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bl>
          <w:p>
            <w:pPr>
              <w:spacing w:line="360" w:lineRule="auto"/>
              <w:ind w:firstLine="360" w:firstLineChars="150"/>
              <w:rPr>
                <w:rFonts w:hint="default" w:ascii="Times New Roman" w:hAnsi="Times New Roman" w:eastAsia="宋体" w:cs="Times New Roman"/>
                <w:b/>
                <w:color w:val="auto"/>
                <w:sz w:val="24"/>
                <w:szCs w:val="24"/>
              </w:rPr>
            </w:pPr>
            <w:r>
              <w:rPr>
                <w:rFonts w:hint="default" w:ascii="Times New Roman" w:hAnsi="Times New Roman" w:cs="Times New Roman"/>
                <w:color w:val="auto"/>
                <w:sz w:val="24"/>
                <w:szCs w:val="24"/>
              </w:rPr>
              <w:t>由上表可知，该项目符合《长江经济带发展负面清单指南（试行，2022年版）》的要求。</w:t>
            </w:r>
          </w:p>
          <w:p>
            <w:pPr>
              <w:spacing w:line="360" w:lineRule="auto"/>
              <w:ind w:firstLine="361" w:firstLineChars="150"/>
              <w:outlineLvl w:val="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）与《云南省长江经济带发展负面清单指南实施细则（试行，2022年版）》符合性分析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云南省推动长江经济带发展领导小组办公室于2022年8月19日印发了《云南省长江经济带发展负面清单指南实施细则（试行，2022年版）》，本项目与其符合性见下表。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表1-</w:t>
            </w:r>
            <w:r>
              <w:rPr>
                <w:rFonts w:hint="default" w:ascii="Times New Roman" w:hAnsi="Times New Roman" w:cs="Times New Roman"/>
                <w:b/>
                <w:color w:val="auto"/>
                <w:szCs w:val="24"/>
                <w:lang w:val="en-US" w:eastAsia="zh-CN"/>
              </w:rPr>
              <w:t>7</w:t>
            </w:r>
            <w:r>
              <w:rPr>
                <w:rFonts w:hint="default" w:ascii="Times New Roman" w:hAnsi="Times New Roman" w:cs="Times New Roman"/>
                <w:b/>
                <w:color w:val="auto"/>
                <w:szCs w:val="24"/>
              </w:rPr>
              <w:t>与《云南省长江经济带发展负面清单指南实施细则（试行，2022年版）》符合性</w:t>
            </w:r>
          </w:p>
          <w:tbl>
            <w:tblPr>
              <w:tblStyle w:val="2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0"/>
              <w:gridCol w:w="4188"/>
              <w:gridCol w:w="3453"/>
              <w:gridCol w:w="5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4040"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《云南省长江经济带发展负面清单指南实施细则（试行，2022年版）》要求</w:t>
                  </w:r>
                </w:p>
              </w:tc>
              <w:tc>
                <w:tcPr>
                  <w:tcW w:w="3331"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该项目实际情况</w:t>
                  </w:r>
                </w:p>
              </w:tc>
              <w:tc>
                <w:tcPr>
                  <w:tcW w:w="499"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，不涉及码头及过江通道。</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，不涉及自然保护区核心区、风景名胜区等特殊敏感区。</w:t>
                  </w:r>
                </w:p>
              </w:tc>
              <w:tc>
                <w:tcPr>
                  <w:tcW w:w="499"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，不涉及风景名胜区。</w:t>
                  </w:r>
                </w:p>
              </w:tc>
              <w:tc>
                <w:tcPr>
                  <w:tcW w:w="499"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，不涉及到饮用水水源地的一级保护区或二级保护区。</w:t>
                  </w:r>
                </w:p>
              </w:tc>
              <w:tc>
                <w:tcPr>
                  <w:tcW w:w="499"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w:t>
                  </w:r>
                  <w:r>
                    <w:rPr>
                      <w:rFonts w:hint="default" w:ascii="Times New Roman" w:hAnsi="Times New Roman" w:cs="Times New Roman"/>
                      <w:color w:val="auto"/>
                      <w:kern w:val="0"/>
                      <w:sz w:val="21"/>
                      <w:szCs w:val="21"/>
                      <w:lang w:eastAsia="zh-CN"/>
                    </w:rPr>
                    <w:t>为卫生材料及医药用品制造</w:t>
                  </w:r>
                  <w:r>
                    <w:rPr>
                      <w:rFonts w:hint="default" w:ascii="Times New Roman" w:hAnsi="Times New Roman" w:cs="Times New Roman"/>
                      <w:color w:val="auto"/>
                      <w:kern w:val="0"/>
                      <w:sz w:val="21"/>
                      <w:szCs w:val="21"/>
                    </w:rPr>
                    <w:t>，项目建设符合主体功能定位，项目所在地的纳污水体为</w:t>
                  </w:r>
                  <w:r>
                    <w:rPr>
                      <w:rFonts w:hint="default" w:ascii="Times New Roman" w:hAnsi="Times New Roman" w:cs="Times New Roman"/>
                      <w:color w:val="auto"/>
                      <w:kern w:val="0"/>
                      <w:sz w:val="21"/>
                      <w:szCs w:val="21"/>
                      <w:lang w:eastAsia="zh-CN"/>
                    </w:rPr>
                    <w:t>西侧</w:t>
                  </w:r>
                  <w:r>
                    <w:rPr>
                      <w:rFonts w:hint="default" w:ascii="Times New Roman" w:hAnsi="Times New Roman" w:cs="Times New Roman"/>
                      <w:color w:val="auto"/>
                      <w:kern w:val="0"/>
                      <w:sz w:val="21"/>
                      <w:szCs w:val="21"/>
                      <w:lang w:val="en-US" w:eastAsia="zh-CN"/>
                    </w:rPr>
                    <w:t>1123m的小江</w:t>
                  </w:r>
                  <w:r>
                    <w:rPr>
                      <w:rFonts w:hint="default" w:ascii="Times New Roman" w:hAnsi="Times New Roman" w:cs="Times New Roman"/>
                      <w:color w:val="auto"/>
                      <w:kern w:val="0"/>
                      <w:sz w:val="21"/>
                      <w:szCs w:val="21"/>
                    </w:rPr>
                    <w:t>，不属于水产种植资源保护区的岸线和河段范围。</w:t>
                  </w:r>
                </w:p>
              </w:tc>
              <w:tc>
                <w:tcPr>
                  <w:tcW w:w="499"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，项目所在地的纳污水体为</w:t>
                  </w:r>
                  <w:r>
                    <w:rPr>
                      <w:rFonts w:hint="default" w:ascii="Times New Roman" w:hAnsi="Times New Roman" w:cs="Times New Roman"/>
                      <w:color w:val="auto"/>
                      <w:kern w:val="0"/>
                      <w:sz w:val="21"/>
                      <w:szCs w:val="21"/>
                      <w:lang w:eastAsia="zh-CN"/>
                    </w:rPr>
                    <w:t>小江</w:t>
                  </w:r>
                  <w:r>
                    <w:rPr>
                      <w:rFonts w:hint="default" w:ascii="Times New Roman" w:hAnsi="Times New Roman" w:cs="Times New Roman"/>
                      <w:color w:val="auto"/>
                      <w:kern w:val="0"/>
                      <w:sz w:val="21"/>
                      <w:szCs w:val="21"/>
                    </w:rPr>
                    <w:t>，该河段不属于《长江岸线保护和开发利用总体规划》划定的岸线保护区，也不属于全国重要江河湖泊水功能区划》划定的河段保护区、保留区。</w:t>
                  </w:r>
                </w:p>
              </w:tc>
              <w:tc>
                <w:tcPr>
                  <w:tcW w:w="499"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7</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，不涉及过江基础设施项目；同时，项目不在长江千支流及湖泊新设、改设或扩大排污口。</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8</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禁止在金沙江干流、长江一级支流、水生生物保护区和长江流域禁捕水域开展天然渔业资源生产性捕捞。</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该项目不涉及生产性捕捞。</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9</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bCs/>
                      <w:snapToGrid w:val="0"/>
                      <w:color w:val="auto"/>
                      <w:kern w:val="0"/>
                      <w:sz w:val="21"/>
                      <w:szCs w:val="21"/>
                      <w:lang w:val="zh-CN" w:eastAsia="zh-CN" w:bidi="ar-SA"/>
                    </w:rPr>
                    <w:t>该项目</w:t>
                  </w:r>
                  <w:r>
                    <w:rPr>
                      <w:rFonts w:hint="default" w:ascii="Times New Roman" w:hAnsi="Times New Roman" w:eastAsia="宋体" w:cs="Times New Roman"/>
                      <w:bCs/>
                      <w:snapToGrid w:val="0"/>
                      <w:color w:val="auto"/>
                      <w:kern w:val="0"/>
                      <w:sz w:val="21"/>
                      <w:szCs w:val="21"/>
                      <w:lang w:val="zh-CN" w:eastAsia="zh-CN" w:bidi="ar-SA"/>
                    </w:rPr>
                    <w:t>主要</w:t>
                  </w:r>
                  <w:r>
                    <w:rPr>
                      <w:rFonts w:hint="default" w:ascii="Times New Roman" w:hAnsi="Times New Roman" w:cs="Times New Roman"/>
                      <w:color w:val="auto"/>
                      <w:kern w:val="0"/>
                      <w:sz w:val="21"/>
                      <w:szCs w:val="21"/>
                      <w:lang w:eastAsia="zh-CN"/>
                    </w:rPr>
                    <w:t>卫生材料及医药用品制造</w:t>
                  </w:r>
                  <w:r>
                    <w:rPr>
                      <w:rFonts w:hint="default" w:ascii="Times New Roman" w:hAnsi="Times New Roman" w:eastAsia="宋体" w:cs="Times New Roman"/>
                      <w:bCs/>
                      <w:snapToGrid w:val="0"/>
                      <w:color w:val="auto"/>
                      <w:kern w:val="0"/>
                      <w:sz w:val="21"/>
                      <w:szCs w:val="21"/>
                      <w:lang w:val="zh-CN" w:eastAsia="zh-CN" w:bidi="ar-SA"/>
                    </w:rPr>
                    <w:t>，属于</w:t>
                  </w:r>
                  <w:r>
                    <w:rPr>
                      <w:rFonts w:hint="default" w:ascii="Times New Roman" w:hAnsi="Times New Roman" w:eastAsia="宋体" w:cs="Times New Roman"/>
                      <w:color w:val="auto"/>
                      <w:sz w:val="21"/>
                      <w:szCs w:val="21"/>
                      <w:lang w:val="en-US" w:eastAsia="zh-CN"/>
                    </w:rPr>
                    <w:t>2770卫生材料及医药用品制造</w:t>
                  </w:r>
                  <w:r>
                    <w:rPr>
                      <w:rFonts w:hint="default" w:ascii="Times New Roman" w:hAnsi="Times New Roman" w:cs="Times New Roman"/>
                      <w:color w:val="auto"/>
                      <w:sz w:val="21"/>
                      <w:szCs w:val="21"/>
                      <w:lang w:eastAsia="zh-CN"/>
                    </w:rPr>
                    <w:t>项目</w:t>
                  </w:r>
                  <w:r>
                    <w:rPr>
                      <w:rFonts w:hint="default" w:ascii="Times New Roman" w:hAnsi="Times New Roman" w:cs="Times New Roman"/>
                      <w:color w:val="auto"/>
                      <w:kern w:val="0"/>
                      <w:sz w:val="21"/>
                      <w:szCs w:val="21"/>
                    </w:rPr>
                    <w:t>，不属于《云南省发展和改革委员会关于进一步开展“两高”项目梳理排查的函》（云发改产业函【2021】295号）中“两高”项目行业范围。</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禁止在合规园区外新建、扩建钢铁、石化、化工、焦化、建材、有色、制浆造纸行业中的高污染项目。</w:t>
                  </w:r>
                </w:p>
              </w:tc>
              <w:tc>
                <w:tcPr>
                  <w:tcW w:w="3331" w:type="dxa"/>
                  <w:vAlign w:val="center"/>
                </w:tcPr>
                <w:p>
                  <w:pPr>
                    <w:pStyle w:val="45"/>
                    <w:spacing w:line="360" w:lineRule="exact"/>
                    <w:ind w:firstLine="210" w:firstLineChars="100"/>
                    <w:jc w:val="both"/>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该项目位于</w:t>
                  </w:r>
                  <w:r>
                    <w:rPr>
                      <w:rFonts w:hint="default" w:ascii="Times New Roman" w:hAnsi="Times New Roman" w:cs="Times New Roman"/>
                      <w:color w:val="auto"/>
                      <w:kern w:val="0"/>
                      <w:sz w:val="21"/>
                      <w:szCs w:val="21"/>
                      <w:lang w:eastAsia="zh-CN"/>
                    </w:rPr>
                    <w:t>昆明市东川区铜都街道办事处碧谷小新村</w:t>
                  </w:r>
                  <w:r>
                    <w:rPr>
                      <w:rFonts w:hint="default" w:ascii="Times New Roman" w:hAnsi="Times New Roman" w:cs="Times New Roman"/>
                      <w:color w:val="auto"/>
                      <w:kern w:val="0"/>
                      <w:sz w:val="21"/>
                      <w:szCs w:val="21"/>
                    </w:rPr>
                    <w:t>，</w:t>
                  </w:r>
                  <w:r>
                    <w:rPr>
                      <w:rFonts w:hint="default" w:ascii="Times New Roman" w:hAnsi="Times New Roman" w:eastAsia="宋体" w:cs="Times New Roman"/>
                      <w:bCs/>
                      <w:snapToGrid w:val="0"/>
                      <w:color w:val="auto"/>
                      <w:kern w:val="0"/>
                      <w:sz w:val="21"/>
                      <w:szCs w:val="21"/>
                      <w:lang w:val="zh-CN" w:eastAsia="zh-CN" w:bidi="ar-SA"/>
                    </w:rPr>
                    <w:t>主要</w:t>
                  </w:r>
                  <w:r>
                    <w:rPr>
                      <w:rFonts w:hint="default" w:ascii="Times New Roman" w:hAnsi="Times New Roman" w:cs="Times New Roman"/>
                      <w:bCs/>
                      <w:snapToGrid w:val="0"/>
                      <w:color w:val="auto"/>
                      <w:kern w:val="0"/>
                      <w:sz w:val="21"/>
                      <w:szCs w:val="21"/>
                      <w:lang w:val="zh-CN" w:eastAsia="zh-CN" w:bidi="ar-SA"/>
                    </w:rPr>
                    <w:t>为</w:t>
                  </w:r>
                  <w:r>
                    <w:rPr>
                      <w:rFonts w:hint="default" w:ascii="Times New Roman" w:hAnsi="Times New Roman" w:cs="Times New Roman"/>
                      <w:color w:val="auto"/>
                      <w:kern w:val="0"/>
                      <w:sz w:val="21"/>
                      <w:szCs w:val="21"/>
                      <w:lang w:eastAsia="zh-CN"/>
                    </w:rPr>
                    <w:t>卫生材料及医药用品制造</w:t>
                  </w:r>
                  <w:r>
                    <w:rPr>
                      <w:rFonts w:hint="default" w:ascii="Times New Roman" w:hAnsi="Times New Roman" w:eastAsia="宋体" w:cs="Times New Roman"/>
                      <w:bCs/>
                      <w:snapToGrid w:val="0"/>
                      <w:color w:val="auto"/>
                      <w:kern w:val="0"/>
                      <w:sz w:val="21"/>
                      <w:szCs w:val="21"/>
                      <w:lang w:val="zh-CN" w:eastAsia="zh-CN" w:bidi="ar-SA"/>
                    </w:rPr>
                    <w:t>，属于</w:t>
                  </w:r>
                  <w:r>
                    <w:rPr>
                      <w:rFonts w:hint="default" w:ascii="Times New Roman" w:hAnsi="Times New Roman" w:eastAsia="宋体" w:cs="Times New Roman"/>
                      <w:color w:val="auto"/>
                      <w:sz w:val="21"/>
                      <w:szCs w:val="21"/>
                      <w:lang w:val="en-US" w:eastAsia="zh-CN"/>
                    </w:rPr>
                    <w:t>2770卫生材料及医药用品制造</w:t>
                  </w:r>
                  <w:r>
                    <w:rPr>
                      <w:rFonts w:hint="default" w:ascii="Times New Roman" w:hAnsi="Times New Roman" w:cs="Times New Roman"/>
                      <w:color w:val="auto"/>
                      <w:sz w:val="21"/>
                      <w:szCs w:val="21"/>
                      <w:lang w:eastAsia="zh-CN"/>
                    </w:rPr>
                    <w:t>项目，</w:t>
                  </w:r>
                  <w:r>
                    <w:rPr>
                      <w:rFonts w:hint="default" w:ascii="Times New Roman" w:hAnsi="Times New Roman" w:cs="Times New Roman"/>
                      <w:color w:val="auto"/>
                      <w:kern w:val="0"/>
                      <w:sz w:val="21"/>
                      <w:szCs w:val="21"/>
                    </w:rPr>
                    <w:t>不属于钢铁、石化、化工、焦化、建材、有色、制浆造纸行业中的高污染项目</w:t>
                  </w:r>
                  <w:r>
                    <w:rPr>
                      <w:rFonts w:hint="default" w:ascii="Times New Roman" w:hAnsi="Times New Roman" w:cs="Times New Roman"/>
                      <w:color w:val="auto"/>
                      <w:kern w:val="0"/>
                      <w:sz w:val="21"/>
                      <w:szCs w:val="21"/>
                      <w:lang w:eastAsia="zh-CN"/>
                    </w:rPr>
                    <w:t>。</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11</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bCs/>
                      <w:snapToGrid w:val="0"/>
                      <w:color w:val="auto"/>
                      <w:kern w:val="0"/>
                      <w:sz w:val="21"/>
                      <w:szCs w:val="21"/>
                      <w:lang w:val="zh-CN" w:eastAsia="zh-CN" w:bidi="ar-SA"/>
                    </w:rPr>
                    <w:t>该项目</w:t>
                  </w:r>
                  <w:r>
                    <w:rPr>
                      <w:rFonts w:hint="default" w:ascii="Times New Roman" w:hAnsi="Times New Roman" w:eastAsia="宋体" w:cs="Times New Roman"/>
                      <w:bCs/>
                      <w:snapToGrid w:val="0"/>
                      <w:color w:val="auto"/>
                      <w:kern w:val="0"/>
                      <w:sz w:val="21"/>
                      <w:szCs w:val="21"/>
                      <w:lang w:val="zh-CN" w:eastAsia="zh-CN" w:bidi="ar-SA"/>
                    </w:rPr>
                    <w:t>主要</w:t>
                  </w:r>
                  <w:r>
                    <w:rPr>
                      <w:rFonts w:hint="default" w:ascii="Times New Roman" w:hAnsi="Times New Roman" w:cs="Times New Roman"/>
                      <w:bCs/>
                      <w:snapToGrid w:val="0"/>
                      <w:color w:val="auto"/>
                      <w:kern w:val="0"/>
                      <w:sz w:val="21"/>
                      <w:szCs w:val="21"/>
                      <w:lang w:val="zh-CN" w:eastAsia="zh-CN" w:bidi="ar-SA"/>
                    </w:rPr>
                    <w:t>为</w:t>
                  </w:r>
                  <w:r>
                    <w:rPr>
                      <w:rFonts w:hint="default" w:ascii="Times New Roman" w:hAnsi="Times New Roman" w:cs="Times New Roman"/>
                      <w:color w:val="auto"/>
                      <w:kern w:val="0"/>
                      <w:sz w:val="21"/>
                      <w:szCs w:val="21"/>
                      <w:lang w:eastAsia="zh-CN"/>
                    </w:rPr>
                    <w:t>卫生材料及医药用品制造</w:t>
                  </w:r>
                  <w:r>
                    <w:rPr>
                      <w:rFonts w:hint="default" w:ascii="Times New Roman" w:hAnsi="Times New Roman" w:cs="Times New Roman"/>
                      <w:color w:val="auto"/>
                      <w:kern w:val="0"/>
                      <w:sz w:val="21"/>
                      <w:szCs w:val="21"/>
                    </w:rPr>
                    <w:t>，不属于不符合国家石化、现代煤化工等产业布局规划的项目。不属于《云南省城镇人口密集区危险化学品生产企业搬迁改造名单》的搬迁改造企业。</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45"/>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12</w:t>
                  </w:r>
                </w:p>
              </w:tc>
              <w:tc>
                <w:tcPr>
                  <w:tcW w:w="4040"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45"/>
                    <w:spacing w:line="360" w:lineRule="exact"/>
                    <w:ind w:firstLine="210" w:firstLineChars="100"/>
                    <w:jc w:val="both"/>
                    <w:rPr>
                      <w:rFonts w:hint="default" w:ascii="Times New Roman" w:hAnsi="Times New Roman" w:cs="Times New Roman"/>
                      <w:color w:val="auto"/>
                      <w:kern w:val="0"/>
                      <w:sz w:val="21"/>
                      <w:szCs w:val="21"/>
                    </w:rPr>
                  </w:pPr>
                  <w:r>
                    <w:rPr>
                      <w:rFonts w:hint="default" w:ascii="Times New Roman" w:hAnsi="Times New Roman" w:cs="Times New Roman"/>
                      <w:bCs/>
                      <w:snapToGrid w:val="0"/>
                      <w:color w:val="auto"/>
                      <w:kern w:val="0"/>
                      <w:sz w:val="21"/>
                      <w:szCs w:val="21"/>
                      <w:lang w:val="zh-CN" w:eastAsia="zh-CN" w:bidi="ar-SA"/>
                    </w:rPr>
                    <w:t>该项目</w:t>
                  </w:r>
                  <w:r>
                    <w:rPr>
                      <w:rFonts w:hint="default" w:ascii="Times New Roman" w:hAnsi="Times New Roman" w:eastAsia="宋体" w:cs="Times New Roman"/>
                      <w:bCs/>
                      <w:snapToGrid w:val="0"/>
                      <w:color w:val="auto"/>
                      <w:kern w:val="0"/>
                      <w:sz w:val="21"/>
                      <w:szCs w:val="21"/>
                      <w:lang w:val="zh-CN" w:eastAsia="zh-CN" w:bidi="ar-SA"/>
                    </w:rPr>
                    <w:t>主要</w:t>
                  </w:r>
                  <w:r>
                    <w:rPr>
                      <w:rFonts w:hint="default" w:ascii="Times New Roman" w:hAnsi="Times New Roman" w:cs="Times New Roman"/>
                      <w:color w:val="auto"/>
                      <w:kern w:val="0"/>
                      <w:sz w:val="21"/>
                      <w:szCs w:val="21"/>
                      <w:lang w:eastAsia="zh-CN"/>
                    </w:rPr>
                    <w:t>卫生材料及医药用品制造</w:t>
                  </w:r>
                  <w:r>
                    <w:rPr>
                      <w:rFonts w:hint="default" w:ascii="Times New Roman" w:hAnsi="Times New Roman" w:eastAsia="宋体" w:cs="Times New Roman"/>
                      <w:bCs/>
                      <w:snapToGrid w:val="0"/>
                      <w:color w:val="auto"/>
                      <w:kern w:val="0"/>
                      <w:sz w:val="21"/>
                      <w:szCs w:val="21"/>
                      <w:lang w:val="zh-CN" w:eastAsia="zh-CN" w:bidi="ar-SA"/>
                    </w:rPr>
                    <w:t>，属于</w:t>
                  </w:r>
                  <w:r>
                    <w:rPr>
                      <w:rFonts w:hint="default" w:ascii="Times New Roman" w:hAnsi="Times New Roman" w:eastAsia="宋体" w:cs="Times New Roman"/>
                      <w:color w:val="auto"/>
                      <w:sz w:val="21"/>
                      <w:szCs w:val="21"/>
                      <w:lang w:val="en-US" w:eastAsia="zh-CN"/>
                    </w:rPr>
                    <w:t>2770卫生材料及医药用品制造</w:t>
                  </w:r>
                  <w:r>
                    <w:rPr>
                      <w:rFonts w:hint="default" w:ascii="Times New Roman" w:hAnsi="Times New Roman" w:cs="Times New Roman"/>
                      <w:color w:val="auto"/>
                      <w:sz w:val="21"/>
                      <w:szCs w:val="21"/>
                      <w:lang w:val="en-US" w:eastAsia="zh-CN"/>
                    </w:rPr>
                    <w:t>项目</w:t>
                  </w:r>
                  <w:r>
                    <w:rPr>
                      <w:rFonts w:hint="default" w:ascii="Times New Roman" w:hAnsi="Times New Roman" w:cs="Times New Roman"/>
                      <w:color w:val="auto"/>
                      <w:kern w:val="0"/>
                      <w:sz w:val="21"/>
                      <w:szCs w:val="21"/>
                    </w:rPr>
                    <w:t>，不属于《云南省发展和改革委员会关于进一步开展“两高”项目梳理排查的函》（云发改产业函【2021】295号）中“两高”项目行业范围；</w:t>
                  </w:r>
                  <w:r>
                    <w:rPr>
                      <w:rFonts w:hint="default" w:ascii="Times New Roman" w:hAnsi="Times New Roman" w:eastAsia="宋体" w:cs="Times New Roman"/>
                      <w:bCs/>
                      <w:snapToGrid w:val="0"/>
                      <w:color w:val="auto"/>
                      <w:kern w:val="0"/>
                      <w:sz w:val="21"/>
                      <w:szCs w:val="21"/>
                      <w:lang w:val="zh-CN" w:eastAsia="zh-CN" w:bidi="ar-SA"/>
                    </w:rPr>
                    <w:t>根据《产业结构调整指导目录》（2019年本），</w:t>
                  </w:r>
                  <w:r>
                    <w:rPr>
                      <w:rFonts w:hint="default" w:ascii="Times New Roman" w:hAnsi="Times New Roman" w:eastAsia="宋体" w:cs="Times New Roman"/>
                      <w:color w:val="auto"/>
                      <w:sz w:val="21"/>
                      <w:szCs w:val="21"/>
                      <w:lang w:val="en-US" w:eastAsia="zh-CN"/>
                    </w:rPr>
                    <w:t>本项目不属于限制类、淘汰类产业，亦不属于负面清单中禁止准入事项</w:t>
                  </w:r>
                  <w:r>
                    <w:rPr>
                      <w:rFonts w:hint="default" w:ascii="Times New Roman" w:hAnsi="Times New Roman" w:cs="Times New Roman"/>
                      <w:color w:val="auto"/>
                      <w:kern w:val="0"/>
                      <w:sz w:val="21"/>
                      <w:szCs w:val="21"/>
                      <w:highlight w:val="none"/>
                      <w:lang w:val="en-US" w:eastAsia="zh-CN" w:bidi="ar"/>
                    </w:rPr>
                    <w:t>。</w:t>
                  </w:r>
                </w:p>
              </w:tc>
              <w:tc>
                <w:tcPr>
                  <w:tcW w:w="499" w:type="dxa"/>
                  <w:vAlign w:val="center"/>
                </w:tcPr>
                <w:p>
                  <w:pPr>
                    <w:pStyle w:val="45"/>
                    <w:spacing w:line="360" w:lineRule="exac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rPr>
                    <w:t>符合</w:t>
                  </w:r>
                </w:p>
              </w:tc>
            </w:tr>
          </w:tbl>
          <w:p>
            <w:pPr>
              <w:spacing w:line="360" w:lineRule="auto"/>
              <w:ind w:firstLine="360" w:firstLineChars="150"/>
              <w:rPr>
                <w:rFonts w:hint="default" w:ascii="Times New Roman" w:hAnsi="Times New Roman" w:eastAsia="宋体" w:cs="Times New Roman"/>
                <w:b/>
                <w:color w:val="auto"/>
                <w:sz w:val="24"/>
                <w:szCs w:val="24"/>
              </w:rPr>
            </w:pPr>
            <w:r>
              <w:rPr>
                <w:rFonts w:hint="default" w:ascii="Times New Roman" w:hAnsi="Times New Roman" w:cs="Times New Roman"/>
                <w:color w:val="auto"/>
                <w:sz w:val="24"/>
                <w:szCs w:val="24"/>
              </w:rPr>
              <w:t>由上表可知，该项目符合《云南省长江经济带发展负面清单指南实施细则（试行，2022年版）》的要求。</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6</w:t>
            </w:r>
            <w:r>
              <w:rPr>
                <w:rFonts w:hint="default" w:ascii="Times New Roman" w:hAnsi="Times New Roman" w:eastAsia="宋体" w:cs="Times New Roman"/>
                <w:b/>
                <w:color w:val="auto"/>
                <w:sz w:val="24"/>
                <w:szCs w:val="24"/>
              </w:rPr>
              <w:t>）与《长江经济带生态环境保护规划》符合性分析</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eastAsia="zh-CN"/>
              </w:rPr>
              <w:t>卫生材料及医药用品制造</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该项目</w:t>
            </w:r>
            <w:r>
              <w:rPr>
                <w:rFonts w:hint="default" w:ascii="Times New Roman" w:hAnsi="Times New Roman" w:eastAsia="宋体" w:cs="Times New Roman"/>
                <w:color w:val="auto"/>
                <w:sz w:val="24"/>
                <w:szCs w:val="24"/>
              </w:rPr>
              <w:t>的建设与《长江经济带生态环境保护规划》的相关要求不相冲突。</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lang w:val="en-US" w:eastAsia="zh-CN"/>
              </w:rPr>
              <w:t>7</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与《挥发性有机物（VOCs）污染防治技术政策》</w:t>
            </w:r>
            <w:r>
              <w:rPr>
                <w:rFonts w:hint="default" w:ascii="Times New Roman" w:hAnsi="Times New Roman" w:eastAsia="宋体" w:cs="Times New Roman"/>
                <w:b/>
                <w:color w:val="auto"/>
                <w:sz w:val="24"/>
                <w:szCs w:val="24"/>
                <w:lang w:eastAsia="zh-CN"/>
              </w:rPr>
              <w:t>的</w:t>
            </w:r>
            <w:r>
              <w:rPr>
                <w:rFonts w:hint="default" w:ascii="Times New Roman" w:hAnsi="Times New Roman" w:eastAsia="宋体" w:cs="Times New Roman"/>
                <w:b/>
                <w:color w:val="auto"/>
                <w:sz w:val="24"/>
                <w:szCs w:val="24"/>
              </w:rPr>
              <w:t>相符性分析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eastAsia="zh-CN"/>
              </w:rPr>
              <w:t>本项目仅在采用聚乙烯及聚丙烯材料进行挤出、注塑加工生产卫生材料及产品灭菌工序有</w:t>
            </w:r>
            <w:r>
              <w:rPr>
                <w:rFonts w:hint="default" w:ascii="Times New Roman" w:hAnsi="Times New Roman" w:eastAsia="宋体" w:cs="Times New Roman"/>
                <w:b w:val="0"/>
                <w:bCs w:val="0"/>
                <w:color w:val="auto"/>
                <w:sz w:val="24"/>
                <w:szCs w:val="24"/>
              </w:rPr>
              <w:t>VOCs</w:t>
            </w:r>
            <w:r>
              <w:rPr>
                <w:rFonts w:hint="default" w:ascii="Times New Roman" w:hAnsi="Times New Roman" w:eastAsia="宋体" w:cs="Times New Roman"/>
                <w:b w:val="0"/>
                <w:bCs w:val="0"/>
                <w:color w:val="auto"/>
                <w:sz w:val="24"/>
                <w:szCs w:val="24"/>
                <w:lang w:eastAsia="zh-CN"/>
              </w:rPr>
              <w:t>产生，</w:t>
            </w:r>
            <w:r>
              <w:rPr>
                <w:rFonts w:hint="default" w:ascii="Times New Roman" w:hAnsi="Times New Roman" w:cs="Times New Roman"/>
                <w:b w:val="0"/>
                <w:bCs w:val="0"/>
                <w:color w:val="auto"/>
                <w:sz w:val="24"/>
                <w:szCs w:val="24"/>
              </w:rPr>
              <w:t>针对</w:t>
            </w:r>
            <w:r>
              <w:rPr>
                <w:rFonts w:hint="default" w:ascii="Times New Roman" w:hAnsi="Times New Roman" w:cs="Times New Roman"/>
                <w:b w:val="0"/>
                <w:bCs w:val="0"/>
                <w:color w:val="auto"/>
                <w:sz w:val="24"/>
                <w:szCs w:val="24"/>
                <w:lang w:eastAsia="zh-CN"/>
              </w:rPr>
              <w:t>挤出、注塑车间</w:t>
            </w:r>
            <w:r>
              <w:rPr>
                <w:rFonts w:hint="default" w:ascii="Times New Roman" w:hAnsi="Times New Roman" w:cs="Times New Roman"/>
                <w:b w:val="0"/>
                <w:bCs w:val="0"/>
                <w:color w:val="auto"/>
                <w:sz w:val="24"/>
                <w:szCs w:val="24"/>
              </w:rPr>
              <w:t>产生的有机废气，</w:t>
            </w:r>
            <w:r>
              <w:rPr>
                <w:rFonts w:hint="default" w:ascii="Times New Roman" w:hAnsi="Times New Roman" w:cs="Times New Roman"/>
                <w:b w:val="0"/>
                <w:bCs w:val="0"/>
                <w:color w:val="auto"/>
                <w:sz w:val="24"/>
                <w:szCs w:val="24"/>
                <w:lang w:eastAsia="zh-CN"/>
              </w:rPr>
              <w:t>环评提出整改后，</w:t>
            </w:r>
            <w:r>
              <w:rPr>
                <w:rFonts w:hint="default" w:ascii="Times New Roman" w:hAnsi="Times New Roman" w:cs="Times New Roman"/>
                <w:b w:val="0"/>
                <w:bCs w:val="0"/>
                <w:color w:val="auto"/>
                <w:sz w:val="24"/>
                <w:szCs w:val="24"/>
              </w:rPr>
              <w:t>设置</w:t>
            </w:r>
            <w:r>
              <w:rPr>
                <w:rFonts w:hint="default"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rPr>
              <w:t>套有机废气处理装置</w:t>
            </w:r>
            <w:r>
              <w:rPr>
                <w:rFonts w:hint="default" w:ascii="Times New Roman" w:hAnsi="Times New Roman" w:cs="Times New Roman"/>
                <w:b w:val="0"/>
                <w:bCs w:val="0"/>
                <w:color w:val="auto"/>
                <w:sz w:val="24"/>
                <w:szCs w:val="24"/>
                <w:lang w:eastAsia="zh-CN"/>
              </w:rPr>
              <w:t>进行</w:t>
            </w:r>
            <w:r>
              <w:rPr>
                <w:rFonts w:hint="default" w:ascii="Times New Roman" w:hAnsi="Times New Roman" w:cs="Times New Roman"/>
                <w:b w:val="0"/>
                <w:bCs w:val="0"/>
                <w:color w:val="auto"/>
                <w:sz w:val="24"/>
                <w:szCs w:val="24"/>
              </w:rPr>
              <w:t>处理，</w:t>
            </w:r>
            <w:r>
              <w:rPr>
                <w:rFonts w:hint="default" w:ascii="Times New Roman" w:hAnsi="Times New Roman" w:cs="Times New Roman"/>
                <w:b w:val="0"/>
                <w:bCs w:val="0"/>
                <w:color w:val="auto"/>
                <w:sz w:val="24"/>
                <w:szCs w:val="24"/>
                <w:lang w:eastAsia="zh-CN"/>
              </w:rPr>
              <w:t>两车间有机废气</w:t>
            </w:r>
            <w:r>
              <w:rPr>
                <w:rFonts w:hint="default" w:ascii="Times New Roman" w:hAnsi="Times New Roman" w:cs="Times New Roman"/>
                <w:b w:val="0"/>
                <w:bCs w:val="0"/>
                <w:color w:val="auto"/>
                <w:sz w:val="24"/>
                <w:szCs w:val="24"/>
              </w:rPr>
              <w:t>处理后经过</w:t>
            </w:r>
            <w:r>
              <w:rPr>
                <w:rFonts w:hint="default"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rPr>
              <w:t>根高15m、Φ0.</w:t>
            </w:r>
            <w:r>
              <w:rPr>
                <w:rFonts w:hint="default" w:ascii="Times New Roman" w:hAnsi="Times New Roman" w:cs="Times New Roman"/>
                <w:b w:val="0"/>
                <w:bCs w:val="0"/>
                <w:color w:val="auto"/>
                <w:sz w:val="24"/>
                <w:szCs w:val="24"/>
                <w:lang w:val="en-US" w:eastAsia="zh-CN"/>
              </w:rPr>
              <w:t>3</w:t>
            </w:r>
            <w:r>
              <w:rPr>
                <w:rFonts w:hint="default" w:ascii="Times New Roman" w:hAnsi="Times New Roman" w:cs="Times New Roman"/>
                <w:b w:val="0"/>
                <w:bCs w:val="0"/>
                <w:color w:val="auto"/>
                <w:sz w:val="24"/>
                <w:szCs w:val="24"/>
              </w:rPr>
              <w:t>m的排气筒排气筒</w:t>
            </w:r>
            <w:r>
              <w:rPr>
                <w:rFonts w:hint="default" w:ascii="Times New Roman" w:hAnsi="Times New Roman" w:cs="Times New Roman"/>
                <w:b w:val="0"/>
                <w:bCs w:val="0"/>
                <w:color w:val="auto"/>
                <w:sz w:val="24"/>
                <w:szCs w:val="24"/>
                <w:lang w:val="en-US" w:eastAsia="zh-CN"/>
              </w:rPr>
              <w:t>(DA001)</w:t>
            </w:r>
            <w:r>
              <w:rPr>
                <w:rFonts w:hint="default" w:ascii="Times New Roman" w:hAnsi="Times New Roman" w:cs="Times New Roman"/>
                <w:b w:val="0"/>
                <w:bCs w:val="0"/>
                <w:color w:val="auto"/>
                <w:sz w:val="24"/>
                <w:szCs w:val="24"/>
              </w:rPr>
              <w:t>外排</w:t>
            </w:r>
            <w:r>
              <w:rPr>
                <w:rFonts w:hint="default" w:ascii="Times New Roman" w:hAnsi="Times New Roman" w:cs="Times New Roman"/>
                <w:b w:val="0"/>
                <w:bCs w:val="0"/>
                <w:color w:val="auto"/>
                <w:sz w:val="24"/>
                <w:szCs w:val="24"/>
                <w:lang w:eastAsia="zh-CN"/>
              </w:rPr>
              <w:t>；针对灭菌工序产生的</w:t>
            </w:r>
            <w:r>
              <w:rPr>
                <w:rFonts w:hint="default" w:ascii="Times New Roman" w:hAnsi="Times New Roman" w:eastAsia="宋体" w:cs="Times New Roman"/>
                <w:b w:val="0"/>
                <w:bCs w:val="0"/>
                <w:color w:val="auto"/>
                <w:sz w:val="24"/>
                <w:szCs w:val="24"/>
              </w:rPr>
              <w:t>VOCs</w:t>
            </w:r>
            <w:r>
              <w:rPr>
                <w:rFonts w:hint="default" w:ascii="Times New Roman" w:hAnsi="Times New Roman" w:eastAsia="宋体" w:cs="Times New Roman"/>
                <w:b w:val="0"/>
                <w:bCs w:val="0"/>
                <w:color w:val="auto"/>
                <w:sz w:val="24"/>
                <w:szCs w:val="24"/>
                <w:lang w:eastAsia="zh-CN"/>
              </w:rPr>
              <w:t>（环氧乙烷）</w:t>
            </w:r>
            <w:r>
              <w:rPr>
                <w:rFonts w:hint="default" w:ascii="Times New Roman" w:hAnsi="Times New Roman" w:eastAsia="宋体" w:cs="Times New Roman"/>
                <w:b w:val="0"/>
                <w:bCs w:val="0"/>
                <w:snapToGrid w:val="0"/>
                <w:color w:val="auto"/>
                <w:kern w:val="0"/>
                <w:sz w:val="24"/>
                <w:szCs w:val="24"/>
                <w:lang w:val="en-US" w:eastAsia="zh-CN" w:bidi="ar"/>
              </w:rPr>
              <w:t>环评提出采用稀硫酸喷淋吸收，此废气处理系统对环氧乙烷的净化效率＞95%，未吸收部分无组织排放，</w:t>
            </w:r>
            <w:r>
              <w:rPr>
                <w:rFonts w:hint="default" w:ascii="Times New Roman" w:hAnsi="Times New Roman" w:cs="Times New Roman"/>
                <w:b w:val="0"/>
                <w:bCs w:val="0"/>
                <w:color w:val="auto"/>
                <w:sz w:val="24"/>
                <w:szCs w:val="24"/>
                <w:lang w:eastAsia="zh-CN"/>
              </w:rPr>
              <w:t>项目拟</w:t>
            </w:r>
            <w:r>
              <w:rPr>
                <w:rFonts w:hint="default" w:ascii="Times New Roman" w:hAnsi="Times New Roman" w:eastAsia="宋体" w:cs="Times New Roman"/>
                <w:b w:val="0"/>
                <w:bCs w:val="0"/>
                <w:color w:val="auto"/>
                <w:sz w:val="24"/>
                <w:szCs w:val="24"/>
                <w:lang w:eastAsia="zh-CN"/>
              </w:rPr>
              <w:t>采取的污染防治措施符合</w:t>
            </w:r>
            <w:r>
              <w:rPr>
                <w:rFonts w:hint="default" w:ascii="Times New Roman" w:hAnsi="Times New Roman" w:eastAsia="宋体" w:cs="Times New Roman"/>
                <w:b w:val="0"/>
                <w:bCs w:val="0"/>
                <w:color w:val="auto"/>
                <w:sz w:val="24"/>
                <w:szCs w:val="24"/>
              </w:rPr>
              <w:t>《挥发性有机物（VOCs）污染防治技术政策》</w:t>
            </w:r>
            <w:r>
              <w:rPr>
                <w:rFonts w:hint="default" w:ascii="Times New Roman" w:hAnsi="Times New Roman" w:eastAsia="宋体" w:cs="Times New Roman"/>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val="en-US" w:eastAsia="zh-CN"/>
              </w:rPr>
              <w:t>(8)</w:t>
            </w:r>
            <w:r>
              <w:rPr>
                <w:rFonts w:hint="default" w:ascii="Times New Roman" w:hAnsi="Times New Roman" w:eastAsia="宋体" w:cs="Times New Roman"/>
                <w:b/>
                <w:color w:val="auto"/>
                <w:sz w:val="24"/>
                <w:szCs w:val="24"/>
                <w:lang w:eastAsia="zh-CN"/>
              </w:rPr>
              <w:t>与《重点行业挥发性有机物综合治理方案》（环大气（2019）53号）相符性分析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一)大力推进源头替代。企业应大力推广使用低VOCs含量木器塑料管、车辆塑料管、机械设备塑料管、集装箱塑料管以及建筑物和构筑物防护塑料管等，在技术成熟的行业，推广使用低VOCs含量油墨和胶粘剂，重点区域到2020年年底前基本完成。鼓励加快低VOCs含量塑料管、油墨、胶粘剂等研发和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(二)全面加强无组织排放控制。重点对含VOCs物料(包括含 VOCs原辅材料、含VOCs产品、含VOCs废料以及有机聚合物材料等) 储存转移和输送、设备与管线组件泄漏、敞开液面逸散以及工艺过程等五类排放源实施管控，通过采取设备与场所密闭、工艺改进、废气有效收集等措施，削减VOCs无组织排放。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(三)推进建设适宜高效的治污设施。企业新建治污设施或对现有治污设施实施改造，应依据排放废气的浓度、组分、风量，温度、湿度压力，以及生产工况等，合理选择治理技术。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(四)深入实施精细化管控。各地应围绕当地环境空气质量改善需求，根据O</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、PM</w:t>
            </w:r>
            <w:r>
              <w:rPr>
                <w:rFonts w:hint="default" w:ascii="Times New Roman" w:hAnsi="Times New Roman" w:eastAsia="宋体" w:cs="Times New Roman"/>
                <w:color w:val="auto"/>
                <w:sz w:val="24"/>
                <w:szCs w:val="24"/>
                <w:vertAlign w:val="subscript"/>
                <w:lang w:eastAsia="zh-CN"/>
              </w:rPr>
              <w:t>2</w:t>
            </w:r>
            <w:r>
              <w:rPr>
                <w:rFonts w:hint="default" w:ascii="Times New Roman" w:hAnsi="Times New Roman" w:eastAsia="宋体" w:cs="Times New Roman"/>
                <w:color w:val="auto"/>
                <w:sz w:val="24"/>
                <w:szCs w:val="24"/>
                <w:vertAlign w:val="subscript"/>
                <w:lang w:val="en-US" w:eastAsia="zh-CN"/>
              </w:rPr>
              <w:t>.</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来源解析，结合行业污染排放特征和VOCs物质光化学反应活性等，确定本地区VOCs控制的重点行业和重点污染。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本项目为卫生材料及医药用品制造，不属于</w:t>
            </w:r>
            <w:r>
              <w:rPr>
                <w:rFonts w:hint="default" w:ascii="Times New Roman" w:hAnsi="Times New Roman" w:eastAsia="宋体" w:cs="Times New Roman"/>
                <w:color w:val="auto"/>
                <w:sz w:val="24"/>
                <w:szCs w:val="24"/>
              </w:rPr>
              <w:t>《重点行业挥发性有机物综合治理方案》（环大气（2019）53号）</w:t>
            </w:r>
            <w:r>
              <w:rPr>
                <w:rFonts w:hint="default" w:ascii="Times New Roman" w:hAnsi="Times New Roman" w:eastAsia="宋体" w:cs="Times New Roman"/>
                <w:color w:val="auto"/>
                <w:sz w:val="24"/>
                <w:szCs w:val="24"/>
                <w:lang w:eastAsia="zh-CN"/>
              </w:rPr>
              <w:t>中重点行业及重点区域范围。且项目针对挥发性有机物的防治措施符合相关要求。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lang w:eastAsia="zh-CN"/>
              </w:rPr>
              <w:t>）与《云南省重点行业挥发性有机物综合治理实施方案》符合性分析</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2019年9月4日，云南省生态环境厅印发了《云南省重点行业挥发性有机物综合治理实施方案》(云环通〔2019〕125号)，对重点行业挥发性有机物的治理提出明确的实施方案，本项目不属于文件规定的重点行业，但根据本实施方案的相关要求进行对照分析，加强区域挥发性有机物的综合治理。项目与《云南省重点行业挥发性有机物综合治理实施方案》的相符性分析见表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p>
          <w:p>
            <w:pPr>
              <w:jc w:val="center"/>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表</w:t>
            </w:r>
            <w:r>
              <w:rPr>
                <w:rFonts w:hint="default" w:ascii="Times New Roman" w:hAnsi="Times New Roman" w:eastAsia="宋体" w:cs="Times New Roman"/>
                <w:b/>
                <w:bCs/>
                <w:color w:val="auto"/>
                <w:sz w:val="21"/>
                <w:szCs w:val="21"/>
                <w:lang w:val="en-US" w:eastAsia="zh-CN"/>
              </w:rPr>
              <w:t xml:space="preserve">1-7 </w:t>
            </w:r>
            <w:r>
              <w:rPr>
                <w:rFonts w:hint="default" w:ascii="Times New Roman" w:hAnsi="Times New Roman" w:eastAsia="宋体" w:cs="Times New Roman"/>
                <w:b/>
                <w:bCs/>
                <w:color w:val="auto"/>
                <w:sz w:val="21"/>
                <w:szCs w:val="21"/>
                <w:lang w:eastAsia="zh-CN"/>
              </w:rPr>
              <w:t>与《云南省重点行业挥发性有机物综合治理实施方案》的相符性分析</w:t>
            </w:r>
          </w:p>
          <w:tbl>
            <w:tblPr>
              <w:tblStyle w:val="26"/>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4"/>
              <w:gridCol w:w="427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lang w:eastAsia="zh-CN"/>
                    </w:rPr>
                    <w:t>《云南省重点行业挥发性有机物综合治理实施方案》</w:t>
                  </w:r>
                </w:p>
              </w:tc>
              <w:tc>
                <w:tcPr>
                  <w:tcW w:w="4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本项目</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4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项目己采取含VOCs物料(包括含VOCs原辅材料、含VOCs产品、含VOCs废料以及有机聚合物材料等)储存、转移和输送、设备与管线组件泄漏、敞开液面逸散以及工艺过程等五类排放源实施管控，</w:t>
                  </w:r>
                  <w:r>
                    <w:rPr>
                      <w:rFonts w:hint="default" w:ascii="Times New Roman" w:hAnsi="Times New Roman" w:eastAsia="宋体" w:cs="Times New Roman"/>
                      <w:b w:val="0"/>
                      <w:bCs w:val="0"/>
                      <w:color w:val="auto"/>
                      <w:sz w:val="21"/>
                      <w:szCs w:val="21"/>
                    </w:rPr>
                    <w:t>针对</w:t>
                  </w:r>
                  <w:r>
                    <w:rPr>
                      <w:rFonts w:hint="default" w:ascii="Times New Roman" w:hAnsi="Times New Roman" w:eastAsia="宋体" w:cs="Times New Roman"/>
                      <w:b w:val="0"/>
                      <w:bCs w:val="0"/>
                      <w:color w:val="auto"/>
                      <w:sz w:val="21"/>
                      <w:szCs w:val="21"/>
                      <w:lang w:eastAsia="zh-CN"/>
                    </w:rPr>
                    <w:t>挤出、注塑车间</w:t>
                  </w:r>
                  <w:r>
                    <w:rPr>
                      <w:rFonts w:hint="default" w:ascii="Times New Roman" w:hAnsi="Times New Roman" w:eastAsia="宋体" w:cs="Times New Roman"/>
                      <w:b w:val="0"/>
                      <w:bCs w:val="0"/>
                      <w:color w:val="auto"/>
                      <w:sz w:val="21"/>
                      <w:szCs w:val="21"/>
                    </w:rPr>
                    <w:t>产生的有机废气，</w:t>
                  </w:r>
                  <w:r>
                    <w:rPr>
                      <w:rFonts w:hint="default" w:ascii="Times New Roman" w:hAnsi="Times New Roman" w:eastAsia="宋体" w:cs="Times New Roman"/>
                      <w:b w:val="0"/>
                      <w:bCs w:val="0"/>
                      <w:color w:val="auto"/>
                      <w:sz w:val="21"/>
                      <w:szCs w:val="21"/>
                      <w:lang w:eastAsia="zh-CN"/>
                    </w:rPr>
                    <w:t>环评提出整改后，</w:t>
                  </w:r>
                  <w:r>
                    <w:rPr>
                      <w:rFonts w:hint="default" w:ascii="Times New Roman" w:hAnsi="Times New Roman" w:eastAsia="宋体" w:cs="Times New Roman"/>
                      <w:b w:val="0"/>
                      <w:bCs w:val="0"/>
                      <w:color w:val="auto"/>
                      <w:sz w:val="21"/>
                      <w:szCs w:val="21"/>
                    </w:rPr>
                    <w:t>设置</w:t>
                  </w: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套有机废气处理装置</w:t>
                  </w:r>
                  <w:r>
                    <w:rPr>
                      <w:rFonts w:hint="default" w:ascii="Times New Roman" w:hAnsi="Times New Roman" w:eastAsia="宋体" w:cs="Times New Roman"/>
                      <w:b w:val="0"/>
                      <w:bCs w:val="0"/>
                      <w:color w:val="auto"/>
                      <w:sz w:val="21"/>
                      <w:szCs w:val="21"/>
                      <w:lang w:eastAsia="zh-CN"/>
                    </w:rPr>
                    <w:t>进行</w:t>
                  </w:r>
                  <w:r>
                    <w:rPr>
                      <w:rFonts w:hint="default" w:ascii="Times New Roman" w:hAnsi="Times New Roman" w:eastAsia="宋体" w:cs="Times New Roman"/>
                      <w:b w:val="0"/>
                      <w:bCs w:val="0"/>
                      <w:color w:val="auto"/>
                      <w:sz w:val="21"/>
                      <w:szCs w:val="21"/>
                    </w:rPr>
                    <w:t>处理，</w:t>
                  </w:r>
                  <w:r>
                    <w:rPr>
                      <w:rFonts w:hint="default" w:ascii="Times New Roman" w:hAnsi="Times New Roman" w:eastAsia="宋体" w:cs="Times New Roman"/>
                      <w:b w:val="0"/>
                      <w:bCs w:val="0"/>
                      <w:color w:val="auto"/>
                      <w:sz w:val="21"/>
                      <w:szCs w:val="21"/>
                      <w:lang w:eastAsia="zh-CN"/>
                    </w:rPr>
                    <w:t>两车间有机废气</w:t>
                  </w:r>
                  <w:r>
                    <w:rPr>
                      <w:rFonts w:hint="default" w:ascii="Times New Roman" w:hAnsi="Times New Roman" w:eastAsia="宋体" w:cs="Times New Roman"/>
                      <w:b w:val="0"/>
                      <w:bCs w:val="0"/>
                      <w:color w:val="auto"/>
                      <w:sz w:val="21"/>
                      <w:szCs w:val="21"/>
                    </w:rPr>
                    <w:t>处理后经过</w:t>
                  </w: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根高15m、Φ0.</w:t>
                  </w:r>
                  <w:r>
                    <w:rPr>
                      <w:rFonts w:hint="default" w:ascii="Times New Roman" w:hAnsi="Times New Roman" w:eastAsia="宋体"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m的排气筒排气筒</w:t>
                  </w:r>
                  <w:r>
                    <w:rPr>
                      <w:rFonts w:hint="default" w:ascii="Times New Roman" w:hAnsi="Times New Roman" w:eastAsia="宋体" w:cs="Times New Roman"/>
                      <w:b w:val="0"/>
                      <w:bCs w:val="0"/>
                      <w:color w:val="auto"/>
                      <w:sz w:val="21"/>
                      <w:szCs w:val="21"/>
                      <w:lang w:val="en-US" w:eastAsia="zh-CN"/>
                    </w:rPr>
                    <w:t>(DA001)</w:t>
                  </w:r>
                  <w:r>
                    <w:rPr>
                      <w:rFonts w:hint="default" w:ascii="Times New Roman" w:hAnsi="Times New Roman" w:eastAsia="宋体" w:cs="Times New Roman"/>
                      <w:b w:val="0"/>
                      <w:bCs w:val="0"/>
                      <w:color w:val="auto"/>
                      <w:sz w:val="21"/>
                      <w:szCs w:val="21"/>
                    </w:rPr>
                    <w:t>外排</w:t>
                  </w:r>
                  <w:r>
                    <w:rPr>
                      <w:rFonts w:hint="default" w:ascii="Times New Roman" w:hAnsi="Times New Roman" w:eastAsia="宋体" w:cs="Times New Roman"/>
                      <w:b w:val="0"/>
                      <w:bCs w:val="0"/>
                      <w:color w:val="auto"/>
                      <w:sz w:val="21"/>
                      <w:szCs w:val="21"/>
                      <w:lang w:eastAsia="zh-CN"/>
                    </w:rPr>
                    <w:t>；针对灭菌工序产生的</w:t>
                  </w:r>
                  <w:r>
                    <w:rPr>
                      <w:rFonts w:hint="default" w:ascii="Times New Roman" w:hAnsi="Times New Roman" w:eastAsia="宋体" w:cs="Times New Roman"/>
                      <w:b w:val="0"/>
                      <w:bCs w:val="0"/>
                      <w:color w:val="auto"/>
                      <w:sz w:val="21"/>
                      <w:szCs w:val="21"/>
                    </w:rPr>
                    <w:t>VOCs</w:t>
                  </w:r>
                  <w:r>
                    <w:rPr>
                      <w:rFonts w:hint="default" w:ascii="Times New Roman" w:hAnsi="Times New Roman" w:eastAsia="宋体" w:cs="Times New Roman"/>
                      <w:b w:val="0"/>
                      <w:bCs w:val="0"/>
                      <w:color w:val="auto"/>
                      <w:sz w:val="21"/>
                      <w:szCs w:val="21"/>
                      <w:lang w:eastAsia="zh-CN"/>
                    </w:rPr>
                    <w:t>（环氧乙烷），</w:t>
                  </w:r>
                  <w:r>
                    <w:rPr>
                      <w:rFonts w:hint="default" w:ascii="Times New Roman" w:hAnsi="Times New Roman" w:eastAsia="宋体" w:cs="Times New Roman"/>
                      <w:b w:val="0"/>
                      <w:bCs w:val="0"/>
                      <w:snapToGrid w:val="0"/>
                      <w:color w:val="auto"/>
                      <w:kern w:val="0"/>
                      <w:sz w:val="21"/>
                      <w:szCs w:val="21"/>
                      <w:lang w:val="en-US" w:eastAsia="zh-CN" w:bidi="ar"/>
                    </w:rPr>
                    <w:t>环评提出采用稀硫酸喷淋吸收，此废气处理系统对环氧乙烷的净化效率＞95%，未吸收部分无组织排放，</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4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对塑化工序产生的有机废气，环评提出</w:t>
                  </w:r>
                  <w:r>
                    <w:rPr>
                      <w:rFonts w:hint="default" w:ascii="Times New Roman" w:hAnsi="Times New Roman" w:eastAsia="宋体" w:cs="Times New Roman"/>
                      <w:color w:val="auto"/>
                      <w:sz w:val="21"/>
                      <w:szCs w:val="21"/>
                    </w:rPr>
                    <w:t>对塑化出口处设置1个集气罩，将有机废气</w:t>
                  </w:r>
                  <w:r>
                    <w:rPr>
                      <w:rFonts w:hint="default" w:ascii="Times New Roman" w:hAnsi="Times New Roman" w:eastAsia="宋体" w:cs="Times New Roman"/>
                      <w:color w:val="auto"/>
                      <w:sz w:val="21"/>
                      <w:szCs w:val="21"/>
                      <w:lang w:eastAsia="zh-CN"/>
                    </w:rPr>
                    <w:t>进行</w:t>
                  </w:r>
                  <w:r>
                    <w:rPr>
                      <w:rFonts w:hint="default" w:ascii="Times New Roman" w:hAnsi="Times New Roman" w:eastAsia="宋体" w:cs="Times New Roman"/>
                      <w:color w:val="auto"/>
                      <w:sz w:val="21"/>
                      <w:szCs w:val="21"/>
                    </w:rPr>
                    <w:t>收集，集气罩的集气风量为5000m³/h，集气效率不低于80%</w:t>
                  </w:r>
                  <w:r>
                    <w:rPr>
                      <w:rFonts w:hint="default" w:ascii="Times New Roman" w:hAnsi="Times New Roman" w:eastAsia="宋体" w:cs="Times New Roman"/>
                      <w:color w:val="auto"/>
                      <w:sz w:val="21"/>
                      <w:szCs w:val="21"/>
                      <w:lang w:eastAsia="zh-CN"/>
                    </w:rPr>
                    <w:t>。设置的风量满足要求。</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(9)与《中共昆</w:t>
            </w:r>
            <w:r>
              <w:rPr>
                <w:rFonts w:hint="default" w:ascii="Times New Roman" w:hAnsi="Times New Roman" w:eastAsia="宋体" w:cs="Times New Roman"/>
                <w:b/>
                <w:color w:val="auto"/>
                <w:sz w:val="24"/>
                <w:szCs w:val="24"/>
              </w:rPr>
              <w:t>明市委  昆明市人民政府关于加快开发区及产业园区高质量发展的意见》（昆发【2021】12号）符合性分析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根据《中共昆明市委  昆明市人民政府关于加快开发区及产业园区高质量发展的意见》（昆发【2021】12号）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4"/>
                <w:szCs w:val="24"/>
                <w:lang w:eastAsia="zh-CN"/>
              </w:rPr>
              <w:t>根据调查，</w:t>
            </w:r>
            <w:r>
              <w:rPr>
                <w:rFonts w:hint="default" w:ascii="Times New Roman" w:hAnsi="Times New Roman" w:eastAsia="宋体" w:cs="Times New Roman"/>
                <w:color w:val="auto"/>
                <w:sz w:val="24"/>
                <w:szCs w:val="24"/>
              </w:rPr>
              <w:t>该项目</w:t>
            </w:r>
            <w:r>
              <w:rPr>
                <w:rFonts w:hint="default" w:ascii="Times New Roman" w:hAnsi="Times New Roman" w:eastAsia="宋体" w:cs="Times New Roman"/>
                <w:color w:val="auto"/>
                <w:sz w:val="24"/>
                <w:szCs w:val="24"/>
                <w:lang w:eastAsia="zh-CN"/>
              </w:rPr>
              <w:t>已</w:t>
            </w:r>
            <w:r>
              <w:rPr>
                <w:rFonts w:hint="default" w:ascii="Times New Roman" w:hAnsi="Times New Roman" w:eastAsia="宋体" w:cs="Times New Roman"/>
                <w:color w:val="auto"/>
                <w:sz w:val="24"/>
                <w:szCs w:val="24"/>
              </w:rPr>
              <w:t>取得昆明市东川区发展和改革局下发的《投资项目备案证》（项目代码为：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-04-01-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，因此本项目与该意见不冲突。</w:t>
            </w: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4"/>
              <w:rPr>
                <w:rFonts w:hint="default" w:ascii="Times New Roman" w:hAnsi="Times New Roman" w:cs="Times New Roman"/>
                <w:color w:val="auto"/>
              </w:rPr>
            </w:pPr>
          </w:p>
        </w:tc>
      </w:tr>
    </w:tbl>
    <w:p>
      <w:pPr>
        <w:rPr>
          <w:rFonts w:hint="default" w:ascii="Times New Roman" w:hAnsi="Times New Roman" w:eastAsia="宋体" w:cs="Times New Roman"/>
          <w:b/>
          <w:color w:val="auto"/>
          <w:sz w:val="28"/>
          <w:szCs w:val="20"/>
        </w:rPr>
        <w:sectPr>
          <w:footerReference r:id="rId3" w:type="default"/>
          <w:pgSz w:w="11906" w:h="16838"/>
          <w:pgMar w:top="1440" w:right="1797" w:bottom="1440" w:left="1797" w:header="851" w:footer="992" w:gutter="0"/>
          <w:cols w:space="425" w:num="1"/>
          <w:docGrid w:type="lines" w:linePitch="312" w:charSpace="0"/>
        </w:sectPr>
      </w:pPr>
      <w:r>
        <w:rPr>
          <w:rFonts w:hint="default" w:ascii="Times New Roman" w:hAnsi="Times New Roman" w:eastAsia="宋体" w:cs="Times New Roman"/>
          <w:b/>
          <w:color w:val="auto"/>
          <w:sz w:val="28"/>
          <w:szCs w:val="20"/>
        </w:rPr>
        <w:br w:type="page"/>
      </w:r>
    </w:p>
    <w:p>
      <w:pPr>
        <w:spacing w:line="360" w:lineRule="auto"/>
        <w:jc w:val="center"/>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rPr>
        <w:t>二、建设项目工程分析</w:t>
      </w:r>
    </w:p>
    <w:tbl>
      <w:tblPr>
        <w:tblStyle w:val="2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22"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建设内容</w:t>
            </w:r>
          </w:p>
        </w:tc>
        <w:tc>
          <w:tcPr>
            <w:tcW w:w="8834" w:type="dxa"/>
          </w:tcPr>
          <w:p>
            <w:pPr>
              <w:autoSpaceDE w:val="0"/>
              <w:autoSpaceDN w:val="0"/>
              <w:spacing w:line="360" w:lineRule="auto"/>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为引导东川产业发展方式由资源型向创新型转变，同时加快生物医药产业的转型升级，东川区人民政府引进云南康帆医疗器械有限公司东川分公司在东川区铜都街道办事处碧谷小新村建设云南康帆医疗器械有限公司东川分公司康帆医疗器械生产基地项目。该项目已于2018年10月19日取得东川区发展和改革局下发的《投资项目备案证》（项目代码：2018-</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-35-03-</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highlight w:val="none"/>
                <w:lang w:eastAsia="zh-CN"/>
              </w:rPr>
              <w:t>并于</w:t>
            </w:r>
            <w:r>
              <w:rPr>
                <w:rFonts w:hint="default" w:ascii="Times New Roman" w:hAnsi="Times New Roman" w:eastAsia="宋体" w:cs="Times New Roman"/>
                <w:bCs/>
                <w:color w:val="auto"/>
                <w:sz w:val="24"/>
                <w:szCs w:val="24"/>
                <w:highlight w:val="none"/>
                <w:lang w:val="en-US" w:eastAsia="zh-CN"/>
              </w:rPr>
              <w:t>2018年12月12取得昆明市生态环境局东川分局（原昆明市东川区环境保护局）关于对《云南康帆医疗器械有限公司东川分公司康帆医疗器械生产基地环境影响报告表》的批复东环保复〔2018〕42号。但该项目环评仅包含厂房、办公楼及生活配套设施。</w:t>
            </w:r>
          </w:p>
          <w:p>
            <w:pPr>
              <w:autoSpaceDE w:val="0"/>
              <w:autoSpaceDN w:val="0"/>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为完善“</w:t>
            </w:r>
            <w:r>
              <w:rPr>
                <w:rFonts w:hint="default" w:ascii="Times New Roman" w:hAnsi="Times New Roman" w:eastAsia="宋体" w:cs="Times New Roman"/>
                <w:bCs/>
                <w:color w:val="auto"/>
                <w:sz w:val="24"/>
                <w:szCs w:val="24"/>
                <w:highlight w:val="none"/>
                <w:lang w:val="en-US" w:eastAsia="zh-CN"/>
              </w:rPr>
              <w:t>云南康帆医疗器械有限公司东川分公司康帆医疗器械生产基地项目</w:t>
            </w:r>
            <w:r>
              <w:rPr>
                <w:rFonts w:hint="default" w:ascii="Times New Roman" w:hAnsi="Times New Roman" w:eastAsia="宋体" w:cs="Times New Roman"/>
                <w:bCs/>
                <w:color w:val="auto"/>
                <w:sz w:val="24"/>
                <w:szCs w:val="24"/>
                <w:lang w:eastAsia="zh-CN"/>
              </w:rPr>
              <w:t>”的服务功能，</w:t>
            </w:r>
            <w:r>
              <w:rPr>
                <w:rFonts w:hint="default" w:ascii="Times New Roman" w:hAnsi="Times New Roman" w:eastAsia="宋体" w:cs="Times New Roman"/>
                <w:bCs/>
                <w:color w:val="auto"/>
                <w:sz w:val="24"/>
                <w:szCs w:val="24"/>
              </w:rPr>
              <w:t>云南康帆医疗器械有限公司东川分公司</w:t>
            </w:r>
            <w:r>
              <w:rPr>
                <w:rFonts w:hint="default" w:ascii="Times New Roman" w:hAnsi="Times New Roman" w:eastAsia="宋体" w:cs="Times New Roman"/>
                <w:bCs/>
                <w:color w:val="auto"/>
                <w:sz w:val="24"/>
                <w:szCs w:val="24"/>
                <w:lang w:eastAsia="zh-CN"/>
              </w:rPr>
              <w:t>拟</w:t>
            </w:r>
            <w:r>
              <w:rPr>
                <w:rFonts w:hint="default" w:ascii="Times New Roman" w:hAnsi="Times New Roman" w:eastAsia="宋体" w:cs="Times New Roman"/>
                <w:bCs/>
                <w:color w:val="auto"/>
                <w:sz w:val="24"/>
                <w:szCs w:val="24"/>
              </w:rPr>
              <w:t>在</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highlight w:val="none"/>
                <w:lang w:val="en-US" w:eastAsia="zh-CN"/>
              </w:rPr>
              <w:t>云南康帆医疗器械有限公司东川分公司康帆医疗器械生产基地项目</w:t>
            </w:r>
            <w:r>
              <w:rPr>
                <w:rFonts w:hint="default" w:ascii="Times New Roman" w:hAnsi="Times New Roman" w:eastAsia="宋体" w:cs="Times New Roman"/>
                <w:bCs/>
                <w:color w:val="auto"/>
                <w:sz w:val="24"/>
                <w:szCs w:val="24"/>
                <w:lang w:eastAsia="zh-CN"/>
              </w:rPr>
              <w:t>”已建设的厂房内新建</w:t>
            </w:r>
            <w:r>
              <w:rPr>
                <w:rFonts w:hint="default" w:ascii="Times New Roman" w:hAnsi="Times New Roman" w:eastAsia="宋体" w:cs="Times New Roman"/>
                <w:color w:val="auto"/>
                <w:sz w:val="24"/>
                <w:szCs w:val="24"/>
                <w:lang w:val="en-US" w:eastAsia="zh-CN"/>
              </w:rPr>
              <w:t>卫生材料生产线，即“</w:t>
            </w:r>
            <w:r>
              <w:rPr>
                <w:rFonts w:hint="default" w:ascii="Times New Roman" w:hAnsi="Times New Roman" w:eastAsia="宋体" w:cs="Times New Roman"/>
                <w:bCs/>
                <w:color w:val="auto"/>
                <w:sz w:val="24"/>
                <w:szCs w:val="24"/>
                <w:lang w:eastAsia="zh-CN"/>
              </w:rPr>
              <w:t>云南康帆医疗器械有限公司东川分公司一类、二类医疗器械生产线建设</w:t>
            </w:r>
            <w:r>
              <w:rPr>
                <w:rFonts w:hint="default" w:ascii="Times New Roman" w:hAnsi="Times New Roman" w:eastAsia="宋体" w:cs="Times New Roman"/>
                <w:bCs/>
                <w:color w:val="auto"/>
                <w:sz w:val="24"/>
                <w:szCs w:val="24"/>
              </w:rPr>
              <w:t>项目</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Cs/>
                <w:color w:val="auto"/>
                <w:sz w:val="24"/>
                <w:szCs w:val="24"/>
              </w:rPr>
              <w:t>。该项目</w:t>
            </w:r>
            <w:r>
              <w:rPr>
                <w:rFonts w:hint="default" w:ascii="Times New Roman" w:hAnsi="Times New Roman" w:eastAsia="宋体" w:cs="Times New Roman"/>
                <w:bCs/>
                <w:color w:val="auto"/>
                <w:sz w:val="24"/>
                <w:szCs w:val="24"/>
                <w:lang w:eastAsia="zh-CN"/>
              </w:rPr>
              <w:t>已</w:t>
            </w:r>
            <w:r>
              <w:rPr>
                <w:rFonts w:hint="default" w:ascii="Times New Roman" w:hAnsi="Times New Roman" w:eastAsia="宋体" w:cs="Times New Roman"/>
                <w:bCs/>
                <w:color w:val="auto"/>
                <w:sz w:val="24"/>
                <w:szCs w:val="24"/>
              </w:rPr>
              <w:t>取得东川区发展和改革局下发的《投资项目备案证》（项目代码：</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-04-01-</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w:t>
            </w:r>
          </w:p>
          <w:p>
            <w:pPr>
              <w:autoSpaceDE w:val="0"/>
              <w:autoSpaceDN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按照《中华人民共和国环境保护法》和《中华人民共和国环境影响评价法》等相关法律法规的规定，建设项目应办理环境影响评价手续，根据《建设项目环境影响评价分类管理名录》（</w:t>
            </w:r>
            <w:r>
              <w:rPr>
                <w:rFonts w:hint="default" w:ascii="Times New Roman" w:hAnsi="Times New Roman" w:eastAsia="宋体" w:cs="Times New Roman"/>
                <w:bCs/>
                <w:color w:val="auto"/>
                <w:sz w:val="24"/>
                <w:szCs w:val="24"/>
                <w:lang w:eastAsia="zh-CN"/>
              </w:rPr>
              <w:t>部令第16号</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eastAsia="zh-CN"/>
              </w:rPr>
              <w:t>卫生材料及医药用品制造277”</w:t>
            </w:r>
            <w:r>
              <w:rPr>
                <w:rFonts w:hint="default" w:ascii="Times New Roman" w:hAnsi="Times New Roman" w:eastAsia="宋体" w:cs="Times New Roman"/>
                <w:bCs/>
                <w:color w:val="auto"/>
                <w:sz w:val="24"/>
                <w:szCs w:val="24"/>
              </w:rPr>
              <w:t>应编制环境</w:t>
            </w:r>
            <w:r>
              <w:rPr>
                <w:rFonts w:hint="default" w:ascii="Times New Roman" w:hAnsi="Times New Roman" w:eastAsia="宋体" w:cs="Times New Roman"/>
                <w:bCs/>
                <w:color w:val="auto"/>
                <w:sz w:val="24"/>
                <w:szCs w:val="24"/>
                <w:lang w:eastAsia="zh-CN"/>
              </w:rPr>
              <w:t>影响</w:t>
            </w:r>
            <w:r>
              <w:rPr>
                <w:rFonts w:hint="default" w:ascii="Times New Roman" w:hAnsi="Times New Roman" w:eastAsia="宋体" w:cs="Times New Roman"/>
                <w:bCs/>
                <w:color w:val="auto"/>
                <w:sz w:val="24"/>
                <w:szCs w:val="24"/>
              </w:rPr>
              <w:t>报告表。根据《投资项目备案证》（项目代码：</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-04-01-</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eastAsia="zh-CN"/>
              </w:rPr>
              <w:t>项目主要建设</w:t>
            </w:r>
            <w:r>
              <w:rPr>
                <w:rFonts w:hint="default" w:ascii="Times New Roman" w:hAnsi="Times New Roman" w:eastAsia="宋体" w:cs="Times New Roman"/>
                <w:bCs/>
                <w:color w:val="auto"/>
                <w:sz w:val="24"/>
                <w:szCs w:val="24"/>
              </w:rPr>
              <w:t>一类、二类医疗器械生产线</w:t>
            </w:r>
            <w:r>
              <w:rPr>
                <w:rFonts w:hint="default" w:ascii="Times New Roman" w:hAnsi="Times New Roman" w:eastAsia="宋体" w:cs="Times New Roman"/>
                <w:bCs/>
                <w:color w:val="auto"/>
                <w:sz w:val="24"/>
                <w:szCs w:val="24"/>
                <w:lang w:eastAsia="zh-CN"/>
              </w:rPr>
              <w:t>，项目主要生产口罩、防护服、氧气面罩等医疗器械等物资</w:t>
            </w:r>
            <w:r>
              <w:rPr>
                <w:rFonts w:hint="default" w:ascii="Times New Roman" w:hAnsi="Times New Roman" w:eastAsia="宋体" w:cs="Times New Roman"/>
                <w:bCs/>
                <w:color w:val="auto"/>
                <w:sz w:val="24"/>
                <w:szCs w:val="24"/>
                <w:lang w:val="en-US" w:eastAsia="zh-CN"/>
              </w:rPr>
              <w:t>，于2022年7月建成，属于疫情防控期间医疗物资生产项目，根据昆明市生态环境局关于印发《服务经济社会发展 助推项目建设的若干措施》的通知（昆生环通〔2022〕7号）中第十条，对疫情防控期间相关医疗生产、物资生产研究试验三类项目特事特办，可以先行建设，后补办手续。</w:t>
            </w:r>
          </w:p>
          <w:p>
            <w:pPr>
              <w:autoSpaceDE w:val="0"/>
              <w:autoSpaceDN w:val="0"/>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Cs/>
                <w:color w:val="auto"/>
                <w:sz w:val="24"/>
                <w:szCs w:val="24"/>
                <w:lang w:eastAsia="zh-CN"/>
              </w:rPr>
              <w:t>因此，2023年</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eastAsia="zh-CN"/>
              </w:rPr>
              <w:t>月</w:t>
            </w:r>
            <w:r>
              <w:rPr>
                <w:rFonts w:hint="default" w:ascii="Times New Roman" w:hAnsi="Times New Roman" w:eastAsia="宋体" w:cs="Times New Roman"/>
                <w:bCs/>
                <w:color w:val="auto"/>
                <w:sz w:val="24"/>
                <w:szCs w:val="24"/>
              </w:rPr>
              <w:t>云南康帆医疗器械有限公司东川分公司委托</w:t>
            </w:r>
            <w:r>
              <w:rPr>
                <w:rFonts w:hint="default" w:ascii="Times New Roman" w:hAnsi="Times New Roman" w:eastAsia="宋体" w:cs="Times New Roman"/>
                <w:bCs/>
                <w:color w:val="auto"/>
                <w:sz w:val="24"/>
                <w:szCs w:val="24"/>
                <w:lang w:eastAsia="zh-CN"/>
              </w:rPr>
              <w:t>我公司（云南境清环保咨询有限公司）</w:t>
            </w:r>
            <w:r>
              <w:rPr>
                <w:rFonts w:hint="default" w:ascii="Times New Roman" w:hAnsi="Times New Roman" w:eastAsia="宋体" w:cs="Times New Roman"/>
                <w:bCs/>
                <w:color w:val="auto"/>
                <w:sz w:val="24"/>
                <w:szCs w:val="24"/>
              </w:rPr>
              <w:t>对</w:t>
            </w:r>
            <w:r>
              <w:rPr>
                <w:rFonts w:hint="default" w:ascii="Times New Roman" w:hAnsi="Times New Roman" w:eastAsia="宋体" w:cs="Times New Roman"/>
                <w:bCs/>
                <w:color w:val="auto"/>
                <w:sz w:val="24"/>
                <w:szCs w:val="24"/>
                <w:lang w:eastAsia="zh-CN"/>
              </w:rPr>
              <w:t>云南康帆医疗器械有限公司东川分公司一类、二类医疗器械生产线建设项目</w:t>
            </w:r>
            <w:r>
              <w:rPr>
                <w:rFonts w:hint="default" w:ascii="Times New Roman" w:hAnsi="Times New Roman" w:eastAsia="宋体" w:cs="Times New Roman"/>
                <w:bCs/>
                <w:color w:val="auto"/>
                <w:sz w:val="24"/>
                <w:szCs w:val="24"/>
              </w:rPr>
              <w:t>进行环境影响评价</w:t>
            </w:r>
            <w:r>
              <w:rPr>
                <w:rFonts w:hint="default" w:ascii="Times New Roman" w:hAnsi="Times New Roman" w:eastAsia="宋体" w:cs="Times New Roman"/>
                <w:bCs/>
                <w:color w:val="auto"/>
                <w:sz w:val="24"/>
                <w:szCs w:val="24"/>
                <w:lang w:eastAsia="zh-CN"/>
              </w:rPr>
              <w:t>，补办环评手续，我公司</w:t>
            </w:r>
            <w:r>
              <w:rPr>
                <w:rFonts w:hint="default" w:ascii="Times New Roman" w:hAnsi="Times New Roman" w:eastAsia="宋体" w:cs="Times New Roman"/>
                <w:bCs/>
                <w:color w:val="auto"/>
                <w:sz w:val="24"/>
                <w:szCs w:val="24"/>
              </w:rPr>
              <w:t>在接受委托后，对现场进行了踏勘和资料收集，在对项目特点和环境影响因素进行分析的基础上，根据国家、云南省环境保护有关的法律法规及环评有关技术规范要求，编制了《</w:t>
            </w:r>
            <w:r>
              <w:rPr>
                <w:rFonts w:hint="default" w:ascii="Times New Roman" w:hAnsi="Times New Roman" w:eastAsia="宋体" w:cs="Times New Roman"/>
                <w:bCs/>
                <w:color w:val="auto"/>
                <w:sz w:val="24"/>
                <w:szCs w:val="24"/>
                <w:lang w:eastAsia="zh-CN"/>
              </w:rPr>
              <w:t>云南康帆医疗器械有限公司东川分公司一类、二类医疗器械生产线建设项目</w:t>
            </w:r>
            <w:r>
              <w:rPr>
                <w:rFonts w:hint="default" w:ascii="Times New Roman" w:hAnsi="Times New Roman" w:eastAsia="宋体" w:cs="Times New Roman"/>
                <w:bCs/>
                <w:color w:val="auto"/>
                <w:sz w:val="24"/>
                <w:szCs w:val="24"/>
              </w:rPr>
              <w:t>环境影响报告表</w:t>
            </w:r>
            <w:r>
              <w:rPr>
                <w:rFonts w:hint="default" w:ascii="Times New Roman" w:hAnsi="Times New Roman" w:eastAsia="宋体" w:cs="Times New Roman"/>
                <w:bCs/>
                <w:color w:val="auto"/>
                <w:sz w:val="24"/>
                <w:szCs w:val="24"/>
                <w:lang w:eastAsia="zh-CN"/>
              </w:rPr>
              <w:t>》</w:t>
            </w:r>
            <w:r>
              <w:rPr>
                <w:rFonts w:hint="default" w:ascii="Times New Roman" w:hAnsi="Times New Roman" w:cs="Times New Roman"/>
                <w:color w:val="auto"/>
                <w:sz w:val="24"/>
                <w:szCs w:val="24"/>
                <w:lang w:eastAsia="zh-CN"/>
              </w:rPr>
              <w:t>供建设单位上报审批</w:t>
            </w:r>
            <w:r>
              <w:rPr>
                <w:rFonts w:hint="default" w:ascii="Times New Roman" w:hAnsi="Times New Roman" w:cs="Times New Roman" w:eastAsiaTheme="minorEastAsia"/>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2.1 建设内容及规模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yellow"/>
              </w:rPr>
            </w:pPr>
            <w:r>
              <w:rPr>
                <w:rFonts w:hint="default" w:ascii="Times New Roman" w:hAnsi="Times New Roman" w:eastAsia="宋体" w:cs="Times New Roman"/>
                <w:b/>
                <w:color w:val="auto"/>
                <w:sz w:val="24"/>
                <w:szCs w:val="24"/>
                <w:highlight w:val="none"/>
              </w:rPr>
              <w:t>（1）建设规模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本项目主要为一类医疗器械（卫生材料）的生产（主要包含纱布绷带、绑扎胶布、医用固定带、医用隔离鞋套、隔离面罩、隔离眼罩的生产）以及二类医疗器械（卫生材料）的生产（主要包含医用外科口罩、医用防护口罩、医用一次性防护服、一次性使用手术单、一次性手术衣帽、洞巾、一次性使用氧气雾化器、一次性使用医用棉签、一次性医用敷料包（无菌缝合包、无菌换药包、无菌手术包）等的生产），视市场情况而定，具体产品方案见表2.3.1-1</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（2）建设内容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该项目使用已建成的厂房、</w:t>
            </w:r>
            <w:r>
              <w:rPr>
                <w:rFonts w:hint="default" w:ascii="Times New Roman" w:hAnsi="Times New Roman" w:eastAsia="宋体" w:cs="Times New Roman"/>
                <w:bCs/>
                <w:color w:val="auto"/>
                <w:sz w:val="24"/>
                <w:szCs w:val="24"/>
              </w:rPr>
              <w:t>综合楼等土建工程建设</w:t>
            </w:r>
            <w:r>
              <w:rPr>
                <w:rFonts w:hint="default" w:ascii="Times New Roman" w:hAnsi="Times New Roman" w:eastAsia="宋体" w:cs="Times New Roman"/>
                <w:bCs/>
                <w:color w:val="auto"/>
                <w:sz w:val="24"/>
                <w:szCs w:val="24"/>
                <w:lang w:eastAsia="zh-CN"/>
              </w:rPr>
              <w:t>，已建成厂房的</w:t>
            </w:r>
            <w:r>
              <w:rPr>
                <w:rFonts w:hint="default" w:ascii="Times New Roman" w:hAnsi="Times New Roman" w:eastAsia="宋体" w:cs="Times New Roman"/>
                <w:bCs/>
                <w:color w:val="auto"/>
                <w:sz w:val="24"/>
                <w:szCs w:val="24"/>
              </w:rPr>
              <w:t>用地面积为13342.33m²，建筑面积为12956.61m²</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本项目的建设</w:t>
            </w:r>
            <w:r>
              <w:rPr>
                <w:rFonts w:hint="default" w:ascii="Times New Roman" w:hAnsi="Times New Roman" w:eastAsia="宋体" w:cs="Times New Roman"/>
                <w:color w:val="auto"/>
                <w:sz w:val="24"/>
                <w:szCs w:val="24"/>
              </w:rPr>
              <w:t>不对生产厂区、办公区和生活区等基础设施进行改造，仅在</w:t>
            </w:r>
            <w:r>
              <w:rPr>
                <w:rFonts w:hint="default" w:ascii="Times New Roman" w:hAnsi="Times New Roman" w:eastAsia="宋体" w:cs="Times New Roman"/>
                <w:color w:val="auto"/>
                <w:sz w:val="24"/>
                <w:szCs w:val="24"/>
                <w:lang w:eastAsia="zh-CN"/>
              </w:rPr>
              <w:t>已建</w:t>
            </w:r>
            <w:r>
              <w:rPr>
                <w:rFonts w:hint="default" w:ascii="Times New Roman" w:hAnsi="Times New Roman" w:eastAsia="宋体" w:cs="Times New Roman"/>
                <w:color w:val="auto"/>
                <w:sz w:val="24"/>
                <w:szCs w:val="24"/>
              </w:rPr>
              <w:t>厂房内</w:t>
            </w:r>
            <w:r>
              <w:rPr>
                <w:rFonts w:hint="default" w:ascii="Times New Roman" w:hAnsi="Times New Roman" w:eastAsia="宋体" w:cs="Times New Roman"/>
                <w:color w:val="auto"/>
                <w:sz w:val="24"/>
                <w:szCs w:val="24"/>
                <w:lang w:eastAsia="zh-CN"/>
              </w:rPr>
              <w:t>建设医疗器械（卫生材料）生产线</w:t>
            </w:r>
            <w:r>
              <w:rPr>
                <w:rFonts w:hint="default" w:ascii="Times New Roman" w:hAnsi="Times New Roman" w:eastAsia="宋体" w:cs="Times New Roman"/>
                <w:color w:val="auto"/>
                <w:sz w:val="24"/>
                <w:szCs w:val="24"/>
              </w:rPr>
              <w:t>，不新增占地；</w:t>
            </w:r>
            <w:r>
              <w:rPr>
                <w:rFonts w:hint="default" w:ascii="Times New Roman" w:hAnsi="Times New Roman" w:eastAsia="宋体" w:cs="Times New Roman"/>
                <w:color w:val="auto"/>
                <w:sz w:val="24"/>
                <w:szCs w:val="24"/>
                <w:lang w:eastAsia="zh-CN"/>
              </w:rPr>
              <w:t>建设项目分为主体工程、辅助工程、公用工程和环保工程</w:t>
            </w:r>
            <w:r>
              <w:rPr>
                <w:rFonts w:hint="default" w:ascii="Times New Roman" w:hAnsi="Times New Roman" w:eastAsia="宋体" w:cs="Times New Roman"/>
                <w:color w:val="auto"/>
                <w:sz w:val="24"/>
                <w:szCs w:val="24"/>
                <w:lang w:val="en-US" w:eastAsia="zh-CN"/>
              </w:rPr>
              <w:t>四大块。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项目主要工程内容如下表所示。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eastAsia="宋体" w:cs="Times New Roman"/>
                <w:bCs/>
                <w:snapToGrid w:val="0"/>
                <w:color w:val="auto"/>
                <w:sz w:val="21"/>
                <w:szCs w:val="21"/>
              </w:rPr>
            </w:pPr>
            <w:r>
              <w:rPr>
                <w:rFonts w:hint="default" w:ascii="Times New Roman" w:hAnsi="Times New Roman" w:eastAsia="宋体" w:cs="Times New Roman"/>
                <w:bCs/>
                <w:snapToGrid w:val="0"/>
                <w:color w:val="auto"/>
                <w:sz w:val="21"/>
                <w:szCs w:val="21"/>
              </w:rPr>
              <w:t>表2.1-1 项目建设内容组成一览表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06"/>
              <w:gridCol w:w="849"/>
              <w:gridCol w:w="1065"/>
              <w:gridCol w:w="398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类别</w:t>
                  </w:r>
                </w:p>
              </w:tc>
              <w:tc>
                <w:tcPr>
                  <w:tcW w:w="1655"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工程内容</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建筑内容及规模</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主体工程</w:t>
                  </w:r>
                </w:p>
              </w:tc>
              <w:tc>
                <w:tcPr>
                  <w:tcW w:w="80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医疗器械</w:t>
                  </w:r>
                  <w:r>
                    <w:rPr>
                      <w:rFonts w:hint="default" w:ascii="Times New Roman" w:hAnsi="Times New Roman" w:cs="Times New Roman"/>
                      <w:color w:val="auto"/>
                      <w:szCs w:val="21"/>
                      <w:lang w:eastAsia="zh-CN"/>
                    </w:rPr>
                    <w:t>（卫生材料）</w:t>
                  </w:r>
                  <w:r>
                    <w:rPr>
                      <w:rFonts w:hint="default" w:ascii="Times New Roman" w:hAnsi="Times New Roman" w:eastAsia="宋体" w:cs="Times New Roman"/>
                      <w:color w:val="auto"/>
                      <w:szCs w:val="21"/>
                      <w:lang w:eastAsia="zh-CN"/>
                    </w:rPr>
                    <w:t>生产车间</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粉料生产线</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建筑面积31.9</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，用于粉碎塑料生产管类医疗器械，主要设备有粉料机。</w:t>
                  </w:r>
                </w:p>
              </w:tc>
              <w:tc>
                <w:tcPr>
                  <w:tcW w:w="1190" w:type="dxa"/>
                  <w:vMerge w:val="restart"/>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2号厂房</w:t>
                  </w:r>
                  <w:r>
                    <w:rPr>
                      <w:rFonts w:hint="default" w:ascii="Times New Roman" w:hAnsi="Times New Roman" w:eastAsia="宋体" w:cs="Times New Roman"/>
                      <w:color w:val="auto"/>
                      <w:szCs w:val="21"/>
                      <w:lang w:eastAsia="zh-CN"/>
                    </w:rPr>
                    <w:t>第一层</w:t>
                  </w:r>
                  <w:r>
                    <w:rPr>
                      <w:rFonts w:hint="default" w:ascii="Times New Roman" w:hAnsi="Times New Roman"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挤出生产线</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建筑面积76.6</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，用于生产管类医疗器械，主要设备为塑料挤出机。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注塑生产线</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建筑面积114.5</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，用于生产管类医疗器械。主要设备为注塑机。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eastAsia="zh-CN"/>
                    </w:rPr>
                    <w:t>外包间</w:t>
                  </w:r>
                </w:p>
              </w:tc>
              <w:tc>
                <w:tcPr>
                  <w:tcW w:w="504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建筑面积27.94</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用于装箱打包，主要设备有包装机。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输液贴</w:t>
                  </w:r>
                  <w:r>
                    <w:rPr>
                      <w:rFonts w:hint="default" w:ascii="Times New Roman" w:hAnsi="Times New Roman" w:eastAsia="宋体" w:cs="Times New Roman"/>
                      <w:color w:val="auto"/>
                      <w:szCs w:val="21"/>
                    </w:rPr>
                    <w:t>生产线</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建筑面积107.82</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，用于生产输液贴，主要设备有封口机。</w:t>
                  </w:r>
                </w:p>
              </w:tc>
              <w:tc>
                <w:tcPr>
                  <w:tcW w:w="1190" w:type="dxa"/>
                  <w:vMerge w:val="restart"/>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2#厂房</w:t>
                  </w:r>
                  <w:r>
                    <w:rPr>
                      <w:rFonts w:hint="default" w:ascii="Times New Roman" w:hAnsi="Times New Roman" w:eastAsia="宋体" w:cs="Times New Roman"/>
                      <w:color w:val="auto"/>
                      <w:szCs w:val="21"/>
                      <w:lang w:eastAsia="zh-CN"/>
                    </w:rPr>
                    <w:t>第二层</w:t>
                  </w:r>
                  <w:r>
                    <w:rPr>
                      <w:rFonts w:hint="default" w:ascii="Times New Roman" w:hAnsi="Times New Roman"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牵布</w:t>
                  </w:r>
                  <w:r>
                    <w:rPr>
                      <w:rFonts w:hint="default" w:ascii="Times New Roman" w:hAnsi="Times New Roman" w:eastAsia="宋体" w:cs="Times New Roman"/>
                      <w:color w:val="auto"/>
                      <w:szCs w:val="21"/>
                    </w:rPr>
                    <w:t>生产线</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建筑面积80.34</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用于生产无纺布生产，主要设备有牵布机。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口罩</w:t>
                  </w:r>
                  <w:r>
                    <w:rPr>
                      <w:rFonts w:hint="default" w:ascii="Times New Roman" w:hAnsi="Times New Roman" w:eastAsia="宋体" w:cs="Times New Roman"/>
                      <w:color w:val="auto"/>
                      <w:szCs w:val="21"/>
                    </w:rPr>
                    <w:t>生产线</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建筑面积282.12</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用于生产口罩，主要设备有口罩机、封口机。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缝纫生产线</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建筑面积186.60</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，用于生产防护服、</w:t>
                  </w:r>
                  <w:r>
                    <w:rPr>
                      <w:rFonts w:hint="default" w:ascii="Times New Roman" w:hAnsi="Times New Roman" w:eastAsia="宋体" w:cs="Times New Roman"/>
                      <w:color w:val="auto"/>
                      <w:kern w:val="0"/>
                      <w:sz w:val="21"/>
                      <w:szCs w:val="21"/>
                      <w:lang w:val="en-US" w:eastAsia="zh-CN" w:bidi="ar"/>
                    </w:rPr>
                    <w:t>一次性使用手术衣，主要设备有缝纫机、三线机、裁剪机。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棉签</w:t>
                  </w:r>
                  <w:r>
                    <w:rPr>
                      <w:rFonts w:hint="default" w:ascii="Times New Roman" w:hAnsi="Times New Roman" w:eastAsia="宋体" w:cs="Times New Roman"/>
                      <w:color w:val="auto"/>
                      <w:szCs w:val="21"/>
                    </w:rPr>
                    <w:t>生产线</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建筑面积131.03</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kern w:val="0"/>
                      <w:sz w:val="21"/>
                      <w:szCs w:val="21"/>
                      <w:lang w:val="en-US" w:eastAsia="zh-CN" w:bidi="ar"/>
                    </w:rPr>
                    <w:t>用于生产一次性医疗棉签，主要设备有棉签机、封口机、包装机。</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棉纱</w:t>
                  </w:r>
                  <w:r>
                    <w:rPr>
                      <w:rFonts w:hint="default" w:ascii="Times New Roman" w:hAnsi="Times New Roman" w:eastAsia="宋体" w:cs="Times New Roman"/>
                      <w:color w:val="auto"/>
                      <w:szCs w:val="21"/>
                    </w:rPr>
                    <w:t>生产线</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建筑面积220.1</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用于生产医用脱脂棉、一次性医用棉球、医用脱脂棉纱布块、一次性使用手术垫单，主要设备有封口机、折叠机、裁剪机、垫单机、分切机、电子天平。</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内包间</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建筑面积182.88㎡，共3个内包间，</w:t>
                  </w:r>
                  <w:r>
                    <w:rPr>
                      <w:rFonts w:hint="default" w:ascii="Times New Roman" w:hAnsi="Times New Roman" w:eastAsia="宋体" w:cs="Times New Roman"/>
                      <w:color w:val="auto"/>
                      <w:kern w:val="0"/>
                      <w:sz w:val="21"/>
                      <w:szCs w:val="21"/>
                      <w:lang w:val="en-US" w:eastAsia="zh-CN" w:bidi="ar"/>
                    </w:rPr>
                    <w:t>用于包装封口，主要设有封口机，</w:t>
                  </w:r>
                  <w:r>
                    <w:rPr>
                      <w:rFonts w:hint="default" w:ascii="Times New Roman" w:hAnsi="Times New Roman" w:eastAsia="宋体" w:cs="Times New Roman"/>
                      <w:color w:val="auto"/>
                      <w:sz w:val="21"/>
                      <w:szCs w:val="21"/>
                      <w:lang w:val="en-US" w:eastAsia="zh-CN"/>
                    </w:rPr>
                    <w:t>其中一层1个76.55㎡内包间，二层2个面积合计为106.33㎡内包间。</w:t>
                  </w:r>
                </w:p>
              </w:tc>
              <w:tc>
                <w:tcPr>
                  <w:tcW w:w="1190"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1层1个，2层2个</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脱包间</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建筑面积60.48㎡，</w:t>
                  </w:r>
                  <w:r>
                    <w:rPr>
                      <w:rFonts w:hint="default" w:ascii="Times New Roman" w:hAnsi="Times New Roman" w:eastAsia="宋体" w:cs="Times New Roman"/>
                      <w:color w:val="auto"/>
                      <w:kern w:val="0"/>
                      <w:sz w:val="21"/>
                      <w:szCs w:val="21"/>
                      <w:lang w:val="en-US" w:eastAsia="zh-CN" w:bidi="ar"/>
                    </w:rPr>
                    <w:t>用于产品脱包,</w:t>
                  </w:r>
                  <w:r>
                    <w:rPr>
                      <w:rFonts w:hint="default" w:ascii="Times New Roman" w:hAnsi="Times New Roman" w:eastAsia="宋体" w:cs="Times New Roman"/>
                      <w:color w:val="auto"/>
                      <w:sz w:val="21"/>
                      <w:szCs w:val="21"/>
                      <w:lang w:val="en-US" w:eastAsia="zh-CN"/>
                    </w:rPr>
                    <w:t>其中一层1个面积为26.67㎡的脱包间，二层2个面积合计为33.81㎡的脱包间。</w:t>
                  </w:r>
                </w:p>
              </w:tc>
              <w:tc>
                <w:tcPr>
                  <w:tcW w:w="1190"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2#厂房</w:t>
                  </w:r>
                  <w:r>
                    <w:rPr>
                      <w:rFonts w:hint="default" w:ascii="Times New Roman" w:hAnsi="Times New Roman" w:eastAsia="宋体" w:cs="Times New Roman"/>
                      <w:color w:val="auto"/>
                      <w:szCs w:val="21"/>
                      <w:lang w:eastAsia="zh-CN"/>
                    </w:rPr>
                    <w:t>第二层</w:t>
                  </w:r>
                  <w:r>
                    <w:rPr>
                      <w:rFonts w:hint="default" w:ascii="Times New Roman" w:hAnsi="Times New Roman"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eastAsia="zh-CN"/>
                    </w:rPr>
                    <w:t>中间站</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建筑面积176.52㎡，用于中间品存放。</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灭菌生产线</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灭菌室</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建筑面积530.64㎡，</w:t>
                  </w:r>
                  <w:r>
                    <w:rPr>
                      <w:rFonts w:hint="default" w:ascii="Times New Roman" w:hAnsi="Times New Roman" w:eastAsia="宋体" w:cs="Times New Roman"/>
                      <w:color w:val="auto"/>
                      <w:kern w:val="0"/>
                      <w:sz w:val="21"/>
                      <w:szCs w:val="21"/>
                      <w:lang w:val="en-US" w:eastAsia="zh-CN" w:bidi="ar"/>
                    </w:rPr>
                    <w:t>设置1台环氧乙烷灭菌柜、1台环氧已烷灭菌柜电脑控制台，用于产品灭菌。</w:t>
                  </w:r>
                </w:p>
              </w:tc>
              <w:tc>
                <w:tcPr>
                  <w:tcW w:w="119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1#厂房第一层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产品检验生产线</w:t>
                  </w:r>
                </w:p>
              </w:tc>
              <w:tc>
                <w:tcPr>
                  <w:tcW w:w="849"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理化室</w:t>
                  </w: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天平室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建筑面积5.42㎡，</w:t>
                  </w:r>
                  <w:r>
                    <w:rPr>
                      <w:rFonts w:hint="default" w:ascii="Times New Roman" w:hAnsi="Times New Roman" w:eastAsia="宋体" w:cs="Times New Roman"/>
                      <w:color w:val="auto"/>
                      <w:kern w:val="0"/>
                      <w:sz w:val="21"/>
                      <w:szCs w:val="21"/>
                      <w:lang w:val="en-US" w:eastAsia="zh-CN" w:bidi="ar"/>
                    </w:rPr>
                    <w:t>主要用于药品的称量，主要设备有电子天平。</w:t>
                  </w:r>
                </w:p>
              </w:tc>
              <w:tc>
                <w:tcPr>
                  <w:tcW w:w="1190" w:type="dxa"/>
                  <w:vMerge w:val="restart"/>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2#厂房第二层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留样室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建筑面积102.2㎡，</w:t>
                  </w:r>
                  <w:r>
                    <w:rPr>
                      <w:rFonts w:hint="default" w:ascii="Times New Roman" w:hAnsi="Times New Roman" w:eastAsia="宋体" w:cs="Times New Roman"/>
                      <w:color w:val="auto"/>
                      <w:kern w:val="0"/>
                      <w:sz w:val="21"/>
                      <w:szCs w:val="21"/>
                      <w:lang w:val="en-US" w:eastAsia="zh-CN" w:bidi="ar"/>
                    </w:rPr>
                    <w:t>主要用于留样观察。</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试剂室</w:t>
                  </w:r>
                </w:p>
              </w:tc>
              <w:tc>
                <w:tcPr>
                  <w:tcW w:w="3982"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建筑面积9.24㎡，主要用于存放及调配各类化学试剂。</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化学室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建筑面积18.92㎡，</w:t>
                  </w:r>
                  <w:r>
                    <w:rPr>
                      <w:rFonts w:hint="default" w:ascii="Times New Roman" w:hAnsi="Times New Roman" w:eastAsia="宋体" w:cs="Times New Roman"/>
                      <w:color w:val="auto"/>
                      <w:kern w:val="0"/>
                      <w:sz w:val="21"/>
                      <w:szCs w:val="21"/>
                      <w:lang w:val="en-US" w:eastAsia="zh-CN" w:bidi="ar"/>
                    </w:rPr>
                    <w:t>主要用于样品的理化分析，白度计、显微镜、721分光光度计、三用紫外分析仪、恒温水浴锅。</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气象室</w:t>
                  </w:r>
                </w:p>
              </w:tc>
              <w:tc>
                <w:tcPr>
                  <w:tcW w:w="3982"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建筑面积为16.53㎡，主要设备为气象色谱仪。</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高温室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建筑面积17.49m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val="en-US" w:eastAsia="zh-CN" w:bidi="ar"/>
                    </w:rPr>
                    <w:t>主要用于研究在高温状态下物质的性质，用于样品烘干及干燥，主要设备有电热鼓风干燥箱、箱式电阻炉控制箱。</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阳性菌室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建筑面积9.61m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val="en-US" w:eastAsia="zh-CN" w:bidi="ar"/>
                    </w:rPr>
                    <w:t>主要用于微生物阳性对照检测，主要设置工作台。</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仪器室</w:t>
                  </w:r>
                </w:p>
              </w:tc>
              <w:tc>
                <w:tcPr>
                  <w:tcW w:w="3982"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建筑面积42.56</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，主要用于存放各类化学仪器。</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准备室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建筑面积18.57</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主要用于灭菌检测及纯水制造，主要设备有手提式压力蒸汽灭菌器、 纯水设备。</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无菌室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建筑面积6.03</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主要用于微生物无菌检测，主要设置工作台。</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微生物室</w:t>
                  </w:r>
                </w:p>
              </w:tc>
              <w:tc>
                <w:tcPr>
                  <w:tcW w:w="3982"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建筑面积7.55</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主要用于微生物检测。</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06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一、二更衣室、缓冲室</w:t>
                  </w:r>
                </w:p>
              </w:tc>
              <w:tc>
                <w:tcPr>
                  <w:tcW w:w="3982"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建筑面积</w:t>
                  </w:r>
                  <w:r>
                    <w:rPr>
                      <w:rFonts w:hint="default" w:ascii="Times New Roman" w:hAnsi="Times New Roman" w:eastAsia="宋体" w:cs="Times New Roman"/>
                      <w:color w:val="auto"/>
                      <w:sz w:val="21"/>
                      <w:szCs w:val="21"/>
                      <w:lang w:val="en-US" w:eastAsia="zh-CN"/>
                    </w:rPr>
                    <w:t>23.59</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，主要用于实验室人员的更衣。</w:t>
                  </w:r>
                </w:p>
              </w:tc>
              <w:tc>
                <w:tcPr>
                  <w:tcW w:w="1190"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储运工程</w:t>
                  </w: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包装材料暂存区</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建筑面积960.17</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，主要用于储存医疗器械</w:t>
                  </w:r>
                  <w:r>
                    <w:rPr>
                      <w:rFonts w:hint="default" w:ascii="Times New Roman" w:hAnsi="Times New Roman" w:eastAsia="宋体" w:cs="Times New Roman"/>
                      <w:color w:val="auto"/>
                      <w:sz w:val="21"/>
                      <w:szCs w:val="21"/>
                      <w:lang w:val="en-US" w:eastAsia="zh-CN"/>
                    </w:rPr>
                    <w:t>产品的包装材料。</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2#厂房第一层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半成品暂存存区</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建筑面积960.17</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，主要用于暂存半成品，等待二次加工。</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2#厂房第二层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产品暂存区</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建筑面积655.65</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，主要用于储存生产出来的医疗器械产品。</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1#厂房第一层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原材料暂存区</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建筑面积1888.67</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，主要用于储存医疗器械生产所需也原料。</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1#厂房第一层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辅助工程</w:t>
                  </w: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办公区</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val="0"/>
                      <w:color w:val="auto"/>
                      <w:sz w:val="21"/>
                      <w:szCs w:val="21"/>
                    </w:rPr>
                  </w:pPr>
                  <w:r>
                    <w:rPr>
                      <w:rFonts w:hint="default" w:ascii="Times New Roman" w:hAnsi="Times New Roman" w:eastAsia="宋体" w:cs="Times New Roman"/>
                      <w:bCs w:val="0"/>
                      <w:color w:val="auto"/>
                      <w:sz w:val="21"/>
                      <w:szCs w:val="21"/>
                    </w:rPr>
                    <w:t>综合楼设置为5层，其建筑面积为2248.89m²高为18.9m；</w:t>
                  </w:r>
                </w:p>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bCs w:val="0"/>
                      <w:color w:val="auto"/>
                      <w:sz w:val="21"/>
                      <w:szCs w:val="21"/>
                    </w:rPr>
                    <w:t>其中综合楼第二层、第三层作为办公区使用；办公区面积约为899.56m²；</w:t>
                  </w:r>
                  <w:r>
                    <w:rPr>
                      <w:rFonts w:hint="default" w:ascii="Times New Roman" w:hAnsi="Times New Roman" w:eastAsia="宋体" w:cs="Times New Roman"/>
                      <w:color w:val="auto"/>
                      <w:kern w:val="0"/>
                      <w:sz w:val="21"/>
                      <w:szCs w:val="21"/>
                      <w:lang w:val="en-US" w:eastAsia="zh-CN" w:bidi="ar"/>
                    </w:rPr>
                    <w:t>主要用于管理人员及行政人员的办公，内设会议桌用于接待外来人员、员工例行开会。</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住宿</w:t>
                  </w:r>
                  <w:r>
                    <w:rPr>
                      <w:rFonts w:hint="default" w:ascii="Times New Roman" w:hAnsi="Times New Roman" w:eastAsia="宋体" w:cs="Times New Roman"/>
                      <w:color w:val="auto"/>
                      <w:szCs w:val="21"/>
                    </w:rPr>
                    <w:t>区</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Cs w:val="0"/>
                      <w:color w:val="auto"/>
                      <w:sz w:val="21"/>
                      <w:szCs w:val="21"/>
                    </w:rPr>
                    <w:t>综合楼第四层、第五层作为员工住宿区，住宿区面积为899.56m²</w:t>
                  </w:r>
                  <w:r>
                    <w:rPr>
                      <w:rFonts w:hint="default" w:ascii="Times New Roman" w:hAnsi="Times New Roman" w:eastAsia="宋体" w:cs="Times New Roman"/>
                      <w:bCs w:val="0"/>
                      <w:color w:val="auto"/>
                      <w:sz w:val="21"/>
                      <w:szCs w:val="21"/>
                      <w:lang w:eastAsia="zh-CN"/>
                    </w:rPr>
                    <w:t>。</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食堂</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val="0"/>
                      <w:color w:val="auto"/>
                      <w:sz w:val="21"/>
                      <w:szCs w:val="21"/>
                      <w:lang w:eastAsia="zh-CN"/>
                    </w:rPr>
                  </w:pPr>
                  <w:r>
                    <w:rPr>
                      <w:rFonts w:hint="default" w:ascii="Times New Roman" w:hAnsi="Times New Roman" w:eastAsia="宋体" w:cs="Times New Roman"/>
                      <w:bCs w:val="0"/>
                      <w:color w:val="auto"/>
                      <w:sz w:val="21"/>
                      <w:szCs w:val="21"/>
                    </w:rPr>
                    <w:t>项目综合楼一层设置食堂，供工人使用，食堂建筑面积约为449.78m²；食堂</w:t>
                  </w:r>
                  <w:r>
                    <w:rPr>
                      <w:rFonts w:hint="default" w:ascii="Times New Roman" w:hAnsi="Times New Roman" w:cs="Times New Roman"/>
                      <w:bCs w:val="0"/>
                      <w:color w:val="auto"/>
                      <w:sz w:val="21"/>
                      <w:szCs w:val="21"/>
                      <w:lang w:eastAsia="zh-CN"/>
                    </w:rPr>
                    <w:t>设置</w:t>
                  </w:r>
                  <w:r>
                    <w:rPr>
                      <w:rFonts w:hint="default" w:ascii="Times New Roman" w:hAnsi="Times New Roman" w:eastAsia="宋体" w:cs="Times New Roman"/>
                      <w:bCs w:val="0"/>
                      <w:color w:val="auto"/>
                      <w:sz w:val="21"/>
                      <w:szCs w:val="21"/>
                    </w:rPr>
                    <w:t>灶头数2个，使用清洁能源</w:t>
                  </w:r>
                  <w:r>
                    <w:rPr>
                      <w:rFonts w:hint="default" w:ascii="Times New Roman" w:hAnsi="Times New Roman" w:eastAsia="宋体" w:cs="Times New Roman"/>
                      <w:bCs w:val="0"/>
                      <w:color w:val="auto"/>
                      <w:sz w:val="21"/>
                      <w:szCs w:val="21"/>
                      <w:lang w:eastAsia="zh-CN"/>
                    </w:rPr>
                    <w:t>。</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卫生间</w:t>
                  </w:r>
                </w:p>
              </w:tc>
              <w:tc>
                <w:tcPr>
                  <w:tcW w:w="5047" w:type="dxa"/>
                  <w:gridSpan w:val="2"/>
                  <w:shd w:val="clear" w:color="auto" w:fill="auto"/>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建筑面积57.18</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，分为男卫生间和女卫生间及卫生间前室。</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shd w:val="clear" w:color="auto" w:fill="auto"/>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更鞋室、更衣室、缓冲间</w:t>
                  </w:r>
                </w:p>
              </w:tc>
              <w:tc>
                <w:tcPr>
                  <w:tcW w:w="5047" w:type="dxa"/>
                  <w:gridSpan w:val="2"/>
                  <w:shd w:val="clear" w:color="auto" w:fill="auto"/>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建筑面积146.78</w:t>
                  </w:r>
                  <w:r>
                    <w:rPr>
                      <w:rFonts w:hint="default" w:ascii="Times New Roman" w:hAnsi="Times New Roman" w:eastAsia="宋体" w:cs="Times New Roman"/>
                      <w:color w:val="auto"/>
                      <w:sz w:val="21"/>
                      <w:szCs w:val="21"/>
                    </w:rPr>
                    <w:t>m²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生产人员进入生产区、灭菌区、检验区前均需要更换安全衣、鞋套。</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位于</w:t>
                  </w:r>
                  <w:r>
                    <w:rPr>
                      <w:rFonts w:hint="default" w:ascii="Times New Roman" w:hAnsi="Times New Roman" w:eastAsia="宋体" w:cs="Times New Roman"/>
                      <w:color w:val="auto"/>
                      <w:szCs w:val="21"/>
                      <w:lang w:val="en-US" w:eastAsia="zh-CN"/>
                    </w:rPr>
                    <w:t>2#厂房第一层</w:t>
                  </w:r>
                  <w:r>
                    <w:rPr>
                      <w:rFonts w:hint="default" w:ascii="Times New Roman" w:hAnsi="Times New Roman" w:cs="Times New Roman"/>
                      <w:color w:val="auto"/>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公用工程</w:t>
                  </w: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供电</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项目各系统均采用电能</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4"/>
                    </w:rPr>
                    <w:t>项目供电由东川区供电公司供给</w:t>
                  </w:r>
                  <w:r>
                    <w:rPr>
                      <w:rFonts w:hint="default" w:ascii="Times New Roman" w:hAnsi="Times New Roman" w:eastAsia="宋体" w:cs="Times New Roman"/>
                      <w:color w:val="auto"/>
                      <w:szCs w:val="21"/>
                    </w:rPr>
                    <w:t>。</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给水</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给水系统从市政管网引入DN150管道，水源来自东川区市政自来水</w:t>
                  </w:r>
                  <w:r>
                    <w:rPr>
                      <w:rFonts w:hint="default" w:ascii="Times New Roman" w:hAnsi="Times New Roman" w:eastAsia="宋体" w:cs="Times New Roman"/>
                      <w:color w:val="auto"/>
                      <w:szCs w:val="21"/>
                      <w:lang w:eastAsia="zh-CN"/>
                    </w:rPr>
                    <w:t>。</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排水</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项目实施雨污分流，项目建设雨水管网和污水管网；</w:t>
                  </w:r>
                </w:p>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根据</w:t>
                  </w:r>
                  <w:r>
                    <w:rPr>
                      <w:rFonts w:hint="default" w:ascii="Times New Roman" w:hAnsi="Times New Roman" w:cs="Times New Roman"/>
                      <w:color w:val="auto"/>
                      <w:szCs w:val="21"/>
                      <w:lang w:eastAsia="zh-CN"/>
                    </w:rPr>
                    <w:t>调查</w:t>
                  </w:r>
                  <w:r>
                    <w:rPr>
                      <w:rFonts w:hint="default" w:ascii="Times New Roman" w:hAnsi="Times New Roman" w:eastAsia="宋体" w:cs="Times New Roman"/>
                      <w:color w:val="auto"/>
                      <w:szCs w:val="21"/>
                    </w:rPr>
                    <w:t>，目前项目区域还未配套建成市政污水管网，因此项目排水方案，分近期和远期考虑，近期（污水管网建成前），项目产生的生活污水通过隔油池、化粪池和一体化污水处理设施处理后回用于绿化，不外排；远期（污水管网建成后），废水经隔油池、化粪池处理后，通过市政污水管网进入东川区城市污水处理厂处理</w:t>
                  </w:r>
                  <w:r>
                    <w:rPr>
                      <w:rFonts w:hint="default" w:ascii="Times New Roman" w:hAnsi="Times New Roman" w:eastAsia="宋体" w:cs="Times New Roman"/>
                      <w:color w:val="auto"/>
                      <w:szCs w:val="21"/>
                      <w:lang w:eastAsia="zh-CN"/>
                    </w:rPr>
                    <w:t>，一体化污水处理设施将不再使用。</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环保工程</w:t>
                  </w:r>
                </w:p>
              </w:tc>
              <w:tc>
                <w:tcPr>
                  <w:tcW w:w="806"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849"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Cs w:val="21"/>
                    </w:rPr>
                    <w:t>有机废气收集设施</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根据调查</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eastAsia="zh-CN"/>
                    </w:rPr>
                    <w:t>设置挤出车间及注塑车间</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两车间生产工序</w:t>
                  </w:r>
                  <w:r>
                    <w:rPr>
                      <w:rFonts w:hint="default" w:ascii="Times New Roman" w:hAnsi="Times New Roman" w:eastAsia="宋体" w:cs="Times New Roman"/>
                      <w:color w:val="auto"/>
                      <w:sz w:val="21"/>
                      <w:szCs w:val="21"/>
                    </w:rPr>
                    <w:t>主要污染物均为有机废气（非甲烷总烃），</w:t>
                  </w:r>
                  <w:r>
                    <w:rPr>
                      <w:rFonts w:hint="default" w:ascii="Times New Roman" w:hAnsi="Times New Roman" w:cs="Times New Roman"/>
                      <w:color w:val="auto"/>
                      <w:sz w:val="21"/>
                      <w:szCs w:val="21"/>
                      <w:lang w:eastAsia="zh-CN"/>
                    </w:rPr>
                    <w:t>项目目前未采取相关防治措施，</w:t>
                  </w:r>
                  <w:r>
                    <w:rPr>
                      <w:rFonts w:hint="default" w:ascii="Times New Roman" w:hAnsi="Times New Roman" w:eastAsia="宋体" w:cs="Times New Roman"/>
                      <w:color w:val="auto"/>
                      <w:sz w:val="21"/>
                      <w:szCs w:val="21"/>
                    </w:rPr>
                    <w:t>针对</w:t>
                  </w:r>
                  <w:r>
                    <w:rPr>
                      <w:rFonts w:hint="default" w:ascii="Times New Roman" w:hAnsi="Times New Roman" w:eastAsia="宋体" w:cs="Times New Roman"/>
                      <w:color w:val="auto"/>
                      <w:sz w:val="21"/>
                      <w:szCs w:val="21"/>
                      <w:lang w:eastAsia="zh-CN"/>
                    </w:rPr>
                    <w:t>两</w:t>
                  </w:r>
                  <w:r>
                    <w:rPr>
                      <w:rFonts w:hint="default" w:ascii="Times New Roman" w:hAnsi="Times New Roman" w:eastAsia="宋体" w:cs="Times New Roman"/>
                      <w:color w:val="auto"/>
                      <w:sz w:val="21"/>
                      <w:szCs w:val="21"/>
                    </w:rPr>
                    <w:t>产生的非甲烷总烃，</w:t>
                  </w:r>
                  <w:r>
                    <w:rPr>
                      <w:rFonts w:hint="default" w:ascii="Times New Roman" w:hAnsi="Times New Roman" w:cs="Times New Roman"/>
                      <w:color w:val="auto"/>
                      <w:sz w:val="21"/>
                      <w:szCs w:val="21"/>
                      <w:lang w:eastAsia="zh-CN"/>
                    </w:rPr>
                    <w:t>本环评提出</w:t>
                  </w:r>
                  <w:r>
                    <w:rPr>
                      <w:rFonts w:hint="default" w:ascii="Times New Roman" w:hAnsi="Times New Roman" w:eastAsia="宋体" w:cs="Times New Roman"/>
                      <w:color w:val="auto"/>
                      <w:sz w:val="21"/>
                      <w:szCs w:val="21"/>
                    </w:rPr>
                    <w:t>有机废气收集设施具体如下：</w:t>
                  </w:r>
                </w:p>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①挤出车间</w:t>
                  </w:r>
                  <w:r>
                    <w:rPr>
                      <w:rFonts w:hint="default" w:ascii="Times New Roman" w:hAnsi="Times New Roman" w:eastAsia="宋体" w:cs="Times New Roman"/>
                      <w:color w:val="auto"/>
                      <w:sz w:val="21"/>
                      <w:szCs w:val="21"/>
                    </w:rPr>
                    <w:t>有机废气主要产生于挤出</w:t>
                  </w:r>
                  <w:r>
                    <w:rPr>
                      <w:rFonts w:hint="default" w:ascii="Times New Roman" w:hAnsi="Times New Roman" w:eastAsia="宋体" w:cs="Times New Roman"/>
                      <w:color w:val="auto"/>
                      <w:sz w:val="21"/>
                      <w:szCs w:val="21"/>
                      <w:lang w:eastAsia="zh-CN"/>
                    </w:rPr>
                    <w:t>工</w:t>
                  </w:r>
                  <w:r>
                    <w:rPr>
                      <w:rFonts w:hint="default" w:ascii="Times New Roman" w:hAnsi="Times New Roman" w:eastAsia="宋体" w:cs="Times New Roman"/>
                      <w:color w:val="auto"/>
                      <w:sz w:val="21"/>
                      <w:szCs w:val="21"/>
                    </w:rPr>
                    <w:t>序，</w:t>
                  </w:r>
                  <w:r>
                    <w:rPr>
                      <w:rFonts w:hint="default" w:ascii="Times New Roman" w:hAnsi="Times New Roman" w:eastAsia="宋体" w:cs="Times New Roman"/>
                      <w:color w:val="auto"/>
                      <w:sz w:val="21"/>
                      <w:szCs w:val="21"/>
                      <w:lang w:eastAsia="zh-CN"/>
                    </w:rPr>
                    <w:t>针对</w:t>
                  </w:r>
                  <w:r>
                    <w:rPr>
                      <w:rFonts w:hint="default" w:ascii="Times New Roman" w:hAnsi="Times New Roman" w:eastAsia="宋体" w:cs="Times New Roman"/>
                      <w:color w:val="auto"/>
                      <w:sz w:val="21"/>
                      <w:szCs w:val="21"/>
                    </w:rPr>
                    <w:t>挤出工序产生的有机废气，项目对挤出塑化出口处设置1个集气罩，将有机废气</w:t>
                  </w:r>
                  <w:r>
                    <w:rPr>
                      <w:rFonts w:hint="default" w:ascii="Times New Roman" w:hAnsi="Times New Roman" w:eastAsia="宋体" w:cs="Times New Roman"/>
                      <w:color w:val="auto"/>
                      <w:sz w:val="21"/>
                      <w:szCs w:val="21"/>
                      <w:lang w:eastAsia="zh-CN"/>
                    </w:rPr>
                    <w:t>进行</w:t>
                  </w:r>
                  <w:r>
                    <w:rPr>
                      <w:rFonts w:hint="default" w:ascii="Times New Roman" w:hAnsi="Times New Roman" w:eastAsia="宋体" w:cs="Times New Roman"/>
                      <w:color w:val="auto"/>
                      <w:sz w:val="21"/>
                      <w:szCs w:val="21"/>
                    </w:rPr>
                    <w:t>收集，集气罩的集气风量为5000m³/h，集气效率不低于80%。</w:t>
                  </w:r>
                </w:p>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 w:val="21"/>
                      <w:szCs w:val="21"/>
                      <w:lang w:eastAsia="zh-CN"/>
                    </w:rPr>
                    <w:t>②注塑车间有机废气主要产生于塑化工序，针对塑化工序产生的有机废气，</w:t>
                  </w:r>
                  <w:r>
                    <w:rPr>
                      <w:rFonts w:hint="default" w:ascii="Times New Roman" w:hAnsi="Times New Roman" w:eastAsia="宋体" w:cs="Times New Roman"/>
                      <w:color w:val="auto"/>
                      <w:sz w:val="21"/>
                      <w:szCs w:val="21"/>
                    </w:rPr>
                    <w:t>项目对塑化出口处设置1个集气罩，将有机废气</w:t>
                  </w:r>
                  <w:r>
                    <w:rPr>
                      <w:rFonts w:hint="default" w:ascii="Times New Roman" w:hAnsi="Times New Roman" w:eastAsia="宋体" w:cs="Times New Roman"/>
                      <w:color w:val="auto"/>
                      <w:sz w:val="21"/>
                      <w:szCs w:val="21"/>
                      <w:lang w:eastAsia="zh-CN"/>
                    </w:rPr>
                    <w:t>进行</w:t>
                  </w:r>
                  <w:r>
                    <w:rPr>
                      <w:rFonts w:hint="default" w:ascii="Times New Roman" w:hAnsi="Times New Roman" w:eastAsia="宋体" w:cs="Times New Roman"/>
                      <w:color w:val="auto"/>
                      <w:sz w:val="21"/>
                      <w:szCs w:val="21"/>
                    </w:rPr>
                    <w:t>收集，集气罩的集气风量为5000m³/h，集气效率不低于80%。</w:t>
                  </w:r>
                </w:p>
              </w:tc>
              <w:tc>
                <w:tcPr>
                  <w:tcW w:w="1190"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rPr>
                    <w:t>有机废气处理设施及其排气筒</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根据调查</w:t>
                  </w:r>
                  <w:r>
                    <w:rPr>
                      <w:rFonts w:hint="default" w:ascii="Times New Roman" w:hAnsi="Times New Roman" w:eastAsia="宋体" w:cs="Times New Roman"/>
                      <w:color w:val="auto"/>
                      <w:szCs w:val="21"/>
                    </w:rPr>
                    <w:t>，</w:t>
                  </w:r>
                  <w:r>
                    <w:rPr>
                      <w:rFonts w:hint="default" w:ascii="Times New Roman" w:hAnsi="Times New Roman" w:cs="Times New Roman"/>
                      <w:color w:val="auto"/>
                      <w:szCs w:val="21"/>
                      <w:lang w:eastAsia="zh-CN"/>
                    </w:rPr>
                    <w:t>项目挤出注塑车间目前未安装有机废气防治措施，无法满足环保要求，本环评提出，</w:t>
                  </w:r>
                  <w:r>
                    <w:rPr>
                      <w:rFonts w:hint="default" w:ascii="Times New Roman" w:hAnsi="Times New Roman" w:eastAsia="宋体" w:cs="Times New Roman"/>
                      <w:color w:val="auto"/>
                      <w:szCs w:val="21"/>
                    </w:rPr>
                    <w:t>针对</w:t>
                  </w:r>
                  <w:r>
                    <w:rPr>
                      <w:rFonts w:hint="default" w:ascii="Times New Roman" w:hAnsi="Times New Roman" w:eastAsia="宋体" w:cs="Times New Roman"/>
                      <w:color w:val="auto"/>
                      <w:szCs w:val="21"/>
                      <w:lang w:eastAsia="zh-CN"/>
                    </w:rPr>
                    <w:t>挤出、注塑车间</w:t>
                  </w:r>
                  <w:r>
                    <w:rPr>
                      <w:rFonts w:hint="default" w:ascii="Times New Roman" w:hAnsi="Times New Roman" w:eastAsia="宋体" w:cs="Times New Roman"/>
                      <w:color w:val="auto"/>
                      <w:szCs w:val="21"/>
                    </w:rPr>
                    <w:t>产生的有机废气，厂区</w:t>
                  </w:r>
                  <w:r>
                    <w:rPr>
                      <w:rFonts w:hint="default" w:ascii="Times New Roman" w:hAnsi="Times New Roman" w:eastAsia="宋体" w:cs="Times New Roman"/>
                      <w:color w:val="auto"/>
                      <w:szCs w:val="21"/>
                      <w:lang w:eastAsia="zh-CN"/>
                    </w:rPr>
                    <w:t>拟</w:t>
                  </w:r>
                  <w:r>
                    <w:rPr>
                      <w:rFonts w:hint="default" w:ascii="Times New Roman" w:hAnsi="Times New Roman" w:eastAsia="宋体" w:cs="Times New Roman"/>
                      <w:color w:val="auto"/>
                      <w:szCs w:val="21"/>
                    </w:rPr>
                    <w:t>设置</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套有机废气处理装置</w:t>
                  </w:r>
                  <w:r>
                    <w:rPr>
                      <w:rFonts w:hint="default" w:ascii="Times New Roman" w:hAnsi="Times New Roman" w:eastAsia="宋体" w:cs="Times New Roman"/>
                      <w:color w:val="auto"/>
                      <w:szCs w:val="21"/>
                      <w:lang w:eastAsia="zh-CN"/>
                    </w:rPr>
                    <w:t>进行</w:t>
                  </w:r>
                  <w:r>
                    <w:rPr>
                      <w:rFonts w:hint="default" w:ascii="Times New Roman" w:hAnsi="Times New Roman" w:eastAsia="宋体" w:cs="Times New Roman"/>
                      <w:color w:val="auto"/>
                      <w:szCs w:val="21"/>
                    </w:rPr>
                    <w:t>处理，</w:t>
                  </w:r>
                  <w:r>
                    <w:rPr>
                      <w:rFonts w:hint="default" w:ascii="Times New Roman" w:hAnsi="Times New Roman" w:eastAsia="宋体" w:cs="Times New Roman"/>
                      <w:color w:val="auto"/>
                      <w:szCs w:val="21"/>
                      <w:lang w:eastAsia="zh-CN"/>
                    </w:rPr>
                    <w:t>两车间有机废气</w:t>
                  </w:r>
                  <w:r>
                    <w:rPr>
                      <w:rFonts w:hint="default" w:ascii="Times New Roman" w:hAnsi="Times New Roman" w:eastAsia="宋体" w:cs="Times New Roman"/>
                      <w:color w:val="auto"/>
                      <w:szCs w:val="21"/>
                    </w:rPr>
                    <w:t>处理后经过</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根高15m、Φ0.</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m的排气筒</w:t>
                  </w:r>
                  <w:r>
                    <w:rPr>
                      <w:rFonts w:hint="default" w:ascii="Times New Roman" w:hAnsi="Times New Roman" w:eastAsia="宋体" w:cs="Times New Roman"/>
                      <w:color w:val="auto"/>
                      <w:szCs w:val="21"/>
                      <w:lang w:val="en-US" w:eastAsia="zh-CN"/>
                    </w:rPr>
                    <w:t>(DA001)</w:t>
                  </w:r>
                  <w:r>
                    <w:rPr>
                      <w:rFonts w:hint="default" w:ascii="Times New Roman" w:hAnsi="Times New Roman" w:eastAsia="宋体" w:cs="Times New Roman"/>
                      <w:color w:val="auto"/>
                      <w:szCs w:val="21"/>
                    </w:rPr>
                    <w:t>外排。</w:t>
                  </w:r>
                </w:p>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Cs w:val="21"/>
                      <w:lang w:eastAsia="zh-CN"/>
                    </w:rPr>
                    <w:t>有机废气处理装置</w:t>
                  </w:r>
                  <w:r>
                    <w:rPr>
                      <w:rFonts w:hint="default" w:ascii="Times New Roman" w:hAnsi="Times New Roman" w:eastAsia="宋体" w:cs="Times New Roman"/>
                      <w:color w:val="auto"/>
                      <w:szCs w:val="21"/>
                    </w:rPr>
                    <w:t>处理工艺采用</w:t>
                  </w:r>
                  <w:r>
                    <w:rPr>
                      <w:rFonts w:hint="default" w:ascii="Times New Roman" w:hAnsi="Times New Roman" w:eastAsia="宋体" w:cs="Times New Roman"/>
                      <w:color w:val="auto"/>
                      <w:szCs w:val="21"/>
                      <w:lang w:eastAsia="zh-CN"/>
                    </w:rPr>
                    <w:t>活性炭吸附法</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eastAsia="zh-CN"/>
                    </w:rPr>
                    <w:t>吸附</w:t>
                  </w:r>
                  <w:r>
                    <w:rPr>
                      <w:rFonts w:hint="default" w:ascii="Times New Roman" w:hAnsi="Times New Roman" w:eastAsia="宋体" w:cs="Times New Roman"/>
                      <w:color w:val="auto"/>
                      <w:szCs w:val="21"/>
                    </w:rPr>
                    <w:t>装置采用电能，不使用其他燃料；参照《排放源统计调查产排污核算方法和系数手册》提供的数据，</w:t>
                  </w:r>
                  <w:r>
                    <w:rPr>
                      <w:rFonts w:hint="default" w:ascii="Times New Roman" w:hAnsi="Times New Roman" w:eastAsia="宋体" w:cs="Times New Roman"/>
                      <w:color w:val="auto"/>
                      <w:szCs w:val="21"/>
                      <w:lang w:eastAsia="zh-CN"/>
                    </w:rPr>
                    <w:t>活性炭吸附</w:t>
                  </w:r>
                  <w:r>
                    <w:rPr>
                      <w:rFonts w:hint="default" w:ascii="Times New Roman" w:hAnsi="Times New Roman" w:eastAsia="宋体" w:cs="Times New Roman"/>
                      <w:color w:val="auto"/>
                      <w:szCs w:val="21"/>
                    </w:rPr>
                    <w:t>装置有机废气去除效率按</w:t>
                  </w:r>
                  <w:r>
                    <w:rPr>
                      <w:rFonts w:hint="default" w:ascii="Times New Roman" w:hAnsi="Times New Roman" w:eastAsia="宋体" w:cs="Times New Roman"/>
                      <w:color w:val="auto"/>
                      <w:szCs w:val="21"/>
                      <w:lang w:val="en-US" w:eastAsia="zh-CN"/>
                    </w:rPr>
                    <w:t>21</w:t>
                  </w:r>
                  <w:r>
                    <w:rPr>
                      <w:rFonts w:hint="default" w:ascii="Times New Roman" w:hAnsi="Times New Roman" w:eastAsia="宋体" w:cs="Times New Roman"/>
                      <w:color w:val="auto"/>
                      <w:szCs w:val="21"/>
                    </w:rPr>
                    <w:t>%计。</w:t>
                  </w:r>
                </w:p>
              </w:tc>
              <w:tc>
                <w:tcPr>
                  <w:tcW w:w="119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Cs w:val="21"/>
                      <w:highlight w:val="none"/>
                      <w:lang w:eastAsia="zh-CN"/>
                    </w:rPr>
                    <w:t>一层新风净化系统</w:t>
                  </w:r>
                </w:p>
              </w:tc>
              <w:tc>
                <w:tcPr>
                  <w:tcW w:w="5047" w:type="dxa"/>
                  <w:gridSpan w:val="2"/>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根据调查，</w:t>
                  </w:r>
                  <w:r>
                    <w:rPr>
                      <w:rFonts w:hint="default" w:ascii="Times New Roman" w:hAnsi="Times New Roman" w:eastAsia="宋体" w:cs="Times New Roman"/>
                      <w:color w:val="auto"/>
                      <w:kern w:val="0"/>
                      <w:sz w:val="21"/>
                      <w:szCs w:val="21"/>
                      <w:lang w:val="en-US" w:eastAsia="zh-CN" w:bidi="ar"/>
                    </w:rPr>
                    <w:t>项目生产车间现状已均按照洁净车间设计，净化级别为10万级，正常生产时门窗紧闭，通风换气均采用新风净化系统，项目挤出塑化车间产生的非甲烷总烃未被集气罩收集部分经生产车间内新风净化系统（风量约35000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 xml:space="preserve"> /h）抽至一楼通过</w:t>
                  </w:r>
                  <w:r>
                    <w:rPr>
                      <w:rFonts w:hint="default" w:ascii="Times New Roman" w:hAnsi="Times New Roman" w:eastAsia="宋体" w:cs="Times New Roman"/>
                      <w:color w:val="auto"/>
                      <w:kern w:val="0"/>
                      <w:sz w:val="21"/>
                      <w:szCs w:val="21"/>
                      <w:highlight w:val="none"/>
                      <w:lang w:val="en-US" w:eastAsia="zh-CN" w:bidi="ar"/>
                    </w:rPr>
                    <w:t>5μm初效过滤器过滤+1μm中效过滤器过滤+0.05μm高效过滤器过滤+活性炭吸附（处理效率为75%）处理后</w:t>
                  </w:r>
                  <w:r>
                    <w:rPr>
                      <w:rFonts w:hint="default" w:ascii="Times New Roman" w:hAnsi="Times New Roman" w:eastAsia="宋体" w:cs="Times New Roman"/>
                      <w:color w:val="auto"/>
                      <w:kern w:val="0"/>
                      <w:sz w:val="21"/>
                      <w:szCs w:val="21"/>
                      <w:lang w:val="en-US" w:eastAsia="zh-CN" w:bidi="ar"/>
                    </w:rPr>
                    <w:t>，呈无组织排放。</w:t>
                  </w:r>
                </w:p>
              </w:tc>
              <w:tc>
                <w:tcPr>
                  <w:tcW w:w="119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Cs w:val="21"/>
                      <w:highlight w:val="none"/>
                      <w:lang w:eastAsia="zh-CN"/>
                    </w:rPr>
                    <w:t>二层新风净化系统</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val="en-US" w:eastAsia="zh-CN" w:bidi="ar"/>
                    </w:rPr>
                    <w:t>根据调查，</w:t>
                  </w:r>
                  <w:r>
                    <w:rPr>
                      <w:rFonts w:hint="default" w:ascii="Times New Roman" w:hAnsi="Times New Roman" w:eastAsia="宋体" w:cs="Times New Roman"/>
                      <w:color w:val="auto"/>
                      <w:kern w:val="0"/>
                      <w:sz w:val="21"/>
                      <w:szCs w:val="21"/>
                      <w:lang w:val="en-US" w:eastAsia="zh-CN" w:bidi="ar"/>
                    </w:rPr>
                    <w:t>项目生产车间现状已均按照洁净车间设计，净化级别为10万级，正常生产时门窗紧闭，通风换气均采用新风净化系统，项目口罩生产过程产生的非甲烷总烃经生产车间内新风净化系统（风量约88000m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/h）抽至二楼通过</w:t>
                  </w:r>
                  <w:r>
                    <w:rPr>
                      <w:rFonts w:hint="default" w:ascii="Times New Roman" w:hAnsi="Times New Roman" w:eastAsia="宋体" w:cs="Times New Roman"/>
                      <w:color w:val="auto"/>
                      <w:kern w:val="0"/>
                      <w:sz w:val="21"/>
                      <w:szCs w:val="21"/>
                      <w:highlight w:val="none"/>
                      <w:lang w:val="en-US" w:eastAsia="zh-CN" w:bidi="ar"/>
                    </w:rPr>
                    <w:t>5μm初效过滤器过滤+1μm中效过滤器过滤+0.05μm高效过滤器过滤+活性炭吸附（处理效率为75%）处理后</w:t>
                  </w:r>
                  <w:r>
                    <w:rPr>
                      <w:rFonts w:hint="default" w:ascii="Times New Roman" w:hAnsi="Times New Roman" w:eastAsia="宋体" w:cs="Times New Roman"/>
                      <w:color w:val="auto"/>
                      <w:kern w:val="0"/>
                      <w:sz w:val="21"/>
                      <w:szCs w:val="21"/>
                      <w:lang w:val="en-US" w:eastAsia="zh-CN" w:bidi="ar"/>
                    </w:rPr>
                    <w:t>，呈无组织排放。</w:t>
                  </w:r>
                </w:p>
              </w:tc>
              <w:tc>
                <w:tcPr>
                  <w:tcW w:w="119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环氧乙烷吸收系统（稀硫酸喷淋吸收工艺）</w:t>
                  </w:r>
                </w:p>
              </w:tc>
              <w:tc>
                <w:tcPr>
                  <w:tcW w:w="504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Cs/>
                      <w:snapToGrid w:val="0"/>
                      <w:color w:val="auto"/>
                      <w:kern w:val="0"/>
                      <w:sz w:val="21"/>
                      <w:szCs w:val="21"/>
                      <w:lang w:val="en-US" w:eastAsia="zh-CN" w:bidi="ar"/>
                    </w:rPr>
                    <w:t>根据调查，本项目产品灭菌过程使用的灭菌剂为环氧乙烷，灭菌的解析清洗过程会有环氧乙烷气体排放，项目目前</w:t>
                  </w:r>
                  <w:r>
                    <w:rPr>
                      <w:rFonts w:hint="default" w:ascii="Times New Roman" w:hAnsi="Times New Roman" w:eastAsia="宋体" w:cs="Times New Roman"/>
                      <w:color w:val="auto"/>
                      <w:szCs w:val="21"/>
                      <w:highlight w:val="none"/>
                      <w:lang w:eastAsia="zh-CN"/>
                    </w:rPr>
                    <w:t>环氧乙烷吸收系统</w:t>
                  </w:r>
                  <w:r>
                    <w:rPr>
                      <w:rFonts w:hint="default" w:ascii="Times New Roman" w:hAnsi="Times New Roman" w:eastAsia="宋体" w:cs="Times New Roman"/>
                      <w:bCs/>
                      <w:snapToGrid w:val="0"/>
                      <w:color w:val="auto"/>
                      <w:kern w:val="0"/>
                      <w:sz w:val="21"/>
                      <w:szCs w:val="21"/>
                      <w:lang w:val="en-US" w:eastAsia="zh-CN" w:bidi="ar"/>
                    </w:rPr>
                    <w:t>采用自来水喷淋吸收工艺，净化效率不能满足环保要求，本环评提出</w:t>
                  </w:r>
                  <w:r>
                    <w:rPr>
                      <w:rFonts w:hint="default" w:ascii="Times New Roman" w:hAnsi="Times New Roman" w:eastAsia="宋体" w:cs="Times New Roman"/>
                      <w:color w:val="auto"/>
                      <w:szCs w:val="21"/>
                      <w:highlight w:val="none"/>
                      <w:lang w:eastAsia="zh-CN"/>
                    </w:rPr>
                    <w:t>环氧乙烷吸收系统</w:t>
                  </w:r>
                  <w:r>
                    <w:rPr>
                      <w:rFonts w:hint="default" w:ascii="Times New Roman" w:hAnsi="Times New Roman" w:eastAsia="宋体" w:cs="Times New Roman"/>
                      <w:bCs/>
                      <w:snapToGrid w:val="0"/>
                      <w:color w:val="auto"/>
                      <w:kern w:val="0"/>
                      <w:sz w:val="21"/>
                      <w:szCs w:val="21"/>
                      <w:lang w:val="en-US" w:eastAsia="zh-CN" w:bidi="ar"/>
                    </w:rPr>
                    <w:t>整改为稀硫酸喷淋吸收工艺，该废气处理系统对环氧乙烷的净化效率＞95%，其余未吸收部分无组织排放</w:t>
                  </w:r>
                  <w:r>
                    <w:rPr>
                      <w:rFonts w:hint="default" w:ascii="Times New Roman" w:hAnsi="Times New Roman" w:eastAsia="宋体" w:cs="Times New Roman"/>
                      <w:bCs/>
                      <w:snapToGrid w:val="0"/>
                      <w:color w:val="auto"/>
                      <w:kern w:val="32"/>
                      <w:sz w:val="21"/>
                      <w:szCs w:val="21"/>
                      <w:lang w:val="en-US" w:eastAsia="zh-CN" w:bidi="ar-SA"/>
                    </w:rPr>
                    <w:t>。</w:t>
                  </w:r>
                </w:p>
              </w:tc>
              <w:tc>
                <w:tcPr>
                  <w:tcW w:w="119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油烟净化器</w:t>
                  </w:r>
                </w:p>
              </w:tc>
              <w:tc>
                <w:tcPr>
                  <w:tcW w:w="5047" w:type="dxa"/>
                  <w:gridSpan w:val="2"/>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项目针对员工食堂，已配套设置1台处理效率不低于60%</w:t>
                  </w:r>
                  <w:r>
                    <w:rPr>
                      <w:rFonts w:hint="default" w:ascii="Times New Roman" w:hAnsi="Times New Roman" w:eastAsia="宋体" w:cs="Times New Roman"/>
                      <w:color w:val="auto"/>
                      <w:sz w:val="21"/>
                      <w:szCs w:val="21"/>
                      <w:lang w:eastAsia="zh-CN"/>
                    </w:rPr>
                    <w:t>油烟净化器</w:t>
                  </w:r>
                  <w:r>
                    <w:rPr>
                      <w:rFonts w:hint="default" w:ascii="Times New Roman" w:hAnsi="Times New Roman" w:eastAsia="宋体" w:cs="Times New Roman"/>
                      <w:color w:val="auto"/>
                      <w:sz w:val="21"/>
                      <w:szCs w:val="21"/>
                    </w:rPr>
                    <w:t>对厨房油烟进行处理，</w:t>
                  </w:r>
                  <w:r>
                    <w:rPr>
                      <w:rFonts w:hint="default" w:ascii="Times New Roman" w:hAnsi="Times New Roman" w:eastAsia="宋体" w:cs="Times New Roman"/>
                      <w:color w:val="auto"/>
                      <w:sz w:val="21"/>
                      <w:szCs w:val="21"/>
                      <w:lang w:eastAsia="zh-CN"/>
                    </w:rPr>
                    <w:t>处理</w:t>
                  </w:r>
                  <w:r>
                    <w:rPr>
                      <w:rFonts w:hint="default" w:ascii="Times New Roman" w:hAnsi="Times New Roman" w:eastAsia="宋体" w:cs="Times New Roman"/>
                      <w:color w:val="auto"/>
                      <w:sz w:val="21"/>
                      <w:szCs w:val="21"/>
                    </w:rPr>
                    <w:t>后通过高于房顶1.5m的烟道外排。</w:t>
                  </w:r>
                </w:p>
              </w:tc>
              <w:tc>
                <w:tcPr>
                  <w:tcW w:w="119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655"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雨污分流</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根据调查，项目区已设置了雨污分流设施。</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冷却循环水系统</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根据调查</w:t>
                  </w:r>
                  <w:r>
                    <w:rPr>
                      <w:rFonts w:hint="default" w:ascii="Times New Roman" w:hAnsi="Times New Roman" w:eastAsia="宋体" w:cs="Times New Roman"/>
                      <w:color w:val="auto"/>
                      <w:szCs w:val="21"/>
                    </w:rPr>
                    <w:t>，项目已设置了1套冷却循环水系统对</w:t>
                  </w:r>
                  <w:r>
                    <w:rPr>
                      <w:rFonts w:hint="default" w:ascii="Times New Roman" w:hAnsi="Times New Roman" w:cs="Times New Roman"/>
                      <w:color w:val="auto"/>
                      <w:szCs w:val="21"/>
                      <w:lang w:eastAsia="zh-CN"/>
                    </w:rPr>
                    <w:t>注塑工序</w:t>
                  </w:r>
                  <w:r>
                    <w:rPr>
                      <w:rFonts w:hint="default" w:ascii="Times New Roman" w:hAnsi="Times New Roman" w:eastAsia="宋体" w:cs="Times New Roman"/>
                      <w:color w:val="auto"/>
                      <w:szCs w:val="21"/>
                    </w:rPr>
                    <w:t>设备进行间接冷却，循环水系统由</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个冷却水塔和循环冷却水管道组成，该冷却塔采用风机进行吹风对循环冷却水进行冷却。</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rPr>
                    <w:t>初期雨水收集池</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根据调查</w:t>
                  </w:r>
                  <w:r>
                    <w:rPr>
                      <w:rFonts w:hint="default" w:ascii="Times New Roman" w:hAnsi="Times New Roman" w:eastAsia="宋体" w:cs="Times New Roman"/>
                      <w:color w:val="auto"/>
                      <w:szCs w:val="21"/>
                    </w:rPr>
                    <w:t>，</w:t>
                  </w:r>
                  <w:r>
                    <w:rPr>
                      <w:rFonts w:hint="default" w:ascii="Times New Roman" w:hAnsi="Times New Roman" w:cs="Times New Roman"/>
                      <w:color w:val="auto"/>
                      <w:szCs w:val="21"/>
                      <w:lang w:eastAsia="zh-CN"/>
                    </w:rPr>
                    <w:t>项目区目前未建设初期雨水收集池，本环评提出在</w:t>
                  </w:r>
                  <w:r>
                    <w:rPr>
                      <w:rFonts w:hint="default" w:ascii="Times New Roman" w:hAnsi="Times New Roman" w:eastAsia="宋体" w:cs="Times New Roman"/>
                      <w:color w:val="auto"/>
                      <w:szCs w:val="21"/>
                    </w:rPr>
                    <w:t>目区</w:t>
                  </w:r>
                  <w:r>
                    <w:rPr>
                      <w:rFonts w:hint="default" w:ascii="Times New Roman" w:hAnsi="Times New Roman" w:eastAsia="宋体" w:cs="Times New Roman"/>
                      <w:color w:val="auto"/>
                      <w:szCs w:val="21"/>
                      <w:lang w:eastAsia="zh-CN"/>
                    </w:rPr>
                    <w:t>西</w:t>
                  </w:r>
                  <w:r>
                    <w:rPr>
                      <w:rFonts w:hint="default" w:ascii="Times New Roman" w:hAnsi="Times New Roman" w:eastAsia="宋体" w:cs="Times New Roman"/>
                      <w:color w:val="auto"/>
                      <w:szCs w:val="21"/>
                    </w:rPr>
                    <w:t>侧地势较低处设置1个10m³的初期雨水收集池，对整个厂区的初期雨水进行收集沉淀处理后，回用用于项目区绿化，不外排。</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隔油池</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Cs w:val="0"/>
                      <w:color w:val="auto"/>
                      <w:szCs w:val="24"/>
                    </w:rPr>
                    <w:t>综合楼厨房配套设置一个1m³的隔油池</w:t>
                  </w:r>
                  <w:r>
                    <w:rPr>
                      <w:rFonts w:hint="default" w:ascii="Times New Roman" w:hAnsi="Times New Roman" w:eastAsia="宋体" w:cs="Times New Roman"/>
                      <w:bCs w:val="0"/>
                      <w:color w:val="auto"/>
                      <w:szCs w:val="24"/>
                      <w:lang w:eastAsia="zh-CN"/>
                    </w:rPr>
                    <w:t>。</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化粪池</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bCs w:val="0"/>
                      <w:color w:val="auto"/>
                      <w:szCs w:val="24"/>
                    </w:rPr>
                    <w:t>项目废水产生量为5.6m³，</w:t>
                  </w:r>
                  <w:r>
                    <w:rPr>
                      <w:rFonts w:hint="default" w:ascii="Times New Roman" w:hAnsi="Times New Roman" w:cs="Times New Roman"/>
                      <w:bCs w:val="0"/>
                      <w:color w:val="auto"/>
                      <w:szCs w:val="24"/>
                      <w:lang w:eastAsia="zh-CN"/>
                    </w:rPr>
                    <w:t>已</w:t>
                  </w:r>
                  <w:r>
                    <w:rPr>
                      <w:rFonts w:hint="default" w:ascii="Times New Roman" w:hAnsi="Times New Roman" w:eastAsia="宋体" w:cs="Times New Roman"/>
                      <w:bCs w:val="0"/>
                      <w:color w:val="auto"/>
                      <w:szCs w:val="24"/>
                    </w:rPr>
                    <w:t>设置一个有效容积不低于7m³的化粪池，对项目生活污水进行预处理，保证其停留时间不低于24h</w:t>
                  </w:r>
                  <w:r>
                    <w:rPr>
                      <w:rFonts w:hint="default" w:ascii="Times New Roman" w:hAnsi="Times New Roman" w:eastAsia="宋体" w:cs="Times New Roman"/>
                      <w:bCs w:val="0"/>
                      <w:color w:val="auto"/>
                      <w:szCs w:val="24"/>
                      <w:lang w:eastAsia="zh-CN"/>
                    </w:rPr>
                    <w:t>。</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一体化污水处理设施</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cs="Times New Roman"/>
                      <w:bCs w:val="0"/>
                      <w:color w:val="auto"/>
                      <w:szCs w:val="24"/>
                      <w:lang w:eastAsia="zh-CN"/>
                    </w:rPr>
                    <w:t>根据调查</w:t>
                  </w:r>
                  <w:r>
                    <w:rPr>
                      <w:rFonts w:hint="default" w:ascii="Times New Roman" w:hAnsi="Times New Roman" w:eastAsia="宋体" w:cs="Times New Roman"/>
                      <w:bCs w:val="0"/>
                      <w:color w:val="auto"/>
                      <w:szCs w:val="24"/>
                    </w:rPr>
                    <w:t>，</w:t>
                  </w:r>
                  <w:r>
                    <w:rPr>
                      <w:rFonts w:hint="default" w:ascii="Times New Roman" w:hAnsi="Times New Roman" w:cs="Times New Roman"/>
                      <w:bCs w:val="0"/>
                      <w:color w:val="auto"/>
                      <w:szCs w:val="24"/>
                      <w:lang w:eastAsia="zh-CN"/>
                    </w:rPr>
                    <w:t>项目已</w:t>
                  </w:r>
                  <w:r>
                    <w:rPr>
                      <w:rFonts w:hint="default" w:ascii="Times New Roman" w:hAnsi="Times New Roman" w:eastAsia="宋体" w:cs="Times New Roman"/>
                      <w:bCs w:val="0"/>
                      <w:color w:val="auto"/>
                      <w:szCs w:val="24"/>
                    </w:rPr>
                    <w:t>在化粪池旁设置一个处理规模为7m³/d的一体化污水处理设施</w:t>
                  </w:r>
                  <w:r>
                    <w:rPr>
                      <w:rFonts w:hint="default" w:ascii="Times New Roman" w:hAnsi="Times New Roman" w:eastAsia="宋体" w:cs="Times New Roman"/>
                      <w:bCs w:val="0"/>
                      <w:color w:val="auto"/>
                      <w:szCs w:val="24"/>
                      <w:lang w:eastAsia="zh-CN"/>
                    </w:rPr>
                    <w:t>，经</w:t>
                  </w:r>
                  <w:r>
                    <w:rPr>
                      <w:rFonts w:hint="default" w:ascii="Times New Roman" w:hAnsi="Times New Roman" w:eastAsia="宋体" w:cs="Times New Roman"/>
                      <w:bCs w:val="0"/>
                      <w:color w:val="auto"/>
                      <w:szCs w:val="24"/>
                    </w:rPr>
                    <w:t>处理后</w:t>
                  </w:r>
                  <w:r>
                    <w:rPr>
                      <w:rFonts w:hint="default" w:ascii="Times New Roman" w:hAnsi="Times New Roman" w:eastAsia="宋体" w:cs="Times New Roman"/>
                      <w:bCs w:val="0"/>
                      <w:color w:val="auto"/>
                      <w:szCs w:val="24"/>
                      <w:lang w:eastAsia="zh-CN"/>
                    </w:rPr>
                    <w:t>达标后</w:t>
                  </w:r>
                  <w:r>
                    <w:rPr>
                      <w:rFonts w:hint="default" w:ascii="Times New Roman" w:hAnsi="Times New Roman" w:eastAsia="宋体" w:cs="Times New Roman"/>
                      <w:bCs w:val="0"/>
                      <w:color w:val="auto"/>
                      <w:szCs w:val="24"/>
                    </w:rPr>
                    <w:t>的水回用于项目区绿化，不外排</w:t>
                  </w:r>
                  <w:r>
                    <w:rPr>
                      <w:rFonts w:hint="default" w:ascii="Times New Roman" w:hAnsi="Times New Roman" w:eastAsia="宋体" w:cs="Times New Roman"/>
                      <w:bCs w:val="0"/>
                      <w:color w:val="auto"/>
                      <w:szCs w:val="24"/>
                      <w:lang w:eastAsia="zh-CN"/>
                    </w:rPr>
                    <w:t>，远期管网建成后将不再使用。</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地下水防渗</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重点防渗区</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项目重点防渗区为危险废物贮存间，危险废物贮存间地面和裙墙</w:t>
                  </w:r>
                  <w:r>
                    <w:rPr>
                      <w:rFonts w:hint="default" w:ascii="Times New Roman" w:hAnsi="Times New Roman" w:cs="Times New Roman"/>
                      <w:color w:val="auto"/>
                      <w:szCs w:val="21"/>
                      <w:lang w:eastAsia="zh-CN"/>
                    </w:rPr>
                    <w:t>拟</w:t>
                  </w:r>
                  <w:r>
                    <w:rPr>
                      <w:rFonts w:hint="default" w:ascii="Times New Roman" w:hAnsi="Times New Roman" w:eastAsia="宋体" w:cs="Times New Roman"/>
                      <w:color w:val="auto"/>
                      <w:szCs w:val="21"/>
                    </w:rPr>
                    <w:t>采用2mm厚的HDPE膜</w:t>
                  </w:r>
                  <w:r>
                    <w:rPr>
                      <w:rFonts w:hint="default" w:ascii="Times New Roman" w:hAnsi="Times New Roman" w:eastAsia="宋体" w:cs="Times New Roman"/>
                      <w:color w:val="auto"/>
                      <w:szCs w:val="21"/>
                      <w:lang w:eastAsia="zh-CN"/>
                    </w:rPr>
                    <w:t>或其他防渗材料</w:t>
                  </w:r>
                  <w:r>
                    <w:rPr>
                      <w:rFonts w:hint="default" w:ascii="Times New Roman" w:hAnsi="Times New Roman" w:eastAsia="宋体" w:cs="Times New Roman"/>
                      <w:color w:val="auto"/>
                      <w:szCs w:val="21"/>
                    </w:rPr>
                    <w:t>进行了防渗，</w:t>
                  </w:r>
                  <w:r>
                    <w:rPr>
                      <w:rFonts w:hint="default" w:ascii="Times New Roman" w:hAnsi="Times New Roman" w:eastAsia="宋体" w:cs="Times New Roman"/>
                      <w:color w:val="auto"/>
                      <w:szCs w:val="21"/>
                      <w:lang w:eastAsia="zh-CN"/>
                    </w:rPr>
                    <w:t>使</w:t>
                  </w:r>
                  <w:r>
                    <w:rPr>
                      <w:rFonts w:hint="default" w:ascii="Times New Roman" w:hAnsi="Times New Roman" w:eastAsia="宋体" w:cs="Times New Roman"/>
                      <w:color w:val="auto"/>
                      <w:szCs w:val="21"/>
                    </w:rPr>
                    <w:t>其渗透系数≤10</w:t>
                  </w:r>
                  <w:r>
                    <w:rPr>
                      <w:rFonts w:hint="default" w:ascii="Times New Roman" w:hAnsi="Times New Roman" w:eastAsia="宋体" w:cs="Times New Roman"/>
                      <w:color w:val="auto"/>
                      <w:szCs w:val="21"/>
                      <w:vertAlign w:val="superscript"/>
                    </w:rPr>
                    <w:t>-10</w:t>
                  </w:r>
                  <w:r>
                    <w:rPr>
                      <w:rFonts w:hint="default" w:ascii="Times New Roman" w:hAnsi="Times New Roman" w:eastAsia="宋体" w:cs="Times New Roman"/>
                      <w:color w:val="auto"/>
                      <w:szCs w:val="21"/>
                    </w:rPr>
                    <w:t>cm/s</w:t>
                  </w:r>
                  <w:r>
                    <w:rPr>
                      <w:rFonts w:hint="default" w:ascii="Times New Roman" w:hAnsi="Times New Roman" w:eastAsia="宋体" w:cs="Times New Roman"/>
                      <w:color w:val="auto"/>
                      <w:szCs w:val="21"/>
                      <w:lang w:eastAsia="zh-CN"/>
                    </w:rPr>
                    <w:t>。</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一般防渗区</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根据分区防渗规范要求，项目生产车间、水处理设施区域划定为一般防渗区，根据调查，项目生产车间</w:t>
                  </w:r>
                  <w:r>
                    <w:rPr>
                      <w:rFonts w:hint="default" w:ascii="Times New Roman" w:hAnsi="Times New Roman" w:cs="Times New Roman"/>
                      <w:color w:val="auto"/>
                      <w:szCs w:val="21"/>
                      <w:lang w:eastAsia="zh-CN"/>
                    </w:rPr>
                    <w:t>及水处理设置区域</w:t>
                  </w:r>
                  <w:r>
                    <w:rPr>
                      <w:rFonts w:hint="default" w:ascii="Times New Roman" w:hAnsi="Times New Roman" w:eastAsia="宋体" w:cs="Times New Roman"/>
                      <w:color w:val="auto"/>
                      <w:szCs w:val="21"/>
                    </w:rPr>
                    <w:t>已在地面采取粘土铺底，并在上层铺30cm的混凝土进行硬化，其渗透系数≤1.0×10</w:t>
                  </w:r>
                  <w:r>
                    <w:rPr>
                      <w:rFonts w:hint="default" w:ascii="Times New Roman" w:hAnsi="Times New Roman" w:eastAsia="宋体" w:cs="Times New Roman"/>
                      <w:color w:val="auto"/>
                      <w:szCs w:val="21"/>
                      <w:vertAlign w:val="superscript"/>
                    </w:rPr>
                    <w:t>-7</w:t>
                  </w:r>
                  <w:r>
                    <w:rPr>
                      <w:rFonts w:hint="default" w:ascii="Times New Roman" w:hAnsi="Times New Roman" w:eastAsia="宋体" w:cs="Times New Roman"/>
                      <w:color w:val="auto"/>
                      <w:szCs w:val="21"/>
                    </w:rPr>
                    <w:t>cm/s；</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设备噪声</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设备基础加装减震垫、消声器等。</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危险废物贮存间</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根据调查，项目目前未设置危险废物暂存间，危险废物管理不规范，本环评提出，</w:t>
                  </w:r>
                  <w:r>
                    <w:rPr>
                      <w:rFonts w:hint="default" w:ascii="Times New Roman" w:hAnsi="Times New Roman" w:eastAsia="宋体" w:cs="Times New Roman"/>
                      <w:color w:val="auto"/>
                      <w:szCs w:val="21"/>
                    </w:rPr>
                    <w:t>设置一个5m²的危险废物贮存间对</w:t>
                  </w:r>
                  <w:r>
                    <w:rPr>
                      <w:rFonts w:hint="default" w:ascii="Times New Roman" w:hAnsi="Times New Roman" w:cs="Times New Roman"/>
                      <w:color w:val="auto"/>
                      <w:szCs w:val="21"/>
                      <w:lang w:eastAsia="zh-CN"/>
                    </w:rPr>
                    <w:t>环氧乙烷吸收系统产生的</w:t>
                  </w:r>
                  <w:r>
                    <w:rPr>
                      <w:rFonts w:hint="default" w:ascii="Times New Roman" w:hAnsi="Times New Roman" w:eastAsia="宋体" w:cs="Times New Roman"/>
                      <w:color w:val="auto"/>
                      <w:szCs w:val="21"/>
                      <w:lang w:eastAsia="zh-CN"/>
                    </w:rPr>
                    <w:t>环氧乙烷吸收废液、</w:t>
                  </w:r>
                  <w:r>
                    <w:rPr>
                      <w:rFonts w:hint="default" w:ascii="Times New Roman" w:hAnsi="Times New Roman" w:cs="Times New Roman"/>
                      <w:color w:val="auto"/>
                      <w:szCs w:val="21"/>
                      <w:lang w:eastAsia="zh-CN"/>
                    </w:rPr>
                    <w:t>化验室产生的</w:t>
                  </w:r>
                  <w:r>
                    <w:rPr>
                      <w:rFonts w:hint="default" w:ascii="Times New Roman" w:hAnsi="Times New Roman" w:eastAsia="宋体" w:cs="Times New Roman"/>
                      <w:color w:val="auto"/>
                      <w:szCs w:val="21"/>
                      <w:lang w:eastAsia="zh-CN"/>
                    </w:rPr>
                    <w:t>废化学试剂</w:t>
                  </w:r>
                  <w:r>
                    <w:rPr>
                      <w:rFonts w:hint="default" w:ascii="Times New Roman" w:hAnsi="Times New Roman" w:cs="Times New Roman"/>
                      <w:color w:val="auto"/>
                      <w:szCs w:val="21"/>
                      <w:lang w:eastAsia="zh-CN"/>
                    </w:rPr>
                    <w:t>、废活性炭</w:t>
                  </w:r>
                  <w:r>
                    <w:rPr>
                      <w:rFonts w:hint="default" w:ascii="Times New Roman" w:hAnsi="Times New Roman" w:eastAsia="宋体" w:cs="Times New Roman"/>
                      <w:color w:val="auto"/>
                      <w:szCs w:val="21"/>
                    </w:rPr>
                    <w:t>等危险废物进行暂存，并委托</w:t>
                  </w:r>
                  <w:r>
                    <w:rPr>
                      <w:rFonts w:hint="default" w:ascii="Times New Roman" w:hAnsi="Times New Roman" w:eastAsia="宋体" w:cs="Times New Roman"/>
                      <w:color w:val="auto"/>
                      <w:szCs w:val="21"/>
                      <w:lang w:eastAsia="zh-CN"/>
                    </w:rPr>
                    <w:t>有资质单位进行</w:t>
                  </w:r>
                  <w:r>
                    <w:rPr>
                      <w:rFonts w:hint="default" w:ascii="Times New Roman" w:hAnsi="Times New Roman" w:eastAsia="宋体" w:cs="Times New Roman"/>
                      <w:color w:val="auto"/>
                      <w:szCs w:val="21"/>
                    </w:rPr>
                    <w:t>处理。</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生活垃圾桶</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w:t>
                  </w:r>
                  <w:r>
                    <w:rPr>
                      <w:rFonts w:hint="default" w:ascii="Times New Roman" w:hAnsi="Times New Roman" w:cs="Times New Roman"/>
                      <w:color w:val="auto"/>
                      <w:szCs w:val="21"/>
                      <w:lang w:eastAsia="zh-CN"/>
                    </w:rPr>
                    <w:t>已</w:t>
                  </w:r>
                  <w:r>
                    <w:rPr>
                      <w:rFonts w:hint="default" w:ascii="Times New Roman" w:hAnsi="Times New Roman" w:eastAsia="宋体" w:cs="Times New Roman"/>
                      <w:color w:val="auto"/>
                      <w:szCs w:val="21"/>
                    </w:rPr>
                    <w:t>设置</w:t>
                  </w:r>
                  <w:r>
                    <w:rPr>
                      <w:rFonts w:hint="default" w:ascii="Times New Roman" w:hAnsi="Times New Roman" w:eastAsia="宋体" w:cs="Times New Roman"/>
                      <w:color w:val="auto"/>
                      <w:szCs w:val="21"/>
                      <w:lang w:eastAsia="zh-CN"/>
                    </w:rPr>
                    <w:t>若干</w:t>
                  </w:r>
                  <w:r>
                    <w:rPr>
                      <w:rFonts w:hint="default" w:ascii="Times New Roman" w:hAnsi="Times New Roman" w:eastAsia="宋体" w:cs="Times New Roman"/>
                      <w:color w:val="auto"/>
                      <w:szCs w:val="21"/>
                    </w:rPr>
                    <w:t>生活垃圾桶，对生活垃圾收集后委托环卫部门进行处理。</w:t>
                  </w:r>
                </w:p>
              </w:tc>
              <w:tc>
                <w:tcPr>
                  <w:tcW w:w="119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环境风险</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rPr>
                    <w:t>应急池</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根据调查，项目区目前未建设应急池，环评提出，</w:t>
                  </w:r>
                  <w:r>
                    <w:rPr>
                      <w:rFonts w:hint="default" w:ascii="Times New Roman" w:hAnsi="Times New Roman" w:eastAsia="宋体" w:cs="Times New Roman"/>
                      <w:color w:val="auto"/>
                      <w:szCs w:val="21"/>
                    </w:rPr>
                    <w:t>项目拟设置1个有效容积不低于5m³的应急池，对风险事故废水进行收集，以满足事故状态下收集泄漏物料、污染消防水、污染雨水及生活污水的需要。</w:t>
                  </w:r>
                </w:p>
              </w:tc>
              <w:tc>
                <w:tcPr>
                  <w:tcW w:w="119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其他</w:t>
                  </w: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标识牌</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建设单位按照危险废物管理的规范要求，设置危险废物识别标志、环境保护图形标志。</w:t>
                  </w:r>
                </w:p>
              </w:tc>
              <w:tc>
                <w:tcPr>
                  <w:tcW w:w="119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0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49"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绿化</w:t>
                  </w:r>
                </w:p>
              </w:tc>
              <w:tc>
                <w:tcPr>
                  <w:tcW w:w="5047"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bCs w:val="0"/>
                      <w:color w:val="auto"/>
                      <w:szCs w:val="24"/>
                    </w:rPr>
                    <w:t>根据</w:t>
                  </w:r>
                  <w:r>
                    <w:rPr>
                      <w:rFonts w:hint="default" w:ascii="Times New Roman" w:hAnsi="Times New Roman" w:eastAsia="宋体" w:cs="Times New Roman"/>
                      <w:bCs w:val="0"/>
                      <w:color w:val="auto"/>
                      <w:szCs w:val="24"/>
                      <w:lang w:eastAsia="zh-CN"/>
                    </w:rPr>
                    <w:t>调查</w:t>
                  </w:r>
                  <w:r>
                    <w:rPr>
                      <w:rFonts w:hint="default" w:ascii="Times New Roman" w:hAnsi="Times New Roman" w:eastAsia="宋体" w:cs="Times New Roman"/>
                      <w:bCs w:val="0"/>
                      <w:color w:val="auto"/>
                      <w:szCs w:val="24"/>
                    </w:rPr>
                    <w:t>，</w:t>
                  </w:r>
                  <w:r>
                    <w:rPr>
                      <w:rFonts w:hint="default" w:ascii="Times New Roman" w:hAnsi="Times New Roman" w:eastAsia="宋体" w:cs="Times New Roman"/>
                      <w:bCs w:val="0"/>
                      <w:color w:val="auto"/>
                      <w:szCs w:val="24"/>
                      <w:lang w:eastAsia="zh-CN"/>
                    </w:rPr>
                    <w:t>项目已进行了绿化建设</w:t>
                  </w:r>
                  <w:r>
                    <w:rPr>
                      <w:rFonts w:hint="default" w:ascii="Times New Roman" w:hAnsi="Times New Roman" w:eastAsia="宋体" w:cs="Times New Roman"/>
                      <w:bCs w:val="0"/>
                      <w:color w:val="auto"/>
                      <w:szCs w:val="24"/>
                    </w:rPr>
                    <w:t>本项目绿化面积约为2508.74m²</w:t>
                  </w:r>
                  <w:r>
                    <w:rPr>
                      <w:rFonts w:hint="default" w:ascii="Times New Roman" w:hAnsi="Times New Roman" w:eastAsia="宋体" w:cs="Times New Roman"/>
                      <w:color w:val="auto"/>
                      <w:szCs w:val="21"/>
                    </w:rPr>
                    <w:t>。</w:t>
                  </w:r>
                </w:p>
              </w:tc>
              <w:tc>
                <w:tcPr>
                  <w:tcW w:w="119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已建</w:t>
                  </w:r>
                </w:p>
              </w:tc>
            </w:tr>
          </w:tbl>
          <w:p>
            <w:pPr>
              <w:keepNext w:val="0"/>
              <w:keepLines w:val="0"/>
              <w:pageBreakBefore w:val="0"/>
              <w:widowControl w:val="0"/>
              <w:kinsoku/>
              <w:wordWrap/>
              <w:overflowPunct/>
              <w:topLinePunct w:val="0"/>
              <w:autoSpaceDE w:val="0"/>
              <w:autoSpaceDN w:val="0"/>
              <w:bidi w:val="0"/>
              <w:adjustRightInd/>
              <w:snapToGrid/>
              <w:spacing w:beforeLines="50"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2.2 总平面布置及其合理性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w:t>
            </w:r>
            <w:r>
              <w:rPr>
                <w:rFonts w:hint="default" w:ascii="Times New Roman" w:hAnsi="Times New Roman" w:eastAsia="宋体" w:cs="Times New Roman"/>
                <w:bCs/>
                <w:color w:val="auto"/>
                <w:sz w:val="24"/>
                <w:szCs w:val="24"/>
                <w:lang w:eastAsia="zh-CN"/>
              </w:rPr>
              <w:t>调查</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lang w:val="en-US" w:eastAsia="zh-CN"/>
              </w:rPr>
              <w:t>本次拟建项目是在已建设的厂房中建设各类卫生材料生产线，不新增用地。</w:t>
            </w:r>
            <w:r>
              <w:rPr>
                <w:rFonts w:hint="default" w:ascii="Times New Roman" w:hAnsi="Times New Roman" w:eastAsia="宋体" w:cs="Times New Roman"/>
                <w:bCs/>
                <w:color w:val="auto"/>
                <w:sz w:val="24"/>
                <w:szCs w:val="24"/>
                <w:lang w:eastAsia="zh-CN"/>
              </w:rPr>
              <w:t>已建</w:t>
            </w:r>
            <w:r>
              <w:rPr>
                <w:rFonts w:hint="default" w:ascii="Times New Roman" w:hAnsi="Times New Roman" w:eastAsia="宋体" w:cs="Times New Roman"/>
                <w:bCs/>
                <w:color w:val="auto"/>
                <w:sz w:val="24"/>
                <w:szCs w:val="24"/>
              </w:rPr>
              <w:t>项目用地面积为13342.33m²，建筑面积为12956.61m²</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rPr>
              <w:t>共3栋建筑，包括两栋厂房和1栋综合楼，其中1#厂房的属性为仓储用房，位于项目区东侧</w:t>
            </w:r>
            <w:r>
              <w:rPr>
                <w:rFonts w:hint="default" w:ascii="Times New Roman" w:hAnsi="Times New Roman" w:eastAsia="宋体" w:cs="Times New Roman"/>
                <w:color w:val="auto"/>
                <w:sz w:val="24"/>
                <w:szCs w:val="24"/>
                <w:lang w:eastAsia="zh-CN"/>
              </w:rPr>
              <w:t>，该厂房设置原料仓库、成品仓库、灭菌生产线</w:t>
            </w:r>
            <w:r>
              <w:rPr>
                <w:rFonts w:hint="default" w:ascii="Times New Roman" w:hAnsi="Times New Roman" w:eastAsia="宋体" w:cs="Times New Roman"/>
                <w:color w:val="auto"/>
                <w:sz w:val="24"/>
                <w:szCs w:val="24"/>
              </w:rPr>
              <w:t>；2#厂房的属性为生产厂房</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位于项目区中部</w:t>
            </w:r>
            <w:r>
              <w:rPr>
                <w:rFonts w:hint="default" w:ascii="Times New Roman" w:hAnsi="Times New Roman" w:eastAsia="宋体" w:cs="Times New Roman"/>
                <w:color w:val="auto"/>
                <w:sz w:val="24"/>
                <w:szCs w:val="24"/>
                <w:lang w:eastAsia="zh-CN"/>
              </w:rPr>
              <w:t>，管类卫生材料生产线拟建设于该厂房第一层，无纺布类卫生材料生产线设置于该厂房第二层</w:t>
            </w:r>
            <w:r>
              <w:rPr>
                <w:rFonts w:hint="default" w:ascii="Times New Roman" w:hAnsi="Times New Roman" w:eastAsia="宋体" w:cs="Times New Roman"/>
                <w:color w:val="auto"/>
                <w:sz w:val="24"/>
                <w:szCs w:val="24"/>
              </w:rPr>
              <w:t>；综合楼位于项目区西侧靠路一侧</w:t>
            </w:r>
            <w:r>
              <w:rPr>
                <w:rFonts w:hint="default" w:ascii="Times New Roman" w:hAnsi="Times New Roman" w:eastAsia="宋体" w:cs="Times New Roman"/>
                <w:color w:val="auto"/>
                <w:sz w:val="24"/>
                <w:szCs w:val="24"/>
                <w:lang w:eastAsia="zh-CN"/>
              </w:rPr>
              <w:t>，综合楼内设置住宿区、办公区和食堂</w:t>
            </w:r>
            <w:r>
              <w:rPr>
                <w:rFonts w:hint="default" w:ascii="Times New Roman" w:hAnsi="Times New Roman" w:eastAsia="宋体" w:cs="Times New Roman"/>
                <w:color w:val="auto"/>
                <w:sz w:val="24"/>
                <w:szCs w:val="24"/>
              </w:rPr>
              <w:t>；本项目属于清洁生产性企业，项目生产车间远离项目东侧的小新村，降低了项目对环境保护目标的影响；另外项目隔油池、化粪池及一体化污水处理设施位于综合楼旁，可满足环保要求</w:t>
            </w:r>
            <w:r>
              <w:rPr>
                <w:rFonts w:hint="default" w:ascii="Times New Roman" w:hAnsi="Times New Roman" w:eastAsia="宋体" w:cs="Times New Roman"/>
                <w:color w:val="auto"/>
                <w:sz w:val="24"/>
                <w:szCs w:val="24"/>
                <w:lang w:eastAsia="zh-CN"/>
              </w:rPr>
              <w:t>；初期雨水收集池拟设置于项目区西侧地势较低处，便于雨水的收集，</w:t>
            </w:r>
            <w:r>
              <w:rPr>
                <w:rFonts w:hint="default" w:ascii="Times New Roman" w:hAnsi="Times New Roman" w:eastAsia="宋体" w:cs="Times New Roman"/>
                <w:color w:val="auto"/>
                <w:kern w:val="0"/>
                <w:sz w:val="24"/>
                <w:szCs w:val="24"/>
                <w:lang w:val="en-US" w:eastAsia="zh-CN" w:bidi="ar"/>
              </w:rPr>
              <w:t>项目所有生产设备均布置于生产厂房内，可有效减少非甲烷总烃、噪声排放量，主要产噪设备均距离厂界一定的距离，通过厂房墙壁隔声可降低产生的噪声对环境的影响，项目的平面布局合理</w:t>
            </w:r>
            <w:r>
              <w:rPr>
                <w:rFonts w:hint="default" w:ascii="Times New Roman" w:hAnsi="Times New Roman" w:eastAsia="宋体" w:cs="Times New Roman"/>
                <w:color w:val="auto"/>
                <w:sz w:val="24"/>
                <w:szCs w:val="24"/>
              </w:rPr>
              <w:t>。综上，项目布置符合环保要求。</w:t>
            </w:r>
            <w:r>
              <w:rPr>
                <w:rFonts w:hint="default" w:ascii="Times New Roman" w:hAnsi="Times New Roman" w:eastAsia="宋体" w:cs="Times New Roman"/>
                <w:bCs/>
                <w:color w:val="auto"/>
                <w:sz w:val="24"/>
                <w:szCs w:val="24"/>
                <w:lang w:eastAsia="zh-CN"/>
              </w:rPr>
              <w:t>该项目</w:t>
            </w:r>
            <w:r>
              <w:rPr>
                <w:rFonts w:hint="default" w:ascii="Times New Roman" w:hAnsi="Times New Roman" w:eastAsia="宋体" w:cs="Times New Roman"/>
                <w:bCs/>
                <w:color w:val="auto"/>
                <w:sz w:val="24"/>
                <w:szCs w:val="24"/>
              </w:rPr>
              <w:t>各功能分区从生产工艺及合理用地角度设置合理。</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项目平面布置详见附图</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rPr>
              <w:t>项目区平面布置示意图。</w:t>
            </w:r>
          </w:p>
          <w:p>
            <w:pPr>
              <w:keepNext w:val="0"/>
              <w:keepLines w:val="0"/>
              <w:pageBreakBefore w:val="0"/>
              <w:widowControl w:val="0"/>
              <w:kinsoku/>
              <w:wordWrap/>
              <w:overflowPunct/>
              <w:topLinePunct w:val="0"/>
              <w:autoSpaceDE w:val="0"/>
              <w:autoSpaceDN w:val="0"/>
              <w:bidi w:val="0"/>
              <w:adjustRightInd/>
              <w:snapToGrid/>
              <w:spacing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2.3 主要产品及产能</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2.3.1主要产品及产能</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本项目</w:t>
            </w:r>
            <w:r>
              <w:rPr>
                <w:rFonts w:hint="default" w:ascii="Times New Roman" w:hAnsi="Times New Roman" w:eastAsia="宋体" w:cs="Times New Roman"/>
                <w:bCs/>
                <w:color w:val="auto"/>
                <w:sz w:val="24"/>
                <w:szCs w:val="24"/>
              </w:rPr>
              <w:t>具体产品方案如下表所示。</w:t>
            </w:r>
          </w:p>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表2.3.1-1 项目产品方案一览表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969"/>
              <w:gridCol w:w="283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序号</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产品名称</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产品规模（年产量）</w:t>
                  </w:r>
                </w:p>
              </w:tc>
              <w:tc>
                <w:tcPr>
                  <w:tcW w:w="1554" w:type="dxa"/>
                  <w:noWrap w:val="0"/>
                  <w:vAlign w:val="top"/>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一次性使用医用口罩</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1.5亿只</w:t>
                  </w:r>
                </w:p>
              </w:tc>
              <w:tc>
                <w:tcPr>
                  <w:tcW w:w="1554" w:type="dxa"/>
                  <w:vMerge w:val="restar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二类医疗器械（卫生材料）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医用外科口罩</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1.5亿只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一次性使用手术单</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500万块</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一次性使用手术洞巾</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500万块</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一次性使用手术帽</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1500万个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6</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一次性使用手术衣</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kern w:val="2"/>
                      <w:sz w:val="21"/>
                      <w:szCs w:val="21"/>
                      <w:vertAlign w:val="baseline"/>
                      <w:lang w:val="en-US" w:eastAsia="zh-CN" w:bidi="ar-SA"/>
                    </w:rPr>
                    <w:t>300万套</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8</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一次性使用医用棉签</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kern w:val="2"/>
                      <w:sz w:val="21"/>
                      <w:szCs w:val="21"/>
                      <w:vertAlign w:val="baseline"/>
                      <w:lang w:val="en-US" w:eastAsia="zh-CN" w:bidi="ar-SA"/>
                    </w:rPr>
                    <w:t>300万袋</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9</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医用输液贴</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5000万片</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10</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医用无菌敷贴</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500万片</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11</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医用脱脂棉纱布块</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1200万块</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12</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医用脱脂棉纱布</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4万袋</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13</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一次性使用氧气雾化器</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20万只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14</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color w:val="auto"/>
                      <w:sz w:val="21"/>
                      <w:szCs w:val="21"/>
                    </w:rPr>
                    <w:t>一次性医用棉球</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10万袋</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15</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医用一次性防护服</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300万套</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16</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一次性使用无菌缝合包</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20万个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17</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一次性使用无菌换药包</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20万个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20</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一次性使用无菌产科手术包</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30万个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23</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一次性使用无菌手术包</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30万个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24</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一次性使用无菌介入手术包</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20万个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32</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一次性使用鼻氧管</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100万支</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34</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医用脱脂棉</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10万袋</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35</w:t>
                  </w:r>
                </w:p>
              </w:tc>
              <w:tc>
                <w:tcPr>
                  <w:tcW w:w="296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医用防护口罩</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1000万只</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jc w:val="left"/>
                    <w:textAlignment w:val="auto"/>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36</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医用固定带</w:t>
                  </w:r>
                </w:p>
              </w:tc>
              <w:tc>
                <w:tcPr>
                  <w:tcW w:w="2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10万只</w:t>
                  </w:r>
                </w:p>
              </w:tc>
              <w:tc>
                <w:tcPr>
                  <w:tcW w:w="155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一类医疗器械（卫生材料）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37</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纱布绷带</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50万卷</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38</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医用隔离鞋套</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1000万双</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39</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医用隔离面罩</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100万副</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40</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医用隔离眼罩</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100万副</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41</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隔离衣</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300万套</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42</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医用检查手套</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100万副</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43</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eastAsia="zh-CN"/>
                    </w:rPr>
                    <w:t>医用</w:t>
                  </w:r>
                  <w:r>
                    <w:rPr>
                      <w:rFonts w:hint="default" w:ascii="Times New Roman" w:hAnsi="Times New Roman" w:eastAsia="宋体" w:cs="Times New Roman"/>
                      <w:b w:val="0"/>
                      <w:bCs w:val="0"/>
                      <w:color w:val="auto"/>
                      <w:sz w:val="21"/>
                      <w:szCs w:val="21"/>
                    </w:rPr>
                    <w:t>透气胶带</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100万卷</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2"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44</w:t>
                  </w:r>
                </w:p>
              </w:tc>
              <w:tc>
                <w:tcPr>
                  <w:tcW w:w="2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eastAsia="zh-CN"/>
                    </w:rPr>
                    <w:t>医用橡皮膏</w:t>
                  </w:r>
                </w:p>
              </w:tc>
              <w:tc>
                <w:tcPr>
                  <w:tcW w:w="283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100万卷</w:t>
                  </w:r>
                </w:p>
              </w:tc>
              <w:tc>
                <w:tcPr>
                  <w:tcW w:w="1554" w:type="dxa"/>
                  <w:vMerge w:val="continue"/>
                  <w:noWrap w:val="0"/>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2.4 主要生产单元、主要工艺、生产设施及设施参数</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根据调查</w:t>
            </w:r>
            <w:r>
              <w:rPr>
                <w:rFonts w:hint="default" w:ascii="Times New Roman" w:hAnsi="Times New Roman" w:eastAsia="宋体" w:cs="Times New Roman"/>
                <w:bCs/>
                <w:color w:val="auto"/>
                <w:sz w:val="24"/>
                <w:szCs w:val="24"/>
              </w:rPr>
              <w:t>，项目主要生产单元、主要工艺、生产设施及设施参数如下表所示。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eastAsia="宋体" w:cs="Times New Roman"/>
                <w:bCs/>
                <w:snapToGrid w:val="0"/>
                <w:color w:val="auto"/>
                <w:sz w:val="21"/>
                <w:szCs w:val="21"/>
              </w:rPr>
            </w:pPr>
            <w:r>
              <w:rPr>
                <w:rFonts w:hint="default" w:ascii="Times New Roman" w:hAnsi="Times New Roman" w:eastAsia="宋体" w:cs="Times New Roman"/>
                <w:bCs/>
                <w:snapToGrid w:val="0"/>
                <w:color w:val="auto"/>
                <w:sz w:val="21"/>
                <w:szCs w:val="21"/>
              </w:rPr>
              <w:t>表2.4-1 主要生产单元、主要工艺、生产设施及设施参数表</w:t>
            </w:r>
          </w:p>
          <w:tbl>
            <w:tblPr>
              <w:tblStyle w:val="26"/>
              <w:tblW w:w="842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4"/>
              <w:gridCol w:w="1136"/>
              <w:gridCol w:w="946"/>
              <w:gridCol w:w="1053"/>
              <w:gridCol w:w="2460"/>
              <w:gridCol w:w="828"/>
              <w:gridCol w:w="12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70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主要生产单元</w:t>
                  </w:r>
                </w:p>
              </w:tc>
              <w:tc>
                <w:tcPr>
                  <w:tcW w:w="113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主要工艺</w:t>
                  </w: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生产设施</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规格型号</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数量</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jc w:val="center"/>
              </w:trPr>
              <w:tc>
                <w:tcPr>
                  <w:tcW w:w="70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主体工程</w:t>
                  </w:r>
                </w:p>
              </w:tc>
              <w:tc>
                <w:tcPr>
                  <w:tcW w:w="113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管类卫生材料生产</w:t>
                  </w: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注塑机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GT3-LS160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3</w:t>
                  </w:r>
                  <w:r>
                    <w:rPr>
                      <w:rFonts w:hint="default" w:ascii="Times New Roman" w:hAnsi="Times New Roman" w:eastAsia="宋体" w:cs="Times New Roman"/>
                      <w:bCs/>
                      <w:snapToGrid w:val="0"/>
                      <w:color w:val="auto"/>
                      <w:kern w:val="32"/>
                      <w:sz w:val="21"/>
                      <w:szCs w:val="21"/>
                      <w:lang w:val="zh-CN"/>
                    </w:rPr>
                    <w:t>台</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注塑车间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粉料机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YSC-400P</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2台</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粉料车间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sz w:val="21"/>
                      <w:szCs w:val="21"/>
                      <w:highlight w:val="none"/>
                      <w:vertAlign w:val="baseline"/>
                      <w:lang w:val="en-US" w:eastAsia="zh-CN"/>
                    </w:rPr>
                    <w:t>塑料挤出机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SJ-50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挤出车间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无纺布类卫生材料生产</w:t>
                  </w: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sz w:val="21"/>
                      <w:szCs w:val="21"/>
                      <w:vertAlign w:val="baseline"/>
                      <w:lang w:val="en-US" w:eastAsia="zh-CN"/>
                    </w:rPr>
                    <w:t>折叠机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sz w:val="21"/>
                      <w:szCs w:val="21"/>
                      <w:vertAlign w:val="baseline"/>
                      <w:lang w:val="en-US" w:eastAsia="zh-CN"/>
                    </w:rPr>
                    <w:t>CF5*7</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棉纱车间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医用包装机（软膜）</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BN-D4</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棉签机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全自动</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5台</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棉签车间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自动台式快速塑料封口机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SF-400型</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7台</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zh-CN"/>
                    </w:rPr>
                    <w:t>棉签车间</w:t>
                  </w:r>
                  <w:r>
                    <w:rPr>
                      <w:rFonts w:hint="default" w:ascii="Times New Roman" w:hAnsi="Times New Roman" w:eastAsia="宋体" w:cs="Times New Roman"/>
                      <w:bCs/>
                      <w:snapToGrid w:val="0"/>
                      <w:color w:val="auto"/>
                      <w:kern w:val="32"/>
                      <w:sz w:val="21"/>
                      <w:szCs w:val="21"/>
                      <w:lang w:val="en-US" w:eastAsia="zh-CN"/>
                    </w:rPr>
                    <w:t>1台、口罩车间2台、垫单车间2台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滚切输液贴包装机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HSY-200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缝纫车间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雅娜点焊机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三型</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sz w:val="21"/>
                      <w:szCs w:val="21"/>
                      <w:lang w:val="en-US" w:eastAsia="zh-CN"/>
                    </w:rPr>
                    <w:t>压胶机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i w:val="0"/>
                      <w:iCs w:val="0"/>
                      <w:color w:val="auto"/>
                      <w:kern w:val="0"/>
                      <w:sz w:val="21"/>
                      <w:szCs w:val="21"/>
                      <w:u w:val="none"/>
                      <w:lang w:val="en-US" w:eastAsia="zh-CN" w:bidi="ar"/>
                    </w:rPr>
                    <w:t>YC-F7</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5台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压胶机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YT301+</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highlight w:val="none"/>
                      <w:vertAlign w:val="baseline"/>
                      <w:lang w:val="en-US" w:eastAsia="zh-CN" w:bidi="ar-SA"/>
                    </w:rPr>
                    <w:t>压胶机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2"/>
                      <w:sz w:val="21"/>
                      <w:szCs w:val="21"/>
                      <w:lang w:val="en-US" w:eastAsia="zh-CN" w:bidi="ar-SA"/>
                    </w:rPr>
                    <w:t>LX-608C</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平缝机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H8800EW-7C-5/AK</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8台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TYPICAL平缝机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GC6150MD</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四线缝纫机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布鲁斯</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四线缝纫机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杰克</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7台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三线缝纫机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vertAlign w:val="baseline"/>
                      <w:lang w:val="en-US" w:eastAsia="zh-CN"/>
                    </w:rPr>
                    <w:t>KY700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5台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三线缝纫机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vertAlign w:val="baseline"/>
                      <w:lang w:val="en-US" w:eastAsia="zh-CN"/>
                    </w:rPr>
                    <w:t>SF958-3D</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三线缝纫机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GN-2000-3</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WL-988-4D</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三线缝纫机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WL-737D</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超声波花边机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JX-60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9台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自动铺布机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ZC1201</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牵布间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智能喷涂胶机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TZR1280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电剪刀</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7001</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平面一体口罩机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羽林</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5台</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口罩车间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垫单包装机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羽林</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垫单车间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全自动无纺布鞋套制造机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EJWX15082</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highlight w:val="none"/>
                      <w:vertAlign w:val="baseline"/>
                      <w:lang w:val="en-US" w:eastAsia="zh-CN"/>
                    </w:rPr>
                    <w:t>全自动无纺布帽子制造机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ESD19074</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highlight w:val="none"/>
                      <w:vertAlign w:val="baseline"/>
                      <w:lang w:val="en-US" w:eastAsia="zh-CN" w:bidi="ar-SA"/>
                    </w:rPr>
                    <w:t>智能真空包装机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长盛</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内包间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自动台式快速塑料封口机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SF-400型</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墨轮有色印字连续封口机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FRBM-810I</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8台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有色印字封口机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BM-810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封口机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FRBM-810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灭菌生产线</w:t>
                  </w: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环氧乙烷灭菌柜</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HMG-A-25m</w:t>
                  </w:r>
                  <w:r>
                    <w:rPr>
                      <w:rFonts w:hint="default" w:ascii="Times New Roman" w:hAnsi="Times New Roman" w:eastAsia="宋体" w:cs="Times New Roman"/>
                      <w:b w:val="0"/>
                      <w:bCs w:val="0"/>
                      <w:color w:val="auto"/>
                      <w:sz w:val="21"/>
                      <w:szCs w:val="21"/>
                      <w:vertAlign w:val="superscript"/>
                      <w:lang w:val="en-US" w:eastAsia="zh-CN"/>
                    </w:rPr>
                    <w:t>3</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灭菌车间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灭菌控制台</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公用工程</w:t>
                  </w:r>
                </w:p>
              </w:tc>
              <w:tc>
                <w:tcPr>
                  <w:tcW w:w="113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新风净化系统</w:t>
                  </w: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组合式空调机组</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ZHK-100-W-N</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机房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组合式空调机组</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ZHK-30-W-N</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组合式空调机组</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ZHK-9-W-N</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内置式臭氧发生器</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JZ-N100</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999"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螺杆压缩机</w:t>
                  </w:r>
                </w:p>
              </w:tc>
              <w:tc>
                <w:tcPr>
                  <w:tcW w:w="2460"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LS30E</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1台</w:t>
                  </w: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储运工程</w:t>
                  </w:r>
                </w:p>
              </w:tc>
              <w:tc>
                <w:tcPr>
                  <w:tcW w:w="113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储运</w:t>
                  </w:r>
                </w:p>
              </w:tc>
              <w:tc>
                <w:tcPr>
                  <w:tcW w:w="94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原料暂存区</w:t>
                  </w:r>
                </w:p>
              </w:tc>
              <w:tc>
                <w:tcPr>
                  <w:tcW w:w="105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电叉车</w:t>
                  </w:r>
                </w:p>
              </w:tc>
              <w:tc>
                <w:tcPr>
                  <w:tcW w:w="2460"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5t</w:t>
                  </w:r>
                </w:p>
              </w:tc>
              <w:tc>
                <w:tcPr>
                  <w:tcW w:w="828"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zh-CN" w:eastAsia="zh-CN"/>
                    </w:rPr>
                    <w:t>台</w:t>
                  </w:r>
                </w:p>
              </w:tc>
              <w:tc>
                <w:tcPr>
                  <w:tcW w:w="129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库房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113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p>
              </w:tc>
              <w:tc>
                <w:tcPr>
                  <w:tcW w:w="94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产品暂存区</w:t>
                  </w: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c>
                <w:tcPr>
                  <w:tcW w:w="246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c>
                <w:tcPr>
                  <w:tcW w:w="828"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c>
                <w:tcPr>
                  <w:tcW w:w="129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0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环保工程</w:t>
                  </w:r>
                </w:p>
              </w:tc>
              <w:tc>
                <w:tcPr>
                  <w:tcW w:w="113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循环水冷却系统</w:t>
                  </w:r>
                </w:p>
              </w:tc>
              <w:tc>
                <w:tcPr>
                  <w:tcW w:w="1999" w:type="dxa"/>
                  <w:gridSpan w:val="2"/>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zh-CN" w:eastAsia="zh-CN"/>
                    </w:rPr>
                    <w:t>冷却水塔</w:t>
                  </w:r>
                </w:p>
              </w:tc>
              <w:tc>
                <w:tcPr>
                  <w:tcW w:w="246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zh-CN" w:eastAsia="zh-CN"/>
                    </w:rPr>
                    <w:t>m³/个</w:t>
                  </w:r>
                </w:p>
              </w:tc>
              <w:tc>
                <w:tcPr>
                  <w:tcW w:w="82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zh-CN" w:eastAsia="zh-CN"/>
                    </w:rPr>
                  </w:pP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zh-CN" w:eastAsia="zh-CN"/>
                    </w:rPr>
                    <w:t>个</w:t>
                  </w:r>
                </w:p>
              </w:tc>
              <w:tc>
                <w:tcPr>
                  <w:tcW w:w="129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8" w:hRule="atLeast"/>
                <w:jc w:val="center"/>
              </w:trPr>
              <w:tc>
                <w:tcPr>
                  <w:tcW w:w="8424"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kern w:val="0"/>
                      <w:sz w:val="21"/>
                      <w:szCs w:val="21"/>
                      <w:lang w:val="en-US" w:eastAsia="zh-CN" w:bidi="ar"/>
                    </w:rPr>
                    <w:t>注：本项目区内无放射性设备；同时，根据《产业结构调整指导目录（2019 年本）》，无淘汰落后设备。</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2.5 原辅料及能源消耗</w:t>
            </w:r>
          </w:p>
          <w:p>
            <w:pPr>
              <w:autoSpaceDE w:val="0"/>
              <w:autoSpaceDN w:val="0"/>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2.5.1原辅料</w:t>
            </w:r>
          </w:p>
          <w:p>
            <w:pPr>
              <w:spacing w:line="360" w:lineRule="auto"/>
              <w:ind w:firstLine="361" w:firstLineChars="15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（1）原辅料的用量</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根据调查，</w:t>
            </w:r>
            <w:r>
              <w:rPr>
                <w:rFonts w:hint="default" w:ascii="Times New Roman" w:hAnsi="Times New Roman" w:eastAsia="宋体" w:cs="Times New Roman"/>
                <w:color w:val="auto"/>
                <w:sz w:val="24"/>
                <w:szCs w:val="24"/>
              </w:rPr>
              <w:t>项目原辅料用量情况如下表所示。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eastAsia="宋体" w:cs="Times New Roman"/>
                <w:bCs/>
                <w:snapToGrid w:val="0"/>
                <w:color w:val="auto"/>
                <w:sz w:val="21"/>
                <w:szCs w:val="21"/>
              </w:rPr>
            </w:pPr>
            <w:r>
              <w:rPr>
                <w:rFonts w:hint="default" w:ascii="Times New Roman" w:hAnsi="Times New Roman" w:eastAsia="宋体" w:cs="Times New Roman"/>
                <w:bCs/>
                <w:snapToGrid w:val="0"/>
                <w:color w:val="auto"/>
                <w:sz w:val="21"/>
                <w:szCs w:val="21"/>
              </w:rPr>
              <w:t>表2.5.1-1 原辅料用量一览表</w:t>
            </w:r>
          </w:p>
          <w:tbl>
            <w:tblPr>
              <w:tblStyle w:val="26"/>
              <w:tblW w:w="87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0"/>
              <w:gridCol w:w="642"/>
              <w:gridCol w:w="1559"/>
              <w:gridCol w:w="1470"/>
              <w:gridCol w:w="1290"/>
              <w:gridCol w:w="1335"/>
              <w:gridCol w:w="1245"/>
              <w:gridCol w:w="7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2621" w:type="dxa"/>
                  <w:gridSpan w:val="3"/>
                  <w:vMerge w:val="restart"/>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项目名称</w:t>
                  </w:r>
                </w:p>
              </w:tc>
              <w:tc>
                <w:tcPr>
                  <w:tcW w:w="1470" w:type="dxa"/>
                  <w:vMerge w:val="restart"/>
                  <w:tcBorders>
                    <w:top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原辅料名称</w:t>
                  </w:r>
                </w:p>
              </w:tc>
              <w:tc>
                <w:tcPr>
                  <w:tcW w:w="2625" w:type="dxa"/>
                  <w:gridSpan w:val="2"/>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使用量及储存量</w:t>
                  </w:r>
                </w:p>
              </w:tc>
              <w:tc>
                <w:tcPr>
                  <w:tcW w:w="1245" w:type="dxa"/>
                  <w:vMerge w:val="restart"/>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主要成分</w:t>
                  </w:r>
                </w:p>
              </w:tc>
              <w:tc>
                <w:tcPr>
                  <w:tcW w:w="757" w:type="dxa"/>
                  <w:vMerge w:val="restart"/>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2621" w:type="dxa"/>
                  <w:gridSpan w:val="3"/>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p>
              </w:tc>
              <w:tc>
                <w:tcPr>
                  <w:tcW w:w="1470"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p>
              </w:tc>
              <w:tc>
                <w:tcPr>
                  <w:tcW w:w="1290" w:type="dxa"/>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用量（t/a）</w:t>
                  </w:r>
                </w:p>
              </w:tc>
              <w:tc>
                <w:tcPr>
                  <w:tcW w:w="1335" w:type="dxa"/>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最大储存量（t/a）</w:t>
                  </w:r>
                </w:p>
              </w:tc>
              <w:tc>
                <w:tcPr>
                  <w:tcW w:w="1245"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p>
              </w:tc>
              <w:tc>
                <w:tcPr>
                  <w:tcW w:w="757"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restart"/>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原料</w:t>
                  </w:r>
                </w:p>
              </w:tc>
              <w:tc>
                <w:tcPr>
                  <w:tcW w:w="642" w:type="dxa"/>
                  <w:vMerge w:val="restart"/>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医疗器械（卫生材料）生产线</w:t>
                  </w:r>
                </w:p>
              </w:tc>
              <w:tc>
                <w:tcPr>
                  <w:tcW w:w="1559" w:type="dxa"/>
                  <w:vMerge w:val="restart"/>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一次性医用棉签生产</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棉条</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棉花</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签棒</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25吨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竹子</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聚乙烯醇（医用级）</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聚乙烯醇</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restart"/>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医用外科口罩、</w:t>
                  </w:r>
                  <w:r>
                    <w:rPr>
                      <w:rFonts w:hint="default" w:ascii="Times New Roman" w:hAnsi="Times New Roman" w:eastAsia="宋体" w:cs="Times New Roman"/>
                      <w:b w:val="0"/>
                      <w:bCs w:val="0"/>
                      <w:color w:val="auto"/>
                      <w:sz w:val="21"/>
                      <w:szCs w:val="21"/>
                      <w:vertAlign w:val="baseline"/>
                      <w:lang w:eastAsia="zh-CN"/>
                    </w:rPr>
                    <w:t>一次性使用医用口罩、医用防护口罩</w:t>
                  </w:r>
                  <w:r>
                    <w:rPr>
                      <w:rFonts w:hint="default" w:ascii="Times New Roman" w:hAnsi="Times New Roman" w:eastAsia="宋体" w:cs="Times New Roman"/>
                      <w:color w:val="auto"/>
                      <w:sz w:val="21"/>
                      <w:szCs w:val="21"/>
                      <w:vertAlign w:val="baseline"/>
                      <w:lang w:eastAsia="zh-CN"/>
                    </w:rPr>
                    <w:t>生产</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熔喷布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60吨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无纺布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鼻夹</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PE包铁丝</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口罩带</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40吨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氨纶</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Merge w:val="restart"/>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一次性使用手术单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一次性使用手术洞巾</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无纺布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40吨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PE膜</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PE</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卫生纸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木浆</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一次性使用手术帽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一次性使用手术衣</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无纺布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Merge w:val="restart"/>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医用输液贴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医用无菌敷贴</w:t>
                  </w:r>
                </w:p>
              </w:tc>
              <w:tc>
                <w:tcPr>
                  <w:tcW w:w="1470" w:type="dxa"/>
                  <w:vAlign w:val="center"/>
                </w:tcPr>
                <w:p>
                  <w:pPr>
                    <w:keepNext w:val="0"/>
                    <w:keepLines w:val="0"/>
                    <w:pageBreakBefore w:val="0"/>
                    <w:widowControl/>
                    <w:suppressLineNumbers w:val="0"/>
                    <w:kinsoku/>
                    <w:wordWrap/>
                    <w:topLinePunct w:val="0"/>
                    <w:autoSpaceDE/>
                    <w:autoSpaceDN/>
                    <w:bidi w:val="0"/>
                    <w:spacing w:line="360" w:lineRule="exact"/>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i w:val="0"/>
                      <w:color w:val="auto"/>
                      <w:kern w:val="0"/>
                      <w:sz w:val="21"/>
                      <w:szCs w:val="21"/>
                      <w:u w:val="none"/>
                      <w:lang w:val="en-US" w:eastAsia="zh-CN" w:bidi="ar"/>
                    </w:rPr>
                    <w:t>医用胶带</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热熔胶、无纺布</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widowControl/>
                    <w:suppressLineNumbers w:val="0"/>
                    <w:kinsoku/>
                    <w:wordWrap/>
                    <w:topLinePunct w:val="0"/>
                    <w:autoSpaceDE/>
                    <w:autoSpaceDN/>
                    <w:bidi w:val="0"/>
                    <w:spacing w:line="360" w:lineRule="exact"/>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i w:val="0"/>
                      <w:color w:val="auto"/>
                      <w:kern w:val="0"/>
                      <w:sz w:val="21"/>
                      <w:szCs w:val="21"/>
                      <w:u w:val="none"/>
                      <w:lang w:val="en-US" w:eastAsia="zh-CN" w:bidi="ar"/>
                    </w:rPr>
                    <w:t>吸水垫</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200kg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涤纶</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widowControl/>
                    <w:suppressLineNumbers w:val="0"/>
                    <w:kinsoku/>
                    <w:wordWrap/>
                    <w:topLinePunct w:val="0"/>
                    <w:autoSpaceDE/>
                    <w:autoSpaceDN/>
                    <w:bidi w:val="0"/>
                    <w:spacing w:line="360" w:lineRule="exact"/>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i w:val="0"/>
                      <w:color w:val="auto"/>
                      <w:kern w:val="0"/>
                      <w:sz w:val="21"/>
                      <w:szCs w:val="21"/>
                      <w:u w:val="none"/>
                      <w:lang w:val="en-US" w:eastAsia="zh-CN" w:bidi="ar"/>
                    </w:rPr>
                    <w:t>离型纸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300kg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硅油纸</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医用脱脂棉纱布块</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脱脂棉纱布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棉织品</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医用脱脂棉纱布</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脱脂棉纱布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棉织品</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Merge w:val="restart"/>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一次性使用氧气雾化器</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聚乙烯颗粒（</w:t>
                  </w:r>
                  <w:r>
                    <w:rPr>
                      <w:rFonts w:hint="default" w:ascii="Times New Roman" w:hAnsi="Times New Roman" w:eastAsia="宋体" w:cs="Times New Roman"/>
                      <w:color w:val="auto"/>
                      <w:sz w:val="21"/>
                      <w:szCs w:val="21"/>
                      <w:vertAlign w:val="baseline"/>
                      <w:lang w:val="en-US" w:eastAsia="zh-CN"/>
                    </w:rPr>
                    <w:t>PVC</w:t>
                  </w:r>
                  <w:r>
                    <w:rPr>
                      <w:rFonts w:hint="default" w:ascii="Times New Roman" w:hAnsi="Times New Roman" w:eastAsia="宋体" w:cs="Times New Roman"/>
                      <w:color w:val="auto"/>
                      <w:sz w:val="21"/>
                      <w:szCs w:val="21"/>
                      <w:vertAlign w:val="baseline"/>
                      <w:lang w:eastAsia="zh-CN"/>
                    </w:rPr>
                    <w:t>）、面罩、接头、输氧管</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PVC</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聚丙烯颗粒（</w:t>
                  </w:r>
                  <w:r>
                    <w:rPr>
                      <w:rFonts w:hint="default" w:ascii="Times New Roman" w:hAnsi="Times New Roman" w:eastAsia="宋体" w:cs="Times New Roman"/>
                      <w:color w:val="auto"/>
                      <w:sz w:val="21"/>
                      <w:szCs w:val="21"/>
                      <w:vertAlign w:val="baseline"/>
                      <w:lang w:val="en-US" w:eastAsia="zh-CN"/>
                    </w:rPr>
                    <w:t>PP</w:t>
                  </w:r>
                  <w:r>
                    <w:rPr>
                      <w:rFonts w:hint="default" w:ascii="Times New Roman" w:hAnsi="Times New Roman" w:eastAsia="宋体" w:cs="Times New Roman"/>
                      <w:color w:val="auto"/>
                      <w:sz w:val="21"/>
                      <w:szCs w:val="21"/>
                      <w:vertAlign w:val="baseline"/>
                      <w:lang w:eastAsia="zh-CN"/>
                    </w:rPr>
                    <w:t>）、杯盖、杯芯、雾化杯、咬嘴</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一次性医用棉球</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脱脂棉</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棉花</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vertAlign w:val="baseline"/>
                      <w:lang w:eastAsia="zh-CN"/>
                    </w:rPr>
                  </w:pPr>
                </w:p>
              </w:tc>
              <w:tc>
                <w:tcPr>
                  <w:tcW w:w="1559" w:type="dxa"/>
                  <w:vMerge w:val="restart"/>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eastAsia="zh-CN"/>
                    </w:rPr>
                    <w:t>医用一次性防护服、</w:t>
                  </w:r>
                  <w:r>
                    <w:rPr>
                      <w:rFonts w:hint="default" w:ascii="Times New Roman" w:hAnsi="Times New Roman" w:eastAsia="宋体" w:cs="Times New Roman"/>
                      <w:b w:val="0"/>
                      <w:bCs w:val="0"/>
                      <w:color w:val="auto"/>
                      <w:sz w:val="21"/>
                      <w:szCs w:val="21"/>
                    </w:rPr>
                    <w:t>医用隔离鞋套</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复合无纺布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PP+PE</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松紧带</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橡皮筋</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压胶条</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PE</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 w:val="0"/>
                      <w:bCs w:val="0"/>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 w:val="0"/>
                      <w:bCs w:val="0"/>
                      <w:color w:val="auto"/>
                      <w:sz w:val="21"/>
                      <w:szCs w:val="21"/>
                      <w:vertAlign w:val="baseline"/>
                      <w:lang w:eastAsia="zh-CN"/>
                    </w:rPr>
                  </w:pPr>
                </w:p>
              </w:tc>
              <w:tc>
                <w:tcPr>
                  <w:tcW w:w="1559"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eastAsia="zh-CN"/>
                    </w:rPr>
                    <w:t>一次性使用鼻氧管</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鼻架、接头、三通、输氧管</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PVC</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 w:val="0"/>
                      <w:bCs w:val="0"/>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 w:val="0"/>
                      <w:bCs w:val="0"/>
                      <w:color w:val="auto"/>
                      <w:sz w:val="21"/>
                      <w:szCs w:val="21"/>
                      <w:vertAlign w:val="baseline"/>
                      <w:lang w:eastAsia="zh-CN"/>
                    </w:rPr>
                  </w:pPr>
                </w:p>
              </w:tc>
              <w:tc>
                <w:tcPr>
                  <w:tcW w:w="1559"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eastAsia="zh-CN"/>
                    </w:rPr>
                    <w:t>医用脱脂棉</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脱脂棉</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棉花</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纱布绷带</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rPr>
                    <w:t>脱脂棉纱布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棉织品</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lang w:eastAsia="zh-CN"/>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eastAsia="zh-CN"/>
                    </w:rPr>
                    <w:t>医用隔离面罩</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防护罩、泡沫条、固定装置</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15吨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shd w:val="clear" w:color="auto" w:fill="FFFFFF"/>
                    </w:rPr>
                    <w:t>聚对苯二甲酸乙二醇酯</w:t>
                  </w:r>
                  <w:r>
                    <w:rPr>
                      <w:rFonts w:hint="default" w:ascii="Times New Roman" w:hAnsi="Times New Roman" w:eastAsia="宋体" w:cs="Times New Roman"/>
                      <w:color w:val="auto"/>
                      <w:sz w:val="21"/>
                      <w:szCs w:val="21"/>
                      <w:shd w:val="clear" w:color="auto" w:fill="FFFFFF"/>
                      <w:lang w:eastAsia="zh-CN"/>
                    </w:rPr>
                    <w:t>、</w:t>
                  </w:r>
                  <w:r>
                    <w:rPr>
                      <w:rFonts w:hint="default" w:ascii="Times New Roman" w:hAnsi="Times New Roman" w:eastAsia="宋体" w:cs="Times New Roman"/>
                      <w:color w:val="auto"/>
                      <w:sz w:val="21"/>
                      <w:szCs w:val="21"/>
                      <w:vertAlign w:val="baseline"/>
                      <w:lang w:eastAsia="zh-CN"/>
                    </w:rPr>
                    <w:t>海绵、</w:t>
                  </w:r>
                  <w:r>
                    <w:rPr>
                      <w:rFonts w:hint="default" w:ascii="Times New Roman" w:hAnsi="Times New Roman" w:eastAsia="宋体" w:cs="Times New Roman"/>
                      <w:color w:val="auto"/>
                      <w:sz w:val="21"/>
                      <w:szCs w:val="21"/>
                      <w:vertAlign w:val="baseline"/>
                      <w:lang w:val="en-US" w:eastAsia="zh-CN"/>
                    </w:rPr>
                    <w:t>氨纶</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lang w:eastAsia="zh-CN"/>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eastAsia="zh-CN"/>
                    </w:rPr>
                    <w:t>医用隔离眼罩</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防护罩、固定装置</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PVC、氨纶</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rPr>
                  </w:pPr>
                </w:p>
              </w:tc>
              <w:tc>
                <w:tcPr>
                  <w:tcW w:w="1559" w:type="dxa"/>
                  <w:vMerge w:val="restart"/>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隔离衣</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无纺布</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PP</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642" w:type="dxa"/>
                  <w:vMerge w:val="continue"/>
                  <w:tcBorders>
                    <w:right w:val="single" w:color="auto" w:sz="4" w:space="0"/>
                  </w:tcBorders>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559" w:type="dxa"/>
                  <w:vMerge w:val="continue"/>
                  <w:vAlign w:val="center"/>
                </w:tcPr>
                <w:p>
                  <w:pPr>
                    <w:pStyle w:val="45"/>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松紧带</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100kg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橡皮筋</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医用检查手套</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检查手套</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橡胶胶乳</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sz w:val="21"/>
                      <w:szCs w:val="21"/>
                      <w:lang w:eastAsia="zh-CN"/>
                    </w:rPr>
                  </w:pPr>
                </w:p>
              </w:tc>
              <w:tc>
                <w:tcPr>
                  <w:tcW w:w="1559" w:type="dxa"/>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eastAsia="zh-CN"/>
                    </w:rPr>
                    <w:t>医用</w:t>
                  </w:r>
                  <w:r>
                    <w:rPr>
                      <w:rFonts w:hint="default" w:ascii="Times New Roman" w:hAnsi="Times New Roman" w:eastAsia="宋体" w:cs="Times New Roman"/>
                      <w:b w:val="0"/>
                      <w:bCs w:val="0"/>
                      <w:color w:val="auto"/>
                      <w:sz w:val="21"/>
                      <w:szCs w:val="21"/>
                    </w:rPr>
                    <w:t>透气胶带</w:t>
                  </w:r>
                  <w:r>
                    <w:rPr>
                      <w:rFonts w:hint="default" w:ascii="Times New Roman" w:hAnsi="Times New Roman" w:eastAsia="宋体" w:cs="Times New Roman"/>
                      <w:b w:val="0"/>
                      <w:bCs w:val="0"/>
                      <w:color w:val="auto"/>
                      <w:sz w:val="21"/>
                      <w:szCs w:val="21"/>
                      <w:lang w:eastAsia="zh-CN"/>
                    </w:rPr>
                    <w:t>、医用橡皮膏</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涤纶布、压敏胶、离型纸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20吨</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5吨</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涤纶、热熔胶、硅油纸</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restart"/>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辅料</w:t>
                  </w:r>
                </w:p>
              </w:tc>
              <w:tc>
                <w:tcPr>
                  <w:tcW w:w="642" w:type="dxa"/>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eastAsia="zh-CN"/>
                    </w:rPr>
                    <w:t>产品灭菌生产线</w:t>
                  </w:r>
                </w:p>
              </w:tc>
              <w:tc>
                <w:tcPr>
                  <w:tcW w:w="1559"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产品灭菌</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highlight w:val="none"/>
                      <w:lang w:eastAsia="zh-CN"/>
                    </w:rPr>
                    <w:t>环氧乙烷</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3000kg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420kg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环氧乙烷室</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restart"/>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微生物检测</w:t>
                  </w:r>
                </w:p>
              </w:tc>
              <w:tc>
                <w:tcPr>
                  <w:tcW w:w="1559" w:type="dxa"/>
                  <w:vMerge w:val="restart"/>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微生物检测</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硫乙醇酸盐流体培养基</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胰酪大豆胨液体培养基</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营养肉汤培养基</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6000g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营养琼脂培养基</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3500g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tcBorders>
                    <w:right w:val="single" w:color="auto" w:sz="4" w:space="0"/>
                  </w:tcBorders>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胰酪大豆胨琼脂培养基</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restart"/>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理化检测</w:t>
                  </w:r>
                </w:p>
              </w:tc>
              <w:tc>
                <w:tcPr>
                  <w:tcW w:w="1559" w:type="dxa"/>
                  <w:vMerge w:val="restart"/>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理化检测</w:t>
                  </w: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乙酸铵</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氯化铵</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亚硝酸钠</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氢氧化钠</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氯化钾</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硝酸钾</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氢氧化钾</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767针剂活性炭</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碘化钾</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无水亚硫酸钠</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碳酸铵</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氯化锌</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硫代硫酸钠</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碘</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溴甲酚紫</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甲基橙</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高碘酸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碱性品红</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酚酞</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丙三醇</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乙二醇</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氨水</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过氧化氢30%</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冰乙酸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无水甲酸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硝酸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u w:val="none"/>
                      <w:vertAlign w:val="baseline"/>
                      <w:lang w:val="en-US" w:eastAsia="zh-CN"/>
                    </w:rPr>
                    <w:t>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人工合成血液</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甲基红</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溴百里香酚蓝</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N-(1-萘基)乙二胺盐酸盐</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硫代乙酸胺</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奈斯勒试剂</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灭菌注射用水</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10000ml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5000ml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硝酸铅</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500g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u w:val="none"/>
                      <w:vertAlign w:val="baseline"/>
                      <w:lang w:val="en-US" w:eastAsia="zh-CN" w:bidi="ar-SA"/>
                    </w:rPr>
                    <w:t>高锰酸钾</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u w:val="none"/>
                      <w:vertAlign w:val="baseline"/>
                      <w:lang w:val="en-US" w:eastAsia="zh-CN" w:bidi="ar-SA"/>
                    </w:rPr>
                    <w:t>500g</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1000g</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u w:val="none"/>
                      <w:vertAlign w:val="baseline"/>
                      <w:lang w:val="en-US" w:eastAsia="zh-CN" w:bidi="ar-SA"/>
                    </w:rPr>
                    <w:t>硫酸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420" w:type="dxa"/>
                  <w:vMerge w:val="continue"/>
                  <w:tcBorders>
                    <w:right w:val="single" w:color="auto" w:sz="4" w:space="0"/>
                  </w:tcBorders>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p>
              </w:tc>
              <w:tc>
                <w:tcPr>
                  <w:tcW w:w="642" w:type="dxa"/>
                  <w:vMerge w:val="continue"/>
                  <w:vAlign w:val="center"/>
                </w:tcPr>
                <w:p>
                  <w:pPr>
                    <w:keepNext w:val="0"/>
                    <w:keepLines w:val="0"/>
                    <w:pageBreakBefore w:val="0"/>
                    <w:kinsoku/>
                    <w:wordWrap/>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vertAlign w:val="baseline"/>
                      <w:lang w:eastAsia="zh-CN"/>
                    </w:rPr>
                  </w:pPr>
                </w:p>
              </w:tc>
              <w:tc>
                <w:tcPr>
                  <w:tcW w:w="1559" w:type="dxa"/>
                  <w:vMerge w:val="continue"/>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p>
              </w:tc>
              <w:tc>
                <w:tcPr>
                  <w:tcW w:w="147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u w:val="none"/>
                      <w:vertAlign w:val="baseline"/>
                      <w:lang w:val="en-US" w:eastAsia="zh-CN" w:bidi="ar-SA"/>
                    </w:rPr>
                    <w:t>盐酸</w:t>
                  </w:r>
                </w:p>
              </w:tc>
              <w:tc>
                <w:tcPr>
                  <w:tcW w:w="1290"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u w:val="none"/>
                      <w:vertAlign w:val="baseline"/>
                      <w:lang w:val="en-US" w:eastAsia="zh-CN"/>
                    </w:rPr>
                    <w:t>2500ml</w:t>
                  </w:r>
                </w:p>
              </w:tc>
              <w:tc>
                <w:tcPr>
                  <w:tcW w:w="133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2500ml</w:t>
                  </w:r>
                </w:p>
              </w:tc>
              <w:tc>
                <w:tcPr>
                  <w:tcW w:w="1245"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w:t>
                  </w:r>
                </w:p>
              </w:tc>
              <w:tc>
                <w:tcPr>
                  <w:tcW w:w="757" w:type="dxa"/>
                  <w:vAlign w:val="center"/>
                </w:tcPr>
                <w:p>
                  <w:pPr>
                    <w:keepNext w:val="0"/>
                    <w:keepLines w:val="0"/>
                    <w:pageBreakBefore w:val="0"/>
                    <w:kinsoku/>
                    <w:wordWrap/>
                    <w:topLinePunct w:val="0"/>
                    <w:autoSpaceDE/>
                    <w:autoSpaceDN/>
                    <w:bidi w:val="0"/>
                    <w:spacing w:line="360" w:lineRule="exact"/>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bl>
          <w:p>
            <w:pPr>
              <w:spacing w:beforeLines="50"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（2）原辅料性质</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项目生产所用原辅料其理化性质如下表所示。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eastAsia="宋体" w:cs="Times New Roman"/>
                <w:bCs/>
                <w:snapToGrid w:val="0"/>
                <w:color w:val="auto"/>
                <w:sz w:val="21"/>
                <w:szCs w:val="21"/>
              </w:rPr>
            </w:pPr>
            <w:r>
              <w:rPr>
                <w:rFonts w:hint="default" w:ascii="Times New Roman" w:hAnsi="Times New Roman" w:eastAsia="宋体" w:cs="Times New Roman"/>
                <w:bCs/>
                <w:snapToGrid w:val="0"/>
                <w:color w:val="auto"/>
                <w:sz w:val="21"/>
                <w:szCs w:val="21"/>
              </w:rPr>
              <w:t>表2.5.1-2 项目原辅材料主要成分基本性质一览表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7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0" w:hRule="atLeast"/>
              </w:trPr>
              <w:tc>
                <w:tcPr>
                  <w:tcW w:w="102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聚乙烯醇</w:t>
                  </w:r>
                </w:p>
              </w:tc>
              <w:tc>
                <w:tcPr>
                  <w:tcW w:w="758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1"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聚乙烯醇：</w:t>
                  </w:r>
                  <w:r>
                    <w:rPr>
                      <w:rFonts w:hint="default" w:ascii="Times New Roman" w:hAnsi="Times New Roman" w:eastAsia="宋体" w:cs="Times New Roman"/>
                      <w:color w:val="auto"/>
                      <w:kern w:val="0"/>
                      <w:sz w:val="21"/>
                      <w:szCs w:val="21"/>
                      <w:lang w:val="en-US" w:eastAsia="zh-CN" w:bidi="ar"/>
                    </w:rPr>
                    <w:t xml:space="preserve">有机化合物，白色粉末状固体，无味。溶于水(95℃以上)，微溶于二甲基亚砜，不溶于汽油、煤油、植物油、苯、甲苯、二氯乙烷、四氯化碳、丙酮、醋酸乙酯、甲醇、乙二醇等，熔点230-240℃，常温下不挥发。医药级聚乙烯醇，不同于化工级别聚乙烯醇，它是一种极安全的高子有机物，对人体无毒，无副作用，具有良好的生物相容性，尤其在医疗中的如其性凝胶在眼科、伤口敷料和人工关节方面的有广泛应用，同时在聚乙烯醇薄膜在药膜，人工肾膜等方面也有使用。其安全性可以从用于伤口皮肤修复，和眼部滴眼液品可见一斑。其中一些型号也常被用在化妆品中的面膜、洁面膏、化妆水及乳液中，一种常用的安全性成膜剂。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0" w:hRule="atLeast"/>
              </w:trPr>
              <w:tc>
                <w:tcPr>
                  <w:tcW w:w="102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熔喷布</w:t>
                  </w:r>
                </w:p>
              </w:tc>
              <w:tc>
                <w:tcPr>
                  <w:tcW w:w="758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熔喷布为口罩最核心的材料。医用口罩是由纺粘层、熔喷层和纺粘层构成的，其中，纺粘层、熔喷层均由聚丙烯PP材料构成。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102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无纺布</w:t>
                  </w:r>
                </w:p>
              </w:tc>
              <w:tc>
                <w:tcPr>
                  <w:tcW w:w="758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是由定向的或随机的纤维而构成，具有防潮、透气、柔韧、质轻、不助燃、 容易分解、无毒无刺激性、色彩丰富、价格低廉、可循环再用等特点。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02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sz w:val="21"/>
                      <w:szCs w:val="21"/>
                      <w:vertAlign w:val="baseline"/>
                      <w:lang w:val="en-US" w:eastAsia="zh-CN"/>
                    </w:rPr>
                    <w:t>PE膜</w:t>
                  </w:r>
                </w:p>
              </w:tc>
              <w:tc>
                <w:tcPr>
                  <w:tcW w:w="758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由乙烯聚合而得到的热塑性高分子聚合物，具有优良的机械强度，介点性、耐潮性，在低温时能保持柔软性和化学稳定性。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02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环氧乙烷</w:t>
                  </w:r>
                </w:p>
              </w:tc>
              <w:tc>
                <w:tcPr>
                  <w:tcW w:w="758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环氧乙烷是一种有机化合物，化学式是C2H4O，属于杂环类化合物，是重要的石化产品。环氧乙烷在低温下为无色透明液体，在常温下为无色带有醚刺激性气味的气体，气体的蒸汽压高，30°C时可达141kPa。</w:t>
                  </w:r>
                </w:p>
                <w:p>
                  <w:pPr>
                    <w:keepNext w:val="0"/>
                    <w:keepLines w:val="0"/>
                    <w:pageBreakBefore w:val="0"/>
                    <w:widowControl/>
                    <w:suppressLineNumbers w:val="0"/>
                    <w:kinsoku/>
                    <w:wordWrap/>
                    <w:topLinePunct w:val="0"/>
                    <w:autoSpaceDE/>
                    <w:autoSpaceDN/>
                    <w:bidi w:val="0"/>
                    <w:snapToGrid/>
                    <w:spacing w:line="360" w:lineRule="exact"/>
                    <w:ind w:firstLine="211"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物理性质：</w:t>
                  </w:r>
                  <w:r>
                    <w:rPr>
                      <w:rFonts w:hint="default" w:ascii="Times New Roman" w:hAnsi="Times New Roman" w:eastAsia="宋体" w:cs="Times New Roman"/>
                      <w:color w:val="auto"/>
                      <w:kern w:val="0"/>
                      <w:sz w:val="21"/>
                      <w:szCs w:val="21"/>
                      <w:lang w:val="en-US" w:eastAsia="zh-CN" w:bidi="ar"/>
                    </w:rPr>
                    <w:t xml:space="preserve">外观与性状：无色气体；熔点（°C）：-112.2；相对密度(水=1)：0.8711；折射率：1.3614(4°C)；沸点(°C)：10.4；相对蒸气密度(空气=1)：1.52；分子量：44.052；职业接触限值：阈限值1ppm；饱和蒸气压(kPa)： 145.91(20°C)； 燃烧热(kJ/mol)：1262.8；临界温度(°C)：195.8；临界压力(MPa)：7.19；辛醇/水分配系数的对数值：-0.30；闪点(°C)：&lt;17.8(O.C)；爆炸极限%(V/V)：3-80；引燃温度(°C)：429；自燃点(°C)：571； 溶解性：与水可以任何比例混溶，能溶于醇、醚。 </w:t>
                  </w:r>
                </w:p>
                <w:p>
                  <w:pPr>
                    <w:keepNext w:val="0"/>
                    <w:keepLines w:val="0"/>
                    <w:pageBreakBefore w:val="0"/>
                    <w:widowControl/>
                    <w:suppressLineNumbers w:val="0"/>
                    <w:kinsoku/>
                    <w:wordWrap/>
                    <w:topLinePunct w:val="0"/>
                    <w:autoSpaceDE/>
                    <w:autoSpaceDN/>
                    <w:bidi w:val="0"/>
                    <w:snapToGrid/>
                    <w:spacing w:line="360" w:lineRule="exact"/>
                    <w:ind w:firstLine="211" w:firstLineChars="1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化学性质：</w:t>
                  </w:r>
                  <w:r>
                    <w:rPr>
                      <w:rFonts w:hint="default" w:ascii="Times New Roman" w:hAnsi="Times New Roman" w:eastAsia="宋体" w:cs="Times New Roman"/>
                      <w:color w:val="auto"/>
                      <w:kern w:val="0"/>
                      <w:sz w:val="21"/>
                      <w:szCs w:val="21"/>
                      <w:lang w:val="en-US" w:eastAsia="zh-CN" w:bidi="ar"/>
                    </w:rPr>
                    <w:t>化学性质非常活泼，能与许多化合物发生开环加成反应，可用于消毒一些不能耐受高温消毒的物品。环氧乙烷有杀菌作用，对金属不腐蚀，无残留气味，因此可用材料的气体杀菌剂。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02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val="0"/>
                      <w:color w:val="auto"/>
                      <w:sz w:val="21"/>
                      <w:szCs w:val="21"/>
                      <w:lang w:eastAsia="zh-CN"/>
                    </w:rPr>
                    <w:t>脱脂棉</w:t>
                  </w:r>
                </w:p>
              </w:tc>
              <w:tc>
                <w:tcPr>
                  <w:tcW w:w="758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Cs w:val="0"/>
                      <w:snapToGrid/>
                      <w:color w:val="auto"/>
                      <w:kern w:val="0"/>
                      <w:sz w:val="21"/>
                      <w:szCs w:val="21"/>
                      <w:lang w:val="en-US" w:eastAsia="zh-CN" w:bidi="ar"/>
                    </w:rPr>
                    <w:t>由</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"https://baike.baidu.com/item/%E5%8E%9F%E6%A3%89?fromModule=lemma_inlink"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原棉</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经除去夹杂物，</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"https://baike.baidu.com/item/%E8%84%B1%E8%84%82?fromModule=lemma_inlink"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脱脂</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"https://baike.baidu.com/item/%E6%BC%82%E7%99%BD?fromModule=lemma_inlink"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漂白</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"https://baike.baidu.com/item/%E6%B4%97%E6%B6%A4?fromModule=lemma_inlink"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洗涤</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、干燥、</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"https://baike.baidu.com/item/%E6%95%B4%E7%90%86?fromModule=lemma_inlink"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整理</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加工制成。脱脂棉无臭、无味、无色斑，具有很好的</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"https://baike.baidu.com/item/%E5%90%B8%E6%B0%B4%E6%80%A7?fromModule=lemma_inlink"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吸水性</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，纤维柔软细长，洁白富有弹性，易于分层，没有酸、</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"https://baike.baidu.com/item/%E7%A2%B1?fromModule=lemma_inlink"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碱</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等有害杂质，脱脂棉是</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"https://baike.baidu.com/item/%E6%A3%89%E8%8A%B1?fromModule=lemma_inlink"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棉花</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经工艺脱脂而成，因</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"https://baike.baidu.com/item/%E8%A1%A8%E5%B1%82?fromModule=lemma_inlink"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表层</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不含有脂肪，有很好的</w:t>
                  </w:r>
                  <w:r>
                    <w:rPr>
                      <w:rFonts w:hint="default" w:ascii="Times New Roman" w:hAnsi="Times New Roman" w:eastAsia="宋体" w:cs="Times New Roman"/>
                      <w:bCs w:val="0"/>
                      <w:snapToGrid/>
                      <w:color w:val="auto"/>
                      <w:kern w:val="0"/>
                      <w:sz w:val="21"/>
                      <w:szCs w:val="21"/>
                      <w:lang w:val="en-US" w:eastAsia="zh-CN" w:bidi="ar"/>
                    </w:rPr>
                    <w:fldChar w:fldCharType="begin"/>
                  </w:r>
                  <w:r>
                    <w:rPr>
                      <w:rFonts w:hint="default" w:ascii="Times New Roman" w:hAnsi="Times New Roman" w:eastAsia="宋体" w:cs="Times New Roman"/>
                      <w:bCs w:val="0"/>
                      <w:snapToGrid/>
                      <w:color w:val="auto"/>
                      <w:kern w:val="0"/>
                      <w:sz w:val="21"/>
                      <w:szCs w:val="21"/>
                      <w:lang w:val="en-US" w:eastAsia="zh-CN" w:bidi="ar"/>
                    </w:rPr>
                    <w:instrText xml:space="preserve"> HYPERLINK "https://baike.baidu.com/item/%E4%BA%B2%E6%B0%B4%E6%80%A7?fromModule=lemma_inlink" \t "https://baike.baidu.com/item/%E8%84%B1%E8%84%82%E6%A3%89/_blank" </w:instrText>
                  </w:r>
                  <w:r>
                    <w:rPr>
                      <w:rFonts w:hint="default" w:ascii="Times New Roman" w:hAnsi="Times New Roman" w:eastAsia="宋体" w:cs="Times New Roman"/>
                      <w:bCs w:val="0"/>
                      <w:snapToGrid/>
                      <w:color w:val="auto"/>
                      <w:kern w:val="0"/>
                      <w:sz w:val="21"/>
                      <w:szCs w:val="21"/>
                      <w:lang w:val="en-US" w:eastAsia="zh-CN" w:bidi="ar"/>
                    </w:rPr>
                    <w:fldChar w:fldCharType="separate"/>
                  </w:r>
                  <w:r>
                    <w:rPr>
                      <w:rFonts w:hint="default" w:ascii="Times New Roman" w:hAnsi="Times New Roman" w:eastAsia="宋体" w:cs="Times New Roman"/>
                      <w:bCs w:val="0"/>
                      <w:snapToGrid/>
                      <w:color w:val="auto"/>
                      <w:kern w:val="0"/>
                      <w:sz w:val="21"/>
                      <w:szCs w:val="21"/>
                      <w:lang w:val="en-US" w:eastAsia="zh-CN" w:bidi="ar"/>
                    </w:rPr>
                    <w:t>亲水性</w:t>
                  </w:r>
                  <w:r>
                    <w:rPr>
                      <w:rFonts w:hint="default" w:ascii="Times New Roman" w:hAnsi="Times New Roman" w:eastAsia="宋体" w:cs="Times New Roman"/>
                      <w:bCs w:val="0"/>
                      <w:snapToGrid/>
                      <w:color w:val="auto"/>
                      <w:kern w:val="0"/>
                      <w:sz w:val="21"/>
                      <w:szCs w:val="21"/>
                      <w:lang w:val="en-US" w:eastAsia="zh-CN" w:bidi="ar"/>
                    </w:rPr>
                    <w:fldChar w:fldCharType="end"/>
                  </w:r>
                  <w:r>
                    <w:rPr>
                      <w:rFonts w:hint="default" w:ascii="Times New Roman" w:hAnsi="Times New Roman" w:eastAsia="宋体" w:cs="Times New Roman"/>
                      <w:bCs w:val="0"/>
                      <w:snapToGrid/>
                      <w:color w:val="auto"/>
                      <w:kern w:val="0"/>
                      <w:sz w:val="21"/>
                      <w:szCs w:val="21"/>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021" w:type="dxa"/>
                  <w:vAlign w:val="center"/>
                </w:tcPr>
                <w:p>
                  <w:pPr>
                    <w:keepNext w:val="0"/>
                    <w:keepLines w:val="0"/>
                    <w:pageBreakBefore w:val="0"/>
                    <w:widowControl/>
                    <w:suppressLineNumbers w:val="0"/>
                    <w:kinsoku/>
                    <w:wordWrap/>
                    <w:topLinePunct w:val="0"/>
                    <w:autoSpaceDE/>
                    <w:autoSpaceDN/>
                    <w:bidi w:val="0"/>
                    <w:snapToGrid/>
                    <w:spacing w:line="36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kern w:val="0"/>
                      <w:sz w:val="21"/>
                      <w:szCs w:val="21"/>
                      <w:lang w:val="en-US" w:eastAsia="zh-CN" w:bidi="ar"/>
                    </w:rPr>
                    <w:t>聚丙烯颗粒</w:t>
                  </w:r>
                </w:p>
              </w:tc>
              <w:tc>
                <w:tcPr>
                  <w:tcW w:w="758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bCs w:val="0"/>
                      <w:snapToGrid/>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由丙烯聚合而制得的一种热塑性树脂。通常为半透明无色固体，无臭无毒。由于结构规整而高度结晶化，故熔点高达160-175℃，耐热，热分解温度为350℃， 制品可用蒸汽消毒是其突出优点。密度0.90g/cm3，是最轻的通用塑料。具有可燃性。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021" w:type="dxa"/>
                  <w:vAlign w:val="center"/>
                </w:tcPr>
                <w:p>
                  <w:pPr>
                    <w:keepNext w:val="0"/>
                    <w:keepLines w:val="0"/>
                    <w:pageBreakBefore w:val="0"/>
                    <w:widowControl/>
                    <w:suppressLineNumbers w:val="0"/>
                    <w:kinsoku/>
                    <w:wordWrap/>
                    <w:topLinePunct w:val="0"/>
                    <w:autoSpaceDE/>
                    <w:autoSpaceDN/>
                    <w:bidi w:val="0"/>
                    <w:snapToGrid/>
                    <w:spacing w:line="360" w:lineRule="exact"/>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sz w:val="21"/>
                      <w:szCs w:val="21"/>
                    </w:rPr>
                    <w:t>聚乙烯颗粒</w:t>
                  </w:r>
                </w:p>
              </w:tc>
              <w:tc>
                <w:tcPr>
                  <w:tcW w:w="758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val="0"/>
                      <w:snapToGrid/>
                      <w:color w:val="auto"/>
                      <w:kern w:val="0"/>
                      <w:sz w:val="21"/>
                      <w:szCs w:val="21"/>
                      <w:lang w:val="en-US" w:eastAsia="zh-CN" w:bidi="ar"/>
                    </w:rPr>
                  </w:pPr>
                  <w:r>
                    <w:rPr>
                      <w:rFonts w:hint="default" w:ascii="Times New Roman" w:hAnsi="Times New Roman" w:eastAsia="宋体" w:cs="Times New Roman"/>
                      <w:color w:val="auto"/>
                      <w:sz w:val="21"/>
                      <w:szCs w:val="21"/>
                    </w:rPr>
                    <w:t>无味、无臭、无毒、表面无光泽、乳白色蜡状物颗粒。结晶度60%-80%，软化点105-120℃，，相对密度：0.94-0.95，不溶于水，微溶于烃类、甲苯等。引燃温度为450℃。热分解温度在380℃，熔点：130-145℃。耐化学品性好，不溶于多数有机溶剂，微溶于热甲苯、乙酸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021" w:type="dxa"/>
                  <w:vAlign w:val="center"/>
                </w:tcPr>
                <w:p>
                  <w:pPr>
                    <w:keepNext w:val="0"/>
                    <w:keepLines w:val="0"/>
                    <w:pageBreakBefore w:val="0"/>
                    <w:widowControl/>
                    <w:suppressLineNumbers w:val="0"/>
                    <w:kinsoku/>
                    <w:wordWrap/>
                    <w:topLinePunct w:val="0"/>
                    <w:autoSpaceDE/>
                    <w:autoSpaceDN/>
                    <w:bidi w:val="0"/>
                    <w:snapToGrid/>
                    <w:spacing w:line="36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硫酸</w:t>
                  </w:r>
                </w:p>
              </w:tc>
              <w:tc>
                <w:tcPr>
                  <w:tcW w:w="758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化学式是H2SO4，无色无味澄清粘稠油状液体，熔点（℃）：10-10.4949； 沸点（℃）：330；相对密度（水=1）：1.84；相对蒸汽密度（空气=1）：3.4；饱和蒸气压（kPa）：0.13（145.8℃）；临界压力（MPa）：6.4；辛醇/水分配系数的对数值： -2.2；与水、乙醇混溶。本品助燃，具强腐蚀性、强刺激性，可致人体灼伤。</w:t>
                  </w:r>
                </w:p>
              </w:tc>
            </w:tr>
          </w:tbl>
          <w:p>
            <w:pPr>
              <w:autoSpaceDE w:val="0"/>
              <w:autoSpaceDN w:val="0"/>
              <w:spacing w:beforeLines="50"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2.5.2 一体化污水处理设施消毒剂用量及性质</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表2.5.2-1 次氯酸钠物质特性一览表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705"/>
              <w:gridCol w:w="1091"/>
              <w:gridCol w:w="1599"/>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次氯酸钠</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文别名：</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次氯酸钠</w:t>
                  </w:r>
                </w:p>
              </w:tc>
              <w:tc>
                <w:tcPr>
                  <w:tcW w:w="1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英文名称：</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CAS号：</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7681-52-9</w:t>
                  </w:r>
                </w:p>
              </w:tc>
              <w:tc>
                <w:tcPr>
                  <w:tcW w:w="159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UN号：</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危险性类别：</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GHS警示词：</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危险性说明：</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理化特性：</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燃烧与爆炸危险性</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活性反应：</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禁忌物：</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毒性：</w:t>
                  </w:r>
                </w:p>
              </w:tc>
              <w:tc>
                <w:tcPr>
                  <w:tcW w:w="58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LD50：8500mg/kg（大鼠腹腔）</w:t>
                  </w:r>
                </w:p>
              </w:tc>
            </w:tr>
          </w:tbl>
          <w:p>
            <w:pPr>
              <w:autoSpaceDE w:val="0"/>
              <w:autoSpaceDN w:val="0"/>
              <w:spacing w:beforeLines="50"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2.5.</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能源</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项目使用能源主要电能。</w:t>
            </w:r>
            <w:r>
              <w:rPr>
                <w:rFonts w:hint="default" w:ascii="Times New Roman" w:hAnsi="Times New Roman" w:eastAsia="宋体" w:cs="Times New Roman"/>
                <w:color w:val="auto"/>
                <w:sz w:val="24"/>
                <w:szCs w:val="24"/>
                <w:lang w:eastAsia="zh-CN"/>
              </w:rPr>
              <w:t>设计年用电量约</w:t>
            </w:r>
            <w:r>
              <w:rPr>
                <w:rFonts w:hint="default" w:ascii="Times New Roman" w:hAnsi="Times New Roman" w:eastAsia="宋体" w:cs="Times New Roman"/>
                <w:color w:val="auto"/>
                <w:sz w:val="24"/>
                <w:szCs w:val="24"/>
                <w:lang w:val="en-US" w:eastAsia="zh-CN"/>
              </w:rPr>
              <w:t>30万kwh</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2.6 水平衡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调查，该项目</w:t>
            </w:r>
            <w:r>
              <w:rPr>
                <w:rFonts w:hint="default" w:ascii="Times New Roman" w:hAnsi="Times New Roman" w:eastAsia="宋体" w:cs="Times New Roman"/>
                <w:color w:val="auto"/>
                <w:sz w:val="24"/>
                <w:szCs w:val="24"/>
              </w:rPr>
              <w:t>不进行设备清洗，项目用水环节包括</w:t>
            </w:r>
            <w:r>
              <w:rPr>
                <w:rFonts w:hint="default" w:ascii="Times New Roman" w:hAnsi="Times New Roman" w:eastAsia="宋体" w:cs="Times New Roman"/>
                <w:color w:val="auto"/>
                <w:sz w:val="24"/>
                <w:szCs w:val="24"/>
                <w:lang w:eastAsia="zh-CN"/>
              </w:rPr>
              <w:t>注塑工序</w:t>
            </w:r>
            <w:r>
              <w:rPr>
                <w:rFonts w:hint="default" w:ascii="Times New Roman" w:hAnsi="Times New Roman" w:eastAsia="宋体" w:cs="Times New Roman"/>
                <w:color w:val="auto"/>
                <w:sz w:val="24"/>
                <w:szCs w:val="24"/>
              </w:rPr>
              <w:t>设备冷却用水、绿化用水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生活用水</w:t>
            </w:r>
            <w:r>
              <w:rPr>
                <w:rFonts w:hint="default" w:ascii="Times New Roman" w:hAnsi="Times New Roman" w:eastAsia="宋体" w:cs="Times New Roman"/>
                <w:color w:val="auto"/>
                <w:sz w:val="24"/>
                <w:szCs w:val="24"/>
                <w:lang w:eastAsia="zh-CN"/>
              </w:rPr>
              <w:t>、纯水设备用水、硫酸稀释用水、蒸汽发生器用水、实验室</w:t>
            </w:r>
            <w:r>
              <w:rPr>
                <w:rFonts w:hint="default" w:ascii="Times New Roman" w:hAnsi="Times New Roman" w:eastAsia="宋体" w:cs="Times New Roman"/>
                <w:color w:val="auto"/>
                <w:kern w:val="0"/>
                <w:sz w:val="24"/>
                <w:szCs w:val="24"/>
                <w:lang w:val="en-US" w:eastAsia="zh-CN" w:bidi="ar"/>
              </w:rPr>
              <w:t>器皿</w:t>
            </w:r>
            <w:r>
              <w:rPr>
                <w:rFonts w:hint="default" w:ascii="Times New Roman" w:hAnsi="Times New Roman" w:eastAsia="宋体" w:cs="Times New Roman"/>
                <w:color w:val="auto"/>
                <w:sz w:val="24"/>
                <w:szCs w:val="24"/>
                <w:lang w:eastAsia="zh-CN"/>
              </w:rPr>
              <w:t>清洗用水</w:t>
            </w:r>
            <w:r>
              <w:rPr>
                <w:rFonts w:hint="default" w:ascii="Times New Roman" w:hAnsi="Times New Roman" w:eastAsia="宋体" w:cs="Times New Roman"/>
                <w:color w:val="auto"/>
                <w:sz w:val="24"/>
                <w:szCs w:val="24"/>
              </w:rPr>
              <w:t>，而废水产生类型包括</w:t>
            </w:r>
            <w:r>
              <w:rPr>
                <w:rFonts w:hint="default" w:ascii="Times New Roman" w:hAnsi="Times New Roman" w:eastAsia="宋体" w:cs="Times New Roman"/>
                <w:color w:val="auto"/>
                <w:kern w:val="0"/>
                <w:sz w:val="24"/>
                <w:szCs w:val="24"/>
                <w:lang w:val="en-US" w:eastAsia="zh-CN" w:bidi="ar"/>
              </w:rPr>
              <w:t>生活污水、项目纯水设备浓排水、理化室实验器皿初次清洗废水之后的清洗废水、环氧乙烷吸收废水，办公区域地面清洁废水。</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具体产排情况核算如下：</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 xml:space="preserve">2.6.1 </w:t>
            </w:r>
            <w:r>
              <w:rPr>
                <w:rFonts w:hint="default" w:ascii="Times New Roman" w:hAnsi="Times New Roman" w:eastAsia="宋体" w:cs="Times New Roman"/>
                <w:b/>
                <w:bCs/>
                <w:color w:val="auto"/>
                <w:sz w:val="24"/>
                <w:szCs w:val="24"/>
              </w:rPr>
              <w:t>废水量核算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①生活污水产排核算</w:t>
            </w:r>
          </w:p>
          <w:p>
            <w:pPr>
              <w:pStyle w:val="53"/>
              <w:ind w:firstLine="480"/>
              <w:rPr>
                <w:rFonts w:hint="default" w:ascii="Times New Roman" w:hAnsi="Times New Roman" w:eastAsia="宋体" w:cs="Times New Roman"/>
                <w:bCs/>
                <w:color w:val="auto"/>
                <w:szCs w:val="24"/>
              </w:rPr>
            </w:pPr>
            <w:r>
              <w:rPr>
                <w:rFonts w:hint="default" w:ascii="Times New Roman" w:hAnsi="Times New Roman" w:eastAsia="宋体" w:cs="Times New Roman"/>
                <w:bCs/>
                <w:color w:val="auto"/>
                <w:sz w:val="24"/>
                <w:szCs w:val="24"/>
              </w:rPr>
              <w:t>根据</w:t>
            </w:r>
            <w:r>
              <w:rPr>
                <w:rFonts w:hint="default" w:ascii="Times New Roman" w:hAnsi="Times New Roman" w:cs="Times New Roman"/>
                <w:bCs/>
                <w:color w:val="auto"/>
                <w:sz w:val="24"/>
                <w:szCs w:val="24"/>
                <w:lang w:eastAsia="zh-CN"/>
              </w:rPr>
              <w:t>调查，项目总</w:t>
            </w:r>
            <w:r>
              <w:rPr>
                <w:rFonts w:hint="default" w:ascii="Times New Roman" w:hAnsi="Times New Roman" w:eastAsia="宋体" w:cs="Times New Roman"/>
                <w:bCs/>
                <w:color w:val="auto"/>
                <w:szCs w:val="24"/>
              </w:rPr>
              <w:t>员工为</w:t>
            </w:r>
            <w:r>
              <w:rPr>
                <w:rFonts w:hint="default" w:ascii="Times New Roman" w:hAnsi="Times New Roman" w:eastAsia="宋体" w:cs="Times New Roman"/>
                <w:bCs/>
                <w:color w:val="auto"/>
                <w:szCs w:val="24"/>
                <w:lang w:val="en-US" w:eastAsia="zh-CN"/>
              </w:rPr>
              <w:t>80</w:t>
            </w:r>
            <w:r>
              <w:rPr>
                <w:rFonts w:hint="default" w:ascii="Times New Roman" w:hAnsi="Times New Roman" w:eastAsia="宋体" w:cs="Times New Roman"/>
                <w:bCs/>
                <w:color w:val="auto"/>
                <w:szCs w:val="24"/>
              </w:rPr>
              <w:t>人，其中约</w:t>
            </w:r>
            <w:r>
              <w:rPr>
                <w:rFonts w:hint="default" w:ascii="Times New Roman" w:hAnsi="Times New Roman" w:eastAsia="宋体" w:cs="Times New Roman"/>
                <w:bCs/>
                <w:color w:val="auto"/>
                <w:szCs w:val="24"/>
                <w:lang w:val="en-US" w:eastAsia="zh-CN"/>
              </w:rPr>
              <w:t>70</w:t>
            </w:r>
            <w:r>
              <w:rPr>
                <w:rFonts w:hint="default" w:ascii="Times New Roman" w:hAnsi="Times New Roman" w:eastAsia="宋体" w:cs="Times New Roman"/>
                <w:bCs/>
                <w:color w:val="auto"/>
                <w:szCs w:val="24"/>
              </w:rPr>
              <w:t>人为周围村民，不在项目区住宿，约</w:t>
            </w:r>
            <w:r>
              <w:rPr>
                <w:rFonts w:hint="default" w:ascii="Times New Roman" w:hAnsi="Times New Roman" w:eastAsia="宋体" w:cs="Times New Roman"/>
                <w:bCs/>
                <w:color w:val="auto"/>
                <w:szCs w:val="24"/>
                <w:lang w:val="en-US" w:eastAsia="zh-CN"/>
              </w:rPr>
              <w:t>10</w:t>
            </w:r>
            <w:r>
              <w:rPr>
                <w:rFonts w:hint="default" w:ascii="Times New Roman" w:hAnsi="Times New Roman" w:eastAsia="宋体" w:cs="Times New Roman"/>
                <w:bCs/>
                <w:color w:val="auto"/>
                <w:szCs w:val="24"/>
              </w:rPr>
              <w:t>人为外来人员，在项目区住宿</w:t>
            </w:r>
            <w:r>
              <w:rPr>
                <w:rFonts w:hint="default" w:ascii="Times New Roman" w:hAnsi="Times New Roman" w:cs="Times New Roman"/>
                <w:bCs/>
                <w:color w:val="auto"/>
                <w:szCs w:val="24"/>
                <w:lang w:eastAsia="zh-CN"/>
              </w:rPr>
              <w:t>，根据实际生产情况</w:t>
            </w:r>
            <w:r>
              <w:rPr>
                <w:rFonts w:hint="default" w:ascii="Times New Roman" w:hAnsi="Times New Roman" w:eastAsia="宋体" w:cs="Times New Roman"/>
                <w:bCs/>
                <w:color w:val="auto"/>
                <w:szCs w:val="24"/>
                <w:lang w:eastAsia="zh-CN"/>
              </w:rPr>
              <w:t>及</w:t>
            </w:r>
            <w:r>
              <w:rPr>
                <w:rFonts w:hint="default" w:ascii="Times New Roman" w:hAnsi="Times New Roman" w:eastAsia="宋体" w:cs="Times New Roman"/>
                <w:bCs/>
                <w:color w:val="auto"/>
                <w:szCs w:val="24"/>
              </w:rPr>
              <w:t>《云南省地方标准用水定额》（DB53/T168-201</w:t>
            </w:r>
            <w:r>
              <w:rPr>
                <w:rFonts w:hint="default" w:ascii="Times New Roman" w:hAnsi="Times New Roman" w:eastAsia="宋体" w:cs="Times New Roman"/>
                <w:bCs/>
                <w:color w:val="auto"/>
                <w:szCs w:val="24"/>
                <w:lang w:val="en-US" w:eastAsia="zh-CN"/>
              </w:rPr>
              <w:t>9</w:t>
            </w:r>
            <w:r>
              <w:rPr>
                <w:rFonts w:hint="default" w:ascii="Times New Roman" w:hAnsi="Times New Roman" w:eastAsia="宋体" w:cs="Times New Roman"/>
                <w:bCs/>
                <w:color w:val="auto"/>
                <w:szCs w:val="24"/>
              </w:rPr>
              <w:t>），住宿员工用水量取100L/d·人，非住宿员工50L/d·人，</w:t>
            </w:r>
            <w:r>
              <w:rPr>
                <w:rFonts w:hint="default" w:ascii="Times New Roman" w:hAnsi="Times New Roman" w:cs="Times New Roman"/>
                <w:bCs/>
                <w:color w:val="auto"/>
                <w:szCs w:val="24"/>
                <w:lang w:eastAsia="zh-CN"/>
              </w:rPr>
              <w:t>项目</w:t>
            </w:r>
            <w:r>
              <w:rPr>
                <w:rFonts w:hint="default" w:ascii="Times New Roman" w:hAnsi="Times New Roman" w:eastAsia="宋体" w:cs="Times New Roman"/>
                <w:bCs/>
                <w:color w:val="auto"/>
                <w:szCs w:val="24"/>
              </w:rPr>
              <w:t>生活用水量</w:t>
            </w:r>
            <w:r>
              <w:rPr>
                <w:rFonts w:hint="default" w:ascii="Times New Roman" w:hAnsi="Times New Roman" w:eastAsia="宋体" w:cs="Times New Roman"/>
                <w:bCs/>
                <w:color w:val="auto"/>
                <w:szCs w:val="24"/>
                <w:lang w:val="en-US" w:eastAsia="zh-CN"/>
              </w:rPr>
              <w:t>4.5</w:t>
            </w:r>
            <w:r>
              <w:rPr>
                <w:rFonts w:hint="default" w:ascii="Times New Roman" w:hAnsi="Times New Roman" w:eastAsia="宋体" w:cs="Times New Roman"/>
                <w:bCs/>
                <w:color w:val="auto"/>
                <w:szCs w:val="24"/>
              </w:rPr>
              <w:t>m³/d，合计为</w:t>
            </w:r>
            <w:r>
              <w:rPr>
                <w:rFonts w:hint="default" w:ascii="Times New Roman" w:hAnsi="Times New Roman" w:eastAsia="宋体" w:cs="Times New Roman"/>
                <w:bCs/>
                <w:color w:val="auto"/>
                <w:szCs w:val="24"/>
                <w:lang w:val="en-US" w:eastAsia="zh-CN"/>
              </w:rPr>
              <w:t>1350</w:t>
            </w:r>
            <w:r>
              <w:rPr>
                <w:rFonts w:hint="default" w:ascii="Times New Roman" w:hAnsi="Times New Roman" w:eastAsia="宋体" w:cs="Times New Roman"/>
                <w:bCs/>
                <w:color w:val="auto"/>
                <w:szCs w:val="24"/>
              </w:rPr>
              <w:t>m³/a；废水</w:t>
            </w:r>
            <w:r>
              <w:rPr>
                <w:rFonts w:hint="default" w:ascii="Times New Roman" w:hAnsi="Times New Roman" w:cs="Times New Roman"/>
                <w:bCs/>
                <w:color w:val="auto"/>
                <w:szCs w:val="24"/>
                <w:lang w:eastAsia="zh-CN"/>
              </w:rPr>
              <w:t>量约为用水量的</w:t>
            </w:r>
            <w:r>
              <w:rPr>
                <w:rFonts w:hint="default" w:ascii="Times New Roman" w:hAnsi="Times New Roman" w:eastAsia="宋体" w:cs="Times New Roman"/>
                <w:bCs/>
                <w:color w:val="auto"/>
                <w:szCs w:val="24"/>
                <w:lang w:val="en-US" w:eastAsia="zh-CN"/>
              </w:rPr>
              <w:t>80</w:t>
            </w:r>
            <w:r>
              <w:rPr>
                <w:rFonts w:hint="default" w:ascii="Times New Roman" w:hAnsi="Times New Roman" w:eastAsia="宋体" w:cs="Times New Roman"/>
                <w:bCs/>
                <w:color w:val="auto"/>
                <w:szCs w:val="24"/>
              </w:rPr>
              <w:t>%，则废水量为</w:t>
            </w:r>
            <w:r>
              <w:rPr>
                <w:rFonts w:hint="default" w:ascii="Times New Roman" w:hAnsi="Times New Roman" w:eastAsia="宋体" w:cs="Times New Roman"/>
                <w:bCs/>
                <w:color w:val="auto"/>
                <w:szCs w:val="24"/>
                <w:lang w:val="en-US" w:eastAsia="zh-CN"/>
              </w:rPr>
              <w:t>3.6</w:t>
            </w:r>
            <w:r>
              <w:rPr>
                <w:rFonts w:hint="default" w:ascii="Times New Roman" w:hAnsi="Times New Roman" w:eastAsia="宋体" w:cs="Times New Roman"/>
                <w:bCs/>
                <w:color w:val="auto"/>
                <w:szCs w:val="24"/>
              </w:rPr>
              <w:t>m³/d，合计为</w:t>
            </w:r>
            <w:r>
              <w:rPr>
                <w:rFonts w:hint="default" w:ascii="Times New Roman" w:hAnsi="Times New Roman" w:eastAsia="宋体" w:cs="Times New Roman"/>
                <w:bCs/>
                <w:color w:val="auto"/>
                <w:szCs w:val="24"/>
                <w:lang w:val="en-US" w:eastAsia="zh-CN"/>
              </w:rPr>
              <w:t>1080</w:t>
            </w:r>
            <w:r>
              <w:rPr>
                <w:rFonts w:hint="default" w:ascii="Times New Roman" w:hAnsi="Times New Roman" w:eastAsia="宋体" w:cs="Times New Roman"/>
                <w:bCs/>
                <w:color w:val="auto"/>
                <w:szCs w:val="24"/>
              </w:rPr>
              <w:t>m³/a；其中食堂废水约占生活污水量的48%，食堂废水量约为</w:t>
            </w:r>
            <w:r>
              <w:rPr>
                <w:rFonts w:hint="default" w:ascii="Times New Roman" w:hAnsi="Times New Roman" w:eastAsia="宋体" w:cs="Times New Roman"/>
                <w:bCs/>
                <w:color w:val="auto"/>
                <w:szCs w:val="24"/>
                <w:lang w:val="en-US" w:eastAsia="zh-CN"/>
              </w:rPr>
              <w:t>1.73</w:t>
            </w:r>
            <w:r>
              <w:rPr>
                <w:rFonts w:hint="default" w:ascii="Times New Roman" w:hAnsi="Times New Roman" w:eastAsia="宋体" w:cs="Times New Roman"/>
                <w:bCs/>
                <w:color w:val="auto"/>
                <w:szCs w:val="24"/>
              </w:rPr>
              <w:t>m³/d（</w:t>
            </w:r>
            <w:r>
              <w:rPr>
                <w:rFonts w:hint="default" w:ascii="Times New Roman" w:hAnsi="Times New Roman" w:eastAsia="宋体" w:cs="Times New Roman"/>
                <w:bCs/>
                <w:color w:val="auto"/>
                <w:szCs w:val="24"/>
                <w:lang w:val="en-US" w:eastAsia="zh-CN"/>
              </w:rPr>
              <w:t>519</w:t>
            </w:r>
            <w:r>
              <w:rPr>
                <w:rFonts w:hint="default" w:ascii="Times New Roman" w:hAnsi="Times New Roman" w:eastAsia="宋体" w:cs="Times New Roman"/>
                <w:bCs/>
                <w:color w:val="auto"/>
                <w:szCs w:val="24"/>
              </w:rPr>
              <w:t>m³/a）。</w:t>
            </w:r>
          </w:p>
          <w:p>
            <w:pPr>
              <w:pStyle w:val="53"/>
              <w:ind w:firstLine="480"/>
              <w:rPr>
                <w:rFonts w:hint="default" w:ascii="Times New Roman" w:hAnsi="Times New Roman" w:eastAsia="宋体" w:cs="Times New Roman"/>
                <w:bCs/>
                <w:color w:val="auto"/>
                <w:szCs w:val="24"/>
              </w:rPr>
            </w:pPr>
            <w:r>
              <w:rPr>
                <w:rFonts w:hint="default" w:ascii="Times New Roman" w:hAnsi="Times New Roman" w:eastAsia="宋体" w:cs="Times New Roman"/>
                <w:color w:val="auto"/>
                <w:sz w:val="24"/>
              </w:rPr>
              <w:t>根据类比</w:t>
            </w:r>
            <w:r>
              <w:rPr>
                <w:rFonts w:hint="default" w:ascii="Times New Roman" w:hAnsi="Times New Roman" w:eastAsia="宋体" w:cs="Times New Roman"/>
                <w:color w:val="auto"/>
                <w:sz w:val="24"/>
                <w:lang w:eastAsia="zh-CN"/>
              </w:rPr>
              <w:t>其他</w:t>
            </w:r>
            <w:r>
              <w:rPr>
                <w:rFonts w:hint="default" w:ascii="Times New Roman" w:hAnsi="Times New Roman" w:eastAsia="宋体" w:cs="Times New Roman"/>
                <w:color w:val="auto"/>
                <w:sz w:val="24"/>
              </w:rPr>
              <w:t>项目生活污水核算数据</w:t>
            </w:r>
            <w:r>
              <w:rPr>
                <w:rFonts w:hint="default" w:ascii="Times New Roman" w:hAnsi="Times New Roman" w:eastAsia="宋体" w:cs="Times New Roman"/>
                <w:bCs/>
                <w:color w:val="auto"/>
                <w:szCs w:val="24"/>
              </w:rPr>
              <w:t>生活污水水质如下表所示。</w:t>
            </w:r>
          </w:p>
          <w:p>
            <w:pPr>
              <w:jc w:val="center"/>
              <w:rPr>
                <w:rFonts w:hint="default" w:ascii="Times New Roman" w:hAnsi="Times New Roman" w:eastAsia="宋体" w:cs="Times New Roman"/>
                <w:b/>
                <w:color w:val="auto"/>
                <w:sz w:val="21"/>
                <w:szCs w:val="24"/>
              </w:rPr>
            </w:pPr>
            <w:r>
              <w:rPr>
                <w:rFonts w:hint="default" w:ascii="Times New Roman" w:hAnsi="Times New Roman" w:eastAsia="宋体" w:cs="Times New Roman"/>
                <w:b/>
                <w:color w:val="auto"/>
                <w:sz w:val="21"/>
                <w:szCs w:val="24"/>
              </w:rPr>
              <w:t>表</w:t>
            </w:r>
            <w:r>
              <w:rPr>
                <w:rFonts w:hint="default" w:ascii="Times New Roman" w:hAnsi="Times New Roman" w:eastAsia="宋体" w:cs="Times New Roman"/>
                <w:b/>
                <w:color w:val="auto"/>
                <w:sz w:val="21"/>
                <w:szCs w:val="24"/>
                <w:lang w:val="en-US" w:eastAsia="zh-CN"/>
              </w:rPr>
              <w:t>2.6.1-</w:t>
            </w:r>
            <w:r>
              <w:rPr>
                <w:rFonts w:hint="default" w:ascii="Times New Roman" w:hAnsi="Times New Roman" w:eastAsia="宋体" w:cs="Times New Roman"/>
                <w:b/>
                <w:color w:val="auto"/>
                <w:sz w:val="21"/>
                <w:szCs w:val="24"/>
              </w:rPr>
              <w:t>-1  生活污水水质指标一览表</w:t>
            </w:r>
          </w:p>
          <w:tbl>
            <w:tblPr>
              <w:tblStyle w:val="25"/>
              <w:tblW w:w="8618" w:type="dxa"/>
              <w:jc w:val="center"/>
              <w:tblLayout w:type="fixed"/>
              <w:tblCellMar>
                <w:top w:w="0" w:type="dxa"/>
                <w:left w:w="108" w:type="dxa"/>
                <w:bottom w:w="0" w:type="dxa"/>
                <w:right w:w="108" w:type="dxa"/>
              </w:tblCellMar>
            </w:tblPr>
            <w:tblGrid>
              <w:gridCol w:w="1122"/>
              <w:gridCol w:w="599"/>
              <w:gridCol w:w="936"/>
              <w:gridCol w:w="936"/>
              <w:gridCol w:w="805"/>
              <w:gridCol w:w="936"/>
              <w:gridCol w:w="805"/>
              <w:gridCol w:w="572"/>
              <w:gridCol w:w="705"/>
              <w:gridCol w:w="1202"/>
            </w:tblGrid>
            <w:tr>
              <w:tblPrEx>
                <w:tblCellMar>
                  <w:top w:w="0" w:type="dxa"/>
                  <w:left w:w="108" w:type="dxa"/>
                  <w:bottom w:w="0" w:type="dxa"/>
                  <w:right w:w="108" w:type="dxa"/>
                </w:tblCellMar>
              </w:tblPrEx>
              <w:trPr>
                <w:trHeight w:val="149" w:hRule="atLeast"/>
                <w:jc w:val="center"/>
              </w:trPr>
              <w:tc>
                <w:tcPr>
                  <w:tcW w:w="1122" w:type="dxa"/>
                  <w:vMerge w:val="restart"/>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7496" w:type="dxa"/>
                  <w:gridSpan w:val="9"/>
                  <w:tcBorders>
                    <w:top w:val="single" w:color="auto" w:sz="8" w:space="0"/>
                    <w:left w:val="nil"/>
                    <w:bottom w:val="single" w:color="auto" w:sz="8" w:space="0"/>
                    <w:right w:val="single" w:color="000000"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污染物（mg/L）</w:t>
                  </w:r>
                </w:p>
              </w:tc>
            </w:tr>
            <w:tr>
              <w:tblPrEx>
                <w:tblCellMar>
                  <w:top w:w="0" w:type="dxa"/>
                  <w:left w:w="108" w:type="dxa"/>
                  <w:bottom w:w="0" w:type="dxa"/>
                  <w:right w:w="108" w:type="dxa"/>
                </w:tblCellMar>
              </w:tblPrEx>
              <w:trPr>
                <w:trHeight w:val="285" w:hRule="atLeast"/>
                <w:jc w:val="center"/>
              </w:trPr>
              <w:tc>
                <w:tcPr>
                  <w:tcW w:w="112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default" w:ascii="Times New Roman" w:hAnsi="Times New Roman" w:eastAsia="宋体" w:cs="Times New Roman"/>
                      <w:bCs/>
                      <w:color w:val="auto"/>
                      <w:kern w:val="32"/>
                      <w:sz w:val="21"/>
                      <w:szCs w:val="21"/>
                      <w:lang w:val="zh-CN"/>
                    </w:rPr>
                  </w:pPr>
                </w:p>
              </w:tc>
              <w:tc>
                <w:tcPr>
                  <w:tcW w:w="599"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pH</w:t>
                  </w:r>
                </w:p>
              </w:tc>
              <w:tc>
                <w:tcPr>
                  <w:tcW w:w="93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CODcr</w:t>
                  </w:r>
                </w:p>
              </w:tc>
              <w:tc>
                <w:tcPr>
                  <w:tcW w:w="93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p>
              </w:tc>
              <w:tc>
                <w:tcPr>
                  <w:tcW w:w="80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c>
                <w:tcPr>
                  <w:tcW w:w="93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NH</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-N</w:t>
                  </w:r>
                </w:p>
              </w:tc>
              <w:tc>
                <w:tcPr>
                  <w:tcW w:w="80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TN</w:t>
                  </w:r>
                </w:p>
              </w:tc>
              <w:tc>
                <w:tcPr>
                  <w:tcW w:w="5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TP</w:t>
                  </w:r>
                </w:p>
              </w:tc>
              <w:tc>
                <w:tcPr>
                  <w:tcW w:w="705" w:type="dxa"/>
                  <w:tcBorders>
                    <w:top w:val="nil"/>
                    <w:left w:val="nil"/>
                    <w:bottom w:val="single" w:color="auto" w:sz="8"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动植物油</w:t>
                  </w:r>
                </w:p>
              </w:tc>
              <w:tc>
                <w:tcPr>
                  <w:tcW w:w="1202" w:type="dxa"/>
                  <w:tcBorders>
                    <w:top w:val="nil"/>
                    <w:left w:val="single" w:color="auto" w:sz="4"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粪大肠菌群数（MPN/L）</w:t>
                  </w:r>
                </w:p>
              </w:tc>
            </w:tr>
            <w:tr>
              <w:tblPrEx>
                <w:tblCellMar>
                  <w:top w:w="0" w:type="dxa"/>
                  <w:left w:w="108" w:type="dxa"/>
                  <w:bottom w:w="0" w:type="dxa"/>
                  <w:right w:w="108" w:type="dxa"/>
                </w:tblCellMar>
              </w:tblPrEx>
              <w:trPr>
                <w:trHeight w:val="300" w:hRule="atLeast"/>
                <w:jc w:val="center"/>
              </w:trPr>
              <w:tc>
                <w:tcPr>
                  <w:tcW w:w="1122"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生活污水</w:t>
                  </w:r>
                </w:p>
              </w:tc>
              <w:tc>
                <w:tcPr>
                  <w:tcW w:w="599"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6-9</w:t>
                  </w:r>
                </w:p>
              </w:tc>
              <w:tc>
                <w:tcPr>
                  <w:tcW w:w="93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260</w:t>
                  </w:r>
                </w:p>
              </w:tc>
              <w:tc>
                <w:tcPr>
                  <w:tcW w:w="93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143</w:t>
                  </w:r>
                </w:p>
              </w:tc>
              <w:tc>
                <w:tcPr>
                  <w:tcW w:w="80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170</w:t>
                  </w:r>
                </w:p>
              </w:tc>
              <w:tc>
                <w:tcPr>
                  <w:tcW w:w="93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31</w:t>
                  </w:r>
                </w:p>
              </w:tc>
              <w:tc>
                <w:tcPr>
                  <w:tcW w:w="80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w:t>
                  </w:r>
                </w:p>
              </w:tc>
              <w:tc>
                <w:tcPr>
                  <w:tcW w:w="5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705" w:type="dxa"/>
                  <w:tcBorders>
                    <w:top w:val="nil"/>
                    <w:left w:val="nil"/>
                    <w:bottom w:val="single" w:color="auto" w:sz="8"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c>
                <w:tcPr>
                  <w:tcW w:w="1202" w:type="dxa"/>
                  <w:tcBorders>
                    <w:top w:val="nil"/>
                    <w:left w:val="single" w:color="auto" w:sz="4"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16000</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 xml:space="preserve">根据调查，综合楼厨房配套设置了一个1m³的隔油池，并设置一个有效容积为7m³的化粪池对综合楼生活污水进行预处理。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 xml:space="preserve">②地面清洁废水产排核算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项目需每天清洁的主要为办公区域及各生产线所在车间，根据调查，项目建筑面积合计3112.13m</w:t>
            </w:r>
            <w:r>
              <w:rPr>
                <w:rFonts w:hint="default" w:ascii="Times New Roman" w:hAnsi="Times New Roman" w:eastAsia="宋体"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，办公区域办公设备及各生产车间生产设备占地面积约1867.29m</w:t>
            </w:r>
            <w:r>
              <w:rPr>
                <w:rFonts w:hint="default" w:ascii="Times New Roman" w:hAnsi="Times New Roman" w:eastAsia="宋体"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，实际需清洁面积为1244.85m</w:t>
            </w:r>
            <w:r>
              <w:rPr>
                <w:rFonts w:hint="default" w:ascii="Times New Roman" w:hAnsi="Times New Roman" w:eastAsia="宋体"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。地面清洁使用拖把进行擦拭，不进行冲洗，用水量约1.5L/m</w:t>
            </w:r>
            <w:r>
              <w:rPr>
                <w:rFonts w:hint="default" w:ascii="Times New Roman" w:hAnsi="Times New Roman" w:eastAsia="宋体"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，则地面清洁用水量为1.87m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/d，561m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/a。污水产生量约用水量的80%，则地面清洁废水产生量为1.5m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/d，450m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 xml:space="preserve">/a。生产车间、办公区域等地面清洗废水同生活污水排入所在楼配套建设的化粪池处理，然后进入一体化污水处理设施处理后回用于厂区绿化（近期），不外排。远期（污水管网建成后），废水经隔油池、化粪池处理后，通过市政污水管网进入东川区城市污水处理厂处理，一体化污水处理设施将闲置，不再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 xml:space="preserve">③纯水制备用排水产排核算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项目质检用纯水由项目配置的纯水机统一制备供给，根据实际生产情况，项目用于制备纯水的自来水用量为26.67m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/a，0.089m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/d，项目年使用纯水约20m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/a，0.067m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/d，根据设备制备纯水工艺可知，纯水制备率为75%，其余的6.67m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/a，0.02m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即形成浓水排放，排水硬度较高，主要含有钙、镁盐类，属于清洁下水，同生活污水排入所在楼配套建设的化粪池处理，然后进入一体化污水处理设施处理后回用于厂区绿化（近期），不外排。远期（污水管网建成后），一体化污水处理设施将闲置，废水经隔油池、化粪池处理后，通过市政污水管网进入东川区城市污水处理厂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 xml:space="preserve">④理化室实验器皿初次清洗之后的清洗废水产排核算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理化室实验器皿初次清洗之后的清洗废水主要为设备、仪器等清洁废水（但在清洗培养皿前，培养皿必须经过灭活处理，在确保残留细菌被全部杀死后，再进行培养皿的清洗），根据实际生产情况，平均每周检验2次，此部分用水为0.3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/次，平均0.09m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/d，27m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/a。污水产生量约为用水量的80%，排水量约为0.24m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/次，平均0.07m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/d，21.6m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/a，清洗废水中主要的成分为微生物培养基中的无机物成分、CODcr、BOD</w:t>
            </w:r>
            <w:r>
              <w:rPr>
                <w:rFonts w:hint="default" w:ascii="Times New Roman" w:hAnsi="Times New Roman" w:eastAsia="宋体" w:cs="Times New Roman"/>
                <w:bCs/>
                <w:color w:val="auto"/>
                <w:kern w:val="2"/>
                <w:sz w:val="24"/>
                <w:szCs w:val="24"/>
                <w:highlight w:val="none"/>
                <w:vertAlign w:val="subscript"/>
                <w:lang w:val="en-US" w:eastAsia="zh-CN" w:bidi="ar-SA"/>
              </w:rPr>
              <w:t>5</w:t>
            </w:r>
            <w:r>
              <w:rPr>
                <w:rFonts w:hint="default" w:ascii="Times New Roman" w:hAnsi="Times New Roman" w:eastAsia="宋体" w:cs="Times New Roman"/>
                <w:bCs/>
                <w:color w:val="auto"/>
                <w:kern w:val="2"/>
                <w:sz w:val="24"/>
                <w:szCs w:val="24"/>
                <w:highlight w:val="none"/>
                <w:lang w:val="en-US" w:eastAsia="zh-CN" w:bidi="ar-SA"/>
              </w:rPr>
              <w:t>、SS等，本项目实验的器皿经过高温杀菌灭活后，清洗的废水中不含有活菌。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理化室实验器皿初次清洗之后的清洗废水同生活污水排入所在楼配套建设的化粪池处理，然后进入一体化污水处理设施处理后回用于厂区绿化（近期），不外排。远期（污水管网建成后）一体化污水处理设施将闲置，废水经化粪池处理后，通过市政污水管网进入东川区城市污水处理厂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⑤蒸汽发生器用水及硫酸稀释用水产排核算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本项目产品在灭菌过程中，主要用水为蒸汽发生器用水和环氧乙烷吸收用水，根据实际生产情况，蒸汽发生器用水量0.2m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/d（60m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/a），硫酸稀释用水量约为0.0041m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/d（1.23m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由于约1%的环氧乙烷附着在包装表面，项目环氧乙烷产生量约为2.97t/a，其中95%的环氧乙烷被稀硫酸溶液吸收，约为2.82t/a，5%的环氧乙烷无组织排放，约为0.15t/a。项目稀硫酸溶液为1.23t/a，则环氧乙烷吸收废液产生量约为4.05t/a，0.014t/d，该废液属于《国家危险废物名录》（2021年版）中的HW06废有机溶剂与含有机溶剂废物，编号为900-404-06，经收集后交由有资质的单位处理。</w:t>
            </w:r>
          </w:p>
          <w:p>
            <w:pPr>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⑥</w:t>
            </w:r>
            <w:r>
              <w:rPr>
                <w:rFonts w:hint="default" w:ascii="Times New Roman" w:hAnsi="Times New Roman" w:eastAsia="宋体" w:cs="Times New Roman"/>
                <w:b/>
                <w:bCs/>
                <w:color w:val="auto"/>
                <w:sz w:val="24"/>
                <w:szCs w:val="24"/>
                <w:highlight w:val="none"/>
                <w:lang w:eastAsia="zh-CN"/>
              </w:rPr>
              <w:t>循环冷却用水产排核算</w:t>
            </w:r>
          </w:p>
          <w:p>
            <w:pPr>
              <w:spacing w:line="360" w:lineRule="auto"/>
              <w:ind w:firstLine="480" w:firstLineChars="20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调查</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已</w:t>
            </w:r>
            <w:r>
              <w:rPr>
                <w:rFonts w:hint="default" w:ascii="Times New Roman" w:hAnsi="Times New Roman" w:eastAsia="宋体" w:cs="Times New Roman"/>
                <w:color w:val="auto"/>
                <w:sz w:val="24"/>
                <w:szCs w:val="24"/>
              </w:rPr>
              <w:t>设置1套冷却循环水系统对</w:t>
            </w:r>
            <w:r>
              <w:rPr>
                <w:rFonts w:hint="default" w:ascii="Times New Roman" w:hAnsi="Times New Roman" w:eastAsia="宋体" w:cs="Times New Roman"/>
                <w:color w:val="auto"/>
                <w:sz w:val="24"/>
                <w:szCs w:val="24"/>
                <w:lang w:eastAsia="zh-CN"/>
              </w:rPr>
              <w:t>注塑</w:t>
            </w:r>
            <w:r>
              <w:rPr>
                <w:rFonts w:hint="default" w:ascii="Times New Roman" w:hAnsi="Times New Roman" w:eastAsia="宋体" w:cs="Times New Roman"/>
                <w:color w:val="auto"/>
                <w:sz w:val="24"/>
                <w:szCs w:val="24"/>
              </w:rPr>
              <w:t>生产设备进行间接冷却，循环水系统由</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个冷却水塔和循环冷却水管道组成，冷却循环水系统的降温时间为1h，根据建设单位对冷却水循环量的设置，项目</w:t>
            </w:r>
            <w:r>
              <w:rPr>
                <w:rFonts w:hint="default" w:ascii="Times New Roman" w:hAnsi="Times New Roman" w:eastAsia="宋体" w:cs="Times New Roman"/>
                <w:color w:val="auto"/>
                <w:sz w:val="24"/>
                <w:szCs w:val="24"/>
                <w:lang w:eastAsia="zh-CN"/>
              </w:rPr>
              <w:t>挤出注塑</w:t>
            </w:r>
            <w:r>
              <w:rPr>
                <w:rFonts w:hint="default" w:ascii="Times New Roman" w:hAnsi="Times New Roman" w:eastAsia="宋体" w:cs="Times New Roman"/>
                <w:color w:val="auto"/>
                <w:sz w:val="24"/>
                <w:szCs w:val="24"/>
              </w:rPr>
              <w:t>产线满负荷运行后冷却循环水系统循环冷却水量为</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m³/h（</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m³/d），水蒸发</w:t>
            </w:r>
            <w:r>
              <w:rPr>
                <w:rFonts w:hint="default" w:ascii="Times New Roman" w:hAnsi="Times New Roman" w:eastAsia="宋体" w:cs="Times New Roman"/>
                <w:color w:val="auto"/>
                <w:sz w:val="24"/>
                <w:szCs w:val="24"/>
                <w:lang w:eastAsia="zh-CN"/>
              </w:rPr>
              <w:t>量按</w:t>
            </w:r>
            <w:r>
              <w:rPr>
                <w:rFonts w:hint="default" w:ascii="Times New Roman" w:hAnsi="Times New Roman" w:eastAsia="宋体" w:cs="Times New Roman"/>
                <w:color w:val="auto"/>
                <w:sz w:val="24"/>
                <w:szCs w:val="24"/>
                <w:lang w:val="en-US" w:eastAsia="zh-CN"/>
              </w:rPr>
              <w:t>0.02%计算，则</w:t>
            </w:r>
            <w:r>
              <w:rPr>
                <w:rFonts w:hint="default" w:ascii="Times New Roman" w:hAnsi="Times New Roman" w:eastAsia="宋体" w:cs="Times New Roman"/>
                <w:color w:val="auto"/>
                <w:sz w:val="24"/>
                <w:szCs w:val="24"/>
              </w:rPr>
              <w:t>在冷却过程中约</w:t>
            </w:r>
            <w:r>
              <w:rPr>
                <w:rFonts w:hint="default" w:ascii="Times New Roman" w:hAnsi="Times New Roman" w:eastAsia="宋体" w:cs="Times New Roman"/>
                <w:color w:val="auto"/>
                <w:sz w:val="24"/>
                <w:szCs w:val="24"/>
                <w:lang w:val="en-US" w:eastAsia="zh-CN"/>
              </w:rPr>
              <w:t>0.0059</w:t>
            </w:r>
            <w:r>
              <w:rPr>
                <w:rFonts w:hint="default" w:ascii="Times New Roman" w:hAnsi="Times New Roman" w:eastAsia="宋体" w:cs="Times New Roman"/>
                <w:color w:val="auto"/>
                <w:sz w:val="24"/>
                <w:szCs w:val="24"/>
              </w:rPr>
              <w:t>m³/d的水量蒸发；循环冷却水主要污染因子为热量，该冷却塔采用风机对循环冷却水进行吹风降温后循环使用，不外排</w:t>
            </w:r>
            <w:r>
              <w:rPr>
                <w:rFonts w:hint="default" w:ascii="Times New Roman" w:hAnsi="Times New Roman" w:eastAsia="宋体" w:cs="Times New Roman"/>
                <w:color w:val="auto"/>
                <w:sz w:val="24"/>
                <w:szCs w:val="24"/>
                <w:lang w:eastAsia="zh-CN"/>
              </w:rPr>
              <w:t>。冷却塔内设置自动补水</w:t>
            </w:r>
            <w:r>
              <w:rPr>
                <w:rFonts w:hint="default" w:ascii="Times New Roman" w:hAnsi="Times New Roman" w:eastAsia="宋体" w:cs="Times New Roman"/>
                <w:color w:val="auto"/>
                <w:sz w:val="24"/>
                <w:szCs w:val="24"/>
              </w:rPr>
              <w:t>球阀</w:t>
            </w:r>
            <w:r>
              <w:rPr>
                <w:rFonts w:hint="default" w:ascii="Times New Roman" w:hAnsi="Times New Roman" w:eastAsia="宋体" w:cs="Times New Roman"/>
                <w:color w:val="auto"/>
                <w:sz w:val="24"/>
                <w:szCs w:val="24"/>
                <w:lang w:eastAsia="zh-CN"/>
              </w:rPr>
              <w:t>，根据塔内水位自动补给水量。</w:t>
            </w:r>
          </w:p>
          <w:p>
            <w:pPr>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⑦绿化用水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本项目绿化面积2508.74m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，项目非雨天进行绿化浇水，雨天不用浇水，雨天以115天计，非雨天以250天计；根据《云南省地方标准 用水定额》（DB53/T168-201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），绿化用水按3.0L/（m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·d）计，则项目绿化用水量为7.5</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/d；合计188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/a。</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⑧初期雨水产排核算</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项目区初期雨水产生量按下述公式进行计算：</w:t>
            </w:r>
          </w:p>
          <w:p>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Qm=F·Hm·Ψ÷1000</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式中：Qm：最大径流量（m³）；</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F：汇水面积（m²）；</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Hm：降雨量（mm）；</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Ψ：径流系数，取0.6；</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汇水面积取雨水直接落到地面上的占地面积，根据调查，本项目生产区域可能受污染区的占地面积约6000m²，考虑到项目区场地的硬化程度，径流系数取0.6。该区30年一遇最大日降雨量153.3mm，经计算项目区最大日雨水量为551.88m³，初期雨水主要产生于暴雨前</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min，经计算，项目初期雨水产生量约为</w:t>
            </w:r>
            <w:r>
              <w:rPr>
                <w:rFonts w:hint="default" w:ascii="Times New Roman" w:hAnsi="Times New Roman" w:eastAsia="宋体" w:cs="Times New Roman"/>
                <w:color w:val="auto"/>
                <w:sz w:val="24"/>
                <w:lang w:val="en-US" w:eastAsia="zh-CN"/>
              </w:rPr>
              <w:t>5.7</w:t>
            </w:r>
            <w:r>
              <w:rPr>
                <w:rFonts w:hint="default" w:ascii="Times New Roman" w:hAnsi="Times New Roman" w:eastAsia="宋体" w:cs="Times New Roman"/>
                <w:color w:val="auto"/>
                <w:sz w:val="24"/>
              </w:rPr>
              <w:t>m³/次，初期雨水的主要污染物为CODcr和SS，CODcr产生浓度约60mg/L、SS产生浓度约400mg/L。</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 xml:space="preserve">2.6.2 </w:t>
            </w:r>
            <w:r>
              <w:rPr>
                <w:rFonts w:hint="default" w:ascii="Times New Roman" w:hAnsi="Times New Roman" w:eastAsia="宋体" w:cs="Times New Roman"/>
                <w:b/>
                <w:color w:val="auto"/>
                <w:sz w:val="24"/>
                <w:szCs w:val="24"/>
              </w:rPr>
              <w:t>供排水平衡</w:t>
            </w:r>
          </w:p>
          <w:p>
            <w:pPr>
              <w:spacing w:line="360" w:lineRule="auto"/>
              <w:ind w:firstLine="422" w:firstLineChars="200"/>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①项目用排水情况</w:t>
            </w:r>
          </w:p>
          <w:p>
            <w:pPr>
              <w:spacing w:line="360" w:lineRule="auto"/>
              <w:ind w:firstLine="48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 w:val="24"/>
                <w:szCs w:val="24"/>
              </w:rPr>
              <w:t>用排水情况详见下表。</w:t>
            </w:r>
          </w:p>
          <w:p>
            <w:pPr>
              <w:jc w:val="center"/>
              <w:rPr>
                <w:rFonts w:hint="default" w:ascii="Times New Roman" w:hAnsi="Times New Roman" w:eastAsia="宋体" w:cs="Times New Roman"/>
                <w:b/>
                <w:color w:val="auto"/>
                <w:sz w:val="21"/>
                <w:szCs w:val="24"/>
              </w:rPr>
            </w:pPr>
            <w:r>
              <w:rPr>
                <w:rFonts w:hint="default" w:ascii="Times New Roman" w:hAnsi="Times New Roman" w:eastAsia="宋体" w:cs="Times New Roman"/>
                <w:b/>
                <w:color w:val="auto"/>
                <w:sz w:val="21"/>
                <w:szCs w:val="24"/>
              </w:rPr>
              <w:t>表</w:t>
            </w:r>
            <w:r>
              <w:rPr>
                <w:rFonts w:hint="default" w:ascii="Times New Roman" w:hAnsi="Times New Roman" w:eastAsia="宋体" w:cs="Times New Roman"/>
                <w:b/>
                <w:color w:val="auto"/>
                <w:sz w:val="21"/>
                <w:szCs w:val="24"/>
                <w:lang w:val="en-US" w:eastAsia="zh-CN"/>
              </w:rPr>
              <w:t>2.6.2-1</w:t>
            </w:r>
            <w:r>
              <w:rPr>
                <w:rFonts w:hint="default" w:ascii="Times New Roman" w:hAnsi="Times New Roman" w:eastAsia="宋体" w:cs="Times New Roman"/>
                <w:b/>
                <w:color w:val="auto"/>
                <w:sz w:val="21"/>
                <w:szCs w:val="24"/>
              </w:rPr>
              <w:t xml:space="preserve">  项目供排水情况一览表（单位：m³/d）</w:t>
            </w:r>
          </w:p>
          <w:tbl>
            <w:tblPr>
              <w:tblStyle w:val="25"/>
              <w:tblW w:w="8618" w:type="dxa"/>
              <w:tblInd w:w="0" w:type="dxa"/>
              <w:tblLayout w:type="fixed"/>
              <w:tblCellMar>
                <w:top w:w="0" w:type="dxa"/>
                <w:left w:w="108" w:type="dxa"/>
                <w:bottom w:w="0" w:type="dxa"/>
                <w:right w:w="108" w:type="dxa"/>
              </w:tblCellMar>
            </w:tblPr>
            <w:tblGrid>
              <w:gridCol w:w="1698"/>
              <w:gridCol w:w="1155"/>
              <w:gridCol w:w="1345"/>
              <w:gridCol w:w="832"/>
              <w:gridCol w:w="950"/>
              <w:gridCol w:w="1366"/>
              <w:gridCol w:w="1272"/>
            </w:tblGrid>
            <w:tr>
              <w:tblPrEx>
                <w:tblCellMar>
                  <w:top w:w="0" w:type="dxa"/>
                  <w:left w:w="108" w:type="dxa"/>
                  <w:bottom w:w="0" w:type="dxa"/>
                  <w:right w:w="108" w:type="dxa"/>
                </w:tblCellMar>
              </w:tblPrEx>
              <w:trPr>
                <w:trHeight w:val="285" w:hRule="atLeast"/>
              </w:trPr>
              <w:tc>
                <w:tcPr>
                  <w:tcW w:w="1698" w:type="dxa"/>
                  <w:vMerge w:val="restart"/>
                  <w:tcBorders>
                    <w:top w:val="single" w:color="auto" w:sz="8" w:space="0"/>
                    <w:left w:val="single" w:color="auto" w:sz="8" w:space="0"/>
                    <w:bottom w:val="single" w:color="000000"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用水单元</w:t>
                  </w:r>
                </w:p>
              </w:tc>
              <w:tc>
                <w:tcPr>
                  <w:tcW w:w="1155" w:type="dxa"/>
                  <w:vMerge w:val="restart"/>
                  <w:tcBorders>
                    <w:top w:val="single" w:color="auto" w:sz="8" w:space="0"/>
                    <w:left w:val="single" w:color="auto" w:sz="8" w:space="0"/>
                    <w:bottom w:val="single" w:color="000000"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c>
                <w:tcPr>
                  <w:tcW w:w="1345" w:type="dxa"/>
                  <w:vMerge w:val="restart"/>
                  <w:tcBorders>
                    <w:top w:val="single" w:color="auto" w:sz="8" w:space="0"/>
                    <w:left w:val="single" w:color="auto" w:sz="8" w:space="0"/>
                    <w:bottom w:val="single" w:color="000000"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用水量标准</w:t>
                  </w:r>
                </w:p>
              </w:tc>
              <w:tc>
                <w:tcPr>
                  <w:tcW w:w="1782" w:type="dxa"/>
                  <w:gridSpan w:val="2"/>
                  <w:tcBorders>
                    <w:top w:val="single" w:color="auto" w:sz="8" w:space="0"/>
                    <w:left w:val="nil"/>
                    <w:bottom w:val="single" w:color="auto" w:sz="8" w:space="0"/>
                    <w:right w:val="single" w:color="000000"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总用水量</w:t>
                  </w:r>
                </w:p>
              </w:tc>
              <w:tc>
                <w:tcPr>
                  <w:tcW w:w="2638" w:type="dxa"/>
                  <w:gridSpan w:val="2"/>
                  <w:tcBorders>
                    <w:top w:val="single" w:color="auto" w:sz="8" w:space="0"/>
                    <w:left w:val="nil"/>
                    <w:bottom w:val="single" w:color="auto" w:sz="8" w:space="0"/>
                    <w:right w:val="single" w:color="000000"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废水量</w:t>
                  </w:r>
                </w:p>
              </w:tc>
            </w:tr>
            <w:tr>
              <w:tblPrEx>
                <w:tblCellMar>
                  <w:top w:w="0" w:type="dxa"/>
                  <w:left w:w="108" w:type="dxa"/>
                  <w:bottom w:w="0" w:type="dxa"/>
                  <w:right w:w="108" w:type="dxa"/>
                </w:tblCellMar>
              </w:tblPrEx>
              <w:trPr>
                <w:trHeight w:val="285" w:hRule="atLeast"/>
              </w:trPr>
              <w:tc>
                <w:tcPr>
                  <w:tcW w:w="1698" w:type="dxa"/>
                  <w:vMerge w:val="continue"/>
                  <w:tcBorders>
                    <w:top w:val="single" w:color="auto" w:sz="8" w:space="0"/>
                    <w:left w:val="single" w:color="auto" w:sz="8" w:space="0"/>
                    <w:bottom w:val="single" w:color="000000"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155" w:type="dxa"/>
                  <w:vMerge w:val="continue"/>
                  <w:tcBorders>
                    <w:top w:val="single" w:color="auto" w:sz="8" w:space="0"/>
                    <w:left w:val="single" w:color="auto" w:sz="8" w:space="0"/>
                    <w:bottom w:val="single" w:color="000000"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345" w:type="dxa"/>
                  <w:vMerge w:val="continue"/>
                  <w:tcBorders>
                    <w:top w:val="single" w:color="auto" w:sz="8" w:space="0"/>
                    <w:left w:val="single" w:color="auto" w:sz="8" w:space="0"/>
                    <w:bottom w:val="single" w:color="000000"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m³/d</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m³/a</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m³/d</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m³/a</w:t>
                  </w:r>
                </w:p>
              </w:tc>
            </w:tr>
            <w:tr>
              <w:tblPrEx>
                <w:tblCellMar>
                  <w:top w:w="0" w:type="dxa"/>
                  <w:left w:w="108" w:type="dxa"/>
                  <w:bottom w:w="0" w:type="dxa"/>
                  <w:right w:w="108" w:type="dxa"/>
                </w:tblCellMar>
              </w:tblPrEx>
              <w:trPr>
                <w:trHeight w:val="67" w:hRule="atLeast"/>
              </w:trPr>
              <w:tc>
                <w:tcPr>
                  <w:tcW w:w="1698" w:type="dxa"/>
                  <w:vMerge w:val="restart"/>
                  <w:tcBorders>
                    <w:top w:val="nil"/>
                    <w:left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员工生活</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70</w:t>
                  </w:r>
                  <w:r>
                    <w:rPr>
                      <w:rFonts w:hint="default" w:ascii="Times New Roman" w:hAnsi="Times New Roman" w:eastAsia="宋体" w:cs="Times New Roman"/>
                      <w:color w:val="auto"/>
                      <w:sz w:val="21"/>
                      <w:szCs w:val="21"/>
                    </w:rPr>
                    <w:t>人</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非住宿50L/d·人</w:t>
                  </w:r>
                </w:p>
              </w:tc>
              <w:tc>
                <w:tcPr>
                  <w:tcW w:w="832" w:type="dxa"/>
                  <w:vMerge w:val="restart"/>
                  <w:tcBorders>
                    <w:top w:val="nil"/>
                    <w:left w:val="nil"/>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4.50</w:t>
                  </w:r>
                </w:p>
              </w:tc>
              <w:tc>
                <w:tcPr>
                  <w:tcW w:w="950" w:type="dxa"/>
                  <w:vMerge w:val="restart"/>
                  <w:tcBorders>
                    <w:top w:val="nil"/>
                    <w:left w:val="nil"/>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1350</w:t>
                  </w:r>
                </w:p>
              </w:tc>
              <w:tc>
                <w:tcPr>
                  <w:tcW w:w="1366" w:type="dxa"/>
                  <w:vMerge w:val="restart"/>
                  <w:tcBorders>
                    <w:top w:val="nil"/>
                    <w:left w:val="nil"/>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3.60</w:t>
                  </w:r>
                </w:p>
              </w:tc>
              <w:tc>
                <w:tcPr>
                  <w:tcW w:w="1272" w:type="dxa"/>
                  <w:vMerge w:val="restart"/>
                  <w:tcBorders>
                    <w:top w:val="nil"/>
                    <w:left w:val="nil"/>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1080</w:t>
                  </w:r>
                </w:p>
              </w:tc>
            </w:tr>
            <w:tr>
              <w:tblPrEx>
                <w:tblCellMar>
                  <w:top w:w="0" w:type="dxa"/>
                  <w:left w:w="108" w:type="dxa"/>
                  <w:bottom w:w="0" w:type="dxa"/>
                  <w:right w:w="108" w:type="dxa"/>
                </w:tblCellMar>
              </w:tblPrEx>
              <w:trPr>
                <w:trHeight w:val="341" w:hRule="atLeast"/>
              </w:trPr>
              <w:tc>
                <w:tcPr>
                  <w:tcW w:w="1698" w:type="dxa"/>
                  <w:vMerge w:val="continue"/>
                  <w:tcBorders>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人</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住宿100L/d·人</w:t>
                  </w:r>
                </w:p>
              </w:tc>
              <w:tc>
                <w:tcPr>
                  <w:tcW w:w="832" w:type="dxa"/>
                  <w:vMerge w:val="continue"/>
                  <w:tcBorders>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950" w:type="dxa"/>
                  <w:vMerge w:val="continue"/>
                  <w:tcBorders>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366" w:type="dxa"/>
                  <w:vMerge w:val="continue"/>
                  <w:tcBorders>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272" w:type="dxa"/>
                  <w:vMerge w:val="continue"/>
                  <w:tcBorders>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地面清洗</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1244.85</w:t>
                  </w:r>
                  <w:r>
                    <w:rPr>
                      <w:rFonts w:hint="default" w:ascii="Times New Roman" w:hAnsi="Times New Roman" w:eastAsia="宋体" w:cs="Times New Roman"/>
                      <w:color w:val="auto"/>
                      <w:sz w:val="21"/>
                      <w:szCs w:val="21"/>
                    </w:rPr>
                    <w:t>m²</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1"/>
                      <w:szCs w:val="21"/>
                      <w:highlight w:val="none"/>
                      <w:lang w:val="en-US" w:eastAsia="zh-CN" w:bidi="ar-SA"/>
                    </w:rPr>
                    <w:t>1.5L/m</w:t>
                  </w:r>
                  <w:r>
                    <w:rPr>
                      <w:rFonts w:hint="default" w:ascii="Times New Roman" w:hAnsi="Times New Roman" w:eastAsia="宋体" w:cs="Times New Roman"/>
                      <w:bCs/>
                      <w:color w:val="auto"/>
                      <w:kern w:val="2"/>
                      <w:sz w:val="21"/>
                      <w:szCs w:val="21"/>
                      <w:highlight w:val="none"/>
                      <w:vertAlign w:val="superscript"/>
                      <w:lang w:val="en-US" w:eastAsia="zh-CN" w:bidi="ar-SA"/>
                    </w:rPr>
                    <w:t>2</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1.87</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561</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450</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纯水制备</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0.089</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26.67</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6.67</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实验设备清洗</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0.3m</w:t>
                  </w:r>
                  <w:r>
                    <w:rPr>
                      <w:rFonts w:hint="default" w:ascii="Times New Roman" w:hAnsi="Times New Roman" w:eastAsia="宋体" w:cs="Times New Roman"/>
                      <w:bCs/>
                      <w:color w:val="auto"/>
                      <w:kern w:val="2"/>
                      <w:sz w:val="21"/>
                      <w:szCs w:val="21"/>
                      <w:highlight w:val="none"/>
                      <w:vertAlign w:val="superscript"/>
                      <w:lang w:val="en-US" w:eastAsia="zh-CN" w:bidi="ar-SA"/>
                    </w:rPr>
                    <w:t xml:space="preserve">3 </w:t>
                  </w:r>
                  <w:r>
                    <w:rPr>
                      <w:rFonts w:hint="default" w:ascii="Times New Roman" w:hAnsi="Times New Roman" w:eastAsia="宋体" w:cs="Times New Roman"/>
                      <w:bCs/>
                      <w:color w:val="auto"/>
                      <w:kern w:val="2"/>
                      <w:sz w:val="21"/>
                      <w:szCs w:val="21"/>
                      <w:highlight w:val="none"/>
                      <w:lang w:val="en-US" w:eastAsia="zh-CN" w:bidi="ar-SA"/>
                    </w:rPr>
                    <w:t>/次</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0.09</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21.6</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蒸汽发生器用水</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稀硫酸</w:t>
                  </w:r>
                  <w:r>
                    <w:rPr>
                      <w:rFonts w:hint="default" w:ascii="Times New Roman" w:hAnsi="Times New Roman" w:cs="Times New Roman"/>
                      <w:color w:val="auto"/>
                      <w:sz w:val="21"/>
                      <w:szCs w:val="21"/>
                      <w:highlight w:val="none"/>
                      <w:lang w:eastAsia="zh-CN"/>
                    </w:rPr>
                    <w:t>稀释</w:t>
                  </w:r>
                  <w:r>
                    <w:rPr>
                      <w:rFonts w:hint="default" w:ascii="Times New Roman" w:hAnsi="Times New Roman" w:eastAsia="宋体" w:cs="Times New Roman"/>
                      <w:color w:val="auto"/>
                      <w:sz w:val="21"/>
                      <w:szCs w:val="21"/>
                      <w:highlight w:val="none"/>
                      <w:lang w:eastAsia="zh-CN"/>
                    </w:rPr>
                    <w:t>用水</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SA"/>
                    </w:rPr>
                    <w:t>0.0041</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1.23</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0.014t/d（环氧乙烷吸收废液）</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4.2t/a（环氧乙烷吸收废液）</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循环冷却水</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0.0059</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1.77</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绿化用水</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2508.74m²</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3.0L/（m²·d）</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7.5</w:t>
                  </w:r>
                  <w:r>
                    <w:rPr>
                      <w:rFonts w:hint="default" w:ascii="Times New Roman" w:hAnsi="Times New Roman" w:eastAsia="宋体" w:cs="Times New Roman"/>
                      <w:color w:val="auto"/>
                      <w:sz w:val="21"/>
                      <w:szCs w:val="21"/>
                      <w:lang w:val="en-US" w:eastAsia="zh-CN"/>
                    </w:rPr>
                    <w:t>3</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188</w:t>
                  </w:r>
                  <w:r>
                    <w:rPr>
                      <w:rFonts w:hint="default" w:ascii="Times New Roman" w:hAnsi="Times New Roman" w:eastAsia="宋体" w:cs="Times New Roman"/>
                      <w:color w:val="auto"/>
                      <w:sz w:val="21"/>
                      <w:szCs w:val="21"/>
                      <w:lang w:val="en-US" w:eastAsia="zh-CN"/>
                    </w:rPr>
                    <w:t>2.5</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r>
              <w:tblPrEx>
                <w:tblCellMar>
                  <w:top w:w="0" w:type="dxa"/>
                  <w:left w:w="108" w:type="dxa"/>
                  <w:bottom w:w="0" w:type="dxa"/>
                  <w:right w:w="108" w:type="dxa"/>
                </w:tblCellMar>
              </w:tblPrEx>
              <w:trPr>
                <w:trHeight w:val="67"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初期雨水</w:t>
                  </w:r>
                </w:p>
              </w:tc>
              <w:tc>
                <w:tcPr>
                  <w:tcW w:w="2500" w:type="dxa"/>
                  <w:gridSpan w:val="2"/>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可能受污染区6000m²</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0</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0</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5.7m³/次</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w:t>
                  </w:r>
                </w:p>
              </w:tc>
            </w:tr>
            <w:tr>
              <w:tblPrEx>
                <w:tblCellMar>
                  <w:top w:w="0" w:type="dxa"/>
                  <w:left w:w="108" w:type="dxa"/>
                  <w:bottom w:w="0" w:type="dxa"/>
                  <w:right w:w="108" w:type="dxa"/>
                </w:tblCellMar>
              </w:tblPrEx>
              <w:trPr>
                <w:trHeight w:val="300" w:hRule="atLeast"/>
              </w:trPr>
              <w:tc>
                <w:tcPr>
                  <w:tcW w:w="1698" w:type="dxa"/>
                  <w:tcBorders>
                    <w:top w:val="nil"/>
                    <w:left w:val="single" w:color="auto" w:sz="8" w:space="0"/>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总计</w:t>
                  </w:r>
                </w:p>
              </w:tc>
              <w:tc>
                <w:tcPr>
                  <w:tcW w:w="115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45"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14.29</w:t>
                  </w:r>
                </w:p>
              </w:tc>
              <w:tc>
                <w:tcPr>
                  <w:tcW w:w="950"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3910.07</w:t>
                  </w:r>
                </w:p>
              </w:tc>
              <w:tc>
                <w:tcPr>
                  <w:tcW w:w="1366"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5.19</w:t>
                  </w:r>
                </w:p>
              </w:tc>
              <w:tc>
                <w:tcPr>
                  <w:tcW w:w="1272" w:type="dxa"/>
                  <w:tcBorders>
                    <w:top w:val="nil"/>
                    <w:left w:val="nil"/>
                    <w:bottom w:val="single" w:color="auto" w:sz="8" w:space="0"/>
                    <w:right w:val="single" w:color="auto" w:sz="8"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1558.27</w:t>
                  </w:r>
                </w:p>
              </w:tc>
            </w:tr>
          </w:tbl>
          <w:p>
            <w:pPr>
              <w:pStyle w:val="53"/>
              <w:spacing w:beforeLines="50"/>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项目水平衡如下图所示</w:t>
            </w: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spacing w:beforeLines="50"/>
              <w:ind w:firstLine="480"/>
              <w:rPr>
                <w:rFonts w:hint="default" w:ascii="Times New Roman" w:hAnsi="Times New Roman" w:eastAsia="宋体" w:cs="Times New Roman"/>
                <w:color w:val="auto"/>
                <w:szCs w:val="24"/>
                <w:highlight w:val="none"/>
              </w:rPr>
            </w:pPr>
          </w:p>
          <w:p>
            <w:pPr>
              <w:pStyle w:val="53"/>
              <w:numPr>
                <w:ilvl w:val="0"/>
                <w:numId w:val="0"/>
              </w:numPr>
              <w:spacing w:beforeLines="50"/>
              <w:rPr>
                <w:rFonts w:hint="default" w:ascii="Times New Roman" w:hAnsi="Times New Roman" w:eastAsia="宋体" w:cs="Times New Roman"/>
                <w:color w:val="auto"/>
                <w:szCs w:val="24"/>
                <w:lang w:eastAsia="zh-CN"/>
              </w:rPr>
            </w:pPr>
            <w:r>
              <w:rPr>
                <w:rFonts w:hint="eastAsia" w:cs="Times New Roman"/>
                <w:color w:val="auto"/>
                <w:szCs w:val="24"/>
                <w:lang w:eastAsia="zh-CN"/>
              </w:rPr>
              <w:t>（</w:t>
            </w:r>
            <w:r>
              <w:rPr>
                <w:rFonts w:hint="eastAsia" w:cs="Times New Roman"/>
                <w:color w:val="auto"/>
                <w:szCs w:val="24"/>
                <w:lang w:val="en-US" w:eastAsia="zh-CN"/>
              </w:rPr>
              <w:t>1</w:t>
            </w:r>
            <w:r>
              <w:rPr>
                <w:rFonts w:hint="eastAsia" w:cs="Times New Roman"/>
                <w:color w:val="auto"/>
                <w:szCs w:val="24"/>
                <w:lang w:eastAsia="zh-CN"/>
              </w:rPr>
              <w:t>）</w:t>
            </w:r>
            <w:r>
              <w:rPr>
                <w:rFonts w:hint="default" w:ascii="Times New Roman" w:hAnsi="Times New Roman" w:eastAsia="宋体" w:cs="Times New Roman"/>
                <w:color w:val="auto"/>
                <w:szCs w:val="24"/>
                <w:lang w:eastAsia="zh-CN"/>
              </w:rPr>
              <w:t>非雨天水平衡图</w:t>
            </w:r>
          </w:p>
          <w:p>
            <w:pPr>
              <w:pStyle w:val="53"/>
              <w:ind w:firstLine="0" w:firstLineChars="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object>
                <v:shape id="_x0000_i1025" o:spt="75" type="#_x0000_t75" style="height:408.8pt;width:430.3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jc w:val="center"/>
              <w:rPr>
                <w:rFonts w:hint="default" w:ascii="Times New Roman" w:hAnsi="Times New Roman" w:eastAsia="宋体" w:cs="Times New Roman"/>
                <w:b/>
                <w:bCs/>
                <w:color w:val="auto"/>
                <w:kern w:val="0"/>
              </w:rPr>
            </w:pPr>
            <w:r>
              <w:rPr>
                <w:rFonts w:hint="default" w:ascii="Times New Roman" w:hAnsi="Times New Roman" w:eastAsia="宋体" w:cs="Times New Roman"/>
                <w:b/>
                <w:bCs/>
                <w:color w:val="auto"/>
                <w:kern w:val="0"/>
              </w:rPr>
              <w:t>图2.6</w:t>
            </w:r>
            <w:r>
              <w:rPr>
                <w:rFonts w:hint="default" w:ascii="Times New Roman" w:hAnsi="Times New Roman" w:eastAsia="宋体" w:cs="Times New Roman"/>
                <w:b/>
                <w:bCs/>
                <w:color w:val="auto"/>
                <w:kern w:val="0"/>
                <w:lang w:val="en-US" w:eastAsia="zh-CN"/>
              </w:rPr>
              <w:t>.2</w:t>
            </w:r>
            <w:r>
              <w:rPr>
                <w:rFonts w:hint="default" w:ascii="Times New Roman" w:hAnsi="Times New Roman" w:eastAsia="宋体" w:cs="Times New Roman"/>
                <w:b/>
                <w:bCs/>
                <w:color w:val="auto"/>
                <w:kern w:val="0"/>
              </w:rPr>
              <w:t xml:space="preserve">-1 </w:t>
            </w:r>
            <w:r>
              <w:rPr>
                <w:rFonts w:hint="default" w:ascii="Times New Roman" w:hAnsi="Times New Roman" w:eastAsia="宋体" w:cs="Times New Roman"/>
                <w:b/>
                <w:bCs/>
                <w:color w:val="auto"/>
                <w:kern w:val="0"/>
                <w:lang w:eastAsia="zh-CN"/>
              </w:rPr>
              <w:t>非雨天</w:t>
            </w:r>
            <w:r>
              <w:rPr>
                <w:rFonts w:hint="default" w:ascii="Times New Roman" w:hAnsi="Times New Roman" w:eastAsia="宋体" w:cs="Times New Roman"/>
                <w:b/>
                <w:bCs/>
                <w:color w:val="auto"/>
                <w:kern w:val="0"/>
              </w:rPr>
              <w:t>项目水平衡水平衡图 m³/d</w:t>
            </w: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p>
          <w:p>
            <w:pPr>
              <w:pStyle w:val="53"/>
              <w:spacing w:beforeLines="50"/>
              <w:ind w:firstLine="480"/>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2</w:t>
            </w:r>
            <w:r>
              <w:rPr>
                <w:rFonts w:hint="default" w:ascii="Times New Roman" w:hAnsi="Times New Roman" w:eastAsia="宋体" w:cs="Times New Roman"/>
                <w:color w:val="auto"/>
                <w:szCs w:val="24"/>
                <w:lang w:eastAsia="zh-CN"/>
              </w:rPr>
              <w:t>）雨天水平衡图</w:t>
            </w:r>
          </w:p>
          <w:p>
            <w:pPr>
              <w:jc w:val="center"/>
              <w:rPr>
                <w:rFonts w:hint="default" w:ascii="Times New Roman" w:hAnsi="Times New Roman" w:eastAsia="宋体" w:cs="Times New Roman"/>
                <w:b/>
                <w:bCs/>
                <w:color w:val="auto"/>
                <w:kern w:val="0"/>
              </w:rPr>
            </w:pPr>
            <w:r>
              <w:rPr>
                <w:rFonts w:hint="default" w:ascii="Times New Roman" w:hAnsi="Times New Roman" w:eastAsia="宋体" w:cs="Times New Roman"/>
                <w:b/>
                <w:bCs/>
                <w:color w:val="auto"/>
                <w:kern w:val="0"/>
              </w:rPr>
              <w:object>
                <v:shape id="_x0000_i1026" o:spt="75" type="#_x0000_t75" style="height:497.85pt;width:430.7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6" r:id="rId13">
                  <o:LockedField>false</o:LockedField>
                </o:OLEObject>
              </w:object>
            </w:r>
          </w:p>
          <w:p>
            <w:pPr>
              <w:jc w:val="center"/>
              <w:rPr>
                <w:rFonts w:hint="default" w:ascii="Times New Roman" w:hAnsi="Times New Roman" w:eastAsia="宋体" w:cs="Times New Roman"/>
                <w:b/>
                <w:bCs/>
                <w:color w:val="auto"/>
                <w:kern w:val="0"/>
              </w:rPr>
            </w:pPr>
            <w:r>
              <w:rPr>
                <w:rFonts w:hint="default" w:ascii="Times New Roman" w:hAnsi="Times New Roman" w:eastAsia="宋体" w:cs="Times New Roman"/>
                <w:b/>
                <w:bCs/>
                <w:color w:val="auto"/>
                <w:kern w:val="0"/>
              </w:rPr>
              <w:t>图2.6</w:t>
            </w:r>
            <w:r>
              <w:rPr>
                <w:rFonts w:hint="default" w:ascii="Times New Roman" w:hAnsi="Times New Roman" w:eastAsia="宋体" w:cs="Times New Roman"/>
                <w:b/>
                <w:bCs/>
                <w:color w:val="auto"/>
                <w:kern w:val="0"/>
                <w:lang w:val="en-US" w:eastAsia="zh-CN"/>
              </w:rPr>
              <w:t>.2</w:t>
            </w:r>
            <w:r>
              <w:rPr>
                <w:rFonts w:hint="default" w:ascii="Times New Roman" w:hAnsi="Times New Roman" w:eastAsia="宋体" w:cs="Times New Roman"/>
                <w:b/>
                <w:bCs/>
                <w:color w:val="auto"/>
                <w:kern w:val="0"/>
              </w:rPr>
              <w:t>-</w:t>
            </w:r>
            <w:r>
              <w:rPr>
                <w:rFonts w:hint="default" w:ascii="Times New Roman" w:hAnsi="Times New Roman" w:eastAsia="宋体" w:cs="Times New Roman"/>
                <w:b/>
                <w:bCs/>
                <w:color w:val="auto"/>
                <w:kern w:val="0"/>
                <w:lang w:val="en-US" w:eastAsia="zh-CN"/>
              </w:rPr>
              <w:t>2</w:t>
            </w:r>
            <w:r>
              <w:rPr>
                <w:rFonts w:hint="default" w:ascii="Times New Roman" w:hAnsi="Times New Roman" w:eastAsia="宋体" w:cs="Times New Roman"/>
                <w:b/>
                <w:bCs/>
                <w:color w:val="auto"/>
                <w:kern w:val="0"/>
              </w:rPr>
              <w:t xml:space="preserve"> </w:t>
            </w:r>
            <w:r>
              <w:rPr>
                <w:rFonts w:hint="default" w:ascii="Times New Roman" w:hAnsi="Times New Roman" w:eastAsia="宋体" w:cs="Times New Roman"/>
                <w:b/>
                <w:bCs/>
                <w:color w:val="auto"/>
                <w:kern w:val="0"/>
                <w:lang w:eastAsia="zh-CN"/>
              </w:rPr>
              <w:t>雨天</w:t>
            </w:r>
            <w:r>
              <w:rPr>
                <w:rFonts w:hint="default" w:ascii="Times New Roman" w:hAnsi="Times New Roman" w:eastAsia="宋体" w:cs="Times New Roman"/>
                <w:b/>
                <w:bCs/>
                <w:color w:val="auto"/>
                <w:kern w:val="0"/>
              </w:rPr>
              <w:t>项目水平衡水平衡图 m³/d</w:t>
            </w:r>
          </w:p>
          <w:p>
            <w:pPr>
              <w:autoSpaceDE w:val="0"/>
              <w:autoSpaceDN w:val="0"/>
              <w:spacing w:beforeLines="50" w:line="360" w:lineRule="auto"/>
              <w:ind w:firstLine="241" w:firstLineChars="1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2.7 劳动定员及工作制度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bCs/>
                <w:color w:val="auto"/>
                <w:sz w:val="24"/>
                <w:szCs w:val="24"/>
                <w:lang w:eastAsia="zh-CN"/>
              </w:rPr>
              <w:t>根据调查，该项目总</w:t>
            </w:r>
            <w:r>
              <w:rPr>
                <w:rFonts w:hint="default" w:ascii="Times New Roman" w:hAnsi="Times New Roman" w:eastAsia="宋体" w:cs="Times New Roman"/>
                <w:bCs/>
                <w:color w:val="auto"/>
                <w:sz w:val="24"/>
                <w:szCs w:val="24"/>
              </w:rPr>
              <w:t>员工为</w:t>
            </w:r>
            <w:r>
              <w:rPr>
                <w:rFonts w:hint="default" w:ascii="Times New Roman" w:hAnsi="Times New Roman" w:eastAsia="宋体" w:cs="Times New Roman"/>
                <w:bCs/>
                <w:color w:val="auto"/>
                <w:sz w:val="24"/>
                <w:szCs w:val="24"/>
                <w:lang w:val="en-US" w:eastAsia="zh-CN"/>
              </w:rPr>
              <w:t>80</w:t>
            </w:r>
            <w:r>
              <w:rPr>
                <w:rFonts w:hint="default" w:ascii="Times New Roman" w:hAnsi="Times New Roman" w:eastAsia="宋体" w:cs="Times New Roman"/>
                <w:bCs/>
                <w:color w:val="auto"/>
                <w:sz w:val="24"/>
                <w:szCs w:val="24"/>
              </w:rPr>
              <w:t>人，项目年工作300d，采用三班制</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其中约</w:t>
            </w:r>
            <w:r>
              <w:rPr>
                <w:rFonts w:hint="default" w:ascii="Times New Roman" w:hAnsi="Times New Roman" w:eastAsia="宋体" w:cs="Times New Roman"/>
                <w:bCs/>
                <w:color w:val="auto"/>
                <w:sz w:val="24"/>
                <w:szCs w:val="24"/>
                <w:lang w:val="en-US" w:eastAsia="zh-CN"/>
              </w:rPr>
              <w:t>70</w:t>
            </w:r>
            <w:r>
              <w:rPr>
                <w:rFonts w:hint="default" w:ascii="Times New Roman" w:hAnsi="Times New Roman" w:eastAsia="宋体" w:cs="Times New Roman"/>
                <w:bCs/>
                <w:color w:val="auto"/>
                <w:sz w:val="24"/>
                <w:szCs w:val="24"/>
              </w:rPr>
              <w:t>人为周围村民，不在项目区住宿，约</w:t>
            </w:r>
            <w:r>
              <w:rPr>
                <w:rFonts w:hint="default" w:ascii="Times New Roman" w:hAnsi="Times New Roman" w:eastAsia="宋体" w:cs="Times New Roman"/>
                <w:bCs/>
                <w:color w:val="auto"/>
                <w:sz w:val="24"/>
                <w:szCs w:val="24"/>
                <w:lang w:val="en-US" w:eastAsia="zh-CN"/>
              </w:rPr>
              <w:t>10</w:t>
            </w:r>
            <w:r>
              <w:rPr>
                <w:rFonts w:hint="default" w:ascii="Times New Roman" w:hAnsi="Times New Roman" w:eastAsia="宋体" w:cs="Times New Roman"/>
                <w:bCs/>
                <w:color w:val="auto"/>
                <w:sz w:val="24"/>
                <w:szCs w:val="24"/>
              </w:rPr>
              <w:t>人为外来人员，在项目区住宿，项目设置食堂供员工使用</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lang w:val="en-US" w:eastAsia="zh-CN"/>
              </w:rPr>
              <w:t>2.7.1</w:t>
            </w:r>
            <w:r>
              <w:rPr>
                <w:rFonts w:hint="default" w:ascii="Times New Roman" w:hAnsi="Times New Roman" w:eastAsia="宋体" w:cs="Times New Roman"/>
                <w:b/>
                <w:color w:val="auto"/>
                <w:szCs w:val="24"/>
              </w:rPr>
              <w:t xml:space="preserve"> 工作制度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bCs/>
                <w:color w:val="auto"/>
                <w:sz w:val="24"/>
                <w:szCs w:val="24"/>
              </w:rPr>
              <w:t>项目年工作300d，采用三班制</w:t>
            </w:r>
            <w:r>
              <w:rPr>
                <w:rFonts w:hint="default" w:ascii="Times New Roman" w:hAnsi="Times New Roman" w:eastAsia="宋体" w:cs="Times New Roman"/>
                <w:bCs/>
                <w:color w:val="auto"/>
                <w:sz w:val="24"/>
                <w:szCs w:val="24"/>
                <w:lang w:eastAsia="zh-CN"/>
              </w:rPr>
              <w:t>，每班</w:t>
            </w:r>
            <w:r>
              <w:rPr>
                <w:rFonts w:hint="default" w:ascii="Times New Roman" w:hAnsi="Times New Roman" w:eastAsia="宋体" w:cs="Times New Roman"/>
                <w:bCs/>
                <w:color w:val="auto"/>
                <w:sz w:val="24"/>
                <w:szCs w:val="24"/>
                <w:lang w:val="en-US" w:eastAsia="zh-CN"/>
              </w:rPr>
              <w:t>8小时</w:t>
            </w:r>
            <w:r>
              <w:rPr>
                <w:rFonts w:hint="default" w:ascii="Times New Roman" w:hAnsi="Times New Roman" w:eastAsia="宋体" w:cs="Times New Roman"/>
                <w:bCs/>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834" w:type="dxa"/>
          </w:tcPr>
          <w:p>
            <w:pPr>
              <w:autoSpaceDE w:val="0"/>
              <w:autoSpaceDN w:val="0"/>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w:t>
            </w:r>
            <w:r>
              <w:rPr>
                <w:rFonts w:hint="default" w:ascii="Times New Roman" w:hAnsi="Times New Roman" w:eastAsia="宋体" w:cs="Times New Roman"/>
                <w:b/>
                <w:color w:val="auto"/>
                <w:sz w:val="24"/>
                <w:szCs w:val="24"/>
                <w:lang w:val="en-US" w:eastAsia="zh-CN"/>
              </w:rPr>
              <w:t>8</w:t>
            </w:r>
            <w:r>
              <w:rPr>
                <w:rFonts w:hint="default" w:ascii="Times New Roman" w:hAnsi="Times New Roman" w:eastAsia="宋体" w:cs="Times New Roman"/>
                <w:b/>
                <w:color w:val="auto"/>
                <w:sz w:val="24"/>
                <w:szCs w:val="24"/>
              </w:rPr>
              <w:t>工艺流程</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w:t>
            </w:r>
            <w:r>
              <w:rPr>
                <w:rFonts w:hint="default" w:ascii="Times New Roman" w:hAnsi="Times New Roman" w:eastAsia="宋体" w:cs="Times New Roman"/>
                <w:b/>
                <w:color w:val="auto"/>
                <w:sz w:val="24"/>
                <w:szCs w:val="24"/>
                <w:lang w:val="en-US" w:eastAsia="zh-CN"/>
              </w:rPr>
              <w:t>8</w:t>
            </w:r>
            <w:r>
              <w:rPr>
                <w:rFonts w:hint="default" w:ascii="Times New Roman" w:hAnsi="Times New Roman" w:eastAsia="宋体" w:cs="Times New Roman"/>
                <w:b/>
                <w:color w:val="auto"/>
                <w:sz w:val="24"/>
                <w:szCs w:val="24"/>
              </w:rPr>
              <w:t>.1 施工期工艺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rPr>
              <w:t>项目于</w:t>
            </w:r>
            <w:r>
              <w:rPr>
                <w:rFonts w:hint="default" w:ascii="Times New Roman" w:hAnsi="Times New Roman" w:cs="Times New Roman"/>
                <w:color w:val="auto"/>
                <w:sz w:val="24"/>
                <w:szCs w:val="24"/>
                <w:lang w:val="en-US" w:eastAsia="zh-CN"/>
              </w:rPr>
              <w:t>2022年</w:t>
            </w:r>
            <w:r>
              <w:rPr>
                <w:rFonts w:hint="default" w:ascii="Times New Roman" w:hAnsi="Times New Roman" w:cs="Times New Roman" w:eastAsiaTheme="minorEastAsia"/>
                <w:color w:val="auto"/>
                <w:sz w:val="24"/>
                <w:szCs w:val="24"/>
              </w:rPr>
              <w:t>建成投产，主体工程不存在施工期，本次施工期建设内容主要为环保设施整改。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w:t>
            </w:r>
            <w:r>
              <w:rPr>
                <w:rFonts w:hint="default" w:ascii="Times New Roman" w:hAnsi="Times New Roman" w:eastAsia="宋体" w:cs="Times New Roman"/>
                <w:b/>
                <w:color w:val="auto"/>
                <w:sz w:val="24"/>
                <w:szCs w:val="24"/>
                <w:lang w:val="en-US" w:eastAsia="zh-CN"/>
              </w:rPr>
              <w:t>8</w:t>
            </w:r>
            <w:r>
              <w:rPr>
                <w:rFonts w:hint="default" w:ascii="Times New Roman" w:hAnsi="Times New Roman" w:eastAsia="宋体" w:cs="Times New Roman"/>
                <w:b/>
                <w:color w:val="auto"/>
                <w:sz w:val="24"/>
                <w:szCs w:val="24"/>
              </w:rPr>
              <w:t>.2 运营期生产工艺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本项目主要为一类医疗器械（卫生材料）的生产（主要包含纱布绷带、绑扎胶布、医用固定带、医用隔离鞋套、隔离面罩、隔离眼罩的生产），以及二类医疗器械（卫生材料）的生产（主要包含医用外科口罩、医用防护口罩、医用一次性防护服、一次性使用手术单、一次性手术衣帽、洞巾、一次性使用氧气雾化器、一次性使用医用棉签、一次性医用敷料包（无菌缝合包、无菌换药包、无菌手术包）等的生产），本项目工艺流程及产污环节图见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eastAsia="zh-CN"/>
              </w:rPr>
              <w:t>一次性手术单、一次性手术洞巾、一次性使用手术帽、一次性手术衣、防护服、脱脂棉纱布块</w:t>
            </w:r>
            <w:r>
              <w:rPr>
                <w:rFonts w:hint="default" w:ascii="Times New Roman" w:hAnsi="Times New Roman" w:eastAsia="宋体" w:cs="Times New Roman"/>
                <w:b/>
                <w:color w:val="auto"/>
                <w:sz w:val="24"/>
                <w:szCs w:val="24"/>
              </w:rPr>
              <w:t>生产工艺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根据调查，一次性手术单、一次性手术洞巾、一次性使用手术帽、一次性手术衣、防护服、脱脂棉纱布块</w:t>
            </w:r>
            <w:r>
              <w:rPr>
                <w:rFonts w:hint="default" w:ascii="Times New Roman" w:hAnsi="Times New Roman" w:eastAsia="宋体" w:cs="Times New Roman"/>
                <w:b w:val="0"/>
                <w:bCs/>
                <w:color w:val="auto"/>
                <w:sz w:val="24"/>
                <w:szCs w:val="24"/>
              </w:rPr>
              <w:t>生产工艺</w:t>
            </w:r>
            <w:r>
              <w:rPr>
                <w:rFonts w:hint="default" w:ascii="Times New Roman" w:hAnsi="Times New Roman" w:eastAsia="宋体" w:cs="Times New Roman"/>
                <w:b w:val="0"/>
                <w:bCs/>
                <w:color w:val="auto"/>
                <w:sz w:val="24"/>
                <w:szCs w:val="24"/>
                <w:lang w:eastAsia="zh-CN"/>
              </w:rPr>
              <w:t>流程如下图所示。</w:t>
            </w:r>
          </w:p>
          <w:p>
            <w:pPr>
              <w:rPr>
                <w:rFonts w:hint="default" w:ascii="Times New Roman" w:hAnsi="Times New Roman" w:eastAsia="宋体" w:cs="Times New Roman"/>
                <w:b w:val="0"/>
                <w:bCs/>
                <w:color w:val="auto"/>
                <w:sz w:val="24"/>
                <w:szCs w:val="24"/>
                <w:lang w:eastAsia="zh-CN"/>
              </w:rPr>
            </w:pPr>
          </w:p>
          <w:p>
            <w:pPr>
              <w:pStyle w:val="10"/>
              <w:rPr>
                <w:rFonts w:hint="default" w:ascii="Times New Roman" w:hAnsi="Times New Roman" w:eastAsia="宋体" w:cs="Times New Roman"/>
                <w:b w:val="0"/>
                <w:bCs/>
                <w:color w:val="auto"/>
                <w:sz w:val="24"/>
                <w:szCs w:val="24"/>
                <w:lang w:eastAsia="zh-CN"/>
              </w:rPr>
            </w:pPr>
          </w:p>
          <w:p>
            <w:pPr>
              <w:rPr>
                <w:rFonts w:hint="default" w:ascii="Times New Roman" w:hAnsi="Times New Roman" w:eastAsia="宋体" w:cs="Times New Roman"/>
                <w:b w:val="0"/>
                <w:bCs/>
                <w:color w:val="auto"/>
                <w:sz w:val="24"/>
                <w:szCs w:val="24"/>
                <w:lang w:eastAsia="zh-CN"/>
              </w:rPr>
            </w:pPr>
          </w:p>
          <w:p>
            <w:pPr>
              <w:pStyle w:val="10"/>
              <w:rPr>
                <w:rFonts w:hint="default" w:ascii="Times New Roman" w:hAnsi="Times New Roman" w:eastAsia="宋体" w:cs="Times New Roman"/>
                <w:b w:val="0"/>
                <w:bCs/>
                <w:color w:val="auto"/>
                <w:sz w:val="24"/>
                <w:szCs w:val="24"/>
                <w:lang w:eastAsia="zh-CN"/>
              </w:rPr>
            </w:pPr>
          </w:p>
          <w:p>
            <w:pPr>
              <w:rPr>
                <w:rFonts w:hint="default" w:ascii="Times New Roman" w:hAnsi="Times New Roman" w:eastAsia="宋体" w:cs="Times New Roman"/>
                <w:b w:val="0"/>
                <w:bCs/>
                <w:color w:val="auto"/>
                <w:sz w:val="24"/>
                <w:szCs w:val="24"/>
                <w:lang w:eastAsia="zh-CN"/>
              </w:rPr>
            </w:pPr>
          </w:p>
          <w:p>
            <w:pPr>
              <w:pStyle w:val="10"/>
              <w:rPr>
                <w:rFonts w:hint="default" w:ascii="Times New Roman" w:hAnsi="Times New Roman" w:eastAsia="宋体" w:cs="Times New Roman"/>
                <w:b w:val="0"/>
                <w:bCs/>
                <w:color w:val="auto"/>
                <w:sz w:val="24"/>
                <w:szCs w:val="24"/>
                <w:lang w:eastAsia="zh-CN"/>
              </w:rPr>
            </w:pPr>
          </w:p>
          <w:p>
            <w:pPr>
              <w:rPr>
                <w:rFonts w:hint="default" w:ascii="Times New Roman" w:hAnsi="Times New Roman" w:eastAsia="宋体" w:cs="Times New Roman"/>
                <w:b w:val="0"/>
                <w:bCs/>
                <w:color w:val="auto"/>
                <w:sz w:val="24"/>
                <w:szCs w:val="24"/>
                <w:lang w:eastAsia="zh-CN"/>
              </w:rPr>
            </w:pPr>
          </w:p>
          <w:p>
            <w:pPr>
              <w:pStyle w:val="10"/>
              <w:rPr>
                <w:rFonts w:hint="default" w:ascii="Times New Roman" w:hAnsi="Times New Roman" w:eastAsia="宋体" w:cs="Times New Roman"/>
                <w:b w:val="0"/>
                <w:bCs/>
                <w:color w:val="auto"/>
                <w:sz w:val="24"/>
                <w:szCs w:val="24"/>
                <w:lang w:eastAsia="zh-CN"/>
              </w:rPr>
            </w:pPr>
          </w:p>
          <w:p>
            <w:pPr>
              <w:rPr>
                <w:rFonts w:hint="default" w:ascii="Times New Roman" w:hAnsi="Times New Roman" w:eastAsia="宋体" w:cs="Times New Roman"/>
                <w:b w:val="0"/>
                <w:bCs/>
                <w:color w:val="auto"/>
                <w:sz w:val="24"/>
                <w:szCs w:val="24"/>
                <w:lang w:eastAsia="zh-CN"/>
              </w:rPr>
            </w:pPr>
          </w:p>
          <w:p>
            <w:pPr>
              <w:pStyle w:val="10"/>
              <w:rPr>
                <w:rFonts w:hint="default" w:ascii="Times New Roman" w:hAnsi="Times New Roman" w:eastAsia="宋体" w:cs="Times New Roman"/>
                <w:b w:val="0"/>
                <w:bCs/>
                <w:color w:val="auto"/>
                <w:sz w:val="24"/>
                <w:szCs w:val="24"/>
                <w:lang w:eastAsia="zh-CN"/>
              </w:rPr>
            </w:pPr>
          </w:p>
          <w:p>
            <w:pPr>
              <w:rPr>
                <w:rFonts w:hint="default" w:ascii="Times New Roman" w:hAnsi="Times New Roman" w:cs="Times New Roman"/>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4"/>
                <w:szCs w:val="24"/>
                <w:lang w:eastAsia="zh-CN"/>
              </w:rPr>
              <w:object>
                <v:shape id="_x0000_i1027" o:spt="75" type="#_x0000_t75" style="height:367.7pt;width:386.55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eastAsia="zh-CN"/>
              </w:rPr>
              <w:t>图</w:t>
            </w:r>
            <w:r>
              <w:rPr>
                <w:rFonts w:hint="default" w:ascii="Times New Roman" w:hAnsi="Times New Roman" w:eastAsia="宋体" w:cs="Times New Roman"/>
                <w:b/>
                <w:color w:val="auto"/>
                <w:sz w:val="21"/>
                <w:szCs w:val="21"/>
                <w:lang w:val="en-US" w:eastAsia="zh-CN"/>
              </w:rPr>
              <w:t xml:space="preserve">2.8.2-1  </w:t>
            </w:r>
            <w:r>
              <w:rPr>
                <w:rFonts w:hint="default" w:ascii="Times New Roman" w:hAnsi="Times New Roman" w:eastAsia="宋体" w:cs="Times New Roman"/>
                <w:b/>
                <w:color w:val="auto"/>
                <w:sz w:val="21"/>
                <w:szCs w:val="21"/>
                <w:lang w:eastAsia="zh-CN"/>
              </w:rPr>
              <w:t>一次性手术单、一次性手术洞巾、一次性使用手术帽、一次性手术衣、防护服、脱脂棉纱布块生产工艺及产污流程示</w:t>
            </w:r>
            <w:r>
              <w:rPr>
                <w:rFonts w:hint="default" w:ascii="Times New Roman" w:hAnsi="Times New Roman" w:eastAsia="宋体" w:cs="Times New Roman"/>
                <w:b/>
                <w:color w:val="auto"/>
                <w:szCs w:val="24"/>
              </w:rPr>
              <w:t>意图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color w:val="auto"/>
                <w:sz w:val="24"/>
                <w:szCs w:val="24"/>
                <w:lang w:eastAsia="zh-CN"/>
              </w:rPr>
              <w:t>一次性手术单、一次性手术洞巾、一次性使用手术帽、一次性手术衣、防护服、脱脂棉纱布块</w:t>
            </w:r>
            <w:r>
              <w:rPr>
                <w:rFonts w:hint="default" w:ascii="Times New Roman" w:hAnsi="Times New Roman" w:eastAsia="宋体" w:cs="Times New Roman"/>
                <w:b/>
                <w:color w:val="auto"/>
                <w:sz w:val="24"/>
                <w:szCs w:val="24"/>
              </w:rPr>
              <w:t>生产工艺</w:t>
            </w:r>
            <w:r>
              <w:rPr>
                <w:rFonts w:hint="default" w:ascii="Times New Roman" w:hAnsi="Times New Roman" w:eastAsia="宋体" w:cs="Times New Roman"/>
                <w:b/>
                <w:color w:val="auto"/>
                <w:sz w:val="24"/>
                <w:szCs w:val="24"/>
                <w:lang w:eastAsia="zh-CN"/>
              </w:rPr>
              <w:t>简述</w:t>
            </w:r>
            <w:r>
              <w:rPr>
                <w:rFonts w:hint="default" w:ascii="Times New Roman" w:hAnsi="Times New Roman" w:eastAsia="宋体" w:cs="Times New Roman"/>
                <w:b/>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①裁剪：项目外购手术垫单半成品、脱脂棉纱布、无纺布、PE膜、卫生纸，按照规格要求进行裁剪，此过程主要产生边角料。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②缝制、折叠：项目按照规格要求进行缝制、折叠，缝制、折叠后进行中间品控制，主要检查产品的尺寸及针线密度，此过程主要产生边角料、噪声。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内包装、封口：对产品按照一定数量规格进行包装后外售，产品包装袋为外购，包装袋材质为高密度聚乙烯，包装袋的封口方式为加热封口，使用滚动式加热封口机，封口温度200°C。采用瞬时电加热封口，该过程加热瞬时完成，废气产生量极少，不做定量分析。该工序会产生废包装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③装箱、灭菌：检查内包封口合格后将包装好的产品装箱，送至环氧乙烷灭菌柜进行灭菌，此工序主要产生废纸箱、环氧乙烷吸收废水。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解析、产品检验、入库：灭菌好的产品进行解析，产品在成品仓库内需放置7天，使吸附在表面的环氧乙烷自然挥发，解析完成后进行产品最终检验，入库人员凭检测报告办理产品入库；检验室凭“合格”检测报告按《产品留样观察管理制度》对产品进行取样留样。此工序主要产生挥发性有机物、不合格产品、实验废液、实验器皿初次清洗高浓度废水、实验固废。</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无菌导尿管、医用输液贴</w:t>
            </w:r>
            <w:r>
              <w:rPr>
                <w:rFonts w:hint="default" w:ascii="Times New Roman" w:hAnsi="Times New Roman" w:eastAsia="宋体" w:cs="Times New Roman"/>
                <w:b/>
                <w:bCs/>
                <w:color w:val="auto"/>
                <w:sz w:val="24"/>
                <w:szCs w:val="24"/>
                <w:lang w:val="en-US" w:eastAsia="zh-CN"/>
              </w:rPr>
              <w:t>、医用无菌敷贴、一次性医用鼻氧管、一次性使用氧气雾化器、一次性使用气管插管</w:t>
            </w:r>
            <w:r>
              <w:rPr>
                <w:rFonts w:hint="default" w:ascii="Times New Roman" w:hAnsi="Times New Roman" w:eastAsia="宋体" w:cs="Times New Roman"/>
                <w:b/>
                <w:bCs/>
                <w:color w:val="auto"/>
                <w:sz w:val="24"/>
                <w:szCs w:val="24"/>
                <w:lang w:eastAsia="zh-CN"/>
              </w:rPr>
              <w:t>生产工艺</w:t>
            </w:r>
            <w:r>
              <w:rPr>
                <w:rFonts w:hint="default" w:ascii="Times New Roman" w:hAnsi="Times New Roman" w:eastAsia="宋体" w:cs="Times New Roman"/>
                <w:b/>
                <w:bCs/>
                <w:color w:val="auto"/>
                <w:sz w:val="24"/>
                <w:szCs w:val="24"/>
              </w:rPr>
              <w:t>流程图示</w:t>
            </w:r>
            <w:r>
              <w:rPr>
                <w:rFonts w:hint="default" w:ascii="Times New Roman" w:hAnsi="Times New Roman" w:eastAsia="宋体" w:cs="Times New Roman"/>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根据调查，</w:t>
            </w:r>
            <w:r>
              <w:rPr>
                <w:rFonts w:hint="default" w:ascii="Times New Roman" w:hAnsi="Times New Roman" w:eastAsia="宋体" w:cs="Times New Roman"/>
                <w:b w:val="0"/>
                <w:bCs w:val="0"/>
                <w:color w:val="auto"/>
                <w:sz w:val="24"/>
                <w:szCs w:val="24"/>
                <w:lang w:eastAsia="zh-CN"/>
              </w:rPr>
              <w:t>无菌导尿管、医用输液贴</w:t>
            </w:r>
            <w:r>
              <w:rPr>
                <w:rFonts w:hint="default" w:ascii="Times New Roman" w:hAnsi="Times New Roman" w:eastAsia="宋体" w:cs="Times New Roman"/>
                <w:b w:val="0"/>
                <w:bCs w:val="0"/>
                <w:color w:val="auto"/>
                <w:sz w:val="24"/>
                <w:szCs w:val="24"/>
                <w:lang w:val="en-US" w:eastAsia="zh-CN"/>
              </w:rPr>
              <w:t>、医用无菌敷贴、一次性医用鼻氧管、一次性使用氧气雾化器、一次性使用气管插管生产工艺流程如下图所示。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object>
                <v:shape id="_x0000_i1028" o:spt="75" type="#_x0000_t75" style="height:308.8pt;width:369.1pt;" o:ole="t" filled="f" o:preferrelative="t" stroked="f" coordsize="21600,21600">
                  <v:path/>
                  <v:fill on="f" focussize="0,0"/>
                  <v:stroke on="f"/>
                  <v:imagedata r:id="rId18" o:title=""/>
                  <o:lock v:ext="edit" aspectratio="f"/>
                  <w10:wrap type="none"/>
                  <w10:anchorlock/>
                </v:shape>
                <o:OLEObject Type="Embed" ProgID="Visio.Drawing.15" ShapeID="_x0000_i1028" DrawAspect="Content" ObjectID="_1468075728" r:id="rId17">
                  <o:LockedField>false</o:LockedField>
                </o:OLEObject>
              </w:objec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8</w:t>
            </w:r>
            <w:r>
              <w:rPr>
                <w:rFonts w:hint="default" w:ascii="Times New Roman" w:hAnsi="Times New Roman" w:eastAsia="宋体" w:cs="Times New Roman"/>
                <w:b/>
                <w:color w:val="auto"/>
                <w:sz w:val="21"/>
                <w:szCs w:val="21"/>
              </w:rPr>
              <w:t>.2-</w:t>
            </w:r>
            <w:r>
              <w:rPr>
                <w:rFonts w:hint="default"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bCs/>
                <w:color w:val="auto"/>
                <w:sz w:val="21"/>
                <w:szCs w:val="21"/>
                <w:lang w:eastAsia="zh-CN"/>
              </w:rPr>
              <w:t>无菌导尿管、医用输液贴</w:t>
            </w:r>
            <w:r>
              <w:rPr>
                <w:rFonts w:hint="default" w:ascii="Times New Roman" w:hAnsi="Times New Roman" w:eastAsia="宋体" w:cs="Times New Roman"/>
                <w:b/>
                <w:bCs/>
                <w:color w:val="auto"/>
                <w:sz w:val="21"/>
                <w:szCs w:val="21"/>
                <w:lang w:val="en-US" w:eastAsia="zh-CN"/>
              </w:rPr>
              <w:t>、医用无菌敷贴、一次性医用鼻氧管、一次性使用氧气雾化器、一次性使用气管插管</w:t>
            </w:r>
            <w:r>
              <w:rPr>
                <w:rFonts w:hint="default" w:ascii="Times New Roman" w:hAnsi="Times New Roman" w:eastAsia="宋体" w:cs="Times New Roman"/>
                <w:b/>
                <w:color w:val="auto"/>
                <w:sz w:val="21"/>
                <w:szCs w:val="21"/>
              </w:rPr>
              <w:t>生产工艺及产污流程示意图</w:t>
            </w:r>
          </w:p>
          <w:p>
            <w:pPr>
              <w:spacing w:beforeLines="50"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无菌导尿管、医用输液贴</w:t>
            </w:r>
            <w:r>
              <w:rPr>
                <w:rFonts w:hint="default" w:ascii="Times New Roman" w:hAnsi="Times New Roman" w:eastAsia="宋体" w:cs="Times New Roman"/>
                <w:b/>
                <w:bCs/>
                <w:color w:val="auto"/>
                <w:sz w:val="24"/>
                <w:szCs w:val="24"/>
                <w:lang w:val="en-US" w:eastAsia="zh-CN"/>
              </w:rPr>
              <w:t>、医用无菌敷贴、一次性医用鼻氧管、一次性使用氧气雾化器、一次性使用气管插管</w:t>
            </w:r>
            <w:r>
              <w:rPr>
                <w:rFonts w:hint="default" w:ascii="Times New Roman" w:hAnsi="Times New Roman" w:eastAsia="宋体" w:cs="Times New Roman"/>
                <w:b/>
                <w:color w:val="auto"/>
                <w:sz w:val="24"/>
                <w:szCs w:val="24"/>
              </w:rPr>
              <w:t>生产工艺</w:t>
            </w:r>
            <w:r>
              <w:rPr>
                <w:rFonts w:hint="default" w:ascii="Times New Roman" w:hAnsi="Times New Roman" w:eastAsia="宋体" w:cs="Times New Roman"/>
                <w:b/>
                <w:bCs/>
                <w:color w:val="auto"/>
                <w:sz w:val="24"/>
                <w:szCs w:val="24"/>
              </w:rPr>
              <w:t>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①组装：项目外购一次性医用敷料包半成品、一次性使用鼻氧管半成品配件、一次性使用氧气雾化器半成品配件、医用输液贴半成品配件，一次性使用氧气雾化器半成品配件、无菌导尿管半成品配件、一次性使用气管插管，按照规格要求进行组装，此过程主要产生边角料、噪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内包装、封口：对产品按照一定数量规格进行包装后外售，产品包装袋为外购，包装袋材质为高密度聚乙烯，包装袋的封口方式为加热封口，使用滚动式加热封口机，封口温度200°C。采用瞬时电加热封口，该过程加热瞬时完成，废气产生量极少，不做定量分析。该工序会产生废包装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③装箱、灭菌：检查内包封口合格后将包装好的产品装箱，送至环氧乙烷灭菌柜进行灭菌，此工序主要产生废纸箱、环氧乙烷吸收废水。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④解析、产品检验、入库：灭菌好的产品进行解析，产品在成品仓库内需放置7 天，使吸附在表面的环氧乙烷自然挥发，解析完成后进行产品最终检验，入库人员凭检测报告办理产品入库；检验室凭“合格”检测报告按《产品留样观察管理制度》对产品进行取样留样。此工序主要产生挥发性有机物、不合格产品、实验废液、实验器皿初次清洗高浓度废水、实验固废。</w:t>
            </w:r>
          </w:p>
          <w:p>
            <w:pPr>
              <w:spacing w:line="360" w:lineRule="auto"/>
              <w:ind w:firstLine="361" w:firstLineChars="150"/>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eastAsia="zh-CN"/>
              </w:rPr>
              <w:t>一次性医用棉签</w:t>
            </w:r>
            <w:r>
              <w:rPr>
                <w:rFonts w:hint="default" w:ascii="Times New Roman" w:hAnsi="Times New Roman" w:eastAsia="宋体" w:cs="Times New Roman"/>
                <w:b/>
                <w:color w:val="auto"/>
                <w:sz w:val="24"/>
                <w:szCs w:val="24"/>
              </w:rPr>
              <w:t>生产工艺</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一次性医用棉签生产</w:t>
            </w:r>
            <w:r>
              <w:rPr>
                <w:rFonts w:hint="default" w:ascii="Times New Roman" w:hAnsi="Times New Roman" w:eastAsia="宋体" w:cs="Times New Roman"/>
                <w:b/>
                <w:bCs/>
                <w:color w:val="auto"/>
                <w:sz w:val="24"/>
                <w:szCs w:val="24"/>
              </w:rPr>
              <w:t>工艺流程图示</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根据调查</w:t>
            </w:r>
            <w:r>
              <w:rPr>
                <w:rFonts w:hint="default" w:ascii="Times New Roman" w:hAnsi="Times New Roman" w:eastAsia="宋体" w:cs="Times New Roman"/>
                <w:b w:val="0"/>
                <w:bCs/>
                <w:color w:val="auto"/>
                <w:sz w:val="24"/>
                <w:szCs w:val="24"/>
              </w:rPr>
              <w:t>，</w:t>
            </w:r>
            <w:r>
              <w:rPr>
                <w:rFonts w:hint="default" w:ascii="Times New Roman" w:hAnsi="Times New Roman" w:eastAsia="宋体" w:cs="Times New Roman"/>
                <w:b w:val="0"/>
                <w:bCs/>
                <w:color w:val="auto"/>
                <w:sz w:val="24"/>
                <w:szCs w:val="24"/>
                <w:lang w:eastAsia="zh-CN"/>
              </w:rPr>
              <w:t>一次性医用棉签生产</w:t>
            </w:r>
            <w:r>
              <w:rPr>
                <w:rFonts w:hint="default" w:ascii="Times New Roman" w:hAnsi="Times New Roman" w:eastAsia="宋体" w:cs="Times New Roman"/>
                <w:b w:val="0"/>
                <w:bCs/>
                <w:color w:val="auto"/>
                <w:sz w:val="24"/>
                <w:szCs w:val="24"/>
              </w:rPr>
              <w:t>工艺流程如下图所示</w:t>
            </w:r>
            <w:r>
              <w:rPr>
                <w:rFonts w:hint="default" w:ascii="Times New Roman" w:hAnsi="Times New Roman" w:eastAsia="宋体" w:cs="Times New Roman"/>
                <w:bCs/>
                <w:color w:val="auto"/>
                <w:sz w:val="24"/>
                <w:szCs w:val="24"/>
              </w:rPr>
              <w:t>。</w:t>
            </w: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spacing w:line="360" w:lineRule="auto"/>
              <w:ind w:firstLine="480" w:firstLineChars="200"/>
              <w:rPr>
                <w:rFonts w:hint="default" w:ascii="Times New Roman" w:hAnsi="Times New Roman" w:eastAsia="宋体" w:cs="Times New Roman"/>
                <w:bCs/>
                <w:color w:val="auto"/>
                <w:sz w:val="24"/>
                <w:szCs w:val="24"/>
              </w:rPr>
            </w:pPr>
          </w:p>
          <w:p>
            <w:pPr>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object>
                <v:shape id="_x0000_i1029" o:spt="75" type="#_x0000_t75" style="height:352.9pt;width:345.75pt;" o:ole="t" filled="f" o:preferrelative="t" stroked="f" coordsize="21600,21600">
                  <v:path/>
                  <v:fill on="f" focussize="0,0"/>
                  <v:stroke on="f"/>
                  <v:imagedata r:id="rId20" o:title=""/>
                  <o:lock v:ext="edit" aspectratio="f"/>
                  <w10:wrap type="none"/>
                  <w10:anchorlock/>
                </v:shape>
                <o:OLEObject Type="Embed" ProgID="Visio.Drawing.15" ShapeID="_x0000_i1029" DrawAspect="Content" ObjectID="_1468075729" r:id="rId19">
                  <o:LockedField>false</o:LockedField>
                </o:OLEObject>
              </w:object>
            </w:r>
          </w:p>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8</w:t>
            </w:r>
            <w:r>
              <w:rPr>
                <w:rFonts w:hint="default" w:ascii="Times New Roman" w:hAnsi="Times New Roman" w:eastAsia="宋体" w:cs="Times New Roman"/>
                <w:b/>
                <w:color w:val="auto"/>
                <w:sz w:val="21"/>
                <w:szCs w:val="21"/>
              </w:rPr>
              <w:t>.2-</w:t>
            </w:r>
            <w:r>
              <w:rPr>
                <w:rFonts w:hint="default" w:ascii="Times New Roman" w:hAnsi="Times New Roman" w:eastAsia="宋体" w:cs="Times New Roman"/>
                <w:b/>
                <w:color w:val="auto"/>
                <w:sz w:val="21"/>
                <w:szCs w:val="21"/>
                <w:lang w:val="en-US" w:eastAsia="zh-CN"/>
              </w:rPr>
              <w:t>3</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bCs/>
                <w:color w:val="auto"/>
                <w:sz w:val="21"/>
                <w:szCs w:val="21"/>
                <w:lang w:eastAsia="zh-CN"/>
              </w:rPr>
              <w:t>一次性医用棉签生产</w:t>
            </w:r>
            <w:r>
              <w:rPr>
                <w:rFonts w:hint="default" w:ascii="Times New Roman" w:hAnsi="Times New Roman" w:eastAsia="宋体" w:cs="Times New Roman"/>
                <w:b/>
                <w:color w:val="auto"/>
                <w:sz w:val="21"/>
                <w:szCs w:val="21"/>
              </w:rPr>
              <w:t>工艺及产污流程示意图</w:t>
            </w:r>
          </w:p>
          <w:p>
            <w:pPr>
              <w:spacing w:beforeLines="50"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一次性医用棉签生产</w:t>
            </w:r>
            <w:r>
              <w:rPr>
                <w:rFonts w:hint="default" w:ascii="Times New Roman" w:hAnsi="Times New Roman" w:eastAsia="宋体" w:cs="Times New Roman"/>
                <w:b/>
                <w:bCs/>
                <w:color w:val="auto"/>
                <w:sz w:val="24"/>
                <w:szCs w:val="24"/>
              </w:rPr>
              <w:t>工艺简述：</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①物料输送：将脱脂棉（棉条）、签棒利用物料输送机输送至全自动棉签生产机，自动棉签生产机主要为涂胶、裹制的过程。 </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其中在脱脂棉（棉条)的输送过程中会有棉花在空中飘洒，以颗粒物计。该工序会产生噪声、粉尘。 </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②全自动棉签生产工序：将脱脂棉（棉条)、签棒、聚乙烯醇利用全自动棉签生产机制作成棉签。聚乙烯醇按照一定的比例(1:40)与水稀释后在设备内少量地涂抹在脱脂棉（棉条)上，后与签棒一端进行缠裹成棉签，并检查签棒长度。 </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该工序需对缠裹好的棉签进行烘干加热，全自动棉签机自带烘干功能，烘干采用电源，烘干温度为180°C。烘干后自然冷却到下一工序。该工序主要为烘干废气，废气成分主要为非甲烷总烃。该工序会产生噪声、烘干废气（以非甲烷总烃计）。 </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③内包装、封口：检查内包封口合格后对产品一次性医用棉签按照一定数量规格进行包装外售，产品包装袋为外购，包装袋材质为高密度聚乙烯，包装袋的封口方式为加热封口，使用滚动式加热封口机，封口温度200°C。采用瞬时电加热封口，该过程加热瞬时完成，废气产生量极少，不做定量分析。该工序会产生废包装袋、噪声。 </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④装箱、灭菌：检查内包合格后将包装好的产品装箱，送至环氧乙烷灭菌柜进行灭菌，该工序主要产生废纸箱、环氧乙烷吸收废水。 </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⑤解析、产品检验、入库：灭菌好的产品进行解析，产品在成品仓库内需放置7天，使吸附在表面的环氧乙烷自然挥发，解析完成后进行产品最终检验，入库人员凭检测报告办理产品入库；检验室凭“合格”检测报告按《产品留样观察管理制度》对产品进行取样留样。此工序主要产生挥发性有机物、不合格产品、实验废液、实验器皿初次清洗高浓度废水、实验固废。</w:t>
            </w:r>
          </w:p>
          <w:p>
            <w:pPr>
              <w:spacing w:line="360" w:lineRule="auto"/>
              <w:ind w:firstLine="361" w:firstLineChars="150"/>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eastAsia="zh-CN"/>
              </w:rPr>
              <w:t>一次性医用棉球</w:t>
            </w:r>
            <w:r>
              <w:rPr>
                <w:rFonts w:hint="default" w:ascii="Times New Roman" w:hAnsi="Times New Roman" w:eastAsia="宋体" w:cs="Times New Roman"/>
                <w:b/>
                <w:color w:val="auto"/>
                <w:sz w:val="24"/>
                <w:szCs w:val="24"/>
              </w:rPr>
              <w:t>生产工艺</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color w:val="auto"/>
                <w:sz w:val="24"/>
                <w:szCs w:val="24"/>
                <w:lang w:eastAsia="zh-CN"/>
              </w:rPr>
              <w:t>一次性医用棉球</w:t>
            </w:r>
            <w:r>
              <w:rPr>
                <w:rFonts w:hint="default" w:ascii="Times New Roman" w:hAnsi="Times New Roman" w:eastAsia="宋体" w:cs="Times New Roman"/>
                <w:b/>
                <w:bCs/>
                <w:color w:val="auto"/>
                <w:sz w:val="24"/>
                <w:szCs w:val="24"/>
              </w:rPr>
              <w:t>工艺流程图示</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sz w:val="24"/>
                <w:szCs w:val="24"/>
                <w:lang w:eastAsia="zh-CN"/>
              </w:rPr>
              <w:t>根据调查</w:t>
            </w:r>
            <w:r>
              <w:rPr>
                <w:rFonts w:hint="default" w:ascii="Times New Roman" w:hAnsi="Times New Roman" w:eastAsia="宋体" w:cs="Times New Roman"/>
                <w:b w:val="0"/>
                <w:bCs/>
                <w:color w:val="auto"/>
                <w:sz w:val="24"/>
                <w:szCs w:val="24"/>
              </w:rPr>
              <w:t>，</w:t>
            </w:r>
            <w:r>
              <w:rPr>
                <w:rFonts w:hint="default" w:ascii="Times New Roman" w:hAnsi="Times New Roman" w:eastAsia="宋体" w:cs="Times New Roman"/>
                <w:b w:val="0"/>
                <w:bCs/>
                <w:color w:val="auto"/>
                <w:sz w:val="24"/>
                <w:szCs w:val="24"/>
                <w:lang w:eastAsia="zh-CN"/>
              </w:rPr>
              <w:t>一次性医用棉球</w:t>
            </w:r>
            <w:r>
              <w:rPr>
                <w:rFonts w:hint="default" w:ascii="Times New Roman" w:hAnsi="Times New Roman" w:eastAsia="宋体" w:cs="Times New Roman"/>
                <w:b w:val="0"/>
                <w:bCs/>
                <w:color w:val="auto"/>
                <w:sz w:val="24"/>
                <w:szCs w:val="24"/>
              </w:rPr>
              <w:t>工艺流程如下图所示</w:t>
            </w:r>
            <w:r>
              <w:rPr>
                <w:rFonts w:hint="default" w:ascii="Times New Roman" w:hAnsi="Times New Roman" w:eastAsia="宋体" w:cs="Times New Roman"/>
                <w:bCs/>
                <w:color w:val="auto"/>
                <w:sz w:val="24"/>
                <w:szCs w:val="24"/>
              </w:rPr>
              <w:t>。</w:t>
            </w:r>
          </w:p>
          <w:p>
            <w:pPr>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object>
                <v:shape id="_x0000_i1030" o:spt="75" type="#_x0000_t75" style="height:309.3pt;width:329.1pt;" o:ole="t" filled="f" o:preferrelative="t" stroked="f" coordsize="21600,21600">
                  <v:path/>
                  <v:fill on="f" focussize="0,0"/>
                  <v:stroke on="f"/>
                  <v:imagedata r:id="rId22" o:title=""/>
                  <o:lock v:ext="edit" aspectratio="f"/>
                  <w10:wrap type="none"/>
                  <w10:anchorlock/>
                </v:shape>
                <o:OLEObject Type="Embed" ProgID="Visio.Drawing.15" ShapeID="_x0000_i1030" DrawAspect="Content" ObjectID="_1468075730" r:id="rId21">
                  <o:LockedField>false</o:LockedField>
                </o:OLEObject>
              </w:object>
            </w:r>
          </w:p>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8</w:t>
            </w:r>
            <w:r>
              <w:rPr>
                <w:rFonts w:hint="default" w:ascii="Times New Roman" w:hAnsi="Times New Roman" w:eastAsia="宋体" w:cs="Times New Roman"/>
                <w:b/>
                <w:color w:val="auto"/>
                <w:sz w:val="21"/>
                <w:szCs w:val="21"/>
              </w:rPr>
              <w:t>.2-</w:t>
            </w:r>
            <w:r>
              <w:rPr>
                <w:rFonts w:hint="default" w:ascii="Times New Roman" w:hAnsi="Times New Roman" w:eastAsia="宋体" w:cs="Times New Roman"/>
                <w:b/>
                <w:color w:val="auto"/>
                <w:sz w:val="21"/>
                <w:szCs w:val="21"/>
                <w:lang w:val="en-US" w:eastAsia="zh-CN"/>
              </w:rPr>
              <w:t>4</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eastAsia="zh-CN"/>
              </w:rPr>
              <w:t>一次性医用棉球</w:t>
            </w:r>
            <w:r>
              <w:rPr>
                <w:rFonts w:hint="default" w:ascii="Times New Roman" w:hAnsi="Times New Roman" w:eastAsia="宋体" w:cs="Times New Roman"/>
                <w:b/>
                <w:color w:val="auto"/>
                <w:sz w:val="21"/>
                <w:szCs w:val="21"/>
              </w:rPr>
              <w:t>生产工艺及产污流程示意图</w:t>
            </w:r>
          </w:p>
          <w:p>
            <w:pPr>
              <w:spacing w:beforeLines="50"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color w:val="auto"/>
                <w:sz w:val="24"/>
                <w:szCs w:val="24"/>
                <w:lang w:eastAsia="zh-CN"/>
              </w:rPr>
              <w:t>一次性医用棉球</w:t>
            </w:r>
            <w:r>
              <w:rPr>
                <w:rFonts w:hint="default" w:ascii="Times New Roman" w:hAnsi="Times New Roman" w:eastAsia="宋体" w:cs="Times New Roman"/>
                <w:b/>
                <w:color w:val="auto"/>
                <w:sz w:val="24"/>
                <w:szCs w:val="24"/>
              </w:rPr>
              <w:t>生产工艺</w:t>
            </w:r>
            <w:r>
              <w:rPr>
                <w:rFonts w:hint="default" w:ascii="Times New Roman" w:hAnsi="Times New Roman" w:eastAsia="宋体" w:cs="Times New Roman"/>
                <w:b/>
                <w:bCs/>
                <w:color w:val="auto"/>
                <w:sz w:val="24"/>
                <w:szCs w:val="24"/>
              </w:rPr>
              <w:t>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①裹制、称量、项目外购脱脂棉，按照规格要求进行裹制、称量。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内包装、封口：按照规格要求进行装袋，对产品按照一定数量规格进行包装后外售，产品包装袋为外购，包装袋材质为高密度聚乙烯，包装袋的封口方式为加热封口，使用滚动式加热封口机，封口温度200°C。采用瞬时电加热封口，该过程加热瞬时完成，废气产生量极少，不做定量分析。该工序会产生废包装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②装箱、灭菌：检查内包封口合格后将包装好的产品装箱，送至环氧乙烷灭菌柜进行灭菌，此工序主要产生废纸箱、环氧乙烷吸收废水。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10"/>
                <w:sz w:val="24"/>
                <w:szCs w:val="24"/>
                <w:lang w:eastAsia="zh-CN"/>
              </w:rPr>
            </w:pPr>
            <w:r>
              <w:rPr>
                <w:rFonts w:hint="default" w:ascii="Times New Roman" w:hAnsi="Times New Roman" w:eastAsia="宋体" w:cs="Times New Roman"/>
                <w:color w:val="auto"/>
                <w:kern w:val="0"/>
                <w:sz w:val="24"/>
                <w:szCs w:val="24"/>
                <w:lang w:val="en-US" w:eastAsia="zh-CN" w:bidi="ar"/>
              </w:rPr>
              <w:t>③解析、产品检验、入库：灭菌好的产品进行解析，产品在成品仓库内需放置7天，使吸附在表面的环氧乙烷自然挥发，解析完成后进行产品最终检验，入库人员凭检测报告办理产品入库；检验室凭“合格”检测报告按《产品留样观察管理制度》对产品进行取样留样。此工序主要产生挥发性有机物、不合格产品、实验废液、实验器皿初次清洗高浓度废水、实验固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lang w:eastAsia="zh-CN"/>
              </w:rPr>
              <w:t>）医用脱脂棉</w:t>
            </w:r>
            <w:r>
              <w:rPr>
                <w:rFonts w:hint="default" w:ascii="Times New Roman" w:hAnsi="Times New Roman" w:eastAsia="宋体" w:cs="Times New Roman"/>
                <w:b/>
                <w:bCs/>
                <w:color w:val="auto"/>
                <w:sz w:val="24"/>
                <w:szCs w:val="24"/>
                <w:lang w:val="en-US" w:eastAsia="zh-CN"/>
              </w:rPr>
              <w:t>(非无菌）</w:t>
            </w:r>
            <w:r>
              <w:rPr>
                <w:rFonts w:hint="default" w:ascii="Times New Roman" w:hAnsi="Times New Roman" w:eastAsia="宋体" w:cs="Times New Roman"/>
                <w:b/>
                <w:bCs/>
                <w:color w:val="auto"/>
                <w:sz w:val="24"/>
                <w:szCs w:val="24"/>
                <w:lang w:eastAsia="zh-CN"/>
              </w:rPr>
              <w:t>工艺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eastAsia="zh-CN"/>
              </w:rPr>
              <w:t>医用脱脂棉</w:t>
            </w:r>
            <w:r>
              <w:rPr>
                <w:rFonts w:hint="default" w:ascii="Times New Roman" w:hAnsi="Times New Roman" w:eastAsia="宋体" w:cs="Times New Roman"/>
                <w:b/>
                <w:bCs/>
                <w:color w:val="auto"/>
                <w:sz w:val="24"/>
                <w:szCs w:val="24"/>
                <w:lang w:val="en-US" w:eastAsia="zh-CN"/>
              </w:rPr>
              <w:t>(非无菌）</w:t>
            </w:r>
            <w:r>
              <w:rPr>
                <w:rFonts w:hint="default" w:ascii="Times New Roman" w:hAnsi="Times New Roman" w:eastAsia="宋体" w:cs="Times New Roman"/>
                <w:b/>
                <w:bCs/>
                <w:color w:val="auto"/>
                <w:sz w:val="24"/>
                <w:szCs w:val="24"/>
                <w:lang w:eastAsia="zh-CN"/>
              </w:rPr>
              <w:t>工艺流程图示。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根据调查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一次性医用棉球</w:t>
            </w:r>
            <w:r>
              <w:rPr>
                <w:rFonts w:hint="default" w:ascii="Times New Roman" w:hAnsi="Times New Roman" w:eastAsia="宋体" w:cs="Times New Roman"/>
                <w:color w:val="auto"/>
                <w:sz w:val="24"/>
                <w:szCs w:val="24"/>
              </w:rPr>
              <w:t>工艺流程如下图所示。</w:t>
            </w:r>
          </w:p>
          <w:p>
            <w:pPr>
              <w:widowControl w:val="0"/>
              <w:numPr>
                <w:ilvl w:val="0"/>
                <w:numId w:val="0"/>
              </w:numPr>
              <w:spacing w:line="360" w:lineRule="auto"/>
              <w:jc w:val="center"/>
              <w:rPr>
                <w:rFonts w:hint="default" w:ascii="Times New Roman" w:hAnsi="Times New Roman" w:eastAsia="宋体" w:cs="Times New Roman"/>
                <w:color w:val="auto"/>
                <w:spacing w:val="10"/>
                <w:sz w:val="32"/>
                <w:szCs w:val="32"/>
                <w:lang w:eastAsia="zh-CN"/>
              </w:rPr>
            </w:pPr>
            <w:r>
              <w:rPr>
                <w:rFonts w:hint="default" w:ascii="Times New Roman" w:hAnsi="Times New Roman" w:eastAsia="宋体" w:cs="Times New Roman"/>
                <w:color w:val="auto"/>
                <w:spacing w:val="10"/>
                <w:sz w:val="32"/>
                <w:szCs w:val="32"/>
                <w:lang w:eastAsia="zh-CN"/>
              </w:rPr>
              <w:object>
                <v:shape id="_x0000_i1031" o:spt="75" type="#_x0000_t75" style="height:277.1pt;width:369.05pt;" o:ole="t" filled="f" o:preferrelative="t" stroked="f" coordsize="21600,21600">
                  <v:path/>
                  <v:fill on="f" focussize="0,0"/>
                  <v:stroke on="f"/>
                  <v:imagedata r:id="rId24" o:title=""/>
                  <o:lock v:ext="edit" aspectratio="f"/>
                  <w10:wrap type="none"/>
                  <w10:anchorlock/>
                </v:shape>
                <o:OLEObject Type="Embed" ProgID="Visio.Drawing.15" ShapeID="_x0000_i1031" DrawAspect="Content" ObjectID="_1468075731" r:id="rId23">
                  <o:LockedField>false</o:LockedField>
                </o:OLEObject>
              </w:object>
            </w:r>
          </w:p>
          <w:p>
            <w:pPr>
              <w:widowControl w:val="0"/>
              <w:numPr>
                <w:ilvl w:val="0"/>
                <w:numId w:val="0"/>
              </w:numPr>
              <w:spacing w:line="360" w:lineRule="auto"/>
              <w:jc w:val="center"/>
              <w:rPr>
                <w:rFonts w:hint="default" w:ascii="Times New Roman" w:hAnsi="Times New Roman" w:eastAsia="宋体" w:cs="Times New Roman"/>
                <w:color w:val="auto"/>
                <w:spacing w:val="10"/>
                <w:sz w:val="32"/>
                <w:szCs w:val="32"/>
                <w:lang w:eastAsia="zh-CN"/>
              </w:rPr>
            </w:pPr>
            <w:r>
              <w:rPr>
                <w:rFonts w:hint="default" w:ascii="Times New Roman" w:hAnsi="Times New Roman" w:eastAsia="宋体" w:cs="Times New Roman"/>
                <w:b/>
                <w:bCs/>
                <w:color w:val="auto"/>
                <w:sz w:val="21"/>
                <w:szCs w:val="21"/>
                <w:lang w:eastAsia="zh-CN"/>
              </w:rPr>
              <w:t>图</w:t>
            </w:r>
            <w:r>
              <w:rPr>
                <w:rFonts w:hint="default" w:ascii="Times New Roman" w:hAnsi="Times New Roman" w:eastAsia="宋体" w:cs="Times New Roman"/>
                <w:b/>
                <w:bCs/>
                <w:color w:val="auto"/>
                <w:sz w:val="21"/>
                <w:szCs w:val="21"/>
                <w:lang w:val="en-US" w:eastAsia="zh-CN"/>
              </w:rPr>
              <w:t xml:space="preserve">2.8.2-5 </w:t>
            </w:r>
            <w:r>
              <w:rPr>
                <w:rFonts w:hint="default" w:ascii="Times New Roman" w:hAnsi="Times New Roman" w:eastAsia="宋体" w:cs="Times New Roman"/>
                <w:b/>
                <w:bCs/>
                <w:color w:val="auto"/>
                <w:sz w:val="21"/>
                <w:szCs w:val="21"/>
                <w:lang w:eastAsia="zh-CN"/>
              </w:rPr>
              <w:t>医用脱脂棉</w:t>
            </w:r>
            <w:r>
              <w:rPr>
                <w:rFonts w:hint="default" w:ascii="Times New Roman" w:hAnsi="Times New Roman" w:eastAsia="宋体" w:cs="Times New Roman"/>
                <w:b/>
                <w:bCs/>
                <w:color w:val="auto"/>
                <w:sz w:val="21"/>
                <w:szCs w:val="21"/>
                <w:lang w:val="en-US" w:eastAsia="zh-CN"/>
              </w:rPr>
              <w:t>(非无菌）</w:t>
            </w:r>
            <w:r>
              <w:rPr>
                <w:rFonts w:hint="default" w:ascii="Times New Roman" w:hAnsi="Times New Roman" w:eastAsia="宋体" w:cs="Times New Roman"/>
                <w:b/>
                <w:bCs/>
                <w:color w:val="auto"/>
                <w:sz w:val="21"/>
                <w:szCs w:val="21"/>
                <w:lang w:eastAsia="zh-CN"/>
              </w:rPr>
              <w:t>工艺及产污流程示意图</w:t>
            </w:r>
          </w:p>
          <w:p>
            <w:pPr>
              <w:autoSpaceDE w:val="0"/>
              <w:autoSpaceDN w:val="0"/>
              <w:spacing w:line="360" w:lineRule="auto"/>
              <w:ind w:firstLine="361" w:firstLineChars="150"/>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脱脂棉（非无菌）生产工艺简述：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分装、内包装、封口：项目外购半成品医用脱脂棉，按照规格要求进行分装。对产品按照一定数量规格进行包装后外售，产品包装袋为外购，包装袋材质为高密度聚乙烯，包装袋的封口方式为加热封口，使用滚动式加热封口机，封口温度200°C。采用瞬时电加热封口，该过程加热瞬时完成，废气产生量极少，不做定量分析。该工序会产生废包装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color w:val="auto"/>
                <w:kern w:val="0"/>
                <w:sz w:val="24"/>
                <w:szCs w:val="24"/>
                <w:lang w:val="en-US" w:eastAsia="zh-CN" w:bidi="ar"/>
              </w:rPr>
              <w:t>②纸箱外包装、产品检验、入库：检查内包封口合格后对产品进行纸箱包装，并对产品进行规格、质量检验，检验是否达到相关规格要求，此工序主要产生废纸箱、不合格产品。</w:t>
            </w:r>
          </w:p>
          <w:p>
            <w:pPr>
              <w:autoSpaceDE w:val="0"/>
              <w:autoSpaceDN w:val="0"/>
              <w:spacing w:line="360" w:lineRule="auto"/>
              <w:ind w:firstLine="361" w:firstLineChars="15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eastAsia="zh-CN"/>
              </w:rPr>
              <w:t>）医用脱脂棉</w:t>
            </w:r>
            <w:r>
              <w:rPr>
                <w:rFonts w:hint="default" w:ascii="Times New Roman" w:hAnsi="Times New Roman" w:eastAsia="宋体" w:cs="Times New Roman"/>
                <w:b/>
                <w:bCs/>
                <w:color w:val="auto"/>
                <w:sz w:val="24"/>
                <w:szCs w:val="24"/>
                <w:lang w:val="en-US" w:eastAsia="zh-CN"/>
              </w:rPr>
              <w:t>(无菌）</w:t>
            </w:r>
            <w:r>
              <w:rPr>
                <w:rFonts w:hint="default" w:ascii="Times New Roman" w:hAnsi="Times New Roman" w:eastAsia="宋体" w:cs="Times New Roman"/>
                <w:b/>
                <w:bCs/>
                <w:color w:val="auto"/>
                <w:sz w:val="24"/>
                <w:szCs w:val="24"/>
                <w:lang w:eastAsia="zh-CN"/>
              </w:rPr>
              <w:t>工艺流程</w:t>
            </w:r>
          </w:p>
          <w:p>
            <w:pPr>
              <w:autoSpaceDE w:val="0"/>
              <w:autoSpaceDN w:val="0"/>
              <w:spacing w:line="360" w:lineRule="auto"/>
              <w:ind w:firstLine="361" w:firstLineChars="15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医用脱脂棉</w:t>
            </w:r>
            <w:r>
              <w:rPr>
                <w:rFonts w:hint="default" w:ascii="Times New Roman" w:hAnsi="Times New Roman" w:eastAsia="宋体" w:cs="Times New Roman"/>
                <w:b/>
                <w:bCs/>
                <w:color w:val="auto"/>
                <w:sz w:val="24"/>
                <w:szCs w:val="24"/>
                <w:lang w:val="en-US" w:eastAsia="zh-CN"/>
              </w:rPr>
              <w:t>(无菌）</w:t>
            </w:r>
            <w:r>
              <w:rPr>
                <w:rFonts w:hint="default" w:ascii="Times New Roman" w:hAnsi="Times New Roman" w:eastAsia="宋体" w:cs="Times New Roman"/>
                <w:b/>
                <w:bCs/>
                <w:color w:val="auto"/>
                <w:sz w:val="24"/>
                <w:szCs w:val="24"/>
                <w:lang w:eastAsia="zh-CN"/>
              </w:rPr>
              <w:t>工艺流程图示</w:t>
            </w:r>
          </w:p>
          <w:p>
            <w:pPr>
              <w:autoSpaceDE w:val="0"/>
              <w:autoSpaceDN w:val="0"/>
              <w:spacing w:line="360" w:lineRule="auto"/>
              <w:ind w:firstLine="360" w:firstLineChars="1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根据调查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医用脱脂棉（无菌）</w:t>
            </w:r>
            <w:r>
              <w:rPr>
                <w:rFonts w:hint="default" w:ascii="Times New Roman" w:hAnsi="Times New Roman" w:eastAsia="宋体" w:cs="Times New Roman"/>
                <w:color w:val="auto"/>
                <w:sz w:val="24"/>
                <w:szCs w:val="24"/>
              </w:rPr>
              <w:t>工艺流程如下图所示</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object>
                <v:shape id="_x0000_i1032" o:spt="75" type="#_x0000_t75" style="height:329.65pt;width:369.05pt;" o:ole="t" filled="f" o:preferrelative="t" stroked="f" coordsize="21600,21600">
                  <v:path/>
                  <v:fill on="f" focussize="0,0"/>
                  <v:stroke on="f"/>
                  <v:imagedata r:id="rId26" o:title=""/>
                  <o:lock v:ext="edit" aspectratio="f"/>
                  <w10:wrap type="none"/>
                  <w10:anchorlock/>
                </v:shape>
                <o:OLEObject Type="Embed" ProgID="Visio.Drawing.15" ShapeID="_x0000_i1032" DrawAspect="Content" ObjectID="_1468075732" r:id="rId25">
                  <o:LockedField>false</o:LockedField>
                </o:OLEObject>
              </w:object>
            </w:r>
          </w:p>
          <w:p>
            <w:pPr>
              <w:autoSpaceDE w:val="0"/>
              <w:autoSpaceDN w:val="0"/>
              <w:spacing w:line="360" w:lineRule="auto"/>
              <w:ind w:firstLine="316" w:firstLineChars="1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eastAsia="zh-CN"/>
              </w:rPr>
              <w:t>图</w:t>
            </w:r>
            <w:r>
              <w:rPr>
                <w:rFonts w:hint="default" w:ascii="Times New Roman" w:hAnsi="Times New Roman" w:eastAsia="宋体" w:cs="Times New Roman"/>
                <w:b/>
                <w:bCs/>
                <w:color w:val="auto"/>
                <w:sz w:val="21"/>
                <w:szCs w:val="21"/>
                <w:lang w:val="en-US" w:eastAsia="zh-CN"/>
              </w:rPr>
              <w:t>2.8.2-6</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医用脱脂棉</w:t>
            </w:r>
            <w:r>
              <w:rPr>
                <w:rFonts w:hint="default" w:ascii="Times New Roman" w:hAnsi="Times New Roman" w:eastAsia="宋体" w:cs="Times New Roman"/>
                <w:b/>
                <w:bCs/>
                <w:color w:val="auto"/>
                <w:sz w:val="21"/>
                <w:szCs w:val="21"/>
                <w:lang w:val="en-US" w:eastAsia="zh-CN"/>
              </w:rPr>
              <w:t>(无菌）</w:t>
            </w:r>
            <w:r>
              <w:rPr>
                <w:rFonts w:hint="default" w:ascii="Times New Roman" w:hAnsi="Times New Roman" w:eastAsia="宋体" w:cs="Times New Roman"/>
                <w:b/>
                <w:bCs/>
                <w:color w:val="auto"/>
                <w:sz w:val="21"/>
                <w:szCs w:val="21"/>
                <w:lang w:eastAsia="zh-CN"/>
              </w:rPr>
              <w:t>工艺及产污流程示意图</w:t>
            </w:r>
          </w:p>
          <w:p>
            <w:pPr>
              <w:autoSpaceDE w:val="0"/>
              <w:autoSpaceDN w:val="0"/>
              <w:spacing w:line="360" w:lineRule="auto"/>
              <w:ind w:firstLine="361" w:firstLineChars="150"/>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医用脱脂棉（无菌）生产工艺简述：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分装、内包装、封口：项目外购半成品医用脱脂棉，按照规格要求进行分装。对产品按照一定数量规格进行包装后外售，产品包装袋为外购，包装袋材质为高密度聚乙烯，包装袋的封口方式为加热封口，使用滚动式加热封口机，封口温度200°C。采用瞬 时电加热封口，该过程加热瞬时完成，废气产生量极少，不做定量分析。该工序会产生废包装袋。 </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②纸箱外包装、产品检验：检查内包封口合格后对产品进行纸箱包装，并对产品进行规格、质量检验，检验是否达到相关规格要求，此工序主要产生废纸箱、不合格产品。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③灭菌：产品装箱后送至环氧乙烷灭菌柜进行灭菌，此工序主要产生环氧乙烷废气及环氧乙烷吸收废水。 </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解析、产品检验、入库：灭菌好的产品进行解析，产品在成品仓库内需放置7天，使吸附在表面的环氧乙烷自然挥发，解析完成后进行产品最终检验，入库人员凭检测报告办理产品入库；检验室凭“合格”检测报告按《产品留样观察管理制度》对产品进行取样留样。此工序主要产生 挥发性有机物、不合格产品、实验废液、实验器皿初次清洗高浓度废水、实验固废。</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（7）医用脱脂棉纱布（非无菌）工艺流程：</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医用脱脂棉纱布（非无菌）工艺流程图示</w:t>
            </w:r>
          </w:p>
          <w:p>
            <w:pPr>
              <w:autoSpaceDE w:val="0"/>
              <w:autoSpaceDN w:val="0"/>
              <w:spacing w:line="360" w:lineRule="auto"/>
              <w:ind w:firstLine="360" w:firstLineChars="150"/>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color w:val="auto"/>
                <w:sz w:val="24"/>
                <w:szCs w:val="24"/>
                <w:lang w:eastAsia="zh-CN"/>
              </w:rPr>
              <w:t>根据调查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医用脱脂棉纱布（无菌）</w:t>
            </w:r>
            <w:r>
              <w:rPr>
                <w:rFonts w:hint="default" w:ascii="Times New Roman" w:hAnsi="Times New Roman" w:eastAsia="宋体" w:cs="Times New Roman"/>
                <w:color w:val="auto"/>
                <w:sz w:val="24"/>
                <w:szCs w:val="24"/>
              </w:rPr>
              <w:t>工艺流程如下图所示</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object>
                <v:shape id="_x0000_i1033" o:spt="75" type="#_x0000_t75" style="height:304.35pt;width:330.8pt;" o:ole="t" filled="f" o:preferrelative="t" stroked="f" coordsize="21600,21600">
                  <v:path/>
                  <v:fill on="f" focussize="0,0"/>
                  <v:stroke on="f"/>
                  <v:imagedata r:id="rId28" o:title=""/>
                  <o:lock v:ext="edit" aspectratio="f"/>
                  <w10:wrap type="none"/>
                  <w10:anchorlock/>
                </v:shape>
                <o:OLEObject Type="Embed" ProgID="Visio.Drawing.15" ShapeID="_x0000_i1033" DrawAspect="Content" ObjectID="_1468075733" r:id="rId27">
                  <o:LockedField>false</o:LockedField>
                </o:OLEObject>
              </w:object>
            </w:r>
          </w:p>
          <w:p>
            <w:pPr>
              <w:keepNext w:val="0"/>
              <w:keepLines w:val="0"/>
              <w:pageBreakBefore w:val="0"/>
              <w:widowControl w:val="0"/>
              <w:kinsoku/>
              <w:wordWrap/>
              <w:overflowPunct/>
              <w:topLinePunct w:val="0"/>
              <w:autoSpaceDE w:val="0"/>
              <w:autoSpaceDN w:val="0"/>
              <w:bidi w:val="0"/>
              <w:adjustRightInd/>
              <w:snapToGrid/>
              <w:spacing w:line="360" w:lineRule="auto"/>
              <w:ind w:firstLine="316" w:firstLineChars="150"/>
              <w:jc w:val="center"/>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1"/>
                <w:szCs w:val="21"/>
                <w:lang w:eastAsia="zh-CN"/>
              </w:rPr>
              <w:t>图</w:t>
            </w:r>
            <w:r>
              <w:rPr>
                <w:rFonts w:hint="default" w:ascii="Times New Roman" w:hAnsi="Times New Roman" w:eastAsia="宋体" w:cs="Times New Roman"/>
                <w:b/>
                <w:color w:val="auto"/>
                <w:sz w:val="21"/>
                <w:szCs w:val="21"/>
                <w:lang w:val="en-US" w:eastAsia="zh-CN"/>
              </w:rPr>
              <w:t xml:space="preserve">2.8.2-7 </w:t>
            </w:r>
            <w:r>
              <w:rPr>
                <w:rFonts w:hint="default" w:ascii="Times New Roman" w:hAnsi="Times New Roman" w:eastAsia="宋体" w:cs="Times New Roman"/>
                <w:b/>
                <w:bCs/>
                <w:color w:val="auto"/>
                <w:kern w:val="0"/>
                <w:sz w:val="21"/>
                <w:szCs w:val="21"/>
                <w:lang w:val="en-US" w:eastAsia="zh-CN" w:bidi="ar"/>
              </w:rPr>
              <w:t>医用脱脂棉纱布（无菌）工艺及产污流程示意图</w:t>
            </w:r>
          </w:p>
          <w:p>
            <w:pPr>
              <w:autoSpaceDE w:val="0"/>
              <w:autoSpaceDN w:val="0"/>
              <w:spacing w:line="360" w:lineRule="auto"/>
              <w:ind w:firstLine="361" w:firstLineChars="150"/>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医用脱脂棉纱布（无菌）工艺流程简述：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分装、内包装、封口：项目外购半成品医用脱脂棉纱布，按照规格要求进行分装。对产品按照一定数量规格进行包装后外售，产品包装袋为外购，包装袋材质为高密度聚乙烯，包装袋的封口方式为加热封口，使用滚动式加热封口机，封口温度200°C。采用瞬时电加热封口，该过程加热瞬时完成，废气产生量极少，不做定量分析。该工序会产生废包装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color w:val="auto"/>
                <w:kern w:val="0"/>
                <w:sz w:val="24"/>
                <w:szCs w:val="24"/>
                <w:lang w:val="en-US" w:eastAsia="zh-CN" w:bidi="ar"/>
              </w:rPr>
              <w:t>②纸箱外包装、产品检验、入库：检查内包封口合格后对产品进行纸箱包装，并对产品进行规格、质量检验，检验是否达到相关规格要求，此工序主要产生废纸箱、不合格产品。</w:t>
            </w:r>
          </w:p>
          <w:p>
            <w:pPr>
              <w:autoSpaceDE w:val="0"/>
              <w:autoSpaceDN w:val="0"/>
              <w:spacing w:line="360" w:lineRule="auto"/>
              <w:ind w:firstLine="361" w:firstLineChars="150"/>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（8）</w:t>
            </w:r>
            <w:r>
              <w:rPr>
                <w:rFonts w:hint="default" w:ascii="Times New Roman" w:hAnsi="Times New Roman" w:eastAsia="宋体" w:cs="Times New Roman"/>
                <w:b/>
                <w:color w:val="auto"/>
                <w:sz w:val="24"/>
                <w:szCs w:val="24"/>
                <w:lang w:eastAsia="zh-CN"/>
              </w:rPr>
              <w:t>医用外科口罩、一次性使用医用口罩生产工艺流程</w:t>
            </w:r>
          </w:p>
          <w:p>
            <w:pPr>
              <w:autoSpaceDE w:val="0"/>
              <w:autoSpaceDN w:val="0"/>
              <w:spacing w:line="360" w:lineRule="auto"/>
              <w:ind w:firstLine="361" w:firstLineChars="150"/>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医用外科口罩、一次性使用医用口罩生产工艺流程图示</w:t>
            </w:r>
          </w:p>
          <w:p>
            <w:pPr>
              <w:autoSpaceDE w:val="0"/>
              <w:autoSpaceDN w:val="0"/>
              <w:spacing w:line="360" w:lineRule="auto"/>
              <w:ind w:firstLine="361" w:firstLineChars="150"/>
              <w:jc w:val="center"/>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object>
                <v:shape id="_x0000_i1034" o:spt="75" type="#_x0000_t75" style="height:327.1pt;width:294.45pt;" o:ole="t" filled="f" o:preferrelative="t" stroked="f" coordsize="21600,21600">
                  <v:path/>
                  <v:fill on="f" focussize="0,0"/>
                  <v:stroke on="f"/>
                  <v:imagedata r:id="rId30" o:title=""/>
                  <o:lock v:ext="edit" aspectratio="f"/>
                  <w10:wrap type="none"/>
                  <w10:anchorlock/>
                </v:shape>
                <o:OLEObject Type="Embed" ProgID="Visio.Drawing.15" ShapeID="_x0000_i1034" DrawAspect="Content" ObjectID="_1468075734" r:id="rId29">
                  <o:LockedField>false</o:LockedField>
                </o:OLEObject>
              </w:object>
            </w:r>
          </w:p>
          <w:p>
            <w:pPr>
              <w:autoSpaceDE w:val="0"/>
              <w:autoSpaceDN w:val="0"/>
              <w:spacing w:line="360" w:lineRule="auto"/>
              <w:ind w:firstLine="316" w:firstLineChars="150"/>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1"/>
                <w:szCs w:val="21"/>
                <w:lang w:eastAsia="zh-CN"/>
              </w:rPr>
              <w:t>图</w:t>
            </w:r>
            <w:r>
              <w:rPr>
                <w:rFonts w:hint="default" w:ascii="Times New Roman" w:hAnsi="Times New Roman" w:eastAsia="宋体" w:cs="Times New Roman"/>
                <w:b/>
                <w:color w:val="auto"/>
                <w:sz w:val="21"/>
                <w:szCs w:val="21"/>
                <w:lang w:val="en-US" w:eastAsia="zh-CN"/>
              </w:rPr>
              <w:t xml:space="preserve">2.8.2-8  </w:t>
            </w:r>
            <w:r>
              <w:rPr>
                <w:rFonts w:hint="default" w:ascii="Times New Roman" w:hAnsi="Times New Roman" w:eastAsia="宋体" w:cs="Times New Roman"/>
                <w:b/>
                <w:color w:val="auto"/>
                <w:sz w:val="21"/>
                <w:szCs w:val="21"/>
                <w:lang w:eastAsia="zh-CN"/>
              </w:rPr>
              <w:t>医用外科口罩、一次性使用医用口罩生产工艺及产污流程示意图</w:t>
            </w:r>
          </w:p>
          <w:p>
            <w:pPr>
              <w:autoSpaceDE w:val="0"/>
              <w:autoSpaceDN w:val="0"/>
              <w:spacing w:line="360" w:lineRule="auto"/>
              <w:ind w:firstLine="361" w:firstLineChars="150"/>
              <w:jc w:val="both"/>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医用外科口罩、一次性使用医用口罩生产工艺流程简述：</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①口罩自动生产线：根据客户订单，将外购的无纺布和熔喷布布置于全自动口罩制造机上，首先进行口罩的初步成型，再将鼻梁条置于无纺布内，通过压合、修边工艺后形成面罩，最后通过超声波焊接方式在面罩上焊接耳挂形成口罩成品。该工序产生噪声，焊接废气（非甲烷总烃），废边角料（废无纺布、废鼻梁条、废耳挂等固废）。超声波焊接是熔接热塑性塑料制品的高科技技术，各种热塑性胶件均可使用超声波熔接处理，而不需加溶剂、粘接剂或其他辅助品。通过超声波设备把超声能量传送到焊区，由于焊区即两个焊接的交界面处声阻大，因此会产生局部高温。又由于塑料导热性差，一时还不能及时散发，聚集在焊区，致使两个塑料的接触面迅速融化，加上一定压力后，使其融合成一体。当超声波停止作用后，让压力持续几秒钟，使其凝固成型，这样就形成一个坚固的分子链，达到焊接的目的，焊接强度能接近于原材料强度。本项目全自动口罩制造机配套的超声波焊接设备温度控制在170℃左右，无纺布和熔喷布(主要成分为聚丙烯、聚乙烯，热分解温度分别为 350℃、250℃)中化学成分基本不会分解，但原料中有少量未聚合的单体在高温下会有部分挥发出来，产生少量挥发性有机物，以非甲烷总烃计。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 xml:space="preserve">②内包装、封口：对产品按照一定数量规格进行包装后外售，产品包装袋为外购，包装袋材质为高密度聚乙烯，包装袋的封口方式为加热封口，使用滚动式加热封口机，封口温度200°C。采用瞬时电加热封口，该过程加热瞬时完成，废气产生量极少，不做定量分析。该工序会产生废包装袋。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③装箱、灭菌：将包装好的产品装箱，送至环氧乙烷灭菌锅进行灭菌，此工序主要产生废纸箱、环氧乙烷吸收废水。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解析、产品检验、入库：灭菌好的产品进行解析，产品在成品仓库内需放置7天，使吸附在表面的环氧乙烷自然挥发，解析完成后进行产品最终检验，入库人员凭检测报告办理产品入库；检验室凭“合格”检测报告按《产品留样观察管理制度》对产品进行取样留样。此工序主要产生 挥发性有机物、不合格产品、实验废液、实验器皿初次清洗高浓度废水、实验固废。</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4"/>
                <w:szCs w:val="24"/>
                <w:lang w:val="en-US" w:eastAsia="zh-CN" w:bidi="ar"/>
              </w:rPr>
              <w:t xml:space="preserve">环氧乙烷灭菌工艺简述：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环氧乙烷灭菌器是使用环氧乙烷气体，在一定的温度、压力、温度条件下，对封闭在灭菌室内的物品进行熏蒸的专用设备。环氧乙烷气体灭菌与传统的高压蒸汽灭菌相比，具有穿透力强、杀菌广谱、灭菌彻底、对物品无腐蚀无损害等特点，具有能在较低的温度、压力和湿度条件下灭菌。灭菌器配有严密的安全保障系统，采用独立式辅助机柜，便于设备隔离；采用特殊密封裝置，保证灭菌室的气密性；对灭菌器过压、过热等不正常工作状态实现报警和自动处理。灭菌器主要由灭菌室、真空装置、加油及热循环装置、加温装置、气化装置、气动置、特殊密封装置残气处理装置以及相应的控制系统组成。灭菌器箱体结构，便于大规模工业化集中灭菌。真空装置使用高质量的真空泵，提高真空极限，适应灭菌过程的工艺要求。加温方式为热水循环，保证灭菌室温度均匀和温度控制的准确性。灭菌器的控制阀和灭菌室的门为气动和手动两种控制方式，提高灭菌器工作过程的自动化程度，避免了控制过程的人为误操作。气化装置设有高效率的热交换器，保证环氧乙烷混合气体在进入灭菌室前充分气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lang w:val="en-US" w:eastAsia="zh-CN" w:bidi="ar"/>
              </w:rPr>
              <w:t>工作原理：环氧乙烷的灭菌机制是通过其与微生物发生非特异性烷基化作用，从而抵制微生物反应基的正常功能，使其新陈代谢发生障碍而死亡。环氧乙烷的灭菌效果，与灭菌室内的温度、压力、湿度及环氧乙烷的浓度有关，这些工艺参数在适当的数值上，可以缩短灭菌时间，达到最佳灭菌效果。因此，灭菌器的工作过程首先对灭菌室加温，直到温度达到预定的灭菌温度；然后灭菌室抽真空，当达到预定的真空度后，开始对灭菌室加环氧乙烷；在上述过程结束后，定时钟开始工作，灭菌过程开始；在整个灭菌过程中需保持恒温状态；当灭菌时间到，则开始对灭菌室进行换气，即用经过滤后的清洁空气置换灭菌室内的残余环氧乙烷气体，将残气排出；至此，整个灭菌过程结束。本项目灭菌过程使用的灭菌剂为环氧乙烷，灭菌过程会有环氧乙烷（以非甲烷总烃计）气体排放，项目目前采用水喷淋吸收工艺吸收环氧乙烷，吸收效果不佳，环评提出将水喷淋吸收工艺整改为</w:t>
            </w:r>
            <w:r>
              <w:rPr>
                <w:rFonts w:hint="default" w:ascii="Times New Roman" w:hAnsi="Times New Roman" w:eastAsia="宋体" w:cs="Times New Roman"/>
                <w:color w:val="auto"/>
                <w:kern w:val="0"/>
                <w:sz w:val="24"/>
                <w:szCs w:val="24"/>
                <w:highlight w:val="none"/>
                <w:lang w:val="en-US" w:eastAsia="zh-CN" w:bidi="ar"/>
              </w:rPr>
              <w:t>稀硫酸喷淋吸收工艺，该废气处理系统对环氧乙烷的净化效率＞95%，其余5%由塔顶无组织排放。</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4"/>
                <w:szCs w:val="24"/>
                <w:lang w:val="en-US" w:eastAsia="zh-CN" w:bidi="ar"/>
              </w:rPr>
              <w:t>纯化水制备、循环工艺流程：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object>
                <v:shape id="_x0000_i1035" o:spt="75" type="#_x0000_t75" style="height:93.3pt;width:365.5pt;" o:ole="t" filled="f" o:preferrelative="t" stroked="f" coordsize="21600,21600">
                  <v:path/>
                  <v:fill on="f" focussize="0,0"/>
                  <v:stroke on="f"/>
                  <v:imagedata r:id="rId32" o:title=""/>
                  <o:lock v:ext="edit" aspectratio="f"/>
                  <w10:wrap type="none"/>
                  <w10:anchorlock/>
                </v:shape>
                <o:OLEObject Type="Embed" ProgID="Visio.Drawing.15" ShapeID="_x0000_i1035" DrawAspect="Content" ObjectID="_1468075735" r:id="rId31">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纯净水制备工艺可分为如下主要环节：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①多介质（石英砂）过滤：自来水的预处理，主要采用粗质地的石英砂过滤水中肉眼可见的杂质和悬浮物。石英砂需每半年更换一次。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②活性炭过滤：主要过滤水中的微生物。活性炭需每半年更换一次。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③自动软水器：离子交换树脂对水中阳离子进行吸附。离子交换树脂需每半年更换一次。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④保安过滤：过滤较大的杂质，保护下一级反渗透膜。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lang w:val="en-US" w:eastAsia="zh-CN" w:bidi="ar"/>
              </w:rPr>
              <w:t>⑤反渗透过滤：纯净水处理装置，安装有双级反渗透膜，用于过滤水中的粒子和无机盐。此过程中会进行排水，废水中主要为无机盐，属清洁下水。</w:t>
            </w:r>
          </w:p>
          <w:p>
            <w:pPr>
              <w:autoSpaceDE w:val="0"/>
              <w:autoSpaceDN w:val="0"/>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2.10 产排污环节</w:t>
            </w:r>
          </w:p>
          <w:p>
            <w:pPr>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2.10.1 施工期产污环节</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cs="Times New Roman" w:eastAsiaTheme="minorEastAsia"/>
                <w:bCs/>
                <w:color w:val="auto"/>
                <w:sz w:val="24"/>
                <w:szCs w:val="24"/>
              </w:rPr>
              <w:t>项目于</w:t>
            </w:r>
            <w:r>
              <w:rPr>
                <w:rFonts w:hint="default" w:ascii="Times New Roman" w:hAnsi="Times New Roman" w:cs="Times New Roman"/>
                <w:color w:val="auto"/>
                <w:sz w:val="24"/>
                <w:szCs w:val="24"/>
                <w:lang w:val="en-US" w:eastAsia="zh-CN"/>
              </w:rPr>
              <w:t>2022年</w:t>
            </w:r>
            <w:r>
              <w:rPr>
                <w:rFonts w:hint="default" w:ascii="Times New Roman" w:hAnsi="Times New Roman" w:cs="Times New Roman" w:eastAsiaTheme="minorEastAsia"/>
                <w:color w:val="auto"/>
                <w:sz w:val="24"/>
                <w:szCs w:val="24"/>
              </w:rPr>
              <w:t>建成投产</w:t>
            </w:r>
            <w:r>
              <w:rPr>
                <w:rFonts w:hint="default" w:ascii="Times New Roman" w:hAnsi="Times New Roman" w:cs="Times New Roman" w:eastAsiaTheme="minorEastAsia"/>
                <w:bCs/>
                <w:color w:val="auto"/>
                <w:sz w:val="24"/>
                <w:szCs w:val="24"/>
              </w:rPr>
              <w:t>，主体工程不存在施工期，本次施工期建设内容主要为环保设施整改。施工期产污包括施工废气、施工噪声、施工固废等</w:t>
            </w:r>
            <w:r>
              <w:rPr>
                <w:rFonts w:hint="default" w:ascii="Times New Roman" w:hAnsi="Times New Roman" w:eastAsia="宋体" w:cs="Times New Roman"/>
                <w:bCs/>
                <w:color w:val="auto"/>
                <w:sz w:val="24"/>
                <w:szCs w:val="24"/>
              </w:rPr>
              <w:t>。</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2.10.2 运营期产污环节</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根据项目工艺流程可知，本项目运营期产污环节具体如下。</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（1）运营期废气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kern w:val="0"/>
                <w:sz w:val="24"/>
                <w:szCs w:val="24"/>
                <w:lang w:val="en-US" w:eastAsia="zh-CN" w:bidi="ar"/>
              </w:rPr>
              <w:t>项目生产过程中所有设备均使用电源，无燃料废气产生，本项目运营期废气主要来源于厨房油烟、棉签生产过程中产生的粉尘（以颗粒物计），棉签烘干、口罩生产及挤出、注塑车间中产生的挥发性有机物（以非甲烷总烃计），产品灭菌、解析过程中产生的环氧乙烷（以非甲烷总烃计）。</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（2）运营期废水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bCs/>
                <w:color w:val="auto"/>
                <w:sz w:val="24"/>
                <w:szCs w:val="24"/>
              </w:rPr>
              <w:t>根据项目建设内容及生产工艺，</w:t>
            </w:r>
            <w:r>
              <w:rPr>
                <w:rFonts w:hint="default" w:ascii="Times New Roman" w:hAnsi="Times New Roman" w:eastAsia="宋体" w:cs="Times New Roman"/>
                <w:color w:val="auto"/>
                <w:kern w:val="0"/>
                <w:sz w:val="24"/>
                <w:szCs w:val="24"/>
                <w:lang w:val="en-US" w:eastAsia="zh-CN" w:bidi="ar"/>
              </w:rPr>
              <w:t>本项目运营期产生的废水主要来自生活污水、项目纯水设备浓排水、理化室实验器皿初次清洗废水之后的清洗废水、生产车间、办公区域等地面清洁废水。</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（3）运营期噪声</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根据项目建设内容及生产工艺，项目噪声污染源主要为设备噪声。</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（4）运营期固体废物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Cs w:val="24"/>
              </w:rPr>
            </w:pPr>
            <w:r>
              <w:rPr>
                <w:rFonts w:hint="default" w:ascii="Times New Roman" w:hAnsi="Times New Roman" w:eastAsia="宋体" w:cs="Times New Roman"/>
                <w:color w:val="auto"/>
                <w:sz w:val="24"/>
                <w:szCs w:val="24"/>
                <w:highlight w:val="none"/>
              </w:rPr>
              <w:t>根据项目工程内容及生产工艺，</w:t>
            </w:r>
            <w:r>
              <w:rPr>
                <w:rFonts w:hint="default" w:ascii="Times New Roman" w:hAnsi="Times New Roman" w:eastAsia="宋体" w:cs="Times New Roman"/>
                <w:color w:val="auto"/>
                <w:kern w:val="0"/>
                <w:sz w:val="24"/>
                <w:szCs w:val="24"/>
                <w:highlight w:val="none"/>
                <w:lang w:val="en-US" w:eastAsia="zh-CN" w:bidi="ar"/>
              </w:rPr>
              <w:t>项目固体废弃物包括一般工业固体废物及危险废物，一般工业固体废物主要有棉签生产过程中产生的棉絮、实验一般固体废物、纯水机设备更换的废活性炭、废离子交换树脂、废石英砂、边角料、废包装袋、废包装盒、废纸箱、不合格产品及生活垃圾；危险废物主要为实验废液、有机废气处理设施更换的废活性炭、环氧乙烷吸收废液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highlight w:val="none"/>
              </w:rPr>
              <w:t>与项目有关的原有环境污染问题</w:t>
            </w:r>
          </w:p>
        </w:tc>
        <w:tc>
          <w:tcPr>
            <w:tcW w:w="8834" w:type="dxa"/>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（1）存在的环境问题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Cs/>
                <w:color w:val="auto"/>
                <w:sz w:val="24"/>
                <w:szCs w:val="24"/>
              </w:rPr>
              <w:t>该项目为已建项目，根据调查，与项目有关的原有环境污染问题，具体如下：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①项目</w:t>
            </w:r>
            <w:r>
              <w:rPr>
                <w:rFonts w:hint="default" w:ascii="Times New Roman" w:hAnsi="Times New Roman" w:eastAsia="宋体" w:cs="Times New Roman"/>
                <w:color w:val="auto"/>
                <w:sz w:val="24"/>
                <w:szCs w:val="24"/>
                <w:lang w:eastAsia="zh-CN"/>
              </w:rPr>
              <w:t>设置挤出车间及注塑车间</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两车间生产工序</w:t>
            </w:r>
            <w:r>
              <w:rPr>
                <w:rFonts w:hint="default" w:ascii="Times New Roman" w:hAnsi="Times New Roman" w:eastAsia="宋体" w:cs="Times New Roman"/>
                <w:color w:val="auto"/>
                <w:sz w:val="24"/>
                <w:szCs w:val="24"/>
              </w:rPr>
              <w:t>主要污染物均为有机废气（非甲烷总烃），</w:t>
            </w:r>
            <w:r>
              <w:rPr>
                <w:rFonts w:hint="default" w:ascii="Times New Roman" w:hAnsi="Times New Roman" w:eastAsia="宋体" w:cs="Times New Roman"/>
                <w:color w:val="auto"/>
                <w:sz w:val="24"/>
                <w:szCs w:val="24"/>
                <w:lang w:eastAsia="zh-CN"/>
              </w:rPr>
              <w:t>项目目前未采取相关防治措施。</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napToGrid w:val="0"/>
                <w:color w:val="auto"/>
                <w:kern w:val="0"/>
                <w:sz w:val="24"/>
                <w:szCs w:val="24"/>
                <w:lang w:val="en-US" w:eastAsia="zh-CN" w:bidi="ar"/>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bCs/>
                <w:snapToGrid w:val="0"/>
                <w:color w:val="auto"/>
                <w:kern w:val="0"/>
                <w:sz w:val="24"/>
                <w:szCs w:val="24"/>
                <w:lang w:val="en-US" w:eastAsia="zh-CN" w:bidi="ar"/>
              </w:rPr>
              <w:t>本项目产品灭菌过程使用的灭菌剂为环氧乙烷，灭菌的解析清洗过程会有环氧乙烷气体排放，项目目前</w:t>
            </w:r>
            <w:r>
              <w:rPr>
                <w:rFonts w:hint="default" w:ascii="Times New Roman" w:hAnsi="Times New Roman" w:eastAsia="宋体" w:cs="Times New Roman"/>
                <w:color w:val="auto"/>
                <w:sz w:val="24"/>
                <w:szCs w:val="24"/>
                <w:highlight w:val="none"/>
                <w:lang w:eastAsia="zh-CN"/>
              </w:rPr>
              <w:t>环氧乙烷吸收系统</w:t>
            </w:r>
            <w:r>
              <w:rPr>
                <w:rFonts w:hint="default" w:ascii="Times New Roman" w:hAnsi="Times New Roman" w:eastAsia="宋体" w:cs="Times New Roman"/>
                <w:bCs/>
                <w:snapToGrid w:val="0"/>
                <w:color w:val="auto"/>
                <w:kern w:val="0"/>
                <w:sz w:val="24"/>
                <w:szCs w:val="24"/>
                <w:lang w:val="en-US" w:eastAsia="zh-CN" w:bidi="ar"/>
              </w:rPr>
              <w:t>采用自来水喷淋吸收工艺，净化效率不能满足环保要求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eastAsia="zh-CN"/>
              </w:rPr>
              <w:t>项目目前未设置危险废物暂存间，环氧乙烷吸收废液未进行收集处置过，实验室废化学试剂未进行收集处置，危险废物管理不规范。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④根据调查，项目未设置标识标牌，不满足原国家环境保护总局《关于开展排污口规范化整治工作的通知》（环发【1999】24号）的要求：“一切新建、改建的排污单位以及限期治理的排污单位，都必须在建设污染治理措施的同时建设规范化排污口”。</w:t>
            </w:r>
          </w:p>
          <w:p>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⑤根据调查，项目废水存在泄露风险，但项目未设置应急池。</w:t>
            </w:r>
          </w:p>
          <w:p>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⑥根据调查，项目未设置初期雨水收集池。</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（2）整改要求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针对项目存在的环境问题，环评拟提出以下整改措施：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bCs/>
                <w:color w:val="auto"/>
                <w:sz w:val="24"/>
                <w:szCs w:val="24"/>
              </w:rPr>
              <w:t>①项目取得此次环评批复后，应严格按照《固定污染源排污许可分类管理名录》（2019 年版）的分类，申请办理排污许可</w:t>
            </w:r>
            <w:r>
              <w:rPr>
                <w:rFonts w:hint="default" w:ascii="Times New Roman" w:hAnsi="Times New Roman" w:cs="Times New Roman"/>
                <w:bCs/>
                <w:color w:val="auto"/>
                <w:sz w:val="24"/>
                <w:szCs w:val="24"/>
                <w:lang w:eastAsia="zh-CN"/>
              </w:rPr>
              <w:t>手续</w:t>
            </w:r>
            <w:r>
              <w:rPr>
                <w:rFonts w:hint="default" w:ascii="Times New Roman" w:hAnsi="Times New Roman" w:cs="Times New Roman" w:eastAsiaTheme="minorEastAsia"/>
                <w:bCs/>
                <w:color w:val="auto"/>
                <w:sz w:val="24"/>
                <w:szCs w:val="24"/>
              </w:rPr>
              <w:t>，持证排污，并进行环保竣工验收。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lang w:eastAsia="zh-CN"/>
              </w:rPr>
              <w:t>环评提出，</w:t>
            </w:r>
            <w:r>
              <w:rPr>
                <w:rFonts w:hint="default" w:ascii="Times New Roman" w:hAnsi="Times New Roman" w:eastAsia="宋体" w:cs="Times New Roman"/>
                <w:color w:val="auto"/>
                <w:sz w:val="24"/>
                <w:szCs w:val="24"/>
              </w:rPr>
              <w:t>针对</w:t>
            </w:r>
            <w:r>
              <w:rPr>
                <w:rFonts w:hint="default" w:ascii="Times New Roman" w:hAnsi="Times New Roman" w:eastAsia="宋体" w:cs="Times New Roman"/>
                <w:color w:val="auto"/>
                <w:sz w:val="24"/>
                <w:szCs w:val="24"/>
                <w:lang w:eastAsia="zh-CN"/>
              </w:rPr>
              <w:t>挤出、注塑车间</w:t>
            </w:r>
            <w:r>
              <w:rPr>
                <w:rFonts w:hint="default" w:ascii="Times New Roman" w:hAnsi="Times New Roman" w:eastAsia="宋体" w:cs="Times New Roman"/>
                <w:color w:val="auto"/>
                <w:sz w:val="24"/>
                <w:szCs w:val="24"/>
              </w:rPr>
              <w:t>产生的有机废气，厂区</w:t>
            </w:r>
            <w:r>
              <w:rPr>
                <w:rFonts w:hint="default" w:ascii="Times New Roman" w:hAnsi="Times New Roman" w:eastAsia="宋体" w:cs="Times New Roman"/>
                <w:color w:val="auto"/>
                <w:sz w:val="24"/>
                <w:szCs w:val="24"/>
                <w:lang w:eastAsia="zh-CN"/>
              </w:rPr>
              <w:t>拟</w:t>
            </w:r>
            <w:r>
              <w:rPr>
                <w:rFonts w:hint="default" w:ascii="Times New Roman" w:hAnsi="Times New Roman" w:eastAsia="宋体" w:cs="Times New Roman"/>
                <w:color w:val="auto"/>
                <w:sz w:val="24"/>
                <w:szCs w:val="24"/>
              </w:rPr>
              <w:t>设置</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套有机废气处理装置</w:t>
            </w:r>
            <w:r>
              <w:rPr>
                <w:rFonts w:hint="default" w:ascii="Times New Roman" w:hAnsi="Times New Roman" w:eastAsia="宋体" w:cs="Times New Roman"/>
                <w:color w:val="auto"/>
                <w:sz w:val="24"/>
                <w:szCs w:val="24"/>
                <w:lang w:eastAsia="zh-CN"/>
              </w:rPr>
              <w:t>进行</w:t>
            </w:r>
            <w:r>
              <w:rPr>
                <w:rFonts w:hint="default" w:ascii="Times New Roman" w:hAnsi="Times New Roman" w:eastAsia="宋体" w:cs="Times New Roman"/>
                <w:color w:val="auto"/>
                <w:sz w:val="24"/>
                <w:szCs w:val="24"/>
              </w:rPr>
              <w:t>处理，</w:t>
            </w:r>
            <w:r>
              <w:rPr>
                <w:rFonts w:hint="default" w:ascii="Times New Roman" w:hAnsi="Times New Roman" w:eastAsia="宋体" w:cs="Times New Roman"/>
                <w:color w:val="auto"/>
                <w:sz w:val="24"/>
                <w:szCs w:val="24"/>
                <w:lang w:eastAsia="zh-CN"/>
              </w:rPr>
              <w:t>两车间有机废气</w:t>
            </w:r>
            <w:r>
              <w:rPr>
                <w:rFonts w:hint="default" w:ascii="Times New Roman" w:hAnsi="Times New Roman" w:eastAsia="宋体" w:cs="Times New Roman"/>
                <w:color w:val="auto"/>
                <w:sz w:val="24"/>
                <w:szCs w:val="24"/>
              </w:rPr>
              <w:t>处理后经过</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根高15m、Φ0.</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m的排气筒</w:t>
            </w:r>
            <w:r>
              <w:rPr>
                <w:rFonts w:hint="default" w:ascii="Times New Roman" w:hAnsi="Times New Roman" w:eastAsia="宋体" w:cs="Times New Roman"/>
                <w:color w:val="auto"/>
                <w:sz w:val="24"/>
                <w:szCs w:val="24"/>
                <w:lang w:val="en-US" w:eastAsia="zh-CN"/>
              </w:rPr>
              <w:t>(DA001)</w:t>
            </w:r>
            <w:r>
              <w:rPr>
                <w:rFonts w:hint="default" w:ascii="Times New Roman" w:hAnsi="Times New Roman" w:eastAsia="宋体" w:cs="Times New Roman"/>
                <w:color w:val="auto"/>
                <w:sz w:val="24"/>
                <w:szCs w:val="24"/>
              </w:rPr>
              <w:t>外排。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napToGrid w:val="0"/>
                <w:color w:val="auto"/>
                <w:kern w:val="32"/>
                <w:sz w:val="24"/>
                <w:szCs w:val="24"/>
                <w:lang w:val="en-US" w:eastAsia="zh-CN" w:bidi="ar-SA"/>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bCs/>
                <w:snapToGrid w:val="0"/>
                <w:color w:val="auto"/>
                <w:kern w:val="0"/>
                <w:sz w:val="24"/>
                <w:szCs w:val="24"/>
                <w:lang w:val="en-US" w:eastAsia="zh-CN" w:bidi="ar"/>
              </w:rPr>
              <w:t>环评提出，</w:t>
            </w:r>
            <w:r>
              <w:rPr>
                <w:rFonts w:hint="default" w:ascii="Times New Roman" w:hAnsi="Times New Roman" w:eastAsia="宋体" w:cs="Times New Roman"/>
                <w:color w:val="auto"/>
                <w:sz w:val="24"/>
                <w:szCs w:val="24"/>
                <w:highlight w:val="none"/>
                <w:lang w:eastAsia="zh-CN"/>
              </w:rPr>
              <w:t>环氧乙烷吸收系统</w:t>
            </w:r>
            <w:r>
              <w:rPr>
                <w:rFonts w:hint="default" w:ascii="Times New Roman" w:hAnsi="Times New Roman" w:eastAsia="宋体" w:cs="Times New Roman"/>
                <w:bCs/>
                <w:snapToGrid w:val="0"/>
                <w:color w:val="auto"/>
                <w:kern w:val="0"/>
                <w:sz w:val="24"/>
                <w:szCs w:val="24"/>
                <w:lang w:val="en-US" w:eastAsia="zh-CN" w:bidi="ar"/>
              </w:rPr>
              <w:t>整改为稀硫酸喷淋吸收工艺，该废气处理系统对环氧乙烷的净化效率＞95%，其余未吸收部分无组织排放</w:t>
            </w:r>
            <w:r>
              <w:rPr>
                <w:rFonts w:hint="default" w:ascii="Times New Roman" w:hAnsi="Times New Roman" w:eastAsia="宋体" w:cs="Times New Roman"/>
                <w:bCs/>
                <w:snapToGrid w:val="0"/>
                <w:color w:val="auto"/>
                <w:kern w:val="32"/>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lang w:eastAsia="zh-CN"/>
              </w:rPr>
              <w:t>环评提出，拟</w:t>
            </w:r>
            <w:r>
              <w:rPr>
                <w:rFonts w:hint="default" w:ascii="Times New Roman" w:hAnsi="Times New Roman" w:eastAsia="宋体" w:cs="Times New Roman"/>
                <w:color w:val="auto"/>
                <w:sz w:val="24"/>
                <w:szCs w:val="24"/>
              </w:rPr>
              <w:t>设置一个5m²的危险废物贮存间对</w:t>
            </w:r>
            <w:r>
              <w:rPr>
                <w:rFonts w:hint="default" w:ascii="Times New Roman" w:hAnsi="Times New Roman" w:eastAsia="宋体" w:cs="Times New Roman"/>
                <w:color w:val="auto"/>
                <w:sz w:val="24"/>
                <w:szCs w:val="24"/>
                <w:lang w:eastAsia="zh-CN"/>
              </w:rPr>
              <w:t>环氧乙烷吸收系统产生的环氧乙烷吸收废液、化验室产生的废化学试剂</w:t>
            </w:r>
            <w:r>
              <w:rPr>
                <w:rFonts w:hint="default" w:ascii="Times New Roman" w:hAnsi="Times New Roman" w:eastAsia="宋体" w:cs="Times New Roman"/>
                <w:color w:val="auto"/>
                <w:sz w:val="24"/>
                <w:szCs w:val="24"/>
              </w:rPr>
              <w:t>等危险废物进行暂存，并委托</w:t>
            </w:r>
            <w:r>
              <w:rPr>
                <w:rFonts w:hint="default" w:ascii="Times New Roman" w:hAnsi="Times New Roman" w:eastAsia="宋体" w:cs="Times New Roman"/>
                <w:color w:val="auto"/>
                <w:sz w:val="24"/>
                <w:szCs w:val="24"/>
                <w:lang w:eastAsia="zh-CN"/>
              </w:rPr>
              <w:t>有资质单位进行</w:t>
            </w:r>
            <w:r>
              <w:rPr>
                <w:rFonts w:hint="default" w:ascii="Times New Roman" w:hAnsi="Times New Roman" w:eastAsia="宋体" w:cs="Times New Roman"/>
                <w:color w:val="auto"/>
                <w:sz w:val="24"/>
                <w:szCs w:val="24"/>
              </w:rPr>
              <w:t>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lang w:val="en-US" w:eastAsia="zh-CN"/>
              </w:rPr>
              <w:t>⑤</w:t>
            </w:r>
            <w:r>
              <w:rPr>
                <w:rFonts w:hint="default" w:ascii="Times New Roman" w:hAnsi="Times New Roman" w:eastAsia="宋体" w:cs="Times New Roman"/>
                <w:bCs/>
                <w:color w:val="auto"/>
                <w:sz w:val="24"/>
                <w:szCs w:val="24"/>
              </w:rPr>
              <w:t>环评提出，为了准确定量监测排放总量，便于环境管理及监测部门的日常监督、检查和监测，该项目必须建设规范化排污口，在排放口附近设置警示标志牌，具体要求如下：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fldChar w:fldCharType="begin"/>
            </w:r>
            <w:r>
              <w:rPr>
                <w:rFonts w:hint="default" w:ascii="Times New Roman" w:hAnsi="Times New Roman" w:eastAsia="宋体" w:cs="Times New Roman"/>
                <w:bCs/>
                <w:color w:val="auto"/>
                <w:sz w:val="24"/>
                <w:szCs w:val="24"/>
              </w:rPr>
              <w:instrText xml:space="preserve"> = 1 \* GB2 </w:instrText>
            </w:r>
            <w:r>
              <w:rPr>
                <w:rFonts w:hint="default" w:ascii="Times New Roman" w:hAnsi="Times New Roman" w:eastAsia="宋体" w:cs="Times New Roman"/>
                <w:bCs/>
                <w:color w:val="auto"/>
                <w:sz w:val="24"/>
                <w:szCs w:val="24"/>
              </w:rPr>
              <w:fldChar w:fldCharType="separate"/>
            </w:r>
            <w:r>
              <w:rPr>
                <w:rFonts w:hint="default" w:ascii="Times New Roman" w:hAnsi="Times New Roman" w:eastAsia="宋体" w:cs="Times New Roman"/>
                <w:bCs/>
                <w:color w:val="auto"/>
                <w:sz w:val="24"/>
                <w:szCs w:val="24"/>
              </w:rPr>
              <w:t>⑴</w:t>
            </w:r>
            <w:r>
              <w:rPr>
                <w:rFonts w:hint="default" w:ascii="Times New Roman" w:hAnsi="Times New Roman" w:eastAsia="宋体" w:cs="Times New Roman"/>
                <w:bCs/>
                <w:color w:val="auto"/>
                <w:sz w:val="24"/>
                <w:szCs w:val="24"/>
              </w:rPr>
              <w:fldChar w:fldCharType="end"/>
            </w:r>
            <w:r>
              <w:rPr>
                <w:rFonts w:hint="default" w:ascii="Times New Roman" w:hAnsi="Times New Roman" w:eastAsia="宋体" w:cs="Times New Roman"/>
                <w:bCs/>
                <w:color w:val="auto"/>
                <w:sz w:val="24"/>
                <w:szCs w:val="24"/>
              </w:rPr>
              <w:t>废气排放口标识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在废气排放筒应设置便于采样、监测的永久性采样口和采样监测平台，并在排气筒附近地面醒目处设置环保图形标志牌,标明排气筒高度、出口内径、排放污染物种类等。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fldChar w:fldCharType="begin"/>
            </w:r>
            <w:r>
              <w:rPr>
                <w:rFonts w:hint="default" w:ascii="Times New Roman" w:hAnsi="Times New Roman" w:eastAsia="宋体" w:cs="Times New Roman"/>
                <w:bCs/>
                <w:color w:val="auto"/>
                <w:sz w:val="24"/>
                <w:szCs w:val="24"/>
              </w:rPr>
              <w:instrText xml:space="preserve"> = 2 \* GB2 </w:instrText>
            </w:r>
            <w:r>
              <w:rPr>
                <w:rFonts w:hint="default" w:ascii="Times New Roman" w:hAnsi="Times New Roman" w:eastAsia="宋体" w:cs="Times New Roman"/>
                <w:bCs/>
                <w:color w:val="auto"/>
                <w:sz w:val="24"/>
                <w:szCs w:val="24"/>
              </w:rPr>
              <w:fldChar w:fldCharType="separate"/>
            </w:r>
            <w:r>
              <w:rPr>
                <w:rFonts w:hint="default" w:ascii="Times New Roman" w:hAnsi="Times New Roman" w:eastAsia="宋体" w:cs="Times New Roman"/>
                <w:bCs/>
                <w:color w:val="auto"/>
                <w:sz w:val="24"/>
                <w:szCs w:val="24"/>
              </w:rPr>
              <w:t>⑵</w:t>
            </w:r>
            <w:r>
              <w:rPr>
                <w:rFonts w:hint="default" w:ascii="Times New Roman" w:hAnsi="Times New Roman" w:eastAsia="宋体" w:cs="Times New Roman"/>
                <w:bCs/>
                <w:color w:val="auto"/>
                <w:sz w:val="24"/>
                <w:szCs w:val="24"/>
              </w:rPr>
              <w:fldChar w:fldCharType="end"/>
            </w:r>
            <w:r>
              <w:rPr>
                <w:rFonts w:hint="default" w:ascii="Times New Roman" w:hAnsi="Times New Roman" w:eastAsia="宋体" w:cs="Times New Roman"/>
                <w:bCs/>
                <w:color w:val="auto"/>
                <w:sz w:val="24"/>
                <w:szCs w:val="24"/>
              </w:rPr>
              <w:t>噪声排放标识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在固定噪声源附近设置噪声环境保护图形标志牌。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fldChar w:fldCharType="begin"/>
            </w:r>
            <w:r>
              <w:rPr>
                <w:rFonts w:hint="default" w:ascii="Times New Roman" w:hAnsi="Times New Roman" w:eastAsia="宋体" w:cs="Times New Roman"/>
                <w:bCs/>
                <w:color w:val="auto"/>
                <w:sz w:val="24"/>
                <w:szCs w:val="24"/>
              </w:rPr>
              <w:instrText xml:space="preserve"> = 3 \* GB2 </w:instrText>
            </w:r>
            <w:r>
              <w:rPr>
                <w:rFonts w:hint="default" w:ascii="Times New Roman" w:hAnsi="Times New Roman" w:eastAsia="宋体" w:cs="Times New Roman"/>
                <w:bCs/>
                <w:color w:val="auto"/>
                <w:sz w:val="24"/>
                <w:szCs w:val="24"/>
              </w:rPr>
              <w:fldChar w:fldCharType="separate"/>
            </w:r>
            <w:r>
              <w:rPr>
                <w:rFonts w:hint="default" w:ascii="Times New Roman" w:hAnsi="Times New Roman" w:eastAsia="宋体" w:cs="Times New Roman"/>
                <w:bCs/>
                <w:color w:val="auto"/>
                <w:sz w:val="24"/>
                <w:szCs w:val="24"/>
              </w:rPr>
              <w:t>⑶</w:t>
            </w:r>
            <w:r>
              <w:rPr>
                <w:rFonts w:hint="default" w:ascii="Times New Roman" w:hAnsi="Times New Roman" w:eastAsia="宋体" w:cs="Times New Roman"/>
                <w:bCs/>
                <w:color w:val="auto"/>
                <w:sz w:val="24"/>
                <w:szCs w:val="24"/>
              </w:rPr>
              <w:fldChar w:fldCharType="end"/>
            </w:r>
            <w:r>
              <w:rPr>
                <w:rFonts w:hint="default" w:ascii="Times New Roman" w:hAnsi="Times New Roman" w:eastAsia="宋体" w:cs="Times New Roman"/>
                <w:bCs/>
                <w:color w:val="auto"/>
                <w:sz w:val="24"/>
                <w:szCs w:val="24"/>
              </w:rPr>
              <w:t>该项目设置1个雨水排放口，并设置雨水排放口标识牌，同时在初期雨水收集池附近设置初期雨水收集池标志牌。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fldChar w:fldCharType="begin"/>
            </w:r>
            <w:r>
              <w:rPr>
                <w:rFonts w:hint="default" w:ascii="Times New Roman" w:hAnsi="Times New Roman" w:eastAsia="宋体" w:cs="Times New Roman"/>
                <w:bCs/>
                <w:color w:val="auto"/>
                <w:sz w:val="24"/>
                <w:szCs w:val="24"/>
              </w:rPr>
              <w:instrText xml:space="preserve"> = 4 \* GB2 </w:instrText>
            </w:r>
            <w:r>
              <w:rPr>
                <w:rFonts w:hint="default" w:ascii="Times New Roman" w:hAnsi="Times New Roman" w:eastAsia="宋体" w:cs="Times New Roman"/>
                <w:bCs/>
                <w:color w:val="auto"/>
                <w:sz w:val="24"/>
                <w:szCs w:val="24"/>
              </w:rPr>
              <w:fldChar w:fldCharType="separate"/>
            </w:r>
            <w:r>
              <w:rPr>
                <w:rFonts w:hint="default" w:ascii="Times New Roman" w:hAnsi="Times New Roman" w:eastAsia="宋体" w:cs="Times New Roman"/>
                <w:bCs/>
                <w:color w:val="auto"/>
                <w:sz w:val="24"/>
                <w:szCs w:val="24"/>
              </w:rPr>
              <w:t>⑷</w:t>
            </w:r>
            <w:r>
              <w:rPr>
                <w:rFonts w:hint="default" w:ascii="Times New Roman" w:hAnsi="Times New Roman" w:eastAsia="宋体" w:cs="Times New Roman"/>
                <w:bCs/>
                <w:color w:val="auto"/>
                <w:sz w:val="24"/>
                <w:szCs w:val="24"/>
              </w:rPr>
              <w:fldChar w:fldCharType="end"/>
            </w:r>
            <w:r>
              <w:rPr>
                <w:rFonts w:hint="default" w:ascii="Times New Roman" w:hAnsi="Times New Roman" w:eastAsia="宋体" w:cs="Times New Roman"/>
                <w:bCs/>
                <w:color w:val="auto"/>
                <w:sz w:val="24"/>
                <w:szCs w:val="24"/>
              </w:rPr>
              <w:t>环境保护图形标志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在厂区的废气排放源、固体废物贮存处置场应设置环境保护图形标志，图形符号分为提示图形和警告图形符号两种，分别按GB15562.1-1995执行。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val="en-US" w:eastAsia="zh-CN"/>
              </w:rPr>
              <w:t>⑥</w:t>
            </w:r>
            <w:r>
              <w:rPr>
                <w:rFonts w:hint="default" w:ascii="Times New Roman" w:hAnsi="Times New Roman" w:eastAsia="宋体" w:cs="Times New Roman"/>
                <w:bCs/>
                <w:color w:val="auto"/>
                <w:sz w:val="24"/>
                <w:szCs w:val="24"/>
                <w:lang w:eastAsia="zh-CN"/>
              </w:rPr>
              <w:t>环评提出，在一体化污水处理设施旁设置</w:t>
            </w:r>
            <w:r>
              <w:rPr>
                <w:rFonts w:hint="default" w:ascii="Times New Roman" w:hAnsi="Times New Roman" w:eastAsia="宋体" w:cs="Times New Roman"/>
                <w:bCs/>
                <w:color w:val="auto"/>
                <w:sz w:val="24"/>
                <w:szCs w:val="24"/>
              </w:rPr>
              <w:t>1个有效容积不低于5m³的应急池，对风险事故废水进行收集</w:t>
            </w:r>
            <w:r>
              <w:rPr>
                <w:rFonts w:hint="default" w:ascii="Times New Roman" w:hAnsi="Times New Roman" w:eastAsia="宋体" w:cs="Times New Roman"/>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⑦环评提出，拟在项目西侧地势较低处设置一个有效容积不低于10m</w:t>
            </w:r>
            <w:r>
              <w:rPr>
                <w:rFonts w:hint="default" w:ascii="Times New Roman" w:hAnsi="Times New Roman" w:eastAsia="宋体" w:cs="Times New Roman"/>
                <w:bCs/>
                <w:color w:val="auto"/>
                <w:sz w:val="24"/>
                <w:szCs w:val="24"/>
                <w:vertAlign w:val="superscript"/>
                <w:lang w:val="en-US" w:eastAsia="zh-CN"/>
              </w:rPr>
              <w:t>3</w:t>
            </w:r>
            <w:r>
              <w:rPr>
                <w:rFonts w:hint="default" w:ascii="Times New Roman" w:hAnsi="Times New Roman" w:eastAsia="宋体" w:cs="Times New Roman"/>
                <w:bCs/>
                <w:color w:val="auto"/>
                <w:sz w:val="24"/>
                <w:szCs w:val="24"/>
              </w:rPr>
              <w:t>初期雨水收集池</w:t>
            </w:r>
            <w:r>
              <w:rPr>
                <w:rFonts w:hint="default" w:ascii="Times New Roman" w:hAnsi="Times New Roman" w:eastAsia="宋体" w:cs="Times New Roman"/>
                <w:bCs/>
                <w:color w:val="auto"/>
                <w:sz w:val="24"/>
                <w:szCs w:val="24"/>
                <w:lang w:eastAsia="zh-CN"/>
              </w:rPr>
              <w:t>对整个厂区的初期雨水进行收集，后期雨水设置排放口外排。</w:t>
            </w:r>
          </w:p>
          <w:p>
            <w:pPr>
              <w:pStyle w:val="10"/>
              <w:rPr>
                <w:rFonts w:hint="default" w:ascii="Times New Roman" w:hAnsi="Times New Roman" w:cs="Times New Roman"/>
                <w:color w:val="auto"/>
              </w:rPr>
            </w:pPr>
          </w:p>
          <w:p>
            <w:pPr>
              <w:pStyle w:val="40"/>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10"/>
              <w:rPr>
                <w:rFonts w:hint="default" w:ascii="Times New Roman" w:hAnsi="Times New Roman" w:cs="Times New Roman"/>
                <w:color w:val="auto"/>
              </w:rPr>
            </w:pPr>
          </w:p>
        </w:tc>
      </w:tr>
    </w:tbl>
    <w:p>
      <w:pPr>
        <w:spacing w:line="360" w:lineRule="auto"/>
        <w:jc w:val="left"/>
        <w:outlineLvl w:val="0"/>
        <w:rPr>
          <w:rFonts w:hint="default" w:ascii="Times New Roman" w:hAnsi="Times New Roman" w:eastAsia="宋体"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rPr>
        <w:t>三、区域环境质量现状、环境保护目标及评价标准</w:t>
      </w:r>
    </w:p>
    <w:tbl>
      <w:tblPr>
        <w:tblStyle w:val="26"/>
        <w:tblW w:w="96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6"/>
        <w:gridCol w:w="91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区域环境质量现状</w:t>
            </w:r>
          </w:p>
        </w:tc>
        <w:tc>
          <w:tcPr>
            <w:tcW w:w="9182" w:type="dxa"/>
          </w:tcPr>
          <w:p>
            <w:pPr>
              <w:keepNext w:val="0"/>
              <w:keepLines w:val="0"/>
              <w:pageBreakBefore w:val="0"/>
              <w:widowControl w:val="0"/>
              <w:kinsoku/>
              <w:wordWrap/>
              <w:overflowPunct/>
              <w:topLinePunct w:val="0"/>
              <w:autoSpaceDE w:val="0"/>
              <w:autoSpaceDN w:val="0"/>
              <w:bidi w:val="0"/>
              <w:adjustRightInd/>
              <w:snapToGrid/>
              <w:spacing w:beforeLines="50"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3.1 环境质量现状</w:t>
            </w:r>
          </w:p>
          <w:p>
            <w:pPr>
              <w:keepNext w:val="0"/>
              <w:keepLines w:val="0"/>
              <w:pageBreakBefore w:val="0"/>
              <w:widowControl w:val="0"/>
              <w:kinsoku/>
              <w:wordWrap/>
              <w:overflowPunct/>
              <w:topLinePunct w:val="0"/>
              <w:autoSpaceDE w:val="0"/>
              <w:autoSpaceDN w:val="0"/>
              <w:bidi w:val="0"/>
              <w:adjustRightInd/>
              <w:snapToGrid/>
              <w:spacing w:beforeLines="50"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3.1.1 环境空气质量现状</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（1）常规因子环境质量现状</w:t>
            </w:r>
          </w:p>
          <w:p>
            <w:pPr>
              <w:spacing w:line="360" w:lineRule="auto"/>
              <w:ind w:firstLine="480" w:firstLineChars="200"/>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color w:val="auto"/>
                <w:sz w:val="24"/>
                <w:szCs w:val="24"/>
                <w:lang w:eastAsia="zh-CN"/>
              </w:rPr>
              <w:t>项目位于云南省昆明市东川区铜都街道办事处碧谷小新村，</w:t>
            </w:r>
            <w:r>
              <w:rPr>
                <w:rFonts w:hint="default" w:ascii="Times New Roman" w:hAnsi="Times New Roman" w:eastAsia="宋体" w:cs="Times New Roman"/>
                <w:color w:val="auto"/>
                <w:sz w:val="24"/>
                <w:szCs w:val="24"/>
              </w:rPr>
              <w:t>属于环境空气二类区，执行《环境空气质量标准》（GB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-2012）二级标准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val="en-US" w:eastAsia="zh-CN"/>
              </w:rPr>
              <w:t>2022</w:t>
            </w:r>
            <w:r>
              <w:rPr>
                <w:rFonts w:hint="default" w:ascii="Times New Roman" w:hAnsi="Times New Roman" w:eastAsia="宋体" w:cs="Times New Roman"/>
                <w:color w:val="auto"/>
                <w:sz w:val="24"/>
                <w:szCs w:val="24"/>
              </w:rPr>
              <w:t>年度昆明市生态环境状况公报》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2022年，昆明市主城区环境空气优良率达100%，其中优246天、良119天。与2021年相比，优级天数增加37天，环境空气污染综合指数降低13.68%，空气质量大幅改善。各县（市）区环境空气质量总体保持良好。与2021年相比，安宁市、禄劝县、石林县、嵩明县、富民县、宜良县、寻甸县环境空气综合污染指数有所下降，东川区环境空气综合污染指数有所上升。项目所在区域属于环境空气质量达标区</w:t>
            </w:r>
            <w:r>
              <w:rPr>
                <w:rFonts w:hint="default" w:ascii="Times New Roman" w:hAnsi="Times New Roman" w:eastAsia="宋体" w:cs="Times New Roman"/>
                <w:bCs/>
                <w:color w:val="auto"/>
                <w:sz w:val="24"/>
                <w:szCs w:val="24"/>
                <w:lang w:eastAsia="zh-CN"/>
              </w:rPr>
              <w:t>。</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（2）特征因子环境质量现状</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根据项目特点，该项目排放的特征污染物为TSP</w:t>
            </w:r>
            <w:r>
              <w:rPr>
                <w:rFonts w:hint="default" w:ascii="Times New Roman" w:hAnsi="Times New Roman" w:eastAsia="宋体" w:cs="Times New Roman"/>
                <w:color w:val="auto"/>
                <w:szCs w:val="24"/>
                <w:lang w:eastAsia="zh-CN"/>
              </w:rPr>
              <w:t>及非甲烷总烃</w:t>
            </w:r>
            <w:r>
              <w:rPr>
                <w:rFonts w:hint="default" w:ascii="Times New Roman" w:hAnsi="Times New Roman" w:eastAsia="宋体" w:cs="Times New Roman"/>
                <w:color w:val="auto"/>
                <w:szCs w:val="24"/>
              </w:rPr>
              <w:t>；根据《建设项目环境影响报告表编制技术指南》（污染影响类）（试行）的要求：“排放国家、地方环境空气质量标准中有标准限值要求的特征污染物时，引用建设项目周边5千米范围内近3年的现有监测数据”进行现状评价</w:t>
            </w:r>
            <w:r>
              <w:rPr>
                <w:rFonts w:hint="default" w:ascii="Times New Roman" w:hAnsi="Times New Roman" w:eastAsia="宋体" w:cs="Times New Roman"/>
                <w:color w:val="auto"/>
                <w:szCs w:val="24"/>
                <w:lang w:eastAsia="zh-CN"/>
              </w:rPr>
              <w:t>。本项目采用</w:t>
            </w:r>
            <w:r>
              <w:rPr>
                <w:rFonts w:hint="default" w:ascii="Times New Roman" w:hAnsi="Times New Roman" w:eastAsia="宋体" w:cs="Times New Roman"/>
                <w:bCs/>
                <w:color w:val="auto"/>
                <w:sz w:val="24"/>
                <w:szCs w:val="24"/>
                <w:lang w:eastAsia="zh-CN"/>
              </w:rPr>
              <w:t>《云南东川产业园总体规划修编（</w:t>
            </w:r>
            <w:r>
              <w:rPr>
                <w:rFonts w:hint="default" w:ascii="Times New Roman" w:hAnsi="Times New Roman" w:eastAsia="宋体" w:cs="Times New Roman"/>
                <w:bCs/>
                <w:color w:val="auto"/>
                <w:sz w:val="24"/>
                <w:szCs w:val="24"/>
                <w:lang w:val="en-US" w:eastAsia="zh-CN"/>
              </w:rPr>
              <w:t>2021-2035</w:t>
            </w:r>
            <w:r>
              <w:rPr>
                <w:rFonts w:hint="default" w:ascii="Times New Roman" w:hAnsi="Times New Roman" w:eastAsia="宋体" w:cs="Times New Roman"/>
                <w:bCs/>
                <w:color w:val="auto"/>
                <w:sz w:val="24"/>
                <w:szCs w:val="24"/>
                <w:lang w:eastAsia="zh-CN"/>
              </w:rPr>
              <w:t>）环境影响报告书》中碧谷片区环境现状监测（该报告中监测点位于本项目北侧，直线距离为</w:t>
            </w:r>
            <w:r>
              <w:rPr>
                <w:rFonts w:hint="default" w:ascii="Times New Roman" w:hAnsi="Times New Roman" w:eastAsia="宋体" w:cs="Times New Roman"/>
                <w:bCs/>
                <w:color w:val="auto"/>
                <w:sz w:val="24"/>
                <w:szCs w:val="24"/>
                <w:lang w:val="en-US" w:eastAsia="zh-CN"/>
              </w:rPr>
              <w:t>3000m</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Cs w:val="24"/>
              </w:rPr>
              <w:t>其数据如下表所示。</w:t>
            </w:r>
          </w:p>
          <w:p>
            <w:pPr>
              <w:pStyle w:val="53"/>
              <w:ind w:firstLine="480"/>
              <w:jc w:val="center"/>
              <w:rPr>
                <w:rFonts w:hint="default" w:ascii="Times New Roman" w:hAnsi="Times New Roman" w:eastAsia="宋体" w:cs="Times New Roman"/>
                <w:b/>
                <w:bCs/>
                <w:snapToGrid w:val="0"/>
                <w:color w:val="auto"/>
                <w:kern w:val="0"/>
                <w:sz w:val="21"/>
                <w:szCs w:val="21"/>
                <w:lang w:val="en-US" w:eastAsia="zh-CN" w:bidi="ar-SA"/>
              </w:rPr>
            </w:pPr>
            <w:r>
              <w:rPr>
                <w:rFonts w:hint="default" w:ascii="Times New Roman" w:hAnsi="Times New Roman" w:eastAsia="宋体" w:cs="Times New Roman"/>
                <w:b/>
                <w:bCs/>
                <w:snapToGrid w:val="0"/>
                <w:color w:val="auto"/>
                <w:kern w:val="0"/>
                <w:sz w:val="21"/>
                <w:szCs w:val="21"/>
                <w:lang w:val="en-US" w:eastAsia="zh-CN" w:bidi="ar-SA"/>
              </w:rPr>
              <w:t>表3.1.1-2 云南东川产业园总体规划修编（2021-2035）环境影响报告书2022年2月10日-2月17日环境空气现状监测结果一览表</w:t>
            </w:r>
          </w:p>
          <w:tbl>
            <w:tblPr>
              <w:tblStyle w:val="26"/>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200"/>
              <w:gridCol w:w="780"/>
              <w:gridCol w:w="1095"/>
              <w:gridCol w:w="945"/>
              <w:gridCol w:w="1395"/>
              <w:gridCol w:w="1125"/>
              <w:gridCol w:w="67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监测单位</w:t>
                  </w:r>
                </w:p>
              </w:tc>
              <w:tc>
                <w:tcPr>
                  <w:tcW w:w="120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污染物</w:t>
                  </w:r>
                </w:p>
              </w:tc>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监测点</w:t>
                  </w:r>
                </w:p>
              </w:tc>
              <w:tc>
                <w:tcPr>
                  <w:tcW w:w="109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监测时间</w:t>
                  </w:r>
                </w:p>
              </w:tc>
              <w:tc>
                <w:tcPr>
                  <w:tcW w:w="94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标准值(</w:t>
                  </w:r>
                  <w:r>
                    <w:rPr>
                      <w:rFonts w:hint="default" w:ascii="Times New Roman" w:hAnsi="Times New Roman" w:eastAsia="宋体" w:cs="Times New Roman"/>
                      <w:b w:val="0"/>
                      <w:bCs w:val="0"/>
                      <w:color w:val="auto"/>
                      <w:sz w:val="21"/>
                      <w:szCs w:val="21"/>
                      <w:lang w:val="en-US"/>
                    </w:rPr>
                    <w:t>ug/m³</w:t>
                  </w:r>
                  <w:r>
                    <w:rPr>
                      <w:rFonts w:hint="default" w:ascii="Times New Roman" w:hAnsi="Times New Roman" w:eastAsia="宋体" w:cs="Times New Roman"/>
                      <w:b w:val="0"/>
                      <w:bCs w:val="0"/>
                      <w:snapToGrid w:val="0"/>
                      <w:color w:val="auto"/>
                      <w:kern w:val="0"/>
                      <w:sz w:val="21"/>
                      <w:szCs w:val="21"/>
                      <w:vertAlign w:val="baseline"/>
                      <w:lang w:val="en-US" w:eastAsia="zh-CN" w:bidi="ar-SA"/>
                    </w:rPr>
                    <w:t>)</w:t>
                  </w:r>
                </w:p>
              </w:tc>
              <w:tc>
                <w:tcPr>
                  <w:tcW w:w="139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监测浓度范围（</w:t>
                  </w:r>
                  <w:r>
                    <w:rPr>
                      <w:rFonts w:hint="default" w:ascii="Times New Roman" w:hAnsi="Times New Roman" w:eastAsia="宋体" w:cs="Times New Roman"/>
                      <w:b w:val="0"/>
                      <w:bCs w:val="0"/>
                      <w:color w:val="auto"/>
                      <w:sz w:val="21"/>
                      <w:szCs w:val="21"/>
                      <w:lang w:val="en-US"/>
                    </w:rPr>
                    <w:t>ug/m³</w:t>
                  </w:r>
                  <w:r>
                    <w:rPr>
                      <w:rFonts w:hint="default" w:ascii="Times New Roman" w:hAnsi="Times New Roman" w:eastAsia="宋体" w:cs="Times New Roman"/>
                      <w:b w:val="0"/>
                      <w:bCs w:val="0"/>
                      <w:snapToGrid w:val="0"/>
                      <w:color w:val="auto"/>
                      <w:kern w:val="0"/>
                      <w:sz w:val="21"/>
                      <w:szCs w:val="21"/>
                      <w:vertAlign w:val="baseline"/>
                      <w:lang w:val="en-US" w:eastAsia="zh-CN" w:bidi="ar-SA"/>
                    </w:rPr>
                    <w:t>）</w:t>
                  </w: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最大浓度占标率</w:t>
                  </w:r>
                </w:p>
              </w:tc>
              <w:tc>
                <w:tcPr>
                  <w:tcW w:w="67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超标率</w:t>
                  </w:r>
                </w:p>
              </w:tc>
              <w:tc>
                <w:tcPr>
                  <w:tcW w:w="72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云南中科检测技术有限公司</w:t>
                  </w:r>
                </w:p>
              </w:tc>
              <w:tc>
                <w:tcPr>
                  <w:tcW w:w="120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非甲烷总烃</w:t>
                  </w:r>
                </w:p>
              </w:tc>
              <w:tc>
                <w:tcPr>
                  <w:tcW w:w="78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碧谷片区（片区内）</w:t>
                  </w:r>
                </w:p>
              </w:tc>
              <w:tc>
                <w:tcPr>
                  <w:tcW w:w="109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一次样</w:t>
                  </w:r>
                </w:p>
              </w:tc>
              <w:tc>
                <w:tcPr>
                  <w:tcW w:w="94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2000</w:t>
                  </w:r>
                </w:p>
              </w:tc>
              <w:tc>
                <w:tcPr>
                  <w:tcW w:w="139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590-730</w:t>
                  </w: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36.50%</w:t>
                  </w:r>
                </w:p>
              </w:tc>
              <w:tc>
                <w:tcPr>
                  <w:tcW w:w="67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0%</w:t>
                  </w:r>
                </w:p>
              </w:tc>
              <w:tc>
                <w:tcPr>
                  <w:tcW w:w="72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5"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p>
              </w:tc>
              <w:tc>
                <w:tcPr>
                  <w:tcW w:w="120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TSP</w:t>
                  </w:r>
                </w:p>
              </w:tc>
              <w:tc>
                <w:tcPr>
                  <w:tcW w:w="780"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p>
              </w:tc>
              <w:tc>
                <w:tcPr>
                  <w:tcW w:w="109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24小时均值</w:t>
                  </w:r>
                </w:p>
              </w:tc>
              <w:tc>
                <w:tcPr>
                  <w:tcW w:w="94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300</w:t>
                  </w:r>
                </w:p>
              </w:tc>
              <w:tc>
                <w:tcPr>
                  <w:tcW w:w="139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0.127-0.147</w:t>
                  </w: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0.05%</w:t>
                  </w:r>
                </w:p>
              </w:tc>
              <w:tc>
                <w:tcPr>
                  <w:tcW w:w="67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0%</w:t>
                  </w:r>
                </w:p>
              </w:tc>
              <w:tc>
                <w:tcPr>
                  <w:tcW w:w="720"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snapToGrid w:val="0"/>
                      <w:color w:val="auto"/>
                      <w:kern w:val="0"/>
                      <w:sz w:val="21"/>
                      <w:szCs w:val="21"/>
                      <w:vertAlign w:val="baseline"/>
                      <w:lang w:val="en-US" w:eastAsia="zh-CN" w:bidi="ar-SA"/>
                    </w:rPr>
                  </w:pPr>
                  <w:r>
                    <w:rPr>
                      <w:rFonts w:hint="default" w:ascii="Times New Roman" w:hAnsi="Times New Roman" w:eastAsia="宋体" w:cs="Times New Roman"/>
                      <w:b w:val="0"/>
                      <w:bCs w:val="0"/>
                      <w:snapToGrid w:val="0"/>
                      <w:color w:val="auto"/>
                      <w:kern w:val="0"/>
                      <w:sz w:val="21"/>
                      <w:szCs w:val="21"/>
                      <w:vertAlign w:val="baseline"/>
                      <w:lang w:val="en-US" w:eastAsia="zh-CN" w:bidi="ar-SA"/>
                    </w:rPr>
                    <w:t>达标</w:t>
                  </w:r>
                </w:p>
              </w:tc>
            </w:tr>
          </w:tbl>
          <w:p>
            <w:pPr>
              <w:pStyle w:val="53"/>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由上表可知，</w:t>
            </w:r>
            <w:r>
              <w:rPr>
                <w:rFonts w:hint="default" w:ascii="Times New Roman" w:hAnsi="Times New Roman" w:eastAsia="宋体" w:cs="Times New Roman"/>
                <w:bCs/>
                <w:color w:val="auto"/>
                <w:sz w:val="24"/>
                <w:szCs w:val="24"/>
                <w:lang w:eastAsia="zh-CN"/>
              </w:rPr>
              <w:t>《云南东川产业园总体规划修编（</w:t>
            </w:r>
            <w:r>
              <w:rPr>
                <w:rFonts w:hint="default" w:ascii="Times New Roman" w:hAnsi="Times New Roman" w:eastAsia="宋体" w:cs="Times New Roman"/>
                <w:bCs/>
                <w:color w:val="auto"/>
                <w:sz w:val="24"/>
                <w:szCs w:val="24"/>
                <w:lang w:val="en-US" w:eastAsia="zh-CN"/>
              </w:rPr>
              <w:t>2021-2035</w:t>
            </w:r>
            <w:r>
              <w:rPr>
                <w:rFonts w:hint="default" w:ascii="Times New Roman" w:hAnsi="Times New Roman" w:eastAsia="宋体" w:cs="Times New Roman"/>
                <w:bCs/>
                <w:color w:val="auto"/>
                <w:sz w:val="24"/>
                <w:szCs w:val="24"/>
                <w:lang w:eastAsia="zh-CN"/>
              </w:rPr>
              <w:t>）环境影响报告书》中碧谷片区</w:t>
            </w:r>
            <w:r>
              <w:rPr>
                <w:rFonts w:hint="default" w:ascii="Times New Roman" w:hAnsi="Times New Roman" w:eastAsia="宋体" w:cs="Times New Roman"/>
                <w:bCs/>
                <w:color w:val="auto"/>
                <w:sz w:val="24"/>
                <w:szCs w:val="24"/>
                <w:lang w:val="en-US" w:eastAsia="zh-CN"/>
              </w:rPr>
              <w:t>2022年2月10日-2月17日</w:t>
            </w:r>
            <w:r>
              <w:rPr>
                <w:rFonts w:hint="default" w:ascii="Times New Roman" w:hAnsi="Times New Roman" w:eastAsia="宋体" w:cs="Times New Roman"/>
                <w:bCs/>
                <w:color w:val="auto"/>
                <w:sz w:val="24"/>
                <w:szCs w:val="24"/>
                <w:lang w:eastAsia="zh-CN"/>
              </w:rPr>
              <w:t>环境现状监测结果，项目区域</w:t>
            </w:r>
            <w:r>
              <w:rPr>
                <w:rFonts w:hint="default" w:ascii="Times New Roman" w:hAnsi="Times New Roman" w:eastAsia="宋体" w:cs="Times New Roman"/>
                <w:color w:val="auto"/>
                <w:szCs w:val="24"/>
              </w:rPr>
              <w:t>TSP</w:t>
            </w:r>
            <w:r>
              <w:rPr>
                <w:rFonts w:hint="default" w:ascii="Times New Roman" w:hAnsi="Times New Roman" w:eastAsia="宋体" w:cs="Times New Roman"/>
                <w:bCs/>
                <w:color w:val="auto"/>
                <w:sz w:val="24"/>
                <w:szCs w:val="24"/>
              </w:rPr>
              <w:t>可达到《环境空气质量标准》（GB</w:t>
            </w:r>
            <w:r>
              <w:rPr>
                <w:rFonts w:hint="eastAsia" w:cs="Times New Roman"/>
                <w:bCs/>
                <w:color w:val="auto"/>
                <w:sz w:val="24"/>
                <w:szCs w:val="24"/>
                <w:lang w:eastAsia="zh-CN"/>
              </w:rPr>
              <w:t>****</w:t>
            </w:r>
            <w:r>
              <w:rPr>
                <w:rFonts w:hint="default" w:ascii="Times New Roman" w:hAnsi="Times New Roman" w:eastAsia="宋体" w:cs="Times New Roman"/>
                <w:bCs/>
                <w:color w:val="auto"/>
                <w:sz w:val="24"/>
                <w:szCs w:val="24"/>
              </w:rPr>
              <w:t>-2012）二级标准</w:t>
            </w:r>
            <w:r>
              <w:rPr>
                <w:rFonts w:hint="default" w:ascii="Times New Roman" w:hAnsi="Times New Roman" w:cs="Times New Roman"/>
                <w:bCs/>
                <w:color w:val="auto"/>
                <w:sz w:val="24"/>
                <w:szCs w:val="24"/>
                <w:lang w:eastAsia="zh-CN"/>
              </w:rPr>
              <w:t>，</w:t>
            </w:r>
            <w:r>
              <w:rPr>
                <w:rFonts w:hint="default" w:ascii="Times New Roman" w:hAnsi="Times New Roman" w:eastAsia="宋体" w:cs="Times New Roman"/>
                <w:color w:val="auto"/>
                <w:szCs w:val="24"/>
                <w:lang w:eastAsia="zh-CN"/>
              </w:rPr>
              <w:t>非甲烷总烃可达</w:t>
            </w:r>
            <w:r>
              <w:rPr>
                <w:rFonts w:hint="default" w:ascii="Times New Roman" w:hAnsi="Times New Roman" w:cs="Times New Roman"/>
                <w:color w:val="auto"/>
                <w:sz w:val="24"/>
                <w:szCs w:val="24"/>
              </w:rPr>
              <w:t>《大气污染物综合排放标准详解》244页中标准，即非甲烷总烃≤2</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mg/m³</w:t>
            </w:r>
            <w:r>
              <w:rPr>
                <w:rFonts w:hint="default" w:ascii="Times New Roman" w:hAnsi="Times New Roman" w:eastAsia="宋体" w:cs="Times New Roman"/>
                <w:bCs/>
                <w:color w:val="auto"/>
                <w:sz w:val="24"/>
                <w:szCs w:val="24"/>
              </w:rPr>
              <w:t>。</w:t>
            </w:r>
          </w:p>
          <w:p>
            <w:pPr>
              <w:pStyle w:val="53"/>
              <w:ind w:firstLine="480"/>
              <w:rPr>
                <w:rFonts w:hint="default" w:ascii="Times New Roman" w:hAnsi="Times New Roman" w:eastAsia="宋体" w:cs="Times New Roman"/>
                <w:b/>
                <w:color w:val="auto"/>
                <w:kern w:val="2"/>
                <w:sz w:val="24"/>
                <w:szCs w:val="24"/>
                <w:lang w:val="en-US" w:eastAsia="zh-CN" w:bidi="ar-SA"/>
              </w:rPr>
            </w:pPr>
            <w:bookmarkStart w:id="1" w:name="_Toc119082727"/>
            <w:bookmarkStart w:id="2" w:name="_Toc184698431"/>
            <w:bookmarkStart w:id="3" w:name="_Toc118030051"/>
            <w:r>
              <w:rPr>
                <w:rFonts w:hint="default" w:ascii="Times New Roman" w:hAnsi="Times New Roman" w:eastAsia="宋体" w:cs="Times New Roman"/>
                <w:b/>
                <w:color w:val="auto"/>
                <w:kern w:val="2"/>
                <w:sz w:val="24"/>
                <w:szCs w:val="24"/>
                <w:lang w:val="en-US" w:eastAsia="zh-CN" w:bidi="ar-SA"/>
              </w:rPr>
              <w:t>3.1.2 地表水环境质量现状</w:t>
            </w:r>
          </w:p>
          <w:p>
            <w:pPr>
              <w:pStyle w:val="53"/>
              <w:ind w:firstLine="480"/>
              <w:rPr>
                <w:rFonts w:hint="default" w:ascii="Times New Roman" w:hAnsi="Times New Roman" w:cs="Times New Roman"/>
                <w:color w:val="auto"/>
                <w:szCs w:val="24"/>
              </w:rPr>
            </w:pPr>
            <w:r>
              <w:rPr>
                <w:rFonts w:hint="default" w:ascii="Times New Roman" w:hAnsi="Times New Roman" w:eastAsia="宋体" w:cs="Times New Roman"/>
                <w:color w:val="auto"/>
                <w:szCs w:val="24"/>
              </w:rPr>
              <w:t>项目所在区域属于小江汇水范围</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根据云南省水利厅发布的《云南省水功能区划》（2014版），</w:t>
            </w:r>
            <w:r>
              <w:rPr>
                <w:rFonts w:hint="default" w:ascii="Times New Roman" w:hAnsi="Times New Roman" w:cs="Times New Roman"/>
                <w:color w:val="auto"/>
                <w:szCs w:val="24"/>
                <w:lang w:eastAsia="zh-CN"/>
              </w:rPr>
              <w:t>项目区地表水属于“小江寻甸</w:t>
            </w:r>
            <w:r>
              <w:rPr>
                <w:rFonts w:hint="default" w:ascii="Times New Roman" w:hAnsi="Times New Roman" w:cs="Times New Roman"/>
                <w:color w:val="auto"/>
                <w:szCs w:val="24"/>
                <w:lang w:val="en-US" w:eastAsia="zh-CN"/>
              </w:rPr>
              <w:t>-东川保留区</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lang w:val="en-US" w:eastAsia="zh-CN"/>
              </w:rPr>
              <w:t>由寻甸县清水海出口至东川区入金沙江口，全长141.0km，规划水平年水质目标为Ⅲ类，</w:t>
            </w:r>
            <w:r>
              <w:rPr>
                <w:rFonts w:hint="default" w:ascii="Times New Roman" w:hAnsi="Times New Roman" w:cs="Times New Roman"/>
                <w:color w:val="auto"/>
                <w:szCs w:val="24"/>
              </w:rPr>
              <w:t>执行《地表水环境质量标准》（GB</w:t>
            </w:r>
            <w:r>
              <w:rPr>
                <w:rFonts w:hint="eastAsia" w:cs="Times New Roman"/>
                <w:color w:val="auto"/>
                <w:szCs w:val="24"/>
                <w:lang w:eastAsia="zh-CN"/>
              </w:rPr>
              <w:t>****</w:t>
            </w:r>
            <w:r>
              <w:rPr>
                <w:rFonts w:hint="default" w:ascii="Times New Roman" w:hAnsi="Times New Roman" w:cs="Times New Roman"/>
                <w:color w:val="auto"/>
                <w:szCs w:val="24"/>
              </w:rPr>
              <w:t>-2002）</w:t>
            </w:r>
            <w:r>
              <w:rPr>
                <w:rFonts w:hint="default" w:ascii="Times New Roman" w:hAnsi="Times New Roman" w:cs="Times New Roman"/>
                <w:color w:val="auto"/>
                <w:szCs w:val="24"/>
              </w:rPr>
              <w:fldChar w:fldCharType="begin"/>
            </w:r>
            <w:r>
              <w:rPr>
                <w:rFonts w:hint="default" w:ascii="Times New Roman" w:hAnsi="Times New Roman" w:cs="Times New Roman"/>
                <w:color w:val="auto"/>
                <w:szCs w:val="24"/>
              </w:rPr>
              <w:instrText xml:space="preserve"> = 3 \* ROMAN </w:instrText>
            </w:r>
            <w:r>
              <w:rPr>
                <w:rFonts w:hint="default" w:ascii="Times New Roman" w:hAnsi="Times New Roman" w:cs="Times New Roman"/>
                <w:color w:val="auto"/>
                <w:szCs w:val="24"/>
              </w:rPr>
              <w:fldChar w:fldCharType="separate"/>
            </w:r>
            <w:r>
              <w:rPr>
                <w:rFonts w:hint="default" w:ascii="Times New Roman" w:hAnsi="Times New Roman" w:cs="Times New Roman"/>
                <w:color w:val="auto"/>
                <w:szCs w:val="24"/>
              </w:rPr>
              <w:t>II</w:t>
            </w:r>
            <w:r>
              <w:rPr>
                <w:rFonts w:hint="default" w:ascii="Times New Roman" w:hAnsi="Times New Roman" w:cs="Times New Roman"/>
                <w:color w:val="auto"/>
                <w:szCs w:val="24"/>
              </w:rPr>
              <w:fldChar w:fldCharType="end"/>
            </w:r>
            <w:r>
              <w:rPr>
                <w:rFonts w:hint="default" w:ascii="Times New Roman" w:hAnsi="Times New Roman" w:cs="Times New Roman"/>
                <w:color w:val="auto"/>
                <w:szCs w:val="24"/>
              </w:rPr>
              <w:t>I类标准。</w:t>
            </w:r>
          </w:p>
          <w:p>
            <w:pPr>
              <w:pStyle w:val="53"/>
              <w:ind w:firstLine="480"/>
              <w:rPr>
                <w:rFonts w:hint="default" w:ascii="Times New Roman" w:hAnsi="Times New Roman" w:eastAsia="宋体" w:cs="Times New Roman"/>
                <w:color w:val="auto"/>
                <w:szCs w:val="24"/>
              </w:rPr>
            </w:pPr>
            <w:r>
              <w:rPr>
                <w:rFonts w:hint="default" w:ascii="Times New Roman" w:hAnsi="Times New Roman" w:cs="Times New Roman"/>
                <w:bCs/>
                <w:color w:val="auto"/>
                <w:kern w:val="20"/>
                <w:sz w:val="24"/>
                <w:szCs w:val="24"/>
                <w:lang w:eastAsia="zh-CN"/>
              </w:rPr>
              <w:t>根据《昆明市生态环境状况公报》（</w:t>
            </w:r>
            <w:r>
              <w:rPr>
                <w:rFonts w:hint="default" w:ascii="Times New Roman" w:hAnsi="Times New Roman" w:cs="Times New Roman"/>
                <w:bCs/>
                <w:color w:val="auto"/>
                <w:kern w:val="20"/>
                <w:sz w:val="24"/>
                <w:szCs w:val="24"/>
                <w:lang w:val="en-US" w:eastAsia="zh-CN"/>
              </w:rPr>
              <w:t>2022年度</w:t>
            </w:r>
            <w:r>
              <w:rPr>
                <w:rFonts w:hint="default" w:ascii="Times New Roman" w:hAnsi="Times New Roman" w:cs="Times New Roman"/>
                <w:bCs/>
                <w:color w:val="auto"/>
                <w:kern w:val="20"/>
                <w:sz w:val="24"/>
                <w:szCs w:val="24"/>
                <w:lang w:eastAsia="zh-CN"/>
              </w:rPr>
              <w:t>）中水环境质量长江流域小江水质，与</w:t>
            </w:r>
            <w:r>
              <w:rPr>
                <w:rFonts w:hint="default" w:ascii="Times New Roman" w:hAnsi="Times New Roman" w:cs="Times New Roman"/>
                <w:bCs/>
                <w:color w:val="auto"/>
                <w:kern w:val="20"/>
                <w:sz w:val="24"/>
                <w:szCs w:val="24"/>
                <w:lang w:val="en-US" w:eastAsia="zh-CN"/>
              </w:rPr>
              <w:t>2021年相比，小江四级站断面、阿旺(姑海)断面水质类别保持Ⅱ类不变，故项目区地表水</w:t>
            </w:r>
            <w:r>
              <w:rPr>
                <w:rFonts w:hint="default" w:ascii="Times New Roman" w:hAnsi="Times New Roman" w:cs="Times New Roman"/>
                <w:color w:val="auto"/>
                <w:szCs w:val="24"/>
              </w:rPr>
              <w:t>达到《地表水环境质量标准》（GB</w:t>
            </w:r>
            <w:r>
              <w:rPr>
                <w:rFonts w:hint="eastAsia" w:cs="Times New Roman"/>
                <w:color w:val="auto"/>
                <w:szCs w:val="24"/>
                <w:lang w:eastAsia="zh-CN"/>
              </w:rPr>
              <w:t>****</w:t>
            </w:r>
            <w:r>
              <w:rPr>
                <w:rFonts w:hint="default" w:ascii="Times New Roman" w:hAnsi="Times New Roman" w:cs="Times New Roman"/>
                <w:color w:val="auto"/>
                <w:szCs w:val="24"/>
              </w:rPr>
              <w:t>-2002）中的</w:t>
            </w:r>
            <w:r>
              <w:rPr>
                <w:rFonts w:hint="default" w:ascii="Times New Roman" w:hAnsi="Times New Roman" w:cs="Times New Roman"/>
                <w:bCs/>
                <w:color w:val="auto"/>
                <w:kern w:val="20"/>
                <w:sz w:val="24"/>
                <w:szCs w:val="24"/>
                <w:lang w:val="en-US" w:eastAsia="zh-CN"/>
              </w:rPr>
              <w:t>Ⅱ</w:t>
            </w:r>
            <w:r>
              <w:rPr>
                <w:rFonts w:hint="default" w:ascii="Times New Roman" w:hAnsi="Times New Roman" w:cs="Times New Roman"/>
                <w:color w:val="auto"/>
                <w:szCs w:val="24"/>
              </w:rPr>
              <w:t>类水质标准</w:t>
            </w:r>
            <w:r>
              <w:rPr>
                <w:rFonts w:hint="default" w:ascii="Times New Roman" w:hAnsi="Times New Roman" w:cs="Times New Roman"/>
                <w:color w:val="auto"/>
                <w:szCs w:val="24"/>
                <w:lang w:eastAsia="zh-CN"/>
              </w:rPr>
              <w:t>要求</w:t>
            </w:r>
            <w:r>
              <w:rPr>
                <w:rFonts w:hint="default" w:ascii="Times New Roman" w:hAnsi="Times New Roman" w:eastAsia="宋体" w:cs="Times New Roman"/>
                <w:color w:val="auto"/>
                <w:szCs w:val="24"/>
              </w:rPr>
              <w:t>。</w:t>
            </w:r>
          </w:p>
          <w:bookmarkEnd w:id="1"/>
          <w:bookmarkEnd w:id="2"/>
          <w:bookmarkEnd w:id="3"/>
          <w:p>
            <w:pPr>
              <w:pStyle w:val="53"/>
              <w:ind w:firstLine="480"/>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3.1.3 声环境质量现状</w:t>
            </w:r>
          </w:p>
          <w:p>
            <w:pPr>
              <w:pStyle w:val="53"/>
              <w:ind w:firstLine="480"/>
              <w:rPr>
                <w:rFonts w:hint="default" w:ascii="Times New Roman" w:hAnsi="Times New Roman" w:eastAsia="宋体" w:cs="Times New Roman"/>
                <w:bCs/>
                <w:color w:val="auto"/>
                <w:szCs w:val="24"/>
                <w:lang w:eastAsia="zh-CN"/>
              </w:rPr>
            </w:pPr>
            <w:r>
              <w:rPr>
                <w:rFonts w:hint="default" w:ascii="Times New Roman" w:hAnsi="Times New Roman" w:eastAsia="宋体" w:cs="Times New Roman"/>
                <w:bCs/>
                <w:color w:val="auto"/>
                <w:sz w:val="24"/>
                <w:szCs w:val="24"/>
              </w:rPr>
              <w:t>该项目位于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Cs w:val="24"/>
              </w:rPr>
              <w:t>根据《声环境功能区划分技术规范》（GB/T15190-2014），项目区为2类区，根据现场踏勘的结果，项目区</w:t>
            </w:r>
            <w:r>
              <w:rPr>
                <w:rFonts w:hint="default" w:ascii="Times New Roman" w:hAnsi="Times New Roman" w:eastAsia="宋体" w:cs="Times New Roman"/>
                <w:color w:val="auto"/>
                <w:szCs w:val="24"/>
                <w:lang w:eastAsia="zh-CN"/>
              </w:rPr>
              <w:t>西侧邻</w:t>
            </w:r>
            <w:r>
              <w:rPr>
                <w:rFonts w:hint="default" w:ascii="Times New Roman" w:hAnsi="Times New Roman" w:eastAsia="宋体" w:cs="Times New Roman"/>
                <w:color w:val="auto"/>
                <w:szCs w:val="24"/>
                <w:lang w:val="en-US" w:eastAsia="zh-CN"/>
              </w:rPr>
              <w:t>G248国道</w:t>
            </w:r>
            <w:r>
              <w:rPr>
                <w:rFonts w:hint="default" w:ascii="Times New Roman" w:hAnsi="Times New Roman" w:eastAsia="宋体" w:cs="Times New Roman"/>
                <w:bCs/>
                <w:color w:val="auto"/>
                <w:szCs w:val="24"/>
              </w:rPr>
              <w:t>，</w:t>
            </w:r>
            <w:r>
              <w:rPr>
                <w:rFonts w:hint="default" w:ascii="Times New Roman" w:hAnsi="Times New Roman" w:eastAsia="宋体" w:cs="Times New Roman"/>
                <w:bCs/>
                <w:color w:val="auto"/>
                <w:szCs w:val="24"/>
                <w:lang w:eastAsia="zh-CN"/>
              </w:rPr>
              <w:t>项目区东侧</w:t>
            </w:r>
            <w:r>
              <w:rPr>
                <w:rFonts w:hint="default" w:ascii="Times New Roman" w:hAnsi="Times New Roman" w:eastAsia="宋体" w:cs="Times New Roman"/>
                <w:bCs/>
                <w:color w:val="auto"/>
                <w:szCs w:val="24"/>
                <w:lang w:val="en-US" w:eastAsia="zh-CN"/>
              </w:rPr>
              <w:t>21m处存在声环境保护目标小新村，根据云南环普检测科技有限公司2023年2月21日</w:t>
            </w:r>
            <w:r>
              <w:rPr>
                <w:rFonts w:hint="default" w:ascii="Times New Roman" w:hAnsi="Times New Roman" w:eastAsia="宋体" w:cs="Times New Roman"/>
                <w:bCs/>
                <w:color w:val="auto"/>
                <w:szCs w:val="24"/>
              </w:rPr>
              <w:t>对区域声环境质量调查</w:t>
            </w:r>
            <w:r>
              <w:rPr>
                <w:rFonts w:hint="default" w:ascii="Times New Roman" w:hAnsi="Times New Roman" w:eastAsia="宋体" w:cs="Times New Roman"/>
                <w:bCs/>
                <w:color w:val="auto"/>
                <w:szCs w:val="24"/>
                <w:lang w:eastAsia="zh-CN"/>
              </w:rPr>
              <w:t>监测</w:t>
            </w:r>
            <w:r>
              <w:rPr>
                <w:rFonts w:hint="default" w:ascii="Times New Roman" w:hAnsi="Times New Roman" w:eastAsia="宋体" w:cs="Times New Roman"/>
                <w:bCs/>
                <w:color w:val="auto"/>
                <w:szCs w:val="24"/>
              </w:rPr>
              <w:t>，</w:t>
            </w:r>
            <w:r>
              <w:rPr>
                <w:rFonts w:hint="default" w:ascii="Times New Roman" w:hAnsi="Times New Roman" w:eastAsia="宋体" w:cs="Times New Roman"/>
                <w:bCs/>
                <w:color w:val="auto"/>
                <w:szCs w:val="24"/>
                <w:lang w:eastAsia="zh-CN"/>
              </w:rPr>
              <w:t>项目声环境保护目标小新村</w:t>
            </w:r>
            <w:r>
              <w:rPr>
                <w:rFonts w:hint="default" w:ascii="Times New Roman" w:hAnsi="Times New Roman" w:eastAsia="宋体" w:cs="Times New Roman"/>
                <w:bCs/>
                <w:color w:val="auto"/>
                <w:szCs w:val="24"/>
              </w:rPr>
              <w:t>声环境</w:t>
            </w:r>
            <w:r>
              <w:rPr>
                <w:rFonts w:hint="default" w:ascii="Times New Roman" w:hAnsi="Times New Roman" w:eastAsia="宋体" w:cs="Times New Roman"/>
                <w:bCs/>
                <w:color w:val="auto"/>
                <w:szCs w:val="24"/>
                <w:lang w:eastAsia="zh-CN"/>
              </w:rPr>
              <w:t>均</w:t>
            </w:r>
            <w:r>
              <w:rPr>
                <w:rFonts w:hint="default" w:ascii="Times New Roman" w:hAnsi="Times New Roman" w:eastAsia="宋体" w:cs="Times New Roman"/>
                <w:bCs/>
                <w:color w:val="auto"/>
                <w:szCs w:val="24"/>
              </w:rPr>
              <w:t>可达到《声环境质量标准》（GB</w:t>
            </w:r>
            <w:r>
              <w:rPr>
                <w:rFonts w:hint="eastAsia" w:cs="Times New Roman"/>
                <w:bCs/>
                <w:color w:val="auto"/>
                <w:szCs w:val="24"/>
                <w:lang w:eastAsia="zh-CN"/>
              </w:rPr>
              <w:t>****</w:t>
            </w:r>
            <w:r>
              <w:rPr>
                <w:rFonts w:hint="default" w:ascii="Times New Roman" w:hAnsi="Times New Roman" w:eastAsia="宋体" w:cs="Times New Roman"/>
                <w:bCs/>
                <w:color w:val="auto"/>
                <w:szCs w:val="24"/>
              </w:rPr>
              <w:t>-2008）</w:t>
            </w:r>
            <w:r>
              <w:rPr>
                <w:rFonts w:hint="default" w:ascii="Times New Roman" w:hAnsi="Times New Roman" w:eastAsia="宋体" w:cs="Times New Roman"/>
                <w:bCs/>
                <w:color w:val="auto"/>
                <w:szCs w:val="24"/>
                <w:lang w:val="en-US" w:eastAsia="zh-CN"/>
              </w:rPr>
              <w:t>2</w:t>
            </w:r>
            <w:r>
              <w:rPr>
                <w:rFonts w:hint="default" w:ascii="Times New Roman" w:hAnsi="Times New Roman" w:eastAsia="宋体" w:cs="Times New Roman"/>
                <w:bCs/>
                <w:color w:val="auto"/>
                <w:szCs w:val="24"/>
              </w:rPr>
              <w:t>类区标准</w:t>
            </w:r>
            <w:r>
              <w:rPr>
                <w:rFonts w:hint="default" w:ascii="Times New Roman" w:hAnsi="Times New Roman" w:eastAsia="宋体" w:cs="Times New Roman"/>
                <w:bCs/>
                <w:color w:val="auto"/>
                <w:szCs w:val="24"/>
                <w:lang w:val="en-US" w:eastAsia="zh-CN"/>
              </w:rPr>
              <w:t>，</w:t>
            </w:r>
            <w:r>
              <w:rPr>
                <w:rFonts w:hint="default" w:ascii="Times New Roman" w:hAnsi="Times New Roman" w:eastAsia="宋体" w:cs="Times New Roman"/>
                <w:bCs/>
                <w:color w:val="auto"/>
                <w:szCs w:val="24"/>
                <w:lang w:eastAsia="zh-CN"/>
              </w:rPr>
              <w:t>监测数据如下。</w:t>
            </w:r>
          </w:p>
          <w:p>
            <w:pPr>
              <w:tabs>
                <w:tab w:val="right" w:pos="8906"/>
              </w:tabs>
              <w:spacing w:line="360" w:lineRule="auto"/>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rPr>
              <w:t>表</w:t>
            </w:r>
            <w:r>
              <w:rPr>
                <w:rFonts w:hint="default" w:ascii="Times New Roman" w:hAnsi="Times New Roman" w:eastAsia="宋体" w:cs="Times New Roman"/>
                <w:b/>
                <w:bCs w:val="0"/>
                <w:color w:val="auto"/>
                <w:sz w:val="21"/>
                <w:szCs w:val="21"/>
                <w:lang w:val="en-US" w:eastAsia="zh-CN"/>
              </w:rPr>
              <w:t xml:space="preserve">3.1.3-1 </w:t>
            </w:r>
            <w:r>
              <w:rPr>
                <w:rFonts w:hint="default" w:ascii="Times New Roman" w:hAnsi="Times New Roman" w:eastAsia="宋体" w:cs="Times New Roman"/>
                <w:b/>
                <w:bCs w:val="0"/>
                <w:color w:val="auto"/>
                <w:sz w:val="21"/>
                <w:szCs w:val="21"/>
              </w:rPr>
              <w:t xml:space="preserve"> </w:t>
            </w:r>
            <w:r>
              <w:rPr>
                <w:rFonts w:hint="default" w:ascii="Times New Roman" w:hAnsi="Times New Roman" w:eastAsia="宋体" w:cs="Times New Roman"/>
                <w:b/>
                <w:bCs w:val="0"/>
                <w:color w:val="auto"/>
                <w:sz w:val="21"/>
                <w:szCs w:val="21"/>
                <w:lang w:val="en-US" w:eastAsia="zh-CN"/>
              </w:rPr>
              <w:t>噪声</w:t>
            </w:r>
            <w:r>
              <w:rPr>
                <w:rFonts w:hint="default" w:ascii="Times New Roman" w:hAnsi="Times New Roman" w:eastAsia="宋体" w:cs="Times New Roman"/>
                <w:b/>
                <w:bCs w:val="0"/>
                <w:color w:val="auto"/>
                <w:sz w:val="21"/>
                <w:szCs w:val="21"/>
              </w:rPr>
              <w:t>检测结果表</w:t>
            </w:r>
            <w:r>
              <w:rPr>
                <w:rFonts w:hint="default" w:ascii="Times New Roman" w:hAnsi="Times New Roman" w:eastAsia="宋体" w:cs="Times New Roman"/>
                <w:b/>
                <w:bCs w:val="0"/>
                <w:color w:val="auto"/>
                <w:sz w:val="21"/>
                <w:szCs w:val="21"/>
                <w:lang w:val="en-US" w:eastAsia="zh-CN"/>
              </w:rPr>
              <w:t>单位：</w:t>
            </w:r>
            <w:r>
              <w:rPr>
                <w:rFonts w:hint="default" w:ascii="Times New Roman" w:hAnsi="Times New Roman" w:eastAsia="宋体" w:cs="Times New Roman"/>
                <w:b/>
                <w:bCs w:val="0"/>
                <w:color w:val="auto"/>
                <w:sz w:val="21"/>
                <w:szCs w:val="21"/>
              </w:rPr>
              <w:t>dB</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lang w:val="en-US" w:eastAsia="zh-CN"/>
              </w:rPr>
              <w:t>A）</w:t>
            </w:r>
          </w:p>
          <w:tbl>
            <w:tblPr>
              <w:tblStyle w:val="2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06"/>
              <w:gridCol w:w="1705"/>
              <w:gridCol w:w="1705"/>
              <w:gridCol w:w="170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71"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rPr>
                    <w:t>日期</w:t>
                  </w:r>
                </w:p>
              </w:tc>
              <w:tc>
                <w:tcPr>
                  <w:tcW w:w="1306"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rPr>
                    <w:t>点位</w:t>
                  </w:r>
                </w:p>
              </w:tc>
              <w:tc>
                <w:tcPr>
                  <w:tcW w:w="1705" w:type="dxa"/>
                  <w:vMerge w:val="restar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采样时间</w:t>
                  </w:r>
                </w:p>
              </w:tc>
              <w:tc>
                <w:tcPr>
                  <w:tcW w:w="1705"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测试时长（min）</w:t>
                  </w: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检测项目</w:t>
                  </w:r>
                </w:p>
              </w:tc>
              <w:tc>
                <w:tcPr>
                  <w:tcW w:w="1706" w:type="dxa"/>
                  <w:vMerge w:val="restar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71"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306"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0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05" w:type="dxa"/>
                  <w:vMerge w:val="continue"/>
                  <w:tcBorders>
                    <w:tl2br w:val="nil"/>
                    <w:tr2bl w:val="nil"/>
                  </w:tcBorders>
                  <w:vAlign w:val="center"/>
                </w:tcPr>
                <w:p>
                  <w:pPr>
                    <w:jc w:val="center"/>
                    <w:rPr>
                      <w:rFonts w:hint="default" w:ascii="Times New Roman" w:hAnsi="Times New Roman" w:eastAsia="宋体" w:cs="Times New Roman"/>
                      <w:color w:val="auto"/>
                      <w:sz w:val="21"/>
                      <w:szCs w:val="21"/>
                    </w:rPr>
                  </w:pPr>
                </w:p>
              </w:tc>
              <w:tc>
                <w:tcPr>
                  <w:tcW w:w="1705" w:type="dxa"/>
                  <w:tcBorders>
                    <w:tl2br w:val="nil"/>
                    <w:tr2bl w:val="nil"/>
                  </w:tcBorders>
                  <w:vAlign w:val="center"/>
                </w:tcPr>
                <w:p>
                  <w:pPr>
                    <w:pStyle w:val="10"/>
                    <w:spacing w:line="240" w:lineRule="atLeas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L</w:t>
                  </w:r>
                  <w:r>
                    <w:rPr>
                      <w:rFonts w:hint="default" w:ascii="Times New Roman" w:hAnsi="Times New Roman" w:eastAsia="宋体" w:cs="Times New Roman"/>
                      <w:color w:val="auto"/>
                      <w:sz w:val="21"/>
                      <w:szCs w:val="21"/>
                      <w:vertAlign w:val="subscript"/>
                    </w:rPr>
                    <w:t>eq</w:t>
                  </w:r>
                </w:p>
              </w:tc>
              <w:tc>
                <w:tcPr>
                  <w:tcW w:w="1706" w:type="dxa"/>
                  <w:vMerge w:val="continue"/>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1"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2023.02.21</w:t>
                  </w:r>
                </w:p>
              </w:tc>
              <w:tc>
                <w:tcPr>
                  <w:tcW w:w="1306" w:type="dxa"/>
                  <w:vMerge w:val="restar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小新村</w:t>
                  </w: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15:41</w:t>
                  </w: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58</w:t>
                  </w:r>
                </w:p>
              </w:tc>
              <w:tc>
                <w:tcPr>
                  <w:tcW w:w="1706"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生活噪声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1"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306" w:type="dxa"/>
                  <w:vMerge w:val="continue"/>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22:14</w:t>
                  </w: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705"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w:t>
                  </w:r>
                </w:p>
              </w:tc>
              <w:tc>
                <w:tcPr>
                  <w:tcW w:w="1706"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生活噪声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8" w:type="dxa"/>
                  <w:gridSpan w:val="6"/>
                  <w:tcBorders>
                    <w:tl2br w:val="nil"/>
                    <w:tr2bl w:val="nil"/>
                  </w:tcBorders>
                  <w:vAlign w:val="center"/>
                </w:tcPr>
                <w:p>
                  <w:pPr>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测试前校准值：93.7 dB（A） 测试后校验值：93.9 dB（A）。</w:t>
                  </w:r>
                </w:p>
              </w:tc>
            </w:tr>
          </w:tbl>
          <w:p>
            <w:pPr>
              <w:pStyle w:val="53"/>
              <w:ind w:firstLine="480"/>
              <w:rPr>
                <w:rFonts w:hint="default" w:ascii="Times New Roman" w:hAnsi="Times New Roman" w:eastAsia="宋体" w:cs="Times New Roman"/>
                <w:b/>
                <w:color w:val="auto"/>
                <w:kern w:val="2"/>
                <w:sz w:val="24"/>
                <w:szCs w:val="24"/>
                <w:lang w:val="en-US" w:eastAsia="zh-CN" w:bidi="ar-SA"/>
              </w:rPr>
            </w:pPr>
            <w:bookmarkStart w:id="4" w:name="_Toc248077256"/>
            <w:r>
              <w:rPr>
                <w:rFonts w:hint="default" w:ascii="Times New Roman" w:hAnsi="Times New Roman" w:eastAsia="宋体" w:cs="Times New Roman"/>
                <w:b/>
                <w:color w:val="auto"/>
                <w:kern w:val="2"/>
                <w:sz w:val="24"/>
                <w:szCs w:val="24"/>
                <w:lang w:val="en-US" w:eastAsia="zh-CN" w:bidi="ar-SA"/>
              </w:rPr>
              <w:t>3.1.4 生态环境质量现状</w:t>
            </w:r>
            <w:bookmarkEnd w:id="4"/>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根据调查，项目区域已规划为工业用地，</w:t>
            </w:r>
            <w:r>
              <w:rPr>
                <w:rFonts w:hint="default" w:ascii="Times New Roman" w:hAnsi="Times New Roman" w:cs="Times New Roman"/>
                <w:color w:val="auto"/>
                <w:szCs w:val="24"/>
                <w:lang w:val="en-US" w:eastAsia="zh-CN"/>
              </w:rPr>
              <w:t>项目现已建成</w:t>
            </w:r>
            <w:r>
              <w:rPr>
                <w:rFonts w:hint="default" w:ascii="Times New Roman" w:hAnsi="Times New Roman" w:eastAsia="宋体" w:cs="Times New Roman"/>
                <w:color w:val="auto"/>
                <w:szCs w:val="24"/>
              </w:rPr>
              <w:t>，该区域大部分天然植被已破坏，主要分布有人工植被；包括玉米等。其生态环境更多人为控制。地表植被种类较少，生物多样性较差，生态环境自身调控能力较低。</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项目区及周边200m范围内未发现珍稀濒危和国家重点保护野生动植物，无国家重点保护的鸟类、两栖类、爬行类、哺乳类动物种类分布。</w:t>
            </w:r>
          </w:p>
          <w:p>
            <w:pPr>
              <w:pStyle w:val="53"/>
              <w:ind w:firstLine="482"/>
              <w:rPr>
                <w:rFonts w:hint="default" w:ascii="Times New Roman" w:hAnsi="Times New Roman" w:eastAsia="宋体" w:cs="Times New Roman"/>
                <w:b/>
                <w:color w:val="auto"/>
                <w:szCs w:val="24"/>
                <w:lang w:eastAsia="zh-CN"/>
              </w:rPr>
            </w:pPr>
            <w:r>
              <w:rPr>
                <w:rFonts w:hint="default" w:ascii="Times New Roman" w:hAnsi="Times New Roman" w:eastAsia="宋体" w:cs="Times New Roman"/>
                <w:b/>
                <w:color w:val="auto"/>
                <w:szCs w:val="24"/>
              </w:rPr>
              <w:t>3.1.5 地下水、土壤环境</w:t>
            </w:r>
            <w:r>
              <w:rPr>
                <w:rFonts w:hint="default" w:ascii="Times New Roman" w:hAnsi="Times New Roman" w:eastAsia="宋体" w:cs="Times New Roman"/>
                <w:b/>
                <w:color w:val="auto"/>
                <w:szCs w:val="24"/>
                <w:lang w:eastAsia="zh-CN"/>
              </w:rPr>
              <w:t>质量现状</w:t>
            </w:r>
          </w:p>
          <w:p>
            <w:pPr>
              <w:pStyle w:val="53"/>
              <w:ind w:firstLine="48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建设项目环境影响报告表编制技术指南》（污染影响类）的要求，原则上不开展环境质量现状调查。建设项目存在土壤、地下水环境污染途径的，应结合污染源、保护目标分布情况开展现状调查以留作背景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Cs w:val="24"/>
              </w:rPr>
            </w:pPr>
            <w:r>
              <w:rPr>
                <w:rFonts w:hint="default" w:ascii="Times New Roman" w:hAnsi="Times New Roman" w:cs="Times New Roman" w:eastAsiaTheme="minorEastAsia"/>
                <w:color w:val="auto"/>
                <w:sz w:val="24"/>
                <w:szCs w:val="24"/>
              </w:rPr>
              <w:t>根据项目特点，</w:t>
            </w:r>
            <w:r>
              <w:rPr>
                <w:rFonts w:hint="default" w:ascii="Times New Roman" w:hAnsi="Times New Roman" w:cs="Times New Roman"/>
                <w:color w:val="auto"/>
                <w:sz w:val="24"/>
                <w:szCs w:val="24"/>
                <w:lang w:val="en-US" w:eastAsia="zh-CN"/>
              </w:rPr>
              <w:t>该项目为</w:t>
            </w:r>
            <w:r>
              <w:rPr>
                <w:rFonts w:hint="default" w:ascii="Times New Roman" w:hAnsi="Times New Roman" w:eastAsia="宋体" w:cs="Times New Roman"/>
                <w:color w:val="auto"/>
                <w:sz w:val="24"/>
                <w:szCs w:val="24"/>
                <w:lang w:val="en-US" w:eastAsia="zh-CN"/>
              </w:rPr>
              <w:t>卫生材料及医药用品制造项目</w:t>
            </w:r>
            <w:r>
              <w:rPr>
                <w:rFonts w:hint="default" w:ascii="Times New Roman" w:hAnsi="Times New Roman" w:cs="Times New Roman" w:eastAsiaTheme="minorEastAsia"/>
                <w:color w:val="auto"/>
                <w:sz w:val="24"/>
                <w:szCs w:val="24"/>
              </w:rPr>
              <w:t>，</w:t>
            </w:r>
            <w:r>
              <w:rPr>
                <w:rFonts w:hint="default" w:ascii="Times New Roman" w:hAnsi="Times New Roman" w:cs="Times New Roman"/>
                <w:color w:val="auto"/>
                <w:sz w:val="24"/>
                <w:szCs w:val="24"/>
                <w:lang w:val="en-US" w:eastAsia="zh-CN"/>
              </w:rPr>
              <w:t>基本不存在</w:t>
            </w:r>
            <w:r>
              <w:rPr>
                <w:rFonts w:hint="default" w:ascii="Times New Roman" w:hAnsi="Times New Roman" w:cs="Times New Roman" w:eastAsiaTheme="minorEastAsia"/>
                <w:color w:val="auto"/>
                <w:sz w:val="24"/>
                <w:szCs w:val="24"/>
              </w:rPr>
              <w:t>地下水、土壤环境污染途径</w:t>
            </w:r>
            <w:r>
              <w:rPr>
                <w:rFonts w:hint="default"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rPr>
              <w:t>且厂界外500m范围内不涉及集中式饮用水水源和热水、矿泉水、温泉等特殊地下水资源，</w:t>
            </w:r>
            <w:r>
              <w:rPr>
                <w:rFonts w:hint="default" w:ascii="Times New Roman" w:hAnsi="Times New Roman" w:cs="Times New Roman"/>
                <w:color w:val="auto"/>
                <w:sz w:val="24"/>
                <w:szCs w:val="24"/>
                <w:lang w:val="en-US" w:eastAsia="zh-CN"/>
              </w:rPr>
              <w:t>因此</w:t>
            </w:r>
            <w:r>
              <w:rPr>
                <w:rFonts w:hint="default" w:ascii="Times New Roman" w:hAnsi="Times New Roman" w:cs="Times New Roman" w:eastAsiaTheme="minorEastAsia"/>
                <w:color w:val="auto"/>
                <w:sz w:val="24"/>
                <w:szCs w:val="24"/>
              </w:rPr>
              <w:t>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环境保护目标</w:t>
            </w:r>
          </w:p>
        </w:tc>
        <w:tc>
          <w:tcPr>
            <w:tcW w:w="9182" w:type="dxa"/>
          </w:tcPr>
          <w:p>
            <w:pPr>
              <w:pStyle w:val="53"/>
              <w:spacing w:beforeLines="50"/>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3.2 环境保护目标</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3.2.1 大气环境保护目标</w:t>
            </w:r>
          </w:p>
          <w:p>
            <w:pPr>
              <w:pStyle w:val="53"/>
              <w:ind w:firstLine="480"/>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根据调查，本项目大气环境保护目标</w:t>
            </w:r>
            <w:r>
              <w:rPr>
                <w:rFonts w:hint="default" w:ascii="Times New Roman" w:hAnsi="Times New Roman" w:eastAsia="宋体" w:cs="Times New Roman"/>
                <w:color w:val="auto"/>
                <w:szCs w:val="24"/>
                <w:lang w:val="en-US" w:eastAsia="zh-CN"/>
              </w:rPr>
              <w:t>主要为项目周边的居民区、学校。具体情况如表3.2-1所示。</w:t>
            </w:r>
          </w:p>
          <w:p>
            <w:pPr>
              <w:pStyle w:val="53"/>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3.2.2 地表水环境保护目标</w:t>
            </w:r>
          </w:p>
          <w:p>
            <w:pPr>
              <w:pStyle w:val="53"/>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根据《建设项目环境影响报告表编制技术指南》（污染影响类）（试行）的要求，未要求设施地表水环境保护目标；根据调查，本项目区属</w:t>
            </w:r>
            <w:r>
              <w:rPr>
                <w:rFonts w:hint="default" w:ascii="Times New Roman" w:hAnsi="Times New Roman" w:eastAsia="宋体" w:cs="Times New Roman"/>
                <w:color w:val="auto"/>
                <w:szCs w:val="24"/>
                <w:lang w:eastAsia="zh-CN"/>
              </w:rPr>
              <w:t>小江</w:t>
            </w:r>
            <w:r>
              <w:rPr>
                <w:rFonts w:hint="default" w:ascii="Times New Roman" w:hAnsi="Times New Roman" w:eastAsia="宋体" w:cs="Times New Roman"/>
                <w:color w:val="auto"/>
                <w:szCs w:val="24"/>
              </w:rPr>
              <w:t>的汇水范围，因此拟将</w:t>
            </w:r>
            <w:r>
              <w:rPr>
                <w:rFonts w:hint="default" w:ascii="Times New Roman" w:hAnsi="Times New Roman" w:eastAsia="宋体" w:cs="Times New Roman"/>
                <w:color w:val="auto"/>
                <w:szCs w:val="24"/>
                <w:lang w:eastAsia="zh-CN"/>
              </w:rPr>
              <w:t>小江</w:t>
            </w:r>
            <w:r>
              <w:rPr>
                <w:rFonts w:hint="default" w:ascii="Times New Roman" w:hAnsi="Times New Roman" w:eastAsia="宋体" w:cs="Times New Roman"/>
                <w:color w:val="auto"/>
                <w:szCs w:val="24"/>
              </w:rPr>
              <w:t>列入本项目水</w:t>
            </w:r>
            <w:r>
              <w:rPr>
                <w:rFonts w:hint="default" w:ascii="Times New Roman" w:hAnsi="Times New Roman" w:cs="Times New Roman"/>
                <w:color w:val="auto"/>
                <w:szCs w:val="24"/>
                <w:lang w:val="en-US" w:eastAsia="zh-CN"/>
              </w:rPr>
              <w:t>环境保护目标，</w:t>
            </w:r>
            <w:r>
              <w:rPr>
                <w:rFonts w:hint="default" w:ascii="Times New Roman" w:hAnsi="Times New Roman" w:eastAsia="宋体" w:cs="Times New Roman"/>
                <w:color w:val="auto"/>
                <w:szCs w:val="24"/>
                <w:lang w:val="en-US" w:eastAsia="zh-CN"/>
              </w:rPr>
              <w:t>具体情况如表3.2-1所示。</w:t>
            </w:r>
          </w:p>
          <w:p>
            <w:pPr>
              <w:pStyle w:val="53"/>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3.2.3 地下水环境保护目标</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根据《建设项目环境影响报告表编制技术指南》（污染影响类）（试行）的要求，地表水环境保护目标为厂界外500m范围内的地下水集中式饮用水水源和热水、矿泉水、温泉等特殊地下水资源。根据调查，</w:t>
            </w:r>
            <w:r>
              <w:rPr>
                <w:rFonts w:hint="default" w:ascii="Times New Roman" w:hAnsi="Times New Roman" w:eastAsia="宋体" w:cs="Times New Roman"/>
                <w:color w:val="auto"/>
                <w:szCs w:val="24"/>
                <w:lang w:eastAsia="zh-CN"/>
              </w:rPr>
              <w:t>本项目位于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Cs w:val="24"/>
              </w:rPr>
              <w:t>，本项目选址不涉及到地下水集中式饮用水水源和热水、矿泉水、温泉等特殊地下水资源。</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3.2.4 声环境环境保护目标</w:t>
            </w:r>
          </w:p>
          <w:p>
            <w:pPr>
              <w:pStyle w:val="53"/>
              <w:ind w:firstLine="482"/>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rPr>
              <w:t>根据《建设项目环境影响报告表编制技术指南》（污染影响类）（试行）的要求，本项目声环境评价范围为50m，根据现场调查，本项目50m范围内</w:t>
            </w:r>
            <w:r>
              <w:rPr>
                <w:rFonts w:hint="default" w:ascii="Times New Roman" w:hAnsi="Times New Roman" w:eastAsia="宋体" w:cs="Times New Roman"/>
                <w:color w:val="auto"/>
                <w:szCs w:val="24"/>
                <w:lang w:eastAsia="zh-CN"/>
              </w:rPr>
              <w:t>声环境保护目标为小新村。具体</w:t>
            </w:r>
            <w:r>
              <w:rPr>
                <w:rFonts w:hint="default" w:ascii="Times New Roman" w:hAnsi="Times New Roman" w:cs="Times New Roman"/>
                <w:color w:val="auto"/>
                <w:szCs w:val="24"/>
                <w:lang w:val="en-US" w:eastAsia="zh-CN"/>
              </w:rPr>
              <w:t>情况</w:t>
            </w:r>
            <w:r>
              <w:rPr>
                <w:rFonts w:hint="default" w:ascii="Times New Roman" w:hAnsi="Times New Roman" w:eastAsia="宋体" w:cs="Times New Roman"/>
                <w:color w:val="auto"/>
                <w:szCs w:val="24"/>
                <w:lang w:eastAsia="zh-CN"/>
              </w:rPr>
              <w:t>如</w:t>
            </w:r>
            <w:r>
              <w:rPr>
                <w:rFonts w:hint="default" w:ascii="Times New Roman" w:hAnsi="Times New Roman" w:cs="Times New Roman"/>
                <w:color w:val="auto"/>
                <w:szCs w:val="24"/>
                <w:lang w:val="en-US" w:eastAsia="zh-CN"/>
              </w:rPr>
              <w:t>表3.2-1</w:t>
            </w:r>
            <w:r>
              <w:rPr>
                <w:rFonts w:hint="default" w:ascii="Times New Roman" w:hAnsi="Times New Roman" w:eastAsia="宋体" w:cs="Times New Roman"/>
                <w:color w:val="auto"/>
                <w:szCs w:val="24"/>
                <w:lang w:eastAsia="zh-CN"/>
              </w:rPr>
              <w:t>所示。</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3.2.5 生态环境保护目标</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根据《建设项目环境影响报告表编制技术指南》（污染影响类）（试行）的要求，生态环境保护目标主要为在产业园区外建设项目新增用地范围内的生态环境保护目标。本项目位于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Cs w:val="24"/>
              </w:rPr>
              <w:t>，</w:t>
            </w:r>
            <w:r>
              <w:rPr>
                <w:rFonts w:hint="default" w:ascii="Times New Roman" w:hAnsi="Times New Roman" w:eastAsia="宋体" w:cs="Times New Roman"/>
                <w:color w:val="auto"/>
                <w:sz w:val="24"/>
                <w:szCs w:val="24"/>
              </w:rPr>
              <w:t>仅在</w:t>
            </w:r>
            <w:r>
              <w:rPr>
                <w:rFonts w:hint="default" w:ascii="Times New Roman" w:hAnsi="Times New Roman" w:cs="Times New Roman"/>
                <w:color w:val="auto"/>
                <w:sz w:val="24"/>
                <w:szCs w:val="24"/>
                <w:lang w:eastAsia="zh-CN"/>
              </w:rPr>
              <w:t>已建</w:t>
            </w:r>
            <w:r>
              <w:rPr>
                <w:rFonts w:hint="default" w:ascii="Times New Roman" w:hAnsi="Times New Roman" w:eastAsia="宋体" w:cs="Times New Roman"/>
                <w:color w:val="auto"/>
                <w:sz w:val="24"/>
                <w:szCs w:val="24"/>
              </w:rPr>
              <w:t>厂房内</w:t>
            </w:r>
            <w:r>
              <w:rPr>
                <w:rFonts w:hint="default" w:ascii="Times New Roman" w:hAnsi="Times New Roman" w:eastAsia="宋体" w:cs="Times New Roman"/>
                <w:color w:val="auto"/>
                <w:sz w:val="24"/>
                <w:szCs w:val="24"/>
                <w:lang w:eastAsia="zh-CN"/>
              </w:rPr>
              <w:t>新建医疗器械生产线</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不新增用地，因此不设置生态环境保护目标。</w:t>
            </w:r>
          </w:p>
          <w:p>
            <w:pPr>
              <w:pStyle w:val="53"/>
              <w:ind w:firstLine="480"/>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t>综上，项目环境保护目标如下表所示。</w:t>
            </w:r>
          </w:p>
          <w:p>
            <w:pPr>
              <w:pStyle w:val="53"/>
              <w:ind w:firstLine="48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表</w:t>
            </w:r>
            <w:r>
              <w:rPr>
                <w:rFonts w:hint="default" w:ascii="Times New Roman" w:hAnsi="Times New Roman" w:cs="Times New Roman" w:eastAsiaTheme="minorEastAsia"/>
                <w:b/>
                <w:bCs/>
                <w:color w:val="auto"/>
                <w:sz w:val="21"/>
                <w:szCs w:val="21"/>
                <w:lang w:val="en-US" w:eastAsia="zh-CN"/>
              </w:rPr>
              <w:t>3.2-1项目环境保护目标一览表</w:t>
            </w:r>
          </w:p>
          <w:tbl>
            <w:tblPr>
              <w:tblStyle w:val="26"/>
              <w:tblW w:w="89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5"/>
              <w:gridCol w:w="1096"/>
              <w:gridCol w:w="1487"/>
              <w:gridCol w:w="1387"/>
              <w:gridCol w:w="986"/>
              <w:gridCol w:w="1000"/>
              <w:gridCol w:w="1187"/>
              <w:gridCol w:w="1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类别</w:t>
                  </w:r>
                </w:p>
              </w:tc>
              <w:tc>
                <w:tcPr>
                  <w:tcW w:w="1096"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名称</w:t>
                  </w:r>
                </w:p>
              </w:tc>
              <w:tc>
                <w:tcPr>
                  <w:tcW w:w="2874" w:type="dxa"/>
                  <w:gridSpan w:val="2"/>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坐标</w:t>
                  </w:r>
                </w:p>
              </w:tc>
              <w:tc>
                <w:tcPr>
                  <w:tcW w:w="986"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保护对象</w:t>
                  </w:r>
                </w:p>
              </w:tc>
              <w:tc>
                <w:tcPr>
                  <w:tcW w:w="1000"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保护内容</w:t>
                  </w:r>
                </w:p>
              </w:tc>
              <w:tc>
                <w:tcPr>
                  <w:tcW w:w="1187"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保护级别</w:t>
                  </w:r>
                </w:p>
              </w:tc>
              <w:tc>
                <w:tcPr>
                  <w:tcW w:w="1060"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相对厂址方位</w:t>
                  </w:r>
                  <w:r>
                    <w:rPr>
                      <w:rFonts w:hint="default" w:ascii="Times New Roman" w:hAnsi="Times New Roman" w:cs="Times New Roman"/>
                      <w:color w:val="auto"/>
                      <w:kern w:val="0"/>
                      <w:sz w:val="21"/>
                      <w:szCs w:val="21"/>
                      <w:lang w:eastAsia="zh-CN"/>
                    </w:rPr>
                    <w:t>及距离</w:t>
                  </w:r>
                  <w:r>
                    <w:rPr>
                      <w:rFonts w:hint="default" w:ascii="Times New Roman" w:hAnsi="Times New Roman" w:cs="Times New Roman"/>
                      <w:color w:val="auto"/>
                      <w:kern w:val="0"/>
                      <w:sz w:val="21"/>
                      <w:szCs w:val="21"/>
                      <w:lang w:val="en-US" w:eastAsia="zh-CN"/>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096"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4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经度</w:t>
                  </w:r>
                </w:p>
              </w:tc>
              <w:tc>
                <w:tcPr>
                  <w:tcW w:w="13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纬度</w:t>
                  </w:r>
                </w:p>
              </w:tc>
              <w:tc>
                <w:tcPr>
                  <w:tcW w:w="986"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000"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187"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060"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大气环境</w:t>
                  </w:r>
                </w:p>
              </w:tc>
              <w:tc>
                <w:tcPr>
                  <w:tcW w:w="109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0"/>
                      <w:sz w:val="21"/>
                      <w:szCs w:val="21"/>
                      <w:lang w:val="zh-CN" w:eastAsia="zh-CN" w:bidi="ar-SA"/>
                    </w:rPr>
                  </w:pPr>
                  <w:r>
                    <w:rPr>
                      <w:rFonts w:hint="default" w:ascii="Times New Roman" w:hAnsi="Times New Roman" w:eastAsia="宋体" w:cs="Times New Roman"/>
                      <w:color w:val="auto"/>
                      <w:szCs w:val="21"/>
                    </w:rPr>
                    <w:t>小新村</w:t>
                  </w:r>
                </w:p>
              </w:tc>
              <w:tc>
                <w:tcPr>
                  <w:tcW w:w="14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103°</w:t>
                  </w:r>
                  <w:r>
                    <w:rPr>
                      <w:rFonts w:hint="default" w:ascii="Times New Roman" w:hAnsi="Times New Roman" w:cs="Times New Roman"/>
                      <w:color w:val="auto"/>
                      <w:kern w:val="0"/>
                      <w:sz w:val="21"/>
                      <w:szCs w:val="21"/>
                      <w:lang w:val="en-US" w:eastAsia="zh-CN"/>
                    </w:rPr>
                    <w:t>09</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44.98</w:t>
                  </w:r>
                  <w:r>
                    <w:rPr>
                      <w:rFonts w:hint="default" w:ascii="Times New Roman" w:hAnsi="Times New Roman" w:cs="Times New Roman"/>
                      <w:color w:val="auto"/>
                      <w:kern w:val="0"/>
                      <w:sz w:val="21"/>
                      <w:szCs w:val="21"/>
                    </w:rPr>
                    <w:t>″</w:t>
                  </w:r>
                </w:p>
              </w:tc>
              <w:tc>
                <w:tcPr>
                  <w:tcW w:w="13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26</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06</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14.95</w:t>
                  </w:r>
                  <w:r>
                    <w:rPr>
                      <w:rFonts w:hint="default" w:ascii="Times New Roman" w:hAnsi="Times New Roman" w:cs="Times New Roman"/>
                      <w:color w:val="auto"/>
                      <w:kern w:val="0"/>
                      <w:sz w:val="21"/>
                      <w:szCs w:val="21"/>
                    </w:rPr>
                    <w:t>″</w:t>
                  </w:r>
                </w:p>
              </w:tc>
              <w:tc>
                <w:tcPr>
                  <w:tcW w:w="98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居民区</w:t>
                  </w:r>
                </w:p>
              </w:tc>
              <w:tc>
                <w:tcPr>
                  <w:tcW w:w="100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rPr>
                    <w:t>369户/1560人</w:t>
                  </w:r>
                </w:p>
              </w:tc>
              <w:tc>
                <w:tcPr>
                  <w:tcW w:w="1187"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《环境空气质量标准》（GB</w:t>
                  </w:r>
                  <w:r>
                    <w:rPr>
                      <w:rFonts w:hint="eastAsia" w:cs="Times New Roman"/>
                      <w:color w:val="auto"/>
                      <w:kern w:val="0"/>
                      <w:sz w:val="21"/>
                      <w:szCs w:val="21"/>
                      <w:lang w:eastAsia="zh-CN"/>
                    </w:rPr>
                    <w:t>****</w:t>
                  </w:r>
                  <w:r>
                    <w:rPr>
                      <w:rFonts w:hint="default" w:ascii="Times New Roman" w:hAnsi="Times New Roman" w:cs="Times New Roman"/>
                      <w:color w:val="auto"/>
                      <w:kern w:val="0"/>
                      <w:sz w:val="21"/>
                      <w:szCs w:val="21"/>
                    </w:rPr>
                    <w:t>-2012）二级</w:t>
                  </w:r>
                </w:p>
              </w:tc>
              <w:tc>
                <w:tcPr>
                  <w:tcW w:w="106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lang w:val="en-US"/>
                    </w:rPr>
                  </w:pPr>
                  <w:r>
                    <w:rPr>
                      <w:rFonts w:hint="default" w:ascii="Times New Roman" w:hAnsi="Times New Roman" w:eastAsia="宋体" w:cs="Times New Roman"/>
                      <w:color w:val="auto"/>
                      <w:kern w:val="0"/>
                      <w:szCs w:val="21"/>
                      <w:lang w:eastAsia="zh-CN"/>
                    </w:rPr>
                    <w:t>东侧</w:t>
                  </w:r>
                  <w:r>
                    <w:rPr>
                      <w:rFonts w:hint="default" w:ascii="Times New Roman" w:hAnsi="Times New Roman" w:eastAsia="宋体" w:cs="Times New Roman"/>
                      <w:color w:val="auto"/>
                      <w:kern w:val="0"/>
                      <w:szCs w:val="21"/>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09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0"/>
                      <w:sz w:val="21"/>
                      <w:szCs w:val="21"/>
                      <w:lang w:val="zh-CN" w:eastAsia="zh-CN" w:bidi="ar-SA"/>
                    </w:rPr>
                  </w:pPr>
                  <w:r>
                    <w:rPr>
                      <w:rFonts w:hint="default" w:ascii="Times New Roman" w:hAnsi="Times New Roman" w:eastAsia="宋体" w:cs="Times New Roman"/>
                      <w:color w:val="auto"/>
                      <w:szCs w:val="21"/>
                    </w:rPr>
                    <w:t>云南机电职业技术学院东川校区</w:t>
                  </w:r>
                </w:p>
              </w:tc>
              <w:tc>
                <w:tcPr>
                  <w:tcW w:w="14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Cs w:val="21"/>
                      <w:lang w:val="en-US" w:eastAsia="zh-CN"/>
                    </w:rPr>
                    <w:t>103°9′59.4</w:t>
                  </w:r>
                  <w:r>
                    <w:rPr>
                      <w:rFonts w:hint="default" w:ascii="Times New Roman" w:hAnsi="Times New Roman" w:cs="Times New Roman"/>
                      <w:color w:val="auto"/>
                      <w:kern w:val="0"/>
                      <w:szCs w:val="21"/>
                      <w:lang w:val="en-US" w:eastAsia="zh-CN"/>
                    </w:rPr>
                    <w:t>1</w:t>
                  </w:r>
                  <w:r>
                    <w:rPr>
                      <w:rFonts w:hint="default" w:ascii="Times New Roman" w:hAnsi="Times New Roman" w:eastAsia="宋体" w:cs="Times New Roman"/>
                      <w:color w:val="auto"/>
                      <w:kern w:val="0"/>
                      <w:szCs w:val="21"/>
                      <w:lang w:val="en-US" w:eastAsia="zh-CN"/>
                    </w:rPr>
                    <w:t>″</w:t>
                  </w:r>
                </w:p>
              </w:tc>
              <w:tc>
                <w:tcPr>
                  <w:tcW w:w="13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Cs w:val="21"/>
                      <w:lang w:val="en-US" w:eastAsia="zh-CN"/>
                    </w:rPr>
                    <w:t>26°06′19.69″</w:t>
                  </w:r>
                </w:p>
              </w:tc>
              <w:tc>
                <w:tcPr>
                  <w:tcW w:w="98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学校</w:t>
                  </w:r>
                </w:p>
              </w:tc>
              <w:tc>
                <w:tcPr>
                  <w:tcW w:w="100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rPr>
                    <w:t>2630人</w:t>
                  </w:r>
                </w:p>
              </w:tc>
              <w:tc>
                <w:tcPr>
                  <w:tcW w:w="1187"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p>
              </w:tc>
              <w:tc>
                <w:tcPr>
                  <w:tcW w:w="106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lang w:val="en-US"/>
                    </w:rPr>
                  </w:pPr>
                  <w:r>
                    <w:rPr>
                      <w:rFonts w:hint="default" w:ascii="Times New Roman" w:hAnsi="Times New Roman" w:eastAsia="宋体" w:cs="Times New Roman"/>
                      <w:color w:val="auto"/>
                      <w:kern w:val="0"/>
                      <w:szCs w:val="21"/>
                      <w:lang w:eastAsia="zh-CN"/>
                    </w:rPr>
                    <w:t>东侧</w:t>
                  </w:r>
                  <w:r>
                    <w:rPr>
                      <w:rFonts w:hint="default" w:ascii="Times New Roman" w:hAnsi="Times New Roman" w:eastAsia="宋体" w:cs="Times New Roman"/>
                      <w:color w:val="auto"/>
                      <w:kern w:val="0"/>
                      <w:szCs w:val="21"/>
                      <w:lang w:val="en-US" w:eastAsia="zh-CN"/>
                    </w:rPr>
                    <w:t>439.65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09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0"/>
                      <w:sz w:val="21"/>
                      <w:szCs w:val="21"/>
                      <w:lang w:val="zh-CN" w:eastAsia="zh-CN" w:bidi="ar-SA"/>
                    </w:rPr>
                  </w:pPr>
                  <w:r>
                    <w:rPr>
                      <w:rFonts w:hint="default" w:ascii="Times New Roman" w:hAnsi="Times New Roman" w:eastAsia="宋体" w:cs="Times New Roman"/>
                      <w:color w:val="auto"/>
                      <w:szCs w:val="21"/>
                    </w:rPr>
                    <w:t>洗马塘村</w:t>
                  </w:r>
                </w:p>
              </w:tc>
              <w:tc>
                <w:tcPr>
                  <w:tcW w:w="14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Cs w:val="21"/>
                      <w:lang w:val="en-US" w:eastAsia="zh-CN"/>
                    </w:rPr>
                    <w:t>103°9′40.3</w:t>
                  </w:r>
                  <w:r>
                    <w:rPr>
                      <w:rFonts w:hint="default" w:ascii="Times New Roman" w:hAnsi="Times New Roman" w:cs="Times New Roman"/>
                      <w:color w:val="auto"/>
                      <w:kern w:val="0"/>
                      <w:szCs w:val="21"/>
                      <w:lang w:val="en-US" w:eastAsia="zh-CN"/>
                    </w:rPr>
                    <w:t>3</w:t>
                  </w:r>
                  <w:r>
                    <w:rPr>
                      <w:rFonts w:hint="default" w:ascii="Times New Roman" w:hAnsi="Times New Roman" w:eastAsia="宋体" w:cs="Times New Roman"/>
                      <w:color w:val="auto"/>
                      <w:kern w:val="0"/>
                      <w:szCs w:val="21"/>
                      <w:lang w:val="en-US" w:eastAsia="zh-CN"/>
                    </w:rPr>
                    <w:t>″</w:t>
                  </w:r>
                </w:p>
              </w:tc>
              <w:tc>
                <w:tcPr>
                  <w:tcW w:w="13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Cs w:val="21"/>
                      <w:lang w:val="en-US" w:eastAsia="zh-CN"/>
                    </w:rPr>
                    <w:t>26°06′37.89″</w:t>
                  </w:r>
                </w:p>
              </w:tc>
              <w:tc>
                <w:tcPr>
                  <w:tcW w:w="98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居民区</w:t>
                  </w:r>
                </w:p>
              </w:tc>
              <w:tc>
                <w:tcPr>
                  <w:tcW w:w="100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lang w:val="en-US" w:eastAsia="zh-CN"/>
                    </w:rPr>
                    <w:t>102</w:t>
                  </w:r>
                  <w:r>
                    <w:rPr>
                      <w:rFonts w:hint="default" w:ascii="Times New Roman" w:hAnsi="Times New Roman" w:eastAsia="宋体" w:cs="Times New Roman"/>
                      <w:color w:val="auto"/>
                      <w:szCs w:val="21"/>
                    </w:rPr>
                    <w:t>户/</w:t>
                  </w:r>
                  <w:r>
                    <w:rPr>
                      <w:rFonts w:hint="default" w:ascii="Times New Roman" w:hAnsi="Times New Roman" w:eastAsia="宋体" w:cs="Times New Roman"/>
                      <w:color w:val="auto"/>
                      <w:szCs w:val="21"/>
                      <w:lang w:val="en-US" w:eastAsia="zh-CN"/>
                    </w:rPr>
                    <w:t>370</w:t>
                  </w:r>
                  <w:r>
                    <w:rPr>
                      <w:rFonts w:hint="default" w:ascii="Times New Roman" w:hAnsi="Times New Roman" w:eastAsia="宋体" w:cs="Times New Roman"/>
                      <w:color w:val="auto"/>
                      <w:szCs w:val="21"/>
                    </w:rPr>
                    <w:t>人</w:t>
                  </w:r>
                </w:p>
              </w:tc>
              <w:tc>
                <w:tcPr>
                  <w:tcW w:w="1187"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p>
              </w:tc>
              <w:tc>
                <w:tcPr>
                  <w:tcW w:w="106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lang w:val="en-US"/>
                    </w:rPr>
                  </w:pPr>
                  <w:r>
                    <w:rPr>
                      <w:rFonts w:hint="default" w:ascii="Times New Roman" w:hAnsi="Times New Roman" w:eastAsia="宋体" w:cs="Times New Roman"/>
                      <w:color w:val="auto"/>
                      <w:kern w:val="0"/>
                      <w:szCs w:val="21"/>
                      <w:lang w:eastAsia="zh-CN"/>
                    </w:rPr>
                    <w:t>北侧</w:t>
                  </w:r>
                  <w:r>
                    <w:rPr>
                      <w:rFonts w:hint="default" w:ascii="Times New Roman" w:hAnsi="Times New Roman" w:eastAsia="宋体" w:cs="Times New Roman"/>
                      <w:color w:val="auto"/>
                      <w:kern w:val="0"/>
                      <w:szCs w:val="21"/>
                      <w:lang w:val="en-US" w:eastAsia="zh-CN"/>
                    </w:rPr>
                    <w:t>450.8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p>
              </w:tc>
              <w:tc>
                <w:tcPr>
                  <w:tcW w:w="109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eastAsia="zh-CN"/>
                    </w:rPr>
                    <w:t>梭山村</w:t>
                  </w:r>
                </w:p>
              </w:tc>
              <w:tc>
                <w:tcPr>
                  <w:tcW w:w="14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Cs w:val="21"/>
                      <w:lang w:val="en-US" w:eastAsia="zh-CN"/>
                    </w:rPr>
                    <w:t>103°9′33.5</w:t>
                  </w:r>
                  <w:r>
                    <w:rPr>
                      <w:rFonts w:hint="default" w:ascii="Times New Roman" w:hAnsi="Times New Roman" w:cs="Times New Roman"/>
                      <w:color w:val="auto"/>
                      <w:kern w:val="0"/>
                      <w:szCs w:val="21"/>
                      <w:lang w:val="en-US" w:eastAsia="zh-CN"/>
                    </w:rPr>
                    <w:t>3</w:t>
                  </w:r>
                  <w:r>
                    <w:rPr>
                      <w:rFonts w:hint="default" w:ascii="Times New Roman" w:hAnsi="Times New Roman" w:eastAsia="宋体" w:cs="Times New Roman"/>
                      <w:color w:val="auto"/>
                      <w:kern w:val="0"/>
                      <w:szCs w:val="21"/>
                      <w:lang w:val="en-US" w:eastAsia="zh-CN"/>
                    </w:rPr>
                    <w:t>″</w:t>
                  </w:r>
                </w:p>
              </w:tc>
              <w:tc>
                <w:tcPr>
                  <w:tcW w:w="13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Cs w:val="21"/>
                      <w:lang w:val="en-US" w:eastAsia="zh-CN"/>
                    </w:rPr>
                    <w:t>26°06′34.7</w:t>
                  </w:r>
                  <w:r>
                    <w:rPr>
                      <w:rFonts w:hint="default" w:ascii="Times New Roman" w:hAnsi="Times New Roman" w:cs="Times New Roman"/>
                      <w:color w:val="auto"/>
                      <w:kern w:val="0"/>
                      <w:szCs w:val="21"/>
                      <w:lang w:val="en-US" w:eastAsia="zh-CN"/>
                    </w:rPr>
                    <w:t>2</w:t>
                  </w:r>
                  <w:r>
                    <w:rPr>
                      <w:rFonts w:hint="default" w:ascii="Times New Roman" w:hAnsi="Times New Roman" w:eastAsia="宋体" w:cs="Times New Roman"/>
                      <w:color w:val="auto"/>
                      <w:kern w:val="0"/>
                      <w:szCs w:val="21"/>
                      <w:lang w:val="en-US" w:eastAsia="zh-CN"/>
                    </w:rPr>
                    <w:t>″</w:t>
                  </w:r>
                </w:p>
              </w:tc>
              <w:tc>
                <w:tcPr>
                  <w:tcW w:w="98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居民区</w:t>
                  </w:r>
                </w:p>
              </w:tc>
              <w:tc>
                <w:tcPr>
                  <w:tcW w:w="100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lang w:val="en-US" w:eastAsia="zh-CN"/>
                    </w:rPr>
                    <w:t>110户/435人</w:t>
                  </w:r>
                </w:p>
              </w:tc>
              <w:tc>
                <w:tcPr>
                  <w:tcW w:w="1187" w:type="dxa"/>
                  <w:vMerge w:val="continue"/>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p>
              </w:tc>
              <w:tc>
                <w:tcPr>
                  <w:tcW w:w="106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lang w:val="en-US"/>
                    </w:rPr>
                  </w:pPr>
                  <w:r>
                    <w:rPr>
                      <w:rFonts w:hint="default" w:ascii="Times New Roman" w:hAnsi="Times New Roman" w:eastAsia="宋体" w:cs="Times New Roman"/>
                      <w:color w:val="auto"/>
                      <w:kern w:val="0"/>
                      <w:szCs w:val="21"/>
                      <w:lang w:eastAsia="zh-CN"/>
                    </w:rPr>
                    <w:t>北侧</w:t>
                  </w:r>
                  <w:r>
                    <w:rPr>
                      <w:rFonts w:hint="default" w:ascii="Times New Roman" w:hAnsi="Times New Roman" w:eastAsia="宋体" w:cs="Times New Roman"/>
                      <w:color w:val="auto"/>
                      <w:kern w:val="0"/>
                      <w:szCs w:val="21"/>
                      <w:lang w:val="en-US" w:eastAsia="zh-CN"/>
                    </w:rPr>
                    <w:t>103.25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声环境</w:t>
                  </w:r>
                </w:p>
              </w:tc>
              <w:tc>
                <w:tcPr>
                  <w:tcW w:w="109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rPr>
                    <w:t>小新村</w:t>
                  </w:r>
                </w:p>
              </w:tc>
              <w:tc>
                <w:tcPr>
                  <w:tcW w:w="14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103°</w:t>
                  </w:r>
                  <w:r>
                    <w:rPr>
                      <w:rFonts w:hint="default" w:ascii="Times New Roman" w:hAnsi="Times New Roman" w:cs="Times New Roman"/>
                      <w:color w:val="auto"/>
                      <w:kern w:val="0"/>
                      <w:sz w:val="21"/>
                      <w:szCs w:val="21"/>
                      <w:lang w:val="en-US" w:eastAsia="zh-CN"/>
                    </w:rPr>
                    <w:t>09</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44.98</w:t>
                  </w:r>
                  <w:r>
                    <w:rPr>
                      <w:rFonts w:hint="default" w:ascii="Times New Roman" w:hAnsi="Times New Roman" w:cs="Times New Roman"/>
                      <w:color w:val="auto"/>
                      <w:kern w:val="0"/>
                      <w:sz w:val="21"/>
                      <w:szCs w:val="21"/>
                    </w:rPr>
                    <w:t>″</w:t>
                  </w:r>
                </w:p>
              </w:tc>
              <w:tc>
                <w:tcPr>
                  <w:tcW w:w="13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26</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06</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14.95</w:t>
                  </w:r>
                  <w:r>
                    <w:rPr>
                      <w:rFonts w:hint="default" w:ascii="Times New Roman" w:hAnsi="Times New Roman" w:cs="Times New Roman"/>
                      <w:color w:val="auto"/>
                      <w:kern w:val="0"/>
                      <w:sz w:val="21"/>
                      <w:szCs w:val="21"/>
                    </w:rPr>
                    <w:t>″</w:t>
                  </w:r>
                </w:p>
              </w:tc>
              <w:tc>
                <w:tcPr>
                  <w:tcW w:w="98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居民区</w:t>
                  </w:r>
                </w:p>
              </w:tc>
              <w:tc>
                <w:tcPr>
                  <w:tcW w:w="100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rPr>
                    <w:t>369户/1560人</w:t>
                  </w:r>
                </w:p>
              </w:tc>
              <w:tc>
                <w:tcPr>
                  <w:tcW w:w="11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bCs/>
                      <w:color w:val="auto"/>
                      <w:szCs w:val="24"/>
                    </w:rPr>
                    <w:t>《声环境质量标准》（GB</w:t>
                  </w:r>
                  <w:r>
                    <w:rPr>
                      <w:rFonts w:hint="eastAsia" w:cs="Times New Roman"/>
                      <w:bCs/>
                      <w:color w:val="auto"/>
                      <w:szCs w:val="24"/>
                      <w:lang w:eastAsia="zh-CN"/>
                    </w:rPr>
                    <w:t>****</w:t>
                  </w:r>
                  <w:r>
                    <w:rPr>
                      <w:rFonts w:hint="default" w:ascii="Times New Roman" w:hAnsi="Times New Roman" w:eastAsia="宋体" w:cs="Times New Roman"/>
                      <w:bCs/>
                      <w:color w:val="auto"/>
                      <w:szCs w:val="24"/>
                    </w:rPr>
                    <w:t>-2008）2类区标准</w:t>
                  </w:r>
                </w:p>
              </w:tc>
              <w:tc>
                <w:tcPr>
                  <w:tcW w:w="106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lang w:val="en-US"/>
                    </w:rPr>
                  </w:pPr>
                  <w:r>
                    <w:rPr>
                      <w:rFonts w:hint="default" w:ascii="Times New Roman" w:hAnsi="Times New Roman" w:eastAsia="宋体" w:cs="Times New Roman"/>
                      <w:color w:val="auto"/>
                      <w:kern w:val="0"/>
                      <w:szCs w:val="21"/>
                      <w:lang w:eastAsia="zh-CN"/>
                    </w:rPr>
                    <w:t>东侧</w:t>
                  </w:r>
                  <w:r>
                    <w:rPr>
                      <w:rFonts w:hint="default" w:ascii="Times New Roman" w:hAnsi="Times New Roman" w:eastAsia="宋体" w:cs="Times New Roman"/>
                      <w:color w:val="auto"/>
                      <w:kern w:val="0"/>
                      <w:szCs w:val="21"/>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地表水</w:t>
                  </w:r>
                </w:p>
              </w:tc>
              <w:tc>
                <w:tcPr>
                  <w:tcW w:w="1096"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rPr>
                    <w:t>小江</w:t>
                  </w:r>
                </w:p>
              </w:tc>
              <w:tc>
                <w:tcPr>
                  <w:tcW w:w="2874" w:type="dxa"/>
                  <w:gridSpan w:val="2"/>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left"/>
                    <w:textAlignment w:val="baseline"/>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起点：东经103°08′23.34″，北纬26°07′52.20″；</w:t>
                  </w:r>
                </w:p>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rPr>
                    <w:t>终点：东经103°07′39.35″，北纬26°08′38.56″。</w:t>
                  </w:r>
                </w:p>
              </w:tc>
              <w:tc>
                <w:tcPr>
                  <w:tcW w:w="1986" w:type="dxa"/>
                  <w:gridSpan w:val="2"/>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c>
                <w:tcPr>
                  <w:tcW w:w="118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-2002）III类标准</w:t>
                  </w:r>
                </w:p>
              </w:tc>
              <w:tc>
                <w:tcPr>
                  <w:tcW w:w="1060"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kern w:val="0"/>
                      <w:sz w:val="21"/>
                      <w:szCs w:val="21"/>
                    </w:rPr>
                  </w:pPr>
                  <w:r>
                    <w:rPr>
                      <w:rFonts w:hint="default" w:ascii="Times New Roman" w:hAnsi="Times New Roman" w:eastAsia="宋体" w:cs="Times New Roman"/>
                      <w:color w:val="auto"/>
                      <w:szCs w:val="21"/>
                      <w:lang w:eastAsia="zh-CN"/>
                    </w:rPr>
                    <w:t>西</w:t>
                  </w:r>
                  <w:r>
                    <w:rPr>
                      <w:rFonts w:hint="default" w:ascii="Times New Roman" w:hAnsi="Times New Roman" w:eastAsia="宋体" w:cs="Times New Roman"/>
                      <w:color w:val="auto"/>
                      <w:szCs w:val="21"/>
                    </w:rPr>
                    <w:t>侧</w:t>
                  </w:r>
                  <w:r>
                    <w:rPr>
                      <w:rFonts w:hint="default" w:ascii="Times New Roman" w:hAnsi="Times New Roman" w:eastAsia="宋体" w:cs="Times New Roman"/>
                      <w:color w:val="auto"/>
                      <w:szCs w:val="21"/>
                      <w:lang w:val="en-US" w:eastAsia="zh-CN"/>
                    </w:rPr>
                    <w:t>1123</w:t>
                  </w:r>
                  <w:r>
                    <w:rPr>
                      <w:rFonts w:hint="default" w:ascii="Times New Roman" w:hAnsi="Times New Roman" w:eastAsia="宋体" w:cs="Times New Roman"/>
                      <w:color w:val="auto"/>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地下水</w:t>
                  </w:r>
                </w:p>
              </w:tc>
              <w:tc>
                <w:tcPr>
                  <w:tcW w:w="8203" w:type="dxa"/>
                  <w:gridSpan w:val="7"/>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5"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生态环境</w:t>
                  </w:r>
                </w:p>
              </w:tc>
              <w:tc>
                <w:tcPr>
                  <w:tcW w:w="8203" w:type="dxa"/>
                  <w:gridSpan w:val="7"/>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无</w:t>
                  </w:r>
                </w:p>
              </w:tc>
            </w:tr>
          </w:tbl>
          <w:p>
            <w:pPr>
              <w:pStyle w:val="53"/>
              <w:ind w:firstLine="480"/>
              <w:rPr>
                <w:rFonts w:hint="default" w:ascii="Times New Roman" w:hAnsi="Times New Roman" w:eastAsia="宋体" w:cs="Times New Roman"/>
                <w:color w:val="auto"/>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污染物排放控制标准</w:t>
            </w:r>
          </w:p>
        </w:tc>
        <w:tc>
          <w:tcPr>
            <w:tcW w:w="9182" w:type="dxa"/>
          </w:tcPr>
          <w:p>
            <w:pPr>
              <w:pStyle w:val="53"/>
              <w:spacing w:beforeLines="50"/>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3.3 污染物排放控制标准</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3.3.1 废气排放标准</w:t>
            </w:r>
          </w:p>
          <w:p>
            <w:pPr>
              <w:pStyle w:val="53"/>
              <w:ind w:firstLine="361" w:firstLineChars="150"/>
              <w:rPr>
                <w:rFonts w:hint="default" w:ascii="Times New Roman" w:hAnsi="Times New Roman" w:eastAsia="宋体" w:cs="Times New Roman"/>
                <w:b/>
                <w:color w:val="auto"/>
              </w:rPr>
            </w:pPr>
            <w:r>
              <w:rPr>
                <w:rFonts w:hint="default" w:ascii="Times New Roman" w:hAnsi="Times New Roman" w:eastAsia="宋体" w:cs="Times New Roman"/>
                <w:b/>
                <w:color w:val="auto"/>
              </w:rPr>
              <w:t>（1）施工期</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施工期大气污染物排放执行《大气污染物综合排放标准》（GB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-1996）表2中无组织排放浓度排放限值。标准值如下表所示。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表3.3.1-1  大气污染物排放限值  单位：mg/m³</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3542"/>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6"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3577"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最高允许排放浓度</w:t>
                  </w:r>
                </w:p>
              </w:tc>
              <w:tc>
                <w:tcPr>
                  <w:tcW w:w="3291"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b/>
                  </w:r>
                  <w:r>
                    <w:rPr>
                      <w:rFonts w:hint="default" w:ascii="Times New Roman" w:hAnsi="Times New Roman" w:eastAsia="宋体" w:cs="Times New Roman"/>
                      <w:color w:val="auto"/>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颗粒物</w:t>
                  </w:r>
                </w:p>
              </w:tc>
              <w:tc>
                <w:tcPr>
                  <w:tcW w:w="3577"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3291"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r>
          </w:tbl>
          <w:p>
            <w:pPr>
              <w:pStyle w:val="53"/>
              <w:spacing w:beforeLines="50"/>
              <w:ind w:firstLine="361" w:firstLineChars="150"/>
              <w:rPr>
                <w:rFonts w:hint="default" w:ascii="Times New Roman" w:hAnsi="Times New Roman" w:eastAsia="宋体" w:cs="Times New Roman"/>
                <w:b/>
                <w:color w:val="auto"/>
              </w:rPr>
            </w:pPr>
            <w:r>
              <w:rPr>
                <w:rFonts w:hint="default" w:ascii="Times New Roman" w:hAnsi="Times New Roman" w:eastAsia="宋体" w:cs="Times New Roman"/>
                <w:b/>
                <w:color w:val="auto"/>
              </w:rPr>
              <w:t>（2）运营期</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本项目运营期废气主要来源于厨房油烟、棉签生产过程中产生的粉尘（以颗粒物计），棉签烘干、口罩生产及挤出、注塑工序中产生的挥发性有机物（以非甲烷总烃计），产品灭菌、解析过程中产生的环氧乙烷（以非甲烷总烃计）</w:t>
            </w:r>
            <w:r>
              <w:rPr>
                <w:rFonts w:hint="default" w:ascii="Times New Roman" w:hAnsi="Times New Roman" w:eastAsia="宋体" w:cs="Times New Roman"/>
                <w:b w:val="0"/>
                <w:bCs/>
                <w:color w:val="auto"/>
                <w:sz w:val="24"/>
                <w:szCs w:val="24"/>
                <w:lang w:eastAsia="zh-CN"/>
              </w:rPr>
              <w:t>。</w:t>
            </w:r>
          </w:p>
          <w:p>
            <w:pPr>
              <w:spacing w:line="360" w:lineRule="auto"/>
              <w:ind w:firstLine="482" w:firstLineChars="200"/>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①</w:t>
            </w:r>
            <w:r>
              <w:rPr>
                <w:rFonts w:hint="default" w:ascii="Times New Roman" w:hAnsi="Times New Roman" w:eastAsia="宋体" w:cs="Times New Roman"/>
                <w:b/>
                <w:color w:val="auto"/>
                <w:sz w:val="24"/>
                <w:szCs w:val="24"/>
                <w:highlight w:val="none"/>
                <w:lang w:val="en-US" w:eastAsia="zh-CN"/>
              </w:rPr>
              <w:t>有组织</w:t>
            </w:r>
            <w:r>
              <w:rPr>
                <w:rFonts w:hint="default" w:ascii="Times New Roman" w:hAnsi="Times New Roman" w:eastAsia="宋体" w:cs="Times New Roman"/>
                <w:b/>
                <w:color w:val="auto"/>
                <w:sz w:val="24"/>
                <w:szCs w:val="24"/>
                <w:highlight w:val="none"/>
                <w:lang w:eastAsia="zh-CN"/>
              </w:rPr>
              <w:t>非甲烷总烃执行标准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highlight w:val="none"/>
                <w:lang w:eastAsia="zh-CN"/>
              </w:rPr>
              <w:t>根据调查，项目设置一条挤出注塑生产线，该生产线的挤出、注塑工序会产生一定量的的</w:t>
            </w:r>
            <w:r>
              <w:rPr>
                <w:rFonts w:hint="default" w:ascii="Times New Roman" w:hAnsi="Times New Roman" w:eastAsia="宋体" w:cs="Times New Roman"/>
                <w:b w:val="0"/>
                <w:bCs/>
                <w:color w:val="auto"/>
                <w:sz w:val="24"/>
                <w:szCs w:val="24"/>
                <w:highlight w:val="none"/>
                <w:lang w:val="en-US" w:eastAsia="zh-CN"/>
              </w:rPr>
              <w:t>有机废气（以</w:t>
            </w:r>
            <w:r>
              <w:rPr>
                <w:rFonts w:hint="default" w:ascii="Times New Roman" w:hAnsi="Times New Roman" w:eastAsia="宋体" w:cs="Times New Roman"/>
                <w:b w:val="0"/>
                <w:bCs/>
                <w:color w:val="auto"/>
                <w:sz w:val="24"/>
                <w:szCs w:val="24"/>
                <w:highlight w:val="none"/>
                <w:lang w:eastAsia="zh-CN"/>
              </w:rPr>
              <w:t>非甲烷总烃</w:t>
            </w:r>
            <w:r>
              <w:rPr>
                <w:rFonts w:hint="default" w:ascii="Times New Roman" w:hAnsi="Times New Roman" w:eastAsia="宋体" w:cs="Times New Roman"/>
                <w:b w:val="0"/>
                <w:bCs/>
                <w:color w:val="auto"/>
                <w:sz w:val="24"/>
                <w:szCs w:val="24"/>
                <w:highlight w:val="none"/>
                <w:lang w:val="en-US" w:eastAsia="zh-CN"/>
              </w:rPr>
              <w:t>计），整改后为</w:t>
            </w:r>
            <w:r>
              <w:rPr>
                <w:rFonts w:hint="default" w:ascii="Times New Roman" w:hAnsi="Times New Roman" w:eastAsia="宋体" w:cs="Times New Roman"/>
                <w:b w:val="0"/>
                <w:bCs/>
                <w:color w:val="auto"/>
                <w:sz w:val="24"/>
                <w:szCs w:val="24"/>
                <w:highlight w:val="none"/>
                <w:lang w:eastAsia="zh-CN"/>
              </w:rPr>
              <w:t>有组织排放，项目产生的有组织</w:t>
            </w:r>
            <w:r>
              <w:rPr>
                <w:rFonts w:hint="default" w:ascii="Times New Roman" w:hAnsi="Times New Roman" w:eastAsia="宋体" w:cs="Times New Roman"/>
                <w:b w:val="0"/>
                <w:bCs/>
                <w:color w:val="auto"/>
                <w:sz w:val="24"/>
                <w:szCs w:val="24"/>
                <w:highlight w:val="none"/>
                <w:lang w:val="en-US" w:eastAsia="zh-CN"/>
              </w:rPr>
              <w:t>有机废气（以非甲烷总烃计）</w:t>
            </w:r>
            <w:r>
              <w:rPr>
                <w:rFonts w:hint="default" w:ascii="Times New Roman" w:hAnsi="Times New Roman" w:eastAsia="宋体" w:cs="Times New Roman"/>
                <w:b w:val="0"/>
                <w:bCs/>
                <w:color w:val="auto"/>
                <w:sz w:val="24"/>
                <w:szCs w:val="24"/>
                <w:highlight w:val="none"/>
                <w:lang w:eastAsia="zh-CN"/>
              </w:rPr>
              <w:t>执行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制药工业大气污染物排放标准</w:t>
            </w:r>
            <w:r>
              <w:rPr>
                <w:rFonts w:hint="default"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2019</w:t>
            </w: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sz w:val="24"/>
                <w:szCs w:val="24"/>
                <w:lang w:val="en-US" w:eastAsia="zh-CN"/>
              </w:rPr>
              <w:t>1中有组织排放</w:t>
            </w:r>
            <w:r>
              <w:rPr>
                <w:rFonts w:hint="default" w:ascii="Times New Roman" w:hAnsi="Times New Roman" w:eastAsia="宋体" w:cs="Times New Roman"/>
                <w:color w:val="auto"/>
                <w:sz w:val="24"/>
                <w:szCs w:val="24"/>
              </w:rPr>
              <w:t>标准限值。标准值如下表所示。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表3.3.1-2  大气污染物排放限值 单位mg/m³</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867"/>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363" w:type="dxa"/>
                  <w:tcBorders>
                    <w:top w:val="single" w:color="000000" w:sz="4" w:space="0"/>
                  </w:tcBorders>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污染物项目</w:t>
                  </w:r>
                </w:p>
              </w:tc>
              <w:tc>
                <w:tcPr>
                  <w:tcW w:w="1634" w:type="dxa"/>
                  <w:tcBorders>
                    <w:top w:val="single" w:color="000000" w:sz="4"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排放限值</w:t>
                  </w:r>
                </w:p>
              </w:tc>
              <w:tc>
                <w:tcPr>
                  <w:tcW w:w="2841" w:type="dxa"/>
                  <w:tcBorders>
                    <w:top w:val="single" w:color="000000" w:sz="4" w:space="0"/>
                  </w:tcBorders>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363" w:type="dxa"/>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非甲烷总烃</w:t>
                  </w:r>
                </w:p>
              </w:tc>
              <w:tc>
                <w:tcPr>
                  <w:tcW w:w="1634" w:type="dxa"/>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w:t>
                  </w:r>
                  <w:r>
                    <w:rPr>
                      <w:rFonts w:hint="default" w:ascii="Times New Roman" w:hAnsi="Times New Roman" w:cs="Times New Roman"/>
                      <w:color w:val="auto"/>
                      <w:szCs w:val="21"/>
                      <w:highlight w:val="none"/>
                      <w:lang w:val="en-US" w:eastAsia="zh-CN"/>
                    </w:rPr>
                    <w:t>100</w:t>
                  </w:r>
                </w:p>
              </w:tc>
              <w:tc>
                <w:tcPr>
                  <w:tcW w:w="2841" w:type="dxa"/>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车间或生产设施排气筒</w:t>
                  </w:r>
                </w:p>
              </w:tc>
            </w:tr>
          </w:tbl>
          <w:p>
            <w:pPr>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②</w:t>
            </w:r>
            <w:r>
              <w:rPr>
                <w:rFonts w:hint="default" w:ascii="Times New Roman" w:hAnsi="Times New Roman" w:eastAsia="宋体" w:cs="Times New Roman"/>
                <w:b/>
                <w:color w:val="auto"/>
                <w:sz w:val="24"/>
                <w:szCs w:val="24"/>
                <w:highlight w:val="none"/>
                <w:lang w:eastAsia="zh-CN"/>
              </w:rPr>
              <w:t>无组织</w:t>
            </w:r>
            <w:r>
              <w:rPr>
                <w:rFonts w:hint="default" w:ascii="Times New Roman" w:hAnsi="Times New Roman" w:eastAsia="宋体" w:cs="Times New Roman"/>
                <w:b/>
                <w:color w:val="auto"/>
                <w:sz w:val="24"/>
                <w:szCs w:val="24"/>
                <w:highlight w:val="none"/>
              </w:rPr>
              <w:t>粉尘</w:t>
            </w:r>
            <w:r>
              <w:rPr>
                <w:rFonts w:hint="default" w:ascii="Times New Roman" w:hAnsi="Times New Roman" w:eastAsia="宋体" w:cs="Times New Roman"/>
                <w:b/>
                <w:color w:val="auto"/>
                <w:sz w:val="24"/>
                <w:szCs w:val="24"/>
                <w:highlight w:val="none"/>
                <w:lang w:eastAsia="zh-CN"/>
              </w:rPr>
              <w:t>及非甲烷总烃</w:t>
            </w:r>
            <w:r>
              <w:rPr>
                <w:rFonts w:hint="default" w:ascii="Times New Roman" w:hAnsi="Times New Roman" w:eastAsia="宋体" w:cs="Times New Roman"/>
                <w:b/>
                <w:color w:val="auto"/>
                <w:sz w:val="24"/>
                <w:szCs w:val="24"/>
                <w:highlight w:val="none"/>
              </w:rPr>
              <w:t>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根据项目特点，</w:t>
            </w:r>
            <w:r>
              <w:rPr>
                <w:rFonts w:hint="default" w:ascii="Times New Roman" w:hAnsi="Times New Roman" w:eastAsia="宋体" w:cs="Times New Roman"/>
                <w:color w:val="auto"/>
                <w:sz w:val="24"/>
                <w:szCs w:val="24"/>
                <w:lang w:eastAsia="zh-CN"/>
              </w:rPr>
              <w:t>一次性使用医用棉签</w:t>
            </w:r>
            <w:r>
              <w:rPr>
                <w:rFonts w:hint="default" w:ascii="Times New Roman" w:hAnsi="Times New Roman" w:eastAsia="宋体" w:cs="Times New Roman"/>
                <w:color w:val="auto"/>
                <w:sz w:val="24"/>
                <w:szCs w:val="24"/>
              </w:rPr>
              <w:t>生产线中</w:t>
            </w:r>
            <w:r>
              <w:rPr>
                <w:rFonts w:hint="default" w:ascii="Times New Roman" w:hAnsi="Times New Roman" w:eastAsia="宋体" w:cs="Times New Roman"/>
                <w:color w:val="auto"/>
                <w:sz w:val="24"/>
                <w:szCs w:val="24"/>
                <w:lang w:eastAsia="zh-CN"/>
              </w:rPr>
              <w:t>面条输送</w:t>
            </w:r>
            <w:r>
              <w:rPr>
                <w:rFonts w:hint="default" w:ascii="Times New Roman" w:hAnsi="Times New Roman" w:eastAsia="宋体" w:cs="Times New Roman"/>
                <w:color w:val="auto"/>
                <w:sz w:val="24"/>
                <w:szCs w:val="24"/>
              </w:rPr>
              <w:t>工序会产生一定量的粉尘，</w:t>
            </w:r>
            <w:r>
              <w:rPr>
                <w:rFonts w:hint="default" w:ascii="Times New Roman" w:hAnsi="Times New Roman" w:eastAsia="宋体" w:cs="Times New Roman"/>
                <w:color w:val="auto"/>
                <w:kern w:val="0"/>
                <w:sz w:val="24"/>
                <w:szCs w:val="24"/>
                <w:lang w:val="en-US" w:eastAsia="zh-CN" w:bidi="ar"/>
              </w:rPr>
              <w:t>棉签烘干、口罩生产、产品灭菌解析过程及会产生少量挥发性有机物（以非甲烷总烃计）,呈无组织排放，由于</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制药工业大气污染物排放标准</w:t>
            </w:r>
            <w:r>
              <w:rPr>
                <w:rFonts w:hint="default"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企业边界大气污染物浓度限值中无颗粒物及非甲烷总烃浓度限值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故企业边界无组织颗粒物及非甲烷总烃</w:t>
            </w:r>
            <w:r>
              <w:rPr>
                <w:rFonts w:hint="default" w:ascii="Times New Roman" w:hAnsi="Times New Roman" w:eastAsia="宋体" w:cs="Times New Roman"/>
                <w:color w:val="auto"/>
                <w:kern w:val="0"/>
                <w:sz w:val="24"/>
                <w:szCs w:val="24"/>
                <w:lang w:val="en-US" w:eastAsia="zh-CN" w:bidi="ar"/>
              </w:rPr>
              <w:t>均</w:t>
            </w:r>
            <w:r>
              <w:rPr>
                <w:rFonts w:hint="default" w:ascii="Times New Roman" w:hAnsi="Times New Roman" w:eastAsia="宋体" w:cs="Times New Roman"/>
                <w:color w:val="auto"/>
                <w:sz w:val="24"/>
                <w:szCs w:val="24"/>
              </w:rPr>
              <w:t>执行《大气污染物综合排放标准》（GB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-1996）中表2</w:t>
            </w:r>
            <w:r>
              <w:rPr>
                <w:rFonts w:hint="default" w:ascii="Times New Roman" w:hAnsi="Times New Roman" w:eastAsia="宋体" w:cs="Times New Roman"/>
                <w:color w:val="auto"/>
                <w:sz w:val="24"/>
                <w:szCs w:val="24"/>
                <w:lang w:eastAsia="zh-CN"/>
              </w:rPr>
              <w:t>中无组织排放</w:t>
            </w:r>
            <w:r>
              <w:rPr>
                <w:rFonts w:hint="default" w:ascii="Times New Roman" w:hAnsi="Times New Roman" w:eastAsia="宋体" w:cs="Times New Roman"/>
                <w:color w:val="auto"/>
                <w:sz w:val="24"/>
                <w:szCs w:val="24"/>
              </w:rPr>
              <w:t>标准。具体标准限值详见下表。</w:t>
            </w:r>
          </w:p>
          <w:p>
            <w:pPr>
              <w:jc w:val="center"/>
              <w:rPr>
                <w:rFonts w:hint="default" w:ascii="Times New Roman" w:hAnsi="Times New Roman" w:eastAsia="宋体" w:cs="Times New Roman"/>
                <w:b/>
                <w:color w:val="auto"/>
                <w:sz w:val="21"/>
                <w:szCs w:val="24"/>
              </w:rPr>
            </w:pPr>
            <w:r>
              <w:rPr>
                <w:rFonts w:hint="default" w:ascii="Times New Roman" w:hAnsi="Times New Roman" w:eastAsia="宋体" w:cs="Times New Roman"/>
                <w:b/>
                <w:color w:val="auto"/>
                <w:sz w:val="21"/>
                <w:szCs w:val="24"/>
              </w:rPr>
              <w:t>表</w:t>
            </w:r>
            <w:r>
              <w:rPr>
                <w:rFonts w:hint="default" w:ascii="Times New Roman" w:hAnsi="Times New Roman" w:eastAsia="宋体" w:cs="Times New Roman"/>
                <w:b/>
                <w:color w:val="auto"/>
                <w:sz w:val="21"/>
                <w:szCs w:val="24"/>
                <w:lang w:val="en-US" w:eastAsia="zh-CN"/>
              </w:rPr>
              <w:t>3.3</w:t>
            </w:r>
            <w:r>
              <w:rPr>
                <w:rFonts w:hint="default" w:ascii="Times New Roman" w:hAnsi="Times New Roman" w:eastAsia="宋体" w:cs="Times New Roman"/>
                <w:b/>
                <w:color w:val="auto"/>
                <w:sz w:val="21"/>
                <w:szCs w:val="24"/>
              </w:rPr>
              <w:t>.1-</w:t>
            </w:r>
            <w:r>
              <w:rPr>
                <w:rFonts w:hint="default" w:ascii="Times New Roman" w:hAnsi="Times New Roman" w:eastAsia="宋体" w:cs="Times New Roman"/>
                <w:b/>
                <w:color w:val="auto"/>
                <w:sz w:val="21"/>
                <w:szCs w:val="24"/>
                <w:lang w:val="en-US" w:eastAsia="zh-CN"/>
              </w:rPr>
              <w:t>3</w:t>
            </w:r>
            <w:r>
              <w:rPr>
                <w:rFonts w:hint="default" w:ascii="Times New Roman" w:hAnsi="Times New Roman" w:eastAsia="宋体" w:cs="Times New Roman"/>
                <w:b/>
                <w:color w:val="auto"/>
                <w:sz w:val="21"/>
                <w:szCs w:val="24"/>
              </w:rPr>
              <w:t xml:space="preserve"> 大气污染物排放限值    单位：mg/m³</w:t>
            </w:r>
          </w:p>
          <w:tbl>
            <w:tblPr>
              <w:tblStyle w:val="25"/>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70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1"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3705"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b/>
                  </w:r>
                  <w:r>
                    <w:rPr>
                      <w:rFonts w:hint="default" w:ascii="Times New Roman" w:hAnsi="Times New Roman" w:eastAsia="宋体" w:cs="Times New Roman"/>
                      <w:color w:val="auto"/>
                      <w:szCs w:val="21"/>
                    </w:rPr>
                    <w:t>无组织排放监控浓度限值</w:t>
                  </w:r>
                </w:p>
              </w:tc>
              <w:tc>
                <w:tcPr>
                  <w:tcW w:w="2475" w:type="dxa"/>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颗粒物</w:t>
                  </w:r>
                </w:p>
              </w:tc>
              <w:tc>
                <w:tcPr>
                  <w:tcW w:w="3705" w:type="dxa"/>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475" w:type="dxa"/>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企业边界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w:t>
                  </w:r>
                </w:p>
              </w:tc>
              <w:tc>
                <w:tcPr>
                  <w:tcW w:w="3705" w:type="dxa"/>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w:t>
                  </w:r>
                </w:p>
              </w:tc>
              <w:tc>
                <w:tcPr>
                  <w:tcW w:w="2475" w:type="dxa"/>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企业边界</w:t>
                  </w:r>
                </w:p>
              </w:tc>
            </w:tr>
          </w:tbl>
          <w:p>
            <w:pPr>
              <w:spacing w:beforeLines="50"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lang w:eastAsia="zh-CN"/>
              </w:rPr>
              <w:t>恶臭执行标准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由于项目生产过程有非甲烷总烃等废气产生，因此会产生少量异味。</w:t>
            </w:r>
            <w:r>
              <w:rPr>
                <w:rFonts w:hint="default" w:ascii="Times New Roman" w:hAnsi="Times New Roman" w:eastAsia="宋体" w:cs="Times New Roman"/>
                <w:color w:val="auto"/>
                <w:sz w:val="24"/>
                <w:szCs w:val="24"/>
                <w:lang w:eastAsia="zh-CN"/>
              </w:rPr>
              <w:t>但由于产量较小，在厂区无组织排放，</w:t>
            </w:r>
            <w:r>
              <w:rPr>
                <w:rFonts w:hint="default" w:ascii="Times New Roman" w:hAnsi="Times New Roman" w:eastAsia="宋体" w:cs="Times New Roman"/>
                <w:color w:val="auto"/>
                <w:sz w:val="24"/>
                <w:szCs w:val="24"/>
              </w:rPr>
              <w:t>执行《恶臭污染物排放标准》（GB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-93）中无组织排放标准。标准值详见下表。</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w:t>
            </w:r>
            <w:r>
              <w:rPr>
                <w:rFonts w:hint="default" w:ascii="Times New Roman" w:hAnsi="Times New Roman" w:eastAsia="宋体" w:cs="Times New Roman"/>
                <w:b/>
                <w:color w:val="auto"/>
                <w:szCs w:val="24"/>
                <w:lang w:val="en-US" w:eastAsia="zh-CN"/>
              </w:rPr>
              <w:t>4</w:t>
            </w:r>
            <w:r>
              <w:rPr>
                <w:rFonts w:hint="default" w:ascii="Times New Roman" w:hAnsi="Times New Roman" w:eastAsia="宋体" w:cs="Times New Roman"/>
                <w:b/>
                <w:color w:val="auto"/>
                <w:szCs w:val="24"/>
              </w:rPr>
              <w:t xml:space="preserve"> 恶臭污染物排放标准排放限值</w:t>
            </w:r>
          </w:p>
          <w:tbl>
            <w:tblPr>
              <w:tblStyle w:val="26"/>
              <w:tblW w:w="872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57"/>
              <w:gridCol w:w="2385"/>
              <w:gridCol w:w="23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jc w:val="center"/>
              </w:trPr>
              <w:tc>
                <w:tcPr>
                  <w:tcW w:w="3957"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污染物</w:t>
                  </w:r>
                </w:p>
              </w:tc>
              <w:tc>
                <w:tcPr>
                  <w:tcW w:w="2385" w:type="dxa"/>
                  <w:tcBorders>
                    <w:left w:val="single" w:color="auto" w:sz="4" w:space="0"/>
                  </w:tcBorders>
                  <w:vAlign w:val="center"/>
                </w:tcPr>
                <w:p>
                  <w:pPr>
                    <w:tabs>
                      <w:tab w:val="left" w:pos="780"/>
                    </w:tabs>
                    <w:spacing w:line="360" w:lineRule="exact"/>
                    <w:jc w:val="center"/>
                    <w:rPr>
                      <w:rFonts w:hint="default" w:ascii="Times New Roman" w:hAnsi="Times New Roman" w:eastAsia="宋体" w:cs="Times New Roman"/>
                      <w:color w:val="auto"/>
                      <w:spacing w:val="14"/>
                      <w:lang w:eastAsia="zh-CN"/>
                    </w:rPr>
                  </w:pPr>
                  <w:r>
                    <w:rPr>
                      <w:rFonts w:hint="default" w:ascii="Times New Roman" w:hAnsi="Times New Roman" w:eastAsia="宋体" w:cs="Times New Roman"/>
                      <w:color w:val="auto"/>
                      <w:spacing w:val="14"/>
                    </w:rPr>
                    <w:t>无组织排放标准</w:t>
                  </w:r>
                  <w:r>
                    <w:rPr>
                      <w:rFonts w:hint="default" w:ascii="Times New Roman" w:hAnsi="Times New Roman" w:eastAsia="宋体" w:cs="Times New Roman"/>
                      <w:color w:val="auto"/>
                      <w:spacing w:val="14"/>
                      <w:lang w:eastAsia="zh-CN"/>
                    </w:rPr>
                    <w:t>限值</w:t>
                  </w:r>
                </w:p>
              </w:tc>
              <w:tc>
                <w:tcPr>
                  <w:tcW w:w="2385" w:type="dxa"/>
                  <w:tcBorders>
                    <w:left w:val="single" w:color="auto" w:sz="4" w:space="0"/>
                  </w:tcBorders>
                  <w:vAlign w:val="center"/>
                </w:tcPr>
                <w:p>
                  <w:pPr>
                    <w:tabs>
                      <w:tab w:val="left" w:pos="780"/>
                    </w:tabs>
                    <w:spacing w:line="360" w:lineRule="exact"/>
                    <w:jc w:val="center"/>
                    <w:rPr>
                      <w:rFonts w:hint="default" w:ascii="Times New Roman" w:hAnsi="Times New Roman" w:eastAsia="宋体" w:cs="Times New Roman"/>
                      <w:color w:val="auto"/>
                      <w:spacing w:val="14"/>
                      <w:lang w:eastAsia="zh-CN"/>
                    </w:rPr>
                  </w:pPr>
                  <w:r>
                    <w:rPr>
                      <w:rFonts w:hint="default" w:ascii="Times New Roman" w:hAnsi="Times New Roman" w:eastAsia="宋体" w:cs="Times New Roman"/>
                      <w:color w:val="auto"/>
                      <w:spacing w:val="14"/>
                      <w:lang w:eastAsia="zh-CN"/>
                    </w:rPr>
                    <w:t>监控点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jc w:val="center"/>
              </w:trPr>
              <w:tc>
                <w:tcPr>
                  <w:tcW w:w="3957"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臭气浓度</w:t>
                  </w:r>
                </w:p>
              </w:tc>
              <w:tc>
                <w:tcPr>
                  <w:tcW w:w="2385" w:type="dxa"/>
                  <w:tcBorders>
                    <w:left w:val="single" w:color="auto" w:sz="4" w:space="0"/>
                  </w:tcBorders>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20（无量纲）</w:t>
                  </w:r>
                </w:p>
              </w:tc>
              <w:tc>
                <w:tcPr>
                  <w:tcW w:w="2385" w:type="dxa"/>
                  <w:tcBorders>
                    <w:left w:val="single" w:color="auto" w:sz="4" w:space="0"/>
                  </w:tcBorders>
                  <w:vAlign w:val="center"/>
                </w:tcPr>
                <w:p>
                  <w:pPr>
                    <w:tabs>
                      <w:tab w:val="left" w:pos="780"/>
                    </w:tabs>
                    <w:spacing w:line="360" w:lineRule="exact"/>
                    <w:jc w:val="center"/>
                    <w:rPr>
                      <w:rFonts w:hint="default" w:ascii="Times New Roman" w:hAnsi="Times New Roman" w:eastAsia="宋体" w:cs="Times New Roman"/>
                      <w:color w:val="auto"/>
                      <w:spacing w:val="14"/>
                      <w:lang w:eastAsia="zh-CN"/>
                    </w:rPr>
                  </w:pPr>
                  <w:r>
                    <w:rPr>
                      <w:rFonts w:hint="default" w:ascii="Times New Roman" w:hAnsi="Times New Roman" w:eastAsia="宋体" w:cs="Times New Roman"/>
                      <w:color w:val="auto"/>
                      <w:spacing w:val="14"/>
                      <w:lang w:eastAsia="zh-CN"/>
                    </w:rPr>
                    <w:t>企业边界</w:t>
                  </w:r>
                </w:p>
              </w:tc>
            </w:tr>
          </w:tbl>
          <w:p>
            <w:pPr>
              <w:spacing w:beforeLines="50"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④</w:t>
            </w:r>
            <w:r>
              <w:rPr>
                <w:rFonts w:hint="default" w:ascii="Times New Roman" w:hAnsi="Times New Roman" w:eastAsia="宋体" w:cs="Times New Roman"/>
                <w:b/>
                <w:color w:val="auto"/>
                <w:sz w:val="24"/>
                <w:szCs w:val="24"/>
                <w:lang w:eastAsia="zh-CN"/>
              </w:rPr>
              <w:t>非甲烷总烃厂界内</w:t>
            </w:r>
            <w:r>
              <w:rPr>
                <w:rFonts w:hint="default" w:ascii="Times New Roman" w:hAnsi="Times New Roman" w:eastAsia="宋体" w:cs="Times New Roman"/>
                <w:b/>
                <w:color w:val="auto"/>
                <w:sz w:val="24"/>
                <w:szCs w:val="24"/>
              </w:rPr>
              <w:t>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无组织排放的非甲烷总烃厂界内需执行《</w:t>
            </w:r>
            <w:r>
              <w:rPr>
                <w:rFonts w:hint="default" w:ascii="Times New Roman" w:hAnsi="Times New Roman" w:eastAsia="宋体" w:cs="Times New Roman"/>
                <w:color w:val="auto"/>
                <w:sz w:val="24"/>
                <w:szCs w:val="24"/>
                <w:lang w:eastAsia="zh-CN"/>
              </w:rPr>
              <w:t>制药工业大气污染物排放标准</w:t>
            </w:r>
            <w:r>
              <w:rPr>
                <w:rFonts w:hint="default"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中附录C</w:t>
            </w:r>
            <w:r>
              <w:rPr>
                <w:rFonts w:hint="default" w:ascii="Times New Roman" w:hAnsi="Times New Roman" w:eastAsia="宋体" w:cs="Times New Roman"/>
                <w:color w:val="auto"/>
                <w:sz w:val="24"/>
                <w:szCs w:val="24"/>
              </w:rPr>
              <w:t>的排放限值要求。标准值如下表所示。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w:t>
            </w:r>
            <w:r>
              <w:rPr>
                <w:rFonts w:hint="default" w:ascii="Times New Roman" w:hAnsi="Times New Roman" w:eastAsia="宋体" w:cs="Times New Roman"/>
                <w:b/>
                <w:color w:val="auto"/>
                <w:szCs w:val="24"/>
                <w:lang w:val="en-US" w:eastAsia="zh-CN"/>
              </w:rPr>
              <w:t>5</w:t>
            </w:r>
            <w:r>
              <w:rPr>
                <w:rFonts w:hint="default" w:ascii="Times New Roman" w:hAnsi="Times New Roman" w:eastAsia="宋体" w:cs="Times New Roman"/>
                <w:b/>
                <w:color w:val="auto"/>
                <w:szCs w:val="24"/>
              </w:rPr>
              <w:t xml:space="preserve">  项目厂界内非甲烷总烃排放标准  单位mg/m³</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38"/>
              <w:gridCol w:w="1356"/>
              <w:gridCol w:w="3252"/>
              <w:gridCol w:w="2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1844" w:type="dxa"/>
                  <w:tcBorders>
                    <w:top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1117"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排放限值</w:t>
                  </w:r>
                </w:p>
              </w:tc>
              <w:tc>
                <w:tcPr>
                  <w:tcW w:w="2679" w:type="dxa"/>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限值含义</w:t>
                  </w:r>
                </w:p>
              </w:tc>
              <w:tc>
                <w:tcPr>
                  <w:tcW w:w="1734" w:type="dxa"/>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44"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NMHC</w:t>
                  </w:r>
                </w:p>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（非甲烷总烃）</w:t>
                  </w:r>
                </w:p>
              </w:tc>
              <w:tc>
                <w:tcPr>
                  <w:tcW w:w="1117"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679" w:type="dxa"/>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监控点处1h平均浓度值</w:t>
                  </w:r>
                </w:p>
              </w:tc>
              <w:tc>
                <w:tcPr>
                  <w:tcW w:w="1734" w:type="dxa"/>
                  <w:vMerge w:val="restart"/>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44"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117"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2679" w:type="dxa"/>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监控点处任意一次浓度值</w:t>
                  </w:r>
                </w:p>
              </w:tc>
              <w:tc>
                <w:tcPr>
                  <w:tcW w:w="1734"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bl>
          <w:p>
            <w:pPr>
              <w:pStyle w:val="53"/>
              <w:spacing w:beforeLines="50"/>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⑤厨房油烟执行标准</w:t>
            </w:r>
          </w:p>
          <w:p>
            <w:pPr>
              <w:pStyle w:val="53"/>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项目设置一间厨房（含</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个灶头），厨房油烟参照执行《饮食业油烟排放标准》（GB</w:t>
            </w:r>
            <w:r>
              <w:rPr>
                <w:rFonts w:hint="eastAsia" w:cs="Times New Roman"/>
                <w:color w:val="auto"/>
                <w:lang w:eastAsia="zh-CN"/>
              </w:rPr>
              <w:t>*****</w:t>
            </w:r>
            <w:r>
              <w:rPr>
                <w:rFonts w:hint="default" w:ascii="Times New Roman" w:hAnsi="Times New Roman" w:eastAsia="宋体" w:cs="Times New Roman"/>
                <w:color w:val="auto"/>
              </w:rPr>
              <w:t>-2001）（试行）小型标准，即，灶头数＜3，标准值如下表所示。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w:t>
            </w:r>
            <w:r>
              <w:rPr>
                <w:rFonts w:hint="default" w:ascii="Times New Roman" w:hAnsi="Times New Roman" w:eastAsia="宋体" w:cs="Times New Roman"/>
                <w:b/>
                <w:color w:val="auto"/>
                <w:szCs w:val="24"/>
                <w:lang w:val="en-US" w:eastAsia="zh-CN"/>
              </w:rPr>
              <w:t>6</w:t>
            </w:r>
            <w:r>
              <w:rPr>
                <w:rFonts w:hint="default" w:ascii="Times New Roman" w:hAnsi="Times New Roman" w:eastAsia="宋体" w:cs="Times New Roman"/>
                <w:b/>
                <w:color w:val="auto"/>
                <w:szCs w:val="24"/>
              </w:rPr>
              <w:t xml:space="preserve"> 饮食业单位的油烟最高允许排放浓度和油烟净化设施最低去除效率</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510"/>
              <w:gridCol w:w="3192"/>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规模</w:t>
                  </w:r>
                </w:p>
              </w:tc>
              <w:tc>
                <w:tcPr>
                  <w:tcW w:w="1560"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基准灶头数</w:t>
                  </w:r>
                </w:p>
              </w:tc>
              <w:tc>
                <w:tcPr>
                  <w:tcW w:w="3308"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最高允许排放浓度（mg/m³）</w:t>
                  </w:r>
                </w:p>
              </w:tc>
              <w:tc>
                <w:tcPr>
                  <w:tcW w:w="3464"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小型</w:t>
                  </w:r>
                </w:p>
              </w:tc>
              <w:tc>
                <w:tcPr>
                  <w:tcW w:w="1560"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≥1，＜3</w:t>
                  </w:r>
                </w:p>
              </w:tc>
              <w:tc>
                <w:tcPr>
                  <w:tcW w:w="3308"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2.0</w:t>
                  </w:r>
                </w:p>
              </w:tc>
              <w:tc>
                <w:tcPr>
                  <w:tcW w:w="3464"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60</w:t>
                  </w:r>
                </w:p>
              </w:tc>
            </w:tr>
          </w:tbl>
          <w:p>
            <w:pPr>
              <w:pStyle w:val="53"/>
              <w:spacing w:beforeLines="50"/>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3.3.2 废水排放标准</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（1）施工期</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根据项目特点，</w:t>
            </w:r>
            <w:r>
              <w:rPr>
                <w:rFonts w:hint="default" w:ascii="Times New Roman" w:hAnsi="Times New Roman" w:eastAsia="宋体" w:cs="Times New Roman"/>
                <w:color w:val="auto"/>
                <w:sz w:val="24"/>
                <w:szCs w:val="24"/>
                <w:lang w:eastAsia="zh-CN"/>
              </w:rPr>
              <w:t>项目目前已建成</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施工期主要为环保措施的整改，</w:t>
            </w:r>
            <w:r>
              <w:rPr>
                <w:rFonts w:hint="default" w:ascii="Times New Roman" w:hAnsi="Times New Roman" w:eastAsia="宋体" w:cs="Times New Roman"/>
                <w:color w:val="auto"/>
                <w:sz w:val="24"/>
                <w:szCs w:val="24"/>
              </w:rPr>
              <w:t>施工过程无废水产生。</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（2）运营期</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运营期产生的废水主要来自生活污水、项目纯水设备浓排水、理化室实验器皿初次清洗废水之后的清洗废水、生产车间、办公区域等地面清洁废水。纯水设备浓排水、理化室实验器皿初次清洗废水之后的清洗废水、生产车间、办公区域等地面清洁废水经化粪池（容积7m³）预处理后进入一体化污水处理设施（处理能力7m³）处理；</w:t>
            </w:r>
            <w:r>
              <w:rPr>
                <w:rFonts w:hint="default" w:ascii="Times New Roman" w:hAnsi="Times New Roman" w:eastAsia="宋体" w:cs="Times New Roman"/>
                <w:color w:val="auto"/>
                <w:sz w:val="24"/>
                <w:szCs w:val="24"/>
              </w:rPr>
              <w:t>项目厨房废水先经1m³的隔油池</w:t>
            </w:r>
            <w:r>
              <w:rPr>
                <w:rFonts w:hint="default" w:ascii="Times New Roman" w:hAnsi="Times New Roman" w:eastAsia="宋体" w:cs="Times New Roman"/>
                <w:color w:val="auto"/>
                <w:sz w:val="24"/>
                <w:szCs w:val="24"/>
                <w:lang w:eastAsia="zh-CN"/>
              </w:rPr>
              <w:t>处理后</w:t>
            </w:r>
            <w:r>
              <w:rPr>
                <w:rFonts w:hint="default" w:ascii="Times New Roman" w:hAnsi="Times New Roman" w:eastAsia="宋体" w:cs="Times New Roman"/>
                <w:color w:val="auto"/>
                <w:sz w:val="24"/>
                <w:szCs w:val="24"/>
              </w:rPr>
              <w:t>和其他生活污水一起进入一个有效容积不低于7m³的化粪池预处理</w:t>
            </w:r>
            <w:r>
              <w:rPr>
                <w:rFonts w:hint="default" w:ascii="Times New Roman" w:hAnsi="Times New Roman" w:eastAsia="宋体" w:cs="Times New Roman"/>
                <w:color w:val="auto"/>
                <w:sz w:val="24"/>
                <w:szCs w:val="24"/>
                <w:lang w:eastAsia="zh-CN"/>
              </w:rPr>
              <w:t>，预处理后经</w:t>
            </w:r>
            <w:r>
              <w:rPr>
                <w:rFonts w:hint="default" w:ascii="Times New Roman" w:hAnsi="Times New Roman" w:eastAsia="宋体" w:cs="Times New Roman"/>
                <w:color w:val="auto"/>
                <w:sz w:val="24"/>
                <w:szCs w:val="24"/>
              </w:rPr>
              <w:t>1套处理能力为</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m³/d的一体化污水处理</w:t>
            </w:r>
            <w:r>
              <w:rPr>
                <w:rFonts w:hint="default" w:ascii="Times New Roman" w:hAnsi="Times New Roman" w:eastAsia="宋体" w:cs="Times New Roman"/>
                <w:color w:val="auto"/>
                <w:sz w:val="24"/>
                <w:szCs w:val="24"/>
                <w:lang w:eastAsia="zh-CN"/>
              </w:rPr>
              <w:t>设施处理</w:t>
            </w:r>
            <w:r>
              <w:rPr>
                <w:rFonts w:hint="default" w:ascii="Times New Roman" w:hAnsi="Times New Roman" w:eastAsia="宋体" w:cs="Times New Roman"/>
                <w:color w:val="auto"/>
                <w:sz w:val="24"/>
                <w:szCs w:val="24"/>
              </w:rPr>
              <w:t>后回用于绿化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根据调查，目前项目区域还未配套建成市政污水管网，因此本项目排水拟按近期（污水管网建成前）和远期（污水管网建成后）考虑。</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①近期（污水管网建成前）废水执行标准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近期（污水管网建成前），项目产生的生活污水通过隔油池、化粪池和一体化污水处理设施处理后回用于绿化，不外排；执行《城市污水再生利用 城市杂用水水质》（GB/T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）城市绿化标准。</w:t>
            </w:r>
          </w:p>
          <w:p>
            <w:pPr>
              <w:spacing w:line="360" w:lineRule="auto"/>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标准限值详见下表。</w:t>
            </w:r>
          </w:p>
          <w:p>
            <w:pPr>
              <w:jc w:val="center"/>
              <w:rPr>
                <w:rFonts w:hint="default" w:ascii="Times New Roman" w:hAnsi="Times New Roman" w:eastAsia="宋体" w:cs="Times New Roman"/>
                <w:b/>
                <w:color w:val="auto"/>
                <w:sz w:val="22"/>
                <w:szCs w:val="24"/>
              </w:rPr>
            </w:pPr>
            <w:r>
              <w:rPr>
                <w:rFonts w:hint="default" w:ascii="Times New Roman" w:hAnsi="Times New Roman" w:eastAsia="宋体" w:cs="Times New Roman"/>
                <w:b/>
                <w:color w:val="auto"/>
                <w:sz w:val="22"/>
                <w:szCs w:val="24"/>
              </w:rPr>
              <w:t>表</w:t>
            </w:r>
            <w:r>
              <w:rPr>
                <w:rFonts w:hint="default" w:ascii="Times New Roman" w:hAnsi="Times New Roman" w:eastAsia="宋体" w:cs="Times New Roman"/>
                <w:b/>
                <w:color w:val="auto"/>
                <w:sz w:val="22"/>
                <w:szCs w:val="24"/>
                <w:lang w:val="en-US" w:eastAsia="zh-CN"/>
              </w:rPr>
              <w:t>3.3.2</w:t>
            </w:r>
            <w:r>
              <w:rPr>
                <w:rFonts w:hint="default" w:ascii="Times New Roman" w:hAnsi="Times New Roman" w:eastAsia="宋体" w:cs="Times New Roman"/>
                <w:b/>
                <w:color w:val="auto"/>
                <w:sz w:val="22"/>
                <w:szCs w:val="24"/>
              </w:rPr>
              <w:t>-1  城市污水再生利用 城市杂用水标准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573"/>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pH</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色（度）≤</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嗅</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浊度（NTU）≤</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溶解性总固体（mg/L）≤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五日生化需氧量BOD</w:t>
                  </w:r>
                  <w:r>
                    <w:rPr>
                      <w:rFonts w:hint="default" w:ascii="Times New Roman" w:hAnsi="Times New Roman" w:cs="Times New Roman"/>
                      <w:color w:val="auto"/>
                      <w:szCs w:val="21"/>
                      <w:vertAlign w:val="subscript"/>
                    </w:rPr>
                    <w:t>5</w:t>
                  </w:r>
                  <w:r>
                    <w:rPr>
                      <w:rFonts w:hint="default" w:ascii="Times New Roman" w:hAnsi="Times New Roman" w:cs="Times New Roman"/>
                      <w:color w:val="auto"/>
                      <w:szCs w:val="21"/>
                    </w:rPr>
                    <w:t>（mg/L）≤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氨氮（mg/L）≤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阴离子表面活性（mg/L）≤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铁（mg/L）≤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锰（mg/L）≤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溶解氧（mg/L）≥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总余氯（mg/L）≤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13</w:t>
                  </w:r>
                </w:p>
              </w:tc>
              <w:tc>
                <w:tcPr>
                  <w:tcW w:w="4618"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大肠埃氏菌/（MPN/100mL，或CFU/100 mL）</w:t>
                  </w:r>
                </w:p>
              </w:tc>
              <w:tc>
                <w:tcPr>
                  <w:tcW w:w="3332" w:type="dxa"/>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无</w:t>
                  </w:r>
                </w:p>
              </w:tc>
            </w:tr>
          </w:tbl>
          <w:p>
            <w:pPr>
              <w:spacing w:beforeLines="50"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②远期（污水管网建成后）执行标准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远期（污水管网建成后），</w:t>
            </w:r>
            <w:r>
              <w:rPr>
                <w:rFonts w:hint="default" w:ascii="Times New Roman" w:hAnsi="Times New Roman" w:eastAsia="宋体" w:cs="Times New Roman"/>
                <w:color w:val="auto"/>
                <w:sz w:val="24"/>
                <w:szCs w:val="24"/>
                <w:lang w:eastAsia="zh-CN"/>
              </w:rPr>
              <w:t>一体化污水处理设施闲置将不再使用，</w:t>
            </w:r>
            <w:r>
              <w:rPr>
                <w:rFonts w:hint="default" w:ascii="Times New Roman" w:hAnsi="Times New Roman" w:eastAsia="宋体" w:cs="Times New Roman"/>
                <w:color w:val="auto"/>
                <w:sz w:val="24"/>
                <w:szCs w:val="24"/>
              </w:rPr>
              <w:t>废水经隔油池、化粪池处理后，通过市政污水管网进入东川区城市污水处理厂处理。执行《污水排入城镇下水道水质标准》（GB/T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-2015）表1中的</w:t>
            </w:r>
            <w:r>
              <w:rPr>
                <w:rFonts w:hint="default"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rPr>
              <w:t>等级标准。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标准限值详见下表。</w:t>
            </w:r>
          </w:p>
          <w:p>
            <w:pPr>
              <w:jc w:val="center"/>
              <w:rPr>
                <w:rFonts w:hint="default" w:ascii="Times New Roman" w:hAnsi="Times New Roman" w:eastAsia="宋体" w:cs="Times New Roman"/>
                <w:b/>
                <w:color w:val="auto"/>
                <w:sz w:val="21"/>
                <w:szCs w:val="24"/>
              </w:rPr>
            </w:pPr>
            <w:r>
              <w:rPr>
                <w:rFonts w:hint="default" w:ascii="Times New Roman" w:hAnsi="Times New Roman" w:eastAsia="宋体" w:cs="Times New Roman"/>
                <w:b/>
                <w:color w:val="auto"/>
                <w:sz w:val="21"/>
                <w:szCs w:val="24"/>
              </w:rPr>
              <w:t>表</w:t>
            </w:r>
            <w:r>
              <w:rPr>
                <w:rFonts w:hint="default" w:ascii="Times New Roman" w:hAnsi="Times New Roman" w:eastAsia="宋体" w:cs="Times New Roman"/>
                <w:b/>
                <w:color w:val="auto"/>
                <w:sz w:val="21"/>
                <w:szCs w:val="24"/>
                <w:lang w:val="en-US" w:eastAsia="zh-CN"/>
              </w:rPr>
              <w:t>3.3.2-2</w:t>
            </w:r>
            <w:r>
              <w:rPr>
                <w:rFonts w:hint="default" w:ascii="Times New Roman" w:hAnsi="Times New Roman" w:eastAsia="宋体" w:cs="Times New Roman"/>
                <w:b/>
                <w:color w:val="auto"/>
                <w:sz w:val="21"/>
                <w:szCs w:val="24"/>
              </w:rPr>
              <w:t xml:space="preserve"> 污水排入城镇下水道水质控制项目限值 mg/L</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19"/>
              <w:gridCol w:w="1119"/>
              <w:gridCol w:w="1119"/>
              <w:gridCol w:w="1120"/>
              <w:gridCol w:w="1120"/>
              <w:gridCol w:w="11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项目类别</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pH</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CODcr</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氨氮</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总氮</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总磷</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A</w:t>
                  </w:r>
                  <w:r>
                    <w:rPr>
                      <w:rFonts w:hint="default" w:ascii="Times New Roman" w:hAnsi="Times New Roman" w:eastAsia="宋体" w:cs="Times New Roman"/>
                      <w:color w:val="auto"/>
                      <w:szCs w:val="21"/>
                    </w:rPr>
                    <w:t>等级</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6.5-9.5</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≤500</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≤350</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≤45</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r>
          </w:tbl>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3.3.3 噪声排放标准</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（1）施工期</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施工期噪声排放执行《建筑施工场界噪声环境噪声排放标准》（GB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-2011）。标准值详见下表。</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表3.3.3-1 建筑施工场界噪声标准限值  单位：dB（A）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2939"/>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控制区域</w:t>
                  </w:r>
                </w:p>
              </w:tc>
              <w:tc>
                <w:tcPr>
                  <w:tcW w:w="5857" w:type="dxa"/>
                  <w:gridSpan w:val="2"/>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45"/>
                    <w:spacing w:line="360" w:lineRule="exact"/>
                    <w:ind w:left="11"/>
                    <w:rPr>
                      <w:rFonts w:hint="default" w:ascii="Times New Roman" w:hAnsi="Times New Roman" w:eastAsia="宋体" w:cs="Times New Roman"/>
                      <w:color w:val="auto"/>
                      <w:szCs w:val="21"/>
                    </w:rPr>
                  </w:pPr>
                </w:p>
              </w:tc>
              <w:tc>
                <w:tcPr>
                  <w:tcW w:w="2977" w:type="dxa"/>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昼间</w:t>
                  </w:r>
                </w:p>
              </w:tc>
              <w:tc>
                <w:tcPr>
                  <w:tcW w:w="2880" w:type="dxa"/>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厂界</w:t>
                  </w:r>
                </w:p>
              </w:tc>
              <w:tc>
                <w:tcPr>
                  <w:tcW w:w="2977" w:type="dxa"/>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w:t>
                  </w:r>
                </w:p>
              </w:tc>
              <w:tc>
                <w:tcPr>
                  <w:tcW w:w="2880" w:type="dxa"/>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55</w:t>
                  </w:r>
                </w:p>
              </w:tc>
            </w:tr>
          </w:tbl>
          <w:p>
            <w:pPr>
              <w:spacing w:beforeLines="50"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（2）运营期</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项目位于</w:t>
            </w:r>
            <w:r>
              <w:rPr>
                <w:rFonts w:hint="default" w:ascii="Times New Roman" w:hAnsi="Times New Roman" w:eastAsia="宋体" w:cs="Times New Roman"/>
                <w:color w:val="auto"/>
                <w:sz w:val="24"/>
                <w:szCs w:val="24"/>
                <w:lang w:eastAsia="zh-CN"/>
              </w:rPr>
              <w:t>云南省昆明市东川区铜都街道办事处碧谷小新村</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西侧邻</w:t>
            </w:r>
            <w:r>
              <w:rPr>
                <w:rFonts w:hint="default" w:ascii="Times New Roman" w:hAnsi="Times New Roman" w:eastAsia="宋体" w:cs="Times New Roman"/>
                <w:color w:val="auto"/>
                <w:sz w:val="24"/>
                <w:szCs w:val="24"/>
                <w:lang w:val="en-US" w:eastAsia="zh-CN"/>
              </w:rPr>
              <w:t>G248国道，</w:t>
            </w:r>
            <w:r>
              <w:rPr>
                <w:rFonts w:hint="default" w:ascii="Times New Roman" w:hAnsi="Times New Roman" w:eastAsia="宋体" w:cs="Times New Roman"/>
                <w:bCs/>
                <w:color w:val="auto"/>
                <w:sz w:val="24"/>
                <w:szCs w:val="24"/>
                <w:lang w:eastAsia="zh-CN"/>
              </w:rPr>
              <w:t>项目区西侧邻</w:t>
            </w:r>
            <w:r>
              <w:rPr>
                <w:rFonts w:hint="default" w:ascii="Times New Roman" w:hAnsi="Times New Roman" w:eastAsia="宋体" w:cs="Times New Roman"/>
                <w:color w:val="auto"/>
                <w:sz w:val="24"/>
                <w:szCs w:val="24"/>
                <w:lang w:val="en-US" w:eastAsia="zh-CN"/>
              </w:rPr>
              <w:t>G248国道40m范围内执行</w:t>
            </w:r>
            <w:r>
              <w:rPr>
                <w:rFonts w:hint="default" w:ascii="Times New Roman" w:hAnsi="Times New Roman" w:eastAsia="宋体" w:cs="Times New Roman"/>
                <w:color w:val="auto"/>
                <w:sz w:val="24"/>
                <w:szCs w:val="24"/>
                <w:lang w:eastAsia="zh-CN"/>
              </w:rPr>
              <w:t>《工业企业厂界环境噪声排放标准》（GB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-2008）</w:t>
            </w:r>
            <w:r>
              <w:rPr>
                <w:rFonts w:hint="default" w:ascii="Times New Roman" w:hAnsi="Times New Roman" w:eastAsia="宋体" w:cs="Times New Roman"/>
                <w:bCs/>
                <w:color w:val="auto"/>
                <w:sz w:val="24"/>
                <w:szCs w:val="24"/>
                <w:lang w:val="en-US" w:eastAsia="zh-CN"/>
              </w:rPr>
              <w:t>4</w:t>
            </w:r>
            <w:r>
              <w:rPr>
                <w:rFonts w:hint="default" w:ascii="Times New Roman" w:hAnsi="Times New Roman" w:eastAsia="宋体" w:cs="Times New Roman"/>
                <w:bCs/>
                <w:color w:val="auto"/>
                <w:sz w:val="24"/>
                <w:szCs w:val="24"/>
              </w:rPr>
              <w:t>类标准</w:t>
            </w:r>
            <w:r>
              <w:rPr>
                <w:rFonts w:hint="default"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rPr>
              <w:t>项目区</w:t>
            </w:r>
            <w:r>
              <w:rPr>
                <w:rFonts w:hint="default" w:ascii="Times New Roman" w:hAnsi="Times New Roman" w:eastAsia="宋体" w:cs="Times New Roman"/>
                <w:bCs/>
                <w:color w:val="auto"/>
                <w:sz w:val="24"/>
                <w:szCs w:val="24"/>
                <w:lang w:eastAsia="zh-CN"/>
              </w:rPr>
              <w:t>其余周边区域执行</w:t>
            </w:r>
            <w:r>
              <w:rPr>
                <w:rFonts w:hint="default" w:ascii="Times New Roman" w:hAnsi="Times New Roman" w:eastAsia="宋体" w:cs="Times New Roman"/>
                <w:color w:val="auto"/>
                <w:sz w:val="24"/>
                <w:szCs w:val="24"/>
                <w:lang w:eastAsia="zh-CN"/>
              </w:rPr>
              <w:t>《工业企业厂界环境噪声排放标准》（GB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-2008）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类标准。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标准限值详见下表。</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表3.3.3-2 《工业企业厂界环境噪声排放标准》  Leq[dB（A）</w:t>
            </w:r>
          </w:p>
          <w:tbl>
            <w:tblPr>
              <w:tblStyle w:val="25"/>
              <w:tblW w:w="879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126"/>
              <w:gridCol w:w="2232"/>
              <w:gridCol w:w="221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134" w:hRule="atLeast"/>
                <w:jc w:val="center"/>
              </w:trPr>
              <w:tc>
                <w:tcPr>
                  <w:tcW w:w="1265" w:type="pct"/>
                  <w:vMerge w:val="restart"/>
                  <w:vAlign w:val="center"/>
                </w:tcPr>
                <w:p>
                  <w:pPr>
                    <w:pStyle w:val="45"/>
                    <w:spacing w:line="360" w:lineRule="exact"/>
                    <w:ind w:left="1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执行区域</w:t>
                  </w:r>
                </w:p>
              </w:tc>
              <w:tc>
                <w:tcPr>
                  <w:tcW w:w="1208" w:type="pct"/>
                  <w:vMerge w:val="restart"/>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声环境功能区类别</w:t>
                  </w:r>
                </w:p>
              </w:tc>
              <w:tc>
                <w:tcPr>
                  <w:tcW w:w="2526" w:type="pct"/>
                  <w:gridSpan w:val="2"/>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65" w:type="pct"/>
                  <w:vMerge w:val="continue"/>
                  <w:vAlign w:val="center"/>
                </w:tcPr>
                <w:p>
                  <w:pPr>
                    <w:pStyle w:val="45"/>
                    <w:spacing w:line="360" w:lineRule="exact"/>
                    <w:ind w:left="11"/>
                    <w:rPr>
                      <w:rFonts w:hint="default" w:ascii="Times New Roman" w:hAnsi="Times New Roman" w:eastAsia="宋体" w:cs="Times New Roman"/>
                      <w:color w:val="auto"/>
                      <w:szCs w:val="21"/>
                    </w:rPr>
                  </w:pPr>
                </w:p>
              </w:tc>
              <w:tc>
                <w:tcPr>
                  <w:tcW w:w="1208" w:type="pct"/>
                  <w:vMerge w:val="continue"/>
                  <w:vAlign w:val="center"/>
                </w:tcPr>
                <w:p>
                  <w:pPr>
                    <w:pStyle w:val="45"/>
                    <w:spacing w:line="360" w:lineRule="exact"/>
                    <w:ind w:left="11"/>
                    <w:rPr>
                      <w:rFonts w:hint="default" w:ascii="Times New Roman" w:hAnsi="Times New Roman" w:eastAsia="宋体" w:cs="Times New Roman"/>
                      <w:color w:val="auto"/>
                      <w:szCs w:val="21"/>
                    </w:rPr>
                  </w:pPr>
                </w:p>
              </w:tc>
              <w:tc>
                <w:tcPr>
                  <w:tcW w:w="1268" w:type="pct"/>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昼间</w:t>
                  </w:r>
                </w:p>
              </w:tc>
              <w:tc>
                <w:tcPr>
                  <w:tcW w:w="1258" w:type="pct"/>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4" w:hRule="atLeast"/>
                <w:jc w:val="center"/>
              </w:trPr>
              <w:tc>
                <w:tcPr>
                  <w:tcW w:w="1265" w:type="pct"/>
                  <w:vAlign w:val="center"/>
                </w:tcPr>
                <w:p>
                  <w:pPr>
                    <w:pStyle w:val="45"/>
                    <w:spacing w:line="360" w:lineRule="exact"/>
                    <w:ind w:left="1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项目区其余周边</w:t>
                  </w:r>
                </w:p>
              </w:tc>
              <w:tc>
                <w:tcPr>
                  <w:tcW w:w="1208" w:type="pct"/>
                  <w:vAlign w:val="center"/>
                </w:tcPr>
                <w:p>
                  <w:pPr>
                    <w:pStyle w:val="45"/>
                    <w:spacing w:line="360" w:lineRule="exact"/>
                    <w:ind w:left="1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类</w:t>
                  </w:r>
                </w:p>
              </w:tc>
              <w:tc>
                <w:tcPr>
                  <w:tcW w:w="1268" w:type="pct"/>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60</w:t>
                  </w:r>
                </w:p>
              </w:tc>
              <w:tc>
                <w:tcPr>
                  <w:tcW w:w="1258" w:type="pct"/>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4" w:hRule="atLeast"/>
                <w:jc w:val="center"/>
              </w:trPr>
              <w:tc>
                <w:tcPr>
                  <w:tcW w:w="1265" w:type="pct"/>
                  <w:vAlign w:val="center"/>
                </w:tcPr>
                <w:p>
                  <w:pPr>
                    <w:pStyle w:val="45"/>
                    <w:spacing w:line="360" w:lineRule="exact"/>
                    <w:ind w:left="11"/>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lang w:eastAsia="zh-CN"/>
                    </w:rPr>
                    <w:t>项目区西侧邻</w:t>
                  </w:r>
                  <w:r>
                    <w:rPr>
                      <w:rFonts w:hint="default" w:ascii="Times New Roman" w:hAnsi="Times New Roman" w:eastAsia="宋体" w:cs="Times New Roman"/>
                      <w:color w:val="auto"/>
                      <w:sz w:val="21"/>
                      <w:szCs w:val="21"/>
                      <w:lang w:val="en-US" w:eastAsia="zh-CN"/>
                    </w:rPr>
                    <w:t>G248国道一侧</w:t>
                  </w:r>
                </w:p>
              </w:tc>
              <w:tc>
                <w:tcPr>
                  <w:tcW w:w="1208" w:type="pct"/>
                  <w:vAlign w:val="center"/>
                </w:tcPr>
                <w:p>
                  <w:pPr>
                    <w:pStyle w:val="45"/>
                    <w:spacing w:line="360" w:lineRule="exact"/>
                    <w:ind w:left="11"/>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4类</w:t>
                  </w:r>
                </w:p>
              </w:tc>
              <w:tc>
                <w:tcPr>
                  <w:tcW w:w="1268" w:type="pct"/>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70</w:t>
                  </w:r>
                </w:p>
              </w:tc>
              <w:tc>
                <w:tcPr>
                  <w:tcW w:w="1258" w:type="pct"/>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55</w:t>
                  </w:r>
                </w:p>
              </w:tc>
            </w:tr>
          </w:tbl>
          <w:p>
            <w:pPr>
              <w:pStyle w:val="53"/>
              <w:spacing w:beforeLines="50"/>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3.3.4 固废执行标准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危险废物执行《危险废物贮存污染控制标准》（GB</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-2023）。</w:t>
            </w:r>
          </w:p>
          <w:p>
            <w:pPr>
              <w:pStyle w:val="53"/>
              <w:ind w:firstLine="480"/>
              <w:rPr>
                <w:rFonts w:hint="default" w:ascii="Times New Roman" w:hAnsi="Times New Roman" w:eastAsia="宋体" w:cs="Times New Roman"/>
                <w:color w:val="auto"/>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w:instrText>
            </w:r>
            <w:r>
              <w:rPr>
                <w:rFonts w:hint="default" w:ascii="Times New Roman" w:hAnsi="Times New Roman"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一般固体废物执行《一般工业固体废物贮存和填埋污染控制标准》（GB</w:t>
            </w:r>
            <w:r>
              <w:rPr>
                <w:rFonts w:hint="eastAsia" w:cs="Times New Roman"/>
                <w:color w:val="auto"/>
                <w:sz w:val="24"/>
                <w:szCs w:val="24"/>
                <w:lang w:eastAsia="zh-CN"/>
              </w:rPr>
              <w:t>*****</w:t>
            </w:r>
            <w:r>
              <w:rPr>
                <w:rFonts w:hint="default" w:ascii="Times New Roman" w:hAnsi="Times New Roman" w:cs="Times New Roman"/>
                <w:color w:val="auto"/>
                <w:sz w:val="24"/>
                <w:szCs w:val="24"/>
              </w:rPr>
              <w:t>-2020）。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6"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总量控制指标</w:t>
            </w:r>
          </w:p>
        </w:tc>
        <w:tc>
          <w:tcPr>
            <w:tcW w:w="9182" w:type="dxa"/>
          </w:tcPr>
          <w:p>
            <w:pPr>
              <w:spacing w:beforeLines="50" w:line="360" w:lineRule="auto"/>
              <w:ind w:firstLine="480" w:firstLineChars="200"/>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根据《建设项目环境影响报告表编制技术指南》（污染影响类）（试行）的要求，总量指标主要为地方生态环境主管部门核定的总量控制指标。</w:t>
            </w:r>
          </w:p>
          <w:p>
            <w:pPr>
              <w:spacing w:line="360" w:lineRule="auto"/>
              <w:ind w:firstLine="360" w:firstLineChars="150"/>
              <w:jc w:val="both"/>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（1）废气</w:t>
            </w:r>
            <w:r>
              <w:rPr>
                <w:rFonts w:hint="default" w:ascii="Times New Roman" w:hAnsi="Times New Roman" w:cs="Times New Roman"/>
                <w:color w:val="auto"/>
                <w:sz w:val="24"/>
                <w:szCs w:val="24"/>
                <w:lang w:val="en-US" w:eastAsia="zh-CN"/>
              </w:rPr>
              <w:t>排放量</w:t>
            </w:r>
          </w:p>
          <w:p>
            <w:pPr>
              <w:pStyle w:val="53"/>
              <w:ind w:firstLine="48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lang w:eastAsia="zh-CN"/>
              </w:rPr>
              <w:t>有组织废气</w:t>
            </w:r>
            <w:r>
              <w:rPr>
                <w:rFonts w:hint="default" w:ascii="Times New Roman" w:hAnsi="Times New Roman" w:cs="Times New Roman"/>
                <w:color w:val="auto"/>
                <w:sz w:val="24"/>
                <w:szCs w:val="24"/>
              </w:rPr>
              <w:t>废气量</w:t>
            </w:r>
            <w:r>
              <w:rPr>
                <w:rFonts w:hint="default" w:ascii="Times New Roman" w:hAnsi="Times New Roman" w:cs="Times New Roman"/>
                <w:color w:val="auto"/>
                <w:sz w:val="24"/>
                <w:szCs w:val="24"/>
                <w:lang w:val="en-US" w:eastAsia="zh-CN"/>
              </w:rPr>
              <w:t>3600</w:t>
            </w:r>
            <w:r>
              <w:rPr>
                <w:rFonts w:hint="default" w:ascii="Times New Roman" w:hAnsi="Times New Roman" w:cs="Times New Roman"/>
                <w:color w:val="auto"/>
                <w:sz w:val="24"/>
                <w:szCs w:val="24"/>
              </w:rPr>
              <w:t>万m³/a，</w:t>
            </w:r>
            <w:r>
              <w:rPr>
                <w:rFonts w:hint="default" w:ascii="Times New Roman" w:hAnsi="Times New Roman" w:cs="Times New Roman"/>
                <w:color w:val="auto"/>
                <w:sz w:val="24"/>
                <w:szCs w:val="24"/>
                <w:lang w:eastAsia="zh-CN"/>
              </w:rPr>
              <w:t>有组织非甲烷总烃</w:t>
            </w:r>
            <w:r>
              <w:rPr>
                <w:rFonts w:hint="default" w:ascii="Times New Roman" w:hAnsi="Times New Roman" w:cs="Times New Roman"/>
                <w:color w:val="auto"/>
                <w:sz w:val="24"/>
                <w:szCs w:val="24"/>
                <w:lang w:val="en-US" w:eastAsia="zh-CN"/>
              </w:rPr>
              <w:t>排放量为0.057t/a；无组织非甲烷总烃排放量为0.191t/a、无组织颗粒物排放量为0.001t/a。</w:t>
            </w:r>
          </w:p>
          <w:p>
            <w:pPr>
              <w:spacing w:line="360" w:lineRule="auto"/>
              <w:ind w:firstLine="360" w:firstLineChars="150"/>
              <w:jc w:val="both"/>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（2）废水</w:t>
            </w:r>
            <w:r>
              <w:rPr>
                <w:rFonts w:hint="default" w:ascii="Times New Roman" w:hAnsi="Times New Roman" w:cs="Times New Roman"/>
                <w:color w:val="auto"/>
                <w:sz w:val="24"/>
                <w:szCs w:val="24"/>
                <w:lang w:eastAsia="zh-CN"/>
              </w:rPr>
              <w:t>排放量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val="en-US" w:eastAsia="zh-CN"/>
              </w:rPr>
              <w:t>调查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废水产生类型包括</w:t>
            </w:r>
            <w:r>
              <w:rPr>
                <w:rFonts w:hint="default" w:ascii="Times New Roman" w:hAnsi="Times New Roman" w:eastAsia="宋体" w:cs="Times New Roman"/>
                <w:color w:val="auto"/>
                <w:sz w:val="24"/>
                <w:szCs w:val="24"/>
                <w:lang w:val="en-US" w:eastAsia="zh-CN"/>
              </w:rPr>
              <w:t>生活污水、项目纯水设备浓排水、理化室实验器皿初次清洗废水之后的清洗废水、生产车间、环氧乙烷吸收废水，办公区域等地面清洁废水。综合废水产生量为1558.27m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rPr>
              <w:t>近期（</w:t>
            </w:r>
            <w:r>
              <w:rPr>
                <w:rFonts w:hint="default" w:ascii="Times New Roman" w:hAnsi="Times New Roman" w:eastAsia="宋体" w:cs="Times New Roman"/>
                <w:color w:val="auto"/>
                <w:sz w:val="24"/>
                <w:szCs w:val="24"/>
                <w:lang w:eastAsia="zh-CN"/>
              </w:rPr>
              <w:t>污水管网</w:t>
            </w:r>
            <w:r>
              <w:rPr>
                <w:rFonts w:hint="default" w:ascii="Times New Roman" w:hAnsi="Times New Roman" w:eastAsia="宋体" w:cs="Times New Roman"/>
                <w:color w:val="auto"/>
                <w:sz w:val="24"/>
                <w:szCs w:val="24"/>
              </w:rPr>
              <w:t>建成前）</w:t>
            </w:r>
            <w:r>
              <w:rPr>
                <w:rFonts w:hint="default" w:ascii="Times New Roman" w:hAnsi="Times New Roman" w:eastAsia="宋体" w:cs="Times New Roman"/>
                <w:color w:val="auto"/>
                <w:kern w:val="0"/>
                <w:sz w:val="24"/>
                <w:szCs w:val="24"/>
                <w:lang w:val="en-US" w:eastAsia="zh-CN" w:bidi="ar"/>
              </w:rPr>
              <w:t>经化粪池（容积7m³）预处理后进入一体化污水处理设施（处理能力7m³）处理，</w:t>
            </w:r>
            <w:r>
              <w:rPr>
                <w:rFonts w:hint="default" w:ascii="Times New Roman" w:hAnsi="Times New Roman" w:eastAsia="宋体" w:cs="Times New Roman"/>
                <w:color w:val="auto"/>
                <w:sz w:val="24"/>
                <w:szCs w:val="24"/>
              </w:rPr>
              <w:t>达到《城市污水再生利用 城市杂用水水质》（GB/T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-2020）城市绿化标准</w:t>
            </w:r>
            <w:r>
              <w:rPr>
                <w:rFonts w:hint="default" w:ascii="Times New Roman" w:hAnsi="Times New Roman" w:eastAsia="宋体" w:cs="Times New Roman"/>
                <w:color w:val="auto"/>
                <w:sz w:val="24"/>
                <w:szCs w:val="24"/>
                <w:lang w:eastAsia="zh-CN"/>
              </w:rPr>
              <w:t>后</w:t>
            </w:r>
            <w:r>
              <w:rPr>
                <w:rFonts w:hint="default" w:ascii="Times New Roman" w:hAnsi="Times New Roman" w:eastAsia="宋体" w:cs="Times New Roman"/>
                <w:color w:val="auto"/>
                <w:sz w:val="24"/>
                <w:szCs w:val="24"/>
              </w:rPr>
              <w:t>回用于绿化不外排；远期（</w:t>
            </w:r>
            <w:r>
              <w:rPr>
                <w:rFonts w:hint="default" w:ascii="Times New Roman" w:hAnsi="Times New Roman" w:eastAsia="宋体" w:cs="Times New Roman"/>
                <w:color w:val="auto"/>
                <w:sz w:val="24"/>
                <w:szCs w:val="24"/>
                <w:lang w:eastAsia="zh-CN"/>
              </w:rPr>
              <w:t>污水管网</w:t>
            </w:r>
            <w:r>
              <w:rPr>
                <w:rFonts w:hint="default" w:ascii="Times New Roman" w:hAnsi="Times New Roman" w:eastAsia="宋体" w:cs="Times New Roman"/>
                <w:color w:val="auto"/>
                <w:sz w:val="24"/>
                <w:szCs w:val="24"/>
              </w:rPr>
              <w:t>建成后），项目产生的</w:t>
            </w:r>
            <w:r>
              <w:rPr>
                <w:rFonts w:hint="default" w:ascii="Times New Roman" w:hAnsi="Times New Roman" w:eastAsia="宋体" w:cs="Times New Roman"/>
                <w:color w:val="auto"/>
                <w:sz w:val="24"/>
                <w:szCs w:val="24"/>
                <w:lang w:eastAsia="zh-CN"/>
              </w:rPr>
              <w:t>废水</w:t>
            </w:r>
            <w:r>
              <w:rPr>
                <w:rFonts w:hint="default" w:ascii="Times New Roman" w:hAnsi="Times New Roman" w:eastAsia="宋体" w:cs="Times New Roman"/>
                <w:color w:val="auto"/>
                <w:sz w:val="24"/>
                <w:szCs w:val="24"/>
              </w:rPr>
              <w:t>通过隔油池、化粪池预处理达到《污水排入城镇下水道水质标准》（GB/T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-2015）表1A级标准后，进入东川</w:t>
            </w:r>
            <w:r>
              <w:rPr>
                <w:rFonts w:hint="default" w:ascii="Times New Roman" w:hAnsi="Times New Roman" w:eastAsia="宋体" w:cs="Times New Roman"/>
                <w:color w:val="auto"/>
                <w:sz w:val="24"/>
                <w:szCs w:val="24"/>
                <w:lang w:eastAsia="zh-CN"/>
              </w:rPr>
              <w:t>区城市</w:t>
            </w:r>
            <w:r>
              <w:rPr>
                <w:rFonts w:hint="default" w:ascii="Times New Roman" w:hAnsi="Times New Roman" w:eastAsia="宋体" w:cs="Times New Roman"/>
                <w:color w:val="auto"/>
                <w:sz w:val="24"/>
                <w:szCs w:val="24"/>
              </w:rPr>
              <w:t>污水处理厂集中处理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经隔油池、化粪池处理后的废水中</w:t>
            </w:r>
            <w:r>
              <w:rPr>
                <w:rFonts w:hint="default" w:ascii="Times New Roman" w:hAnsi="Times New Roman" w:eastAsia="宋体" w:cs="Times New Roman"/>
                <w:color w:val="auto"/>
                <w:sz w:val="24"/>
                <w:szCs w:val="24"/>
                <w:lang w:val="en-US" w:eastAsia="zh-CN"/>
              </w:rPr>
              <w:t>COD排放量为0.53t/a；氨氮排放量为0.07t/a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val="en-US" w:eastAsia="zh-CN"/>
              </w:rPr>
              <w:t>总量</w:t>
            </w:r>
            <w:r>
              <w:rPr>
                <w:rFonts w:hint="default" w:ascii="Times New Roman" w:hAnsi="Times New Roman" w:eastAsia="宋体" w:cs="Times New Roman"/>
                <w:color w:val="auto"/>
                <w:sz w:val="24"/>
                <w:szCs w:val="24"/>
              </w:rPr>
              <w:t>纳入东川</w:t>
            </w:r>
            <w:r>
              <w:rPr>
                <w:rFonts w:hint="default" w:ascii="Times New Roman" w:hAnsi="Times New Roman" w:eastAsia="宋体" w:cs="Times New Roman"/>
                <w:color w:val="auto"/>
                <w:sz w:val="24"/>
                <w:szCs w:val="24"/>
                <w:lang w:eastAsia="zh-CN"/>
              </w:rPr>
              <w:t>区城市</w:t>
            </w:r>
            <w:r>
              <w:rPr>
                <w:rFonts w:hint="default" w:ascii="Times New Roman" w:hAnsi="Times New Roman" w:eastAsia="宋体" w:cs="Times New Roman"/>
                <w:color w:val="auto"/>
                <w:sz w:val="24"/>
                <w:szCs w:val="24"/>
              </w:rPr>
              <w:t>污水处理厂总量控制指标，本项目不需进行废水总量控制。</w:t>
            </w:r>
          </w:p>
          <w:p>
            <w:pPr>
              <w:spacing w:line="360" w:lineRule="auto"/>
              <w:ind w:firstLine="360" w:firstLineChars="15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（3）固体废物</w:t>
            </w:r>
          </w:p>
          <w:p>
            <w:pPr>
              <w:spacing w:line="360" w:lineRule="auto"/>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固体废物处置率为100%。</w:t>
            </w:r>
          </w:p>
          <w:p>
            <w:pPr>
              <w:pStyle w:val="10"/>
              <w:jc w:val="both"/>
              <w:rPr>
                <w:rFonts w:hint="default" w:ascii="Times New Roman" w:hAnsi="Times New Roman" w:cs="Times New Roman"/>
                <w:color w:val="auto"/>
                <w:sz w:val="24"/>
                <w:szCs w:val="24"/>
              </w:rPr>
            </w:pPr>
          </w:p>
          <w:p>
            <w:pPr>
              <w:pStyle w:val="10"/>
              <w:jc w:val="both"/>
              <w:rPr>
                <w:rFonts w:hint="default" w:ascii="Times New Roman" w:hAnsi="Times New Roman" w:cs="Times New Roman"/>
                <w:color w:val="auto"/>
                <w:sz w:val="24"/>
                <w:szCs w:val="24"/>
              </w:rPr>
            </w:pPr>
          </w:p>
          <w:p>
            <w:pPr>
              <w:pStyle w:val="10"/>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pStyle w:val="10"/>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pStyle w:val="10"/>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pStyle w:val="10"/>
              <w:rPr>
                <w:rFonts w:hint="default" w:ascii="Times New Roman" w:hAnsi="Times New Roman" w:cs="Times New Roman"/>
                <w:color w:val="auto"/>
              </w:rPr>
            </w:pPr>
          </w:p>
          <w:p>
            <w:pPr>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pStyle w:val="40"/>
              <w:rPr>
                <w:rFonts w:hint="default" w:ascii="Times New Roman" w:hAnsi="Times New Roman" w:cs="Times New Roman"/>
                <w:color w:val="auto"/>
              </w:rPr>
            </w:pPr>
          </w:p>
          <w:p>
            <w:pPr>
              <w:rPr>
                <w:rFonts w:hint="default" w:ascii="Times New Roman" w:hAnsi="Times New Roman" w:cs="Times New Roman"/>
                <w:color w:val="auto"/>
                <w:sz w:val="24"/>
                <w:szCs w:val="24"/>
              </w:rPr>
            </w:pPr>
          </w:p>
          <w:p>
            <w:pPr>
              <w:rPr>
                <w:rFonts w:hint="default" w:ascii="Times New Roman" w:hAnsi="Times New Roman" w:cs="Times New Roman"/>
                <w:color w:val="auto"/>
              </w:rPr>
            </w:pPr>
          </w:p>
        </w:tc>
      </w:tr>
    </w:tbl>
    <w:p>
      <w:pPr>
        <w:spacing w:line="360" w:lineRule="auto"/>
        <w:jc w:val="left"/>
        <w:outlineLvl w:val="0"/>
        <w:rPr>
          <w:rFonts w:hint="default" w:ascii="Times New Roman" w:hAnsi="Times New Roman" w:eastAsia="宋体"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rPr>
        <w:t>四、主要环境影响和保护措施</w:t>
      </w:r>
    </w:p>
    <w:tbl>
      <w:tblPr>
        <w:tblStyle w:val="2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施工期环境保护措施</w:t>
            </w:r>
          </w:p>
        </w:tc>
        <w:tc>
          <w:tcPr>
            <w:tcW w:w="88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4.1 施工期环境保护措施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rPr>
              <w:t>项目主体工程已建成，施工期仅为对环评提出的环保设施建设，</w:t>
            </w:r>
            <w:r>
              <w:rPr>
                <w:rFonts w:hint="default" w:ascii="Times New Roman" w:hAnsi="Times New Roman" w:eastAsia="宋体" w:cs="Times New Roman"/>
                <w:color w:val="auto"/>
                <w:sz w:val="24"/>
                <w:szCs w:val="24"/>
              </w:rPr>
              <w:t>施工量较小</w:t>
            </w:r>
            <w:r>
              <w:rPr>
                <w:rFonts w:hint="default" w:ascii="Times New Roman" w:hAnsi="Times New Roman" w:cs="Times New Roman" w:eastAsiaTheme="minorEastAsia"/>
                <w:color w:val="auto"/>
                <w:sz w:val="24"/>
                <w:szCs w:val="24"/>
              </w:rPr>
              <w:t>拟采取的环境保护措施具体如下。</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4.1.1 施工期废气污染防治措施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加强施工运输车辆管理，运输车辆严禁带泥上路，严禁超载。</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4.1.2 施工期废水污染防治措施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施工人员生活污水仅为洗手污水，通过项目</w:t>
            </w:r>
            <w:r>
              <w:rPr>
                <w:rFonts w:hint="default" w:ascii="Times New Roman" w:hAnsi="Times New Roman" w:eastAsia="宋体" w:cs="Times New Roman"/>
                <w:color w:val="auto"/>
                <w:sz w:val="24"/>
                <w:szCs w:val="24"/>
                <w:lang w:eastAsia="zh-CN"/>
              </w:rPr>
              <w:t>已建</w:t>
            </w:r>
            <w:r>
              <w:rPr>
                <w:rFonts w:hint="default" w:ascii="Times New Roman" w:hAnsi="Times New Roman" w:eastAsia="宋体" w:cs="Times New Roman"/>
                <w:color w:val="auto"/>
                <w:sz w:val="24"/>
                <w:szCs w:val="24"/>
              </w:rPr>
              <w:t>设的</w:t>
            </w:r>
            <w:r>
              <w:rPr>
                <w:rFonts w:hint="default" w:ascii="Times New Roman" w:hAnsi="Times New Roman" w:eastAsia="宋体" w:cs="Times New Roman"/>
                <w:color w:val="auto"/>
                <w:sz w:val="24"/>
                <w:szCs w:val="24"/>
                <w:lang w:eastAsia="zh-CN"/>
              </w:rPr>
              <w:t>一体化</w:t>
            </w:r>
            <w:r>
              <w:rPr>
                <w:rFonts w:hint="default" w:ascii="Times New Roman" w:hAnsi="Times New Roman" w:eastAsia="宋体" w:cs="Times New Roman"/>
                <w:color w:val="auto"/>
                <w:sz w:val="24"/>
                <w:szCs w:val="24"/>
              </w:rPr>
              <w:t>污水处理设施处理后，回用于绿化，不外排。</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4.1.3 施工期噪声污染防治措施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①加强施工期的操作规范；</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②运输车辆进出施工场地时应控制车速，禁止鸣笛，减少车辆在施工场地的停留时间，减小运输噪声对环境的影响；</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③合理安排施工工序及时间，禁止夜间施工。</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4.1.4 施工期固体废物污染防治措施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项目施工期产生的固体废弃物主要包括建筑垃圾和施工人员产生的生活垃圾。主要采取的施工固废防治措施如下：</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①建设垃圾包括设备包装材料、废木材、废钢材等，严格按照园区的要求，对其进行分类收集，其中废钢材收集后外售废品收购站，</w:t>
            </w:r>
            <w:r>
              <w:rPr>
                <w:rFonts w:hint="default" w:ascii="Times New Roman" w:hAnsi="Times New Roman" w:cs="Times New Roman"/>
                <w:color w:val="auto"/>
                <w:sz w:val="24"/>
                <w:szCs w:val="24"/>
              </w:rPr>
              <w:t>不可回收的集中收集后定期清运至当地主管部门指定的建筑垃圾堆放场堆存处置</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②生活垃圾委托环卫部门清运处置。</w:t>
            </w: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p>
            <w:pPr>
              <w:pStyle w:val="40"/>
              <w:rPr>
                <w:rFonts w:hint="default" w:ascii="Times New Roman" w:hAnsi="Times New Roman" w:eastAsia="宋体" w:cs="Times New Roman"/>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25" w:hRule="atLeast"/>
          <w:jc w:val="center"/>
        </w:trPr>
        <w:tc>
          <w:tcPr>
            <w:tcW w:w="522"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运营期环境影响和保护措施</w:t>
            </w:r>
          </w:p>
        </w:tc>
        <w:tc>
          <w:tcPr>
            <w:tcW w:w="88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241" w:firstLineChars="1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4.2 运营期环境影响和保护措施</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4.2.1 运营期废气环境影响和保护措施</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（1）废气污染源强核算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根据调查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val="en-US" w:eastAsia="zh-CN" w:bidi="ar"/>
              </w:rPr>
              <w:t>项目生产过程中所有设备均使用电源，无燃料废气产生，本项目运营期废气主要来源于棉签生产过程中产生的粉尘（以颗粒物计），挤出注塑车间挤出塑化工序产生的有机废气（以非甲烷总烃计），棉签烘干、口罩生产过程中产生的挥发性有机物（以非甲烷总烃计），产品灭菌解析过程产生的环氧乙烷（以非甲烷总烃计）</w:t>
            </w:r>
            <w:r>
              <w:rPr>
                <w:rFonts w:hint="default" w:ascii="Times New Roman" w:hAnsi="Times New Roman" w:eastAsia="宋体" w:cs="Times New Roman"/>
                <w:color w:val="auto"/>
                <w:sz w:val="24"/>
                <w:szCs w:val="24"/>
              </w:rPr>
              <w:t>具体</w:t>
            </w:r>
            <w:r>
              <w:rPr>
                <w:rFonts w:hint="default" w:ascii="Times New Roman" w:hAnsi="Times New Roman" w:eastAsia="宋体" w:cs="Times New Roman"/>
                <w:color w:val="auto"/>
                <w:sz w:val="24"/>
                <w:szCs w:val="24"/>
                <w:lang w:eastAsia="zh-CN"/>
              </w:rPr>
              <w:t>产排情况</w:t>
            </w:r>
            <w:r>
              <w:rPr>
                <w:rFonts w:hint="default" w:ascii="Times New Roman" w:hAnsi="Times New Roman" w:eastAsia="宋体" w:cs="Times New Roman"/>
                <w:color w:val="auto"/>
                <w:sz w:val="24"/>
                <w:szCs w:val="24"/>
              </w:rPr>
              <w:t>核算如下。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①棉签生产过程中产生的颗粒物（棉絮）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棉签生产过程中输送脱脂棉（棉条）时，由于脱脂棉为絮状物，会有棉花在空中飘洒，以颗粒物计。根据实际生产情况，粉尘产生量约为原料使用量的1%，本项目棉条使用量为10t/a，则棉絮产生量为0.01t/a，根据调查，生产车间已设置1台风量为2000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 xml:space="preserve">/h的抽风机，将产生的棉絮90%，暨0.009t/a吸收至收集袋中，由于项目生产车间密闭性较强，棉絮不易外逸，剩余10%，即0.001t/a，该部分棉絮在车间内自由沉降，车间清洁时清扫后当固体废物委托环卫清运。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②棉签生产过程中产生的烘干废气（挥发性有机物，以非甲烷总烃计）</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棉签生产过程中，全自动棉签机自带烘干功能，烘干废气成分主要为挥发性有机物，以非甲烷总烃计。主要来源于聚乙烯醇加热后挥发出的少量废气，聚乙烯醇用量为2t/a。</w:t>
            </w:r>
            <w:r>
              <w:rPr>
                <w:rFonts w:hint="default" w:ascii="Times New Roman" w:hAnsi="Times New Roman" w:cs="Times New Roman" w:eastAsiaTheme="minorEastAsia"/>
                <w:color w:val="auto"/>
                <w:sz w:val="24"/>
                <w:szCs w:val="24"/>
              </w:rPr>
              <w:t>根据《污染源源强核算技术指南 准则》（HJ884-2018）的要求，现有工程采用实测法进行计算，但</w:t>
            </w:r>
            <w:r>
              <w:rPr>
                <w:rFonts w:hint="default" w:ascii="Times New Roman" w:hAnsi="Times New Roman" w:eastAsia="宋体" w:cs="Times New Roman"/>
                <w:color w:val="auto"/>
                <w:kern w:val="0"/>
                <w:sz w:val="24"/>
                <w:szCs w:val="24"/>
                <w:lang w:val="en-US" w:eastAsia="zh-CN" w:bidi="ar"/>
              </w:rPr>
              <w:t>棉签生产过程中产生的烘干废气</w:t>
            </w:r>
            <w:r>
              <w:rPr>
                <w:rFonts w:hint="default" w:ascii="Times New Roman" w:hAnsi="Times New Roman" w:cs="Times New Roman" w:eastAsiaTheme="minorEastAsia"/>
                <w:color w:val="auto"/>
                <w:sz w:val="24"/>
                <w:szCs w:val="24"/>
              </w:rPr>
              <w:t>为无组织排放，无法通过实测法进行核算其产排量，</w:t>
            </w:r>
            <w:r>
              <w:rPr>
                <w:rFonts w:hint="default" w:ascii="Times New Roman" w:hAnsi="Times New Roman" w:cs="Times New Roman"/>
                <w:color w:val="auto"/>
                <w:sz w:val="24"/>
                <w:szCs w:val="24"/>
                <w:lang w:eastAsia="zh-CN"/>
              </w:rPr>
              <w:t>且棉签生产过程为物理加工过程，《</w:t>
            </w:r>
            <w:r>
              <w:rPr>
                <w:rFonts w:hint="default" w:ascii="Times New Roman" w:hAnsi="Times New Roman" w:cs="Times New Roman"/>
                <w:color w:val="auto"/>
                <w:sz w:val="24"/>
                <w:szCs w:val="24"/>
                <w:lang w:val="en-US" w:eastAsia="zh-CN"/>
              </w:rPr>
              <w:t>277卫生材料及医药用品制造行业系数手册</w:t>
            </w:r>
            <w:r>
              <w:rPr>
                <w:rFonts w:hint="default" w:ascii="Times New Roman" w:hAnsi="Times New Roman" w:cs="Times New Roman"/>
                <w:color w:val="auto"/>
                <w:sz w:val="24"/>
                <w:szCs w:val="24"/>
                <w:lang w:eastAsia="zh-CN"/>
              </w:rPr>
              <w:t>》中产污系数不适用于该生产过程，</w:t>
            </w:r>
            <w:r>
              <w:rPr>
                <w:rFonts w:hint="default" w:ascii="Times New Roman" w:hAnsi="Times New Roman" w:cs="Times New Roman" w:eastAsiaTheme="minorEastAsia"/>
                <w:color w:val="auto"/>
                <w:sz w:val="24"/>
                <w:szCs w:val="24"/>
              </w:rPr>
              <w:t>为此环评</w:t>
            </w:r>
            <w:r>
              <w:rPr>
                <w:rFonts w:hint="default" w:ascii="Times New Roman" w:hAnsi="Times New Roman" w:eastAsia="宋体" w:cs="Times New Roman"/>
                <w:color w:val="auto"/>
                <w:kern w:val="0"/>
                <w:sz w:val="24"/>
                <w:szCs w:val="24"/>
                <w:lang w:val="en-US" w:eastAsia="zh-CN" w:bidi="ar"/>
              </w:rPr>
              <w:t>根据《空气污染物排放和控制手册》(美国国家环保局)进行核算，根据该文件，在无控制措施时，非甲烷总烃产生量约占原料使用量的0.035%。本项目聚乙烯醇用量为2t/a,则非甲烷产生量约0.007t/a，年工作时间以7200h计。根据调查，项目生产车间均按照洁净车间设计，净化级别为10万级，正常生产时门窗紧闭，通风换气均采用新风净化系统，全自动棉签机烘干产生的非甲烷总烃经生产车间内新风净化系统（风量</w:t>
            </w:r>
            <w:r>
              <w:rPr>
                <w:rFonts w:hint="default" w:ascii="Times New Roman" w:hAnsi="Times New Roman" w:eastAsia="宋体" w:cs="Times New Roman"/>
                <w:color w:val="auto"/>
                <w:kern w:val="0"/>
                <w:sz w:val="24"/>
                <w:szCs w:val="24"/>
                <w:highlight w:val="none"/>
                <w:lang w:val="en-US" w:eastAsia="zh-CN" w:bidi="ar"/>
              </w:rPr>
              <w:t>约88000m</w:t>
            </w:r>
            <w:r>
              <w:rPr>
                <w:rFonts w:hint="default" w:ascii="Times New Roman" w:hAnsi="Times New Roman" w:eastAsia="宋体" w:cs="Times New Roman"/>
                <w:color w:val="auto"/>
                <w:kern w:val="0"/>
                <w:sz w:val="24"/>
                <w:szCs w:val="24"/>
                <w:highlight w:val="none"/>
                <w:vertAlign w:val="superscript"/>
                <w:lang w:val="en-US" w:eastAsia="zh-CN" w:bidi="ar"/>
              </w:rPr>
              <w:t xml:space="preserve">3 </w:t>
            </w:r>
            <w:r>
              <w:rPr>
                <w:rFonts w:hint="default" w:ascii="Times New Roman" w:hAnsi="Times New Roman" w:eastAsia="宋体" w:cs="Times New Roman"/>
                <w:color w:val="auto"/>
                <w:kern w:val="0"/>
                <w:sz w:val="24"/>
                <w:szCs w:val="24"/>
                <w:highlight w:val="none"/>
                <w:lang w:val="en-US" w:eastAsia="zh-CN" w:bidi="ar"/>
              </w:rPr>
              <w:t>/h）抽至二楼通过5μm初效过滤器过滤+1μm中效过滤器过滤+0.05μm高效过滤器过滤+活性炭吸附（处理效率为75%）处理后，呈无组织排放，则非甲烷总烃排放量约0.002t/a。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③口罩生产过程产生的挥发性有机物（以非甲烷总烃计）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口罩生产过程产生主要废气污染物为口罩带超声波焊接挥发性有机物（以非甲烷总烃计）。本项目使用的是无纺布和熔喷布（主要成分为聚丙烯、聚乙烯，热分解温度分别为350℃、250℃），而超声波焊接温度为170℃左右，在该温度下聚丙烯、聚乙烯等聚合物基本不分解，但原料中有少量未聚合的单体在高温下会有部分挥发出来，产生少量挥发性有机物（以非甲烷总烃计），</w:t>
            </w:r>
            <w:r>
              <w:rPr>
                <w:rFonts w:hint="default" w:ascii="Times New Roman" w:hAnsi="Times New Roman" w:cs="Times New Roman" w:eastAsiaTheme="minorEastAsia"/>
                <w:color w:val="auto"/>
                <w:sz w:val="24"/>
                <w:szCs w:val="24"/>
              </w:rPr>
              <w:t>根据《污染源源强核算技术指南 准则》（HJ884-2018）的要求，现有工程采用实测法进行计算，但</w:t>
            </w:r>
            <w:r>
              <w:rPr>
                <w:rFonts w:hint="default" w:ascii="Times New Roman" w:hAnsi="Times New Roman" w:eastAsia="宋体" w:cs="Times New Roman"/>
                <w:color w:val="auto"/>
                <w:kern w:val="0"/>
                <w:sz w:val="24"/>
                <w:szCs w:val="24"/>
                <w:lang w:val="en-US" w:eastAsia="zh-CN" w:bidi="ar"/>
              </w:rPr>
              <w:t>口罩生产过程产生的挥发性有机物</w:t>
            </w:r>
            <w:r>
              <w:rPr>
                <w:rFonts w:hint="default" w:ascii="Times New Roman" w:hAnsi="Times New Roman" w:cs="Times New Roman" w:eastAsiaTheme="minorEastAsia"/>
                <w:color w:val="auto"/>
                <w:sz w:val="24"/>
                <w:szCs w:val="24"/>
              </w:rPr>
              <w:t>为无组织排放，无法通过实测法对其进行核算其产排量</w:t>
            </w:r>
            <w:r>
              <w:rPr>
                <w:rFonts w:hint="default" w:ascii="Times New Roman" w:hAnsi="Times New Roman" w:cs="Times New Roman"/>
                <w:color w:val="auto"/>
                <w:sz w:val="24"/>
                <w:szCs w:val="24"/>
                <w:lang w:eastAsia="zh-CN"/>
              </w:rPr>
              <w:t>，且仅</w:t>
            </w:r>
            <w:r>
              <w:rPr>
                <w:rFonts w:hint="default" w:ascii="Times New Roman" w:hAnsi="Times New Roman" w:eastAsia="宋体" w:cs="Times New Roman"/>
                <w:color w:val="auto"/>
                <w:kern w:val="0"/>
                <w:sz w:val="24"/>
                <w:szCs w:val="24"/>
                <w:lang w:val="en-US" w:eastAsia="zh-CN" w:bidi="ar"/>
              </w:rPr>
              <w:t>在安装耳带处进行超声波接</w:t>
            </w:r>
            <w:r>
              <w:rPr>
                <w:rFonts w:hint="default" w:ascii="Times New Roman" w:hAnsi="Times New Roman" w:cs="Times New Roman"/>
                <w:color w:val="auto"/>
                <w:sz w:val="24"/>
                <w:szCs w:val="24"/>
                <w:lang w:eastAsia="zh-CN"/>
              </w:rPr>
              <w:t>，为物理加工过程，《</w:t>
            </w:r>
            <w:r>
              <w:rPr>
                <w:rFonts w:hint="default" w:ascii="Times New Roman" w:hAnsi="Times New Roman" w:cs="Times New Roman"/>
                <w:color w:val="auto"/>
                <w:sz w:val="24"/>
                <w:szCs w:val="24"/>
                <w:lang w:val="en-US" w:eastAsia="zh-CN"/>
              </w:rPr>
              <w:t>277卫生材料及医药用品制造行业系数手册</w:t>
            </w:r>
            <w:r>
              <w:rPr>
                <w:rFonts w:hint="default" w:ascii="Times New Roman" w:hAnsi="Times New Roman" w:cs="Times New Roman"/>
                <w:color w:val="auto"/>
                <w:sz w:val="24"/>
                <w:szCs w:val="24"/>
                <w:lang w:eastAsia="zh-CN"/>
              </w:rPr>
              <w:t>》中产污系数不适用于该生产过程，</w:t>
            </w:r>
            <w:r>
              <w:rPr>
                <w:rFonts w:hint="default" w:ascii="Times New Roman" w:hAnsi="Times New Roman" w:cs="Times New Roman" w:eastAsiaTheme="minorEastAsia"/>
                <w:color w:val="auto"/>
                <w:sz w:val="24"/>
                <w:szCs w:val="24"/>
              </w:rPr>
              <w:t>为此环评</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根据《空气污染物排放和控制手册》(美国国家环保局)进行核算，根据该文件，在无控制措施时，非甲烷总烃产生量约占原料使用量的0.035%。本项目仅需要在安装耳带处进行超声波焊接，需超声波焊接的原料量为口罩带40t/a，则非甲烷总烃产生量约0.014t/a，年工作时间按7200h计。根据调查，项目生产车间均按照洁净车间设计，净化级别为10万级，正常生产时门窗紧闭，通风换气均采用新风净化系统，超声波焊接产生的非甲烷总烃经生产车间内新风净化系统（风量约</w:t>
            </w:r>
            <w:r>
              <w:rPr>
                <w:rFonts w:hint="default" w:ascii="Times New Roman" w:hAnsi="Times New Roman" w:eastAsia="宋体" w:cs="Times New Roman"/>
                <w:color w:val="auto"/>
                <w:kern w:val="0"/>
                <w:sz w:val="24"/>
                <w:szCs w:val="24"/>
                <w:highlight w:val="none"/>
                <w:lang w:val="en-US" w:eastAsia="zh-CN" w:bidi="ar"/>
              </w:rPr>
              <w:t>88000m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/h）抽至二楼通过5μm初效过滤器过滤+1μm中效过滤器过滤+0.05μm高效过滤器过滤+活性炭吸附（处理效率为75%）处理后，呈无组织排放，则非甲烷总烃排放量约0.004t/a。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④挤出、注塑车间挤出塑化工序产生的有机废气（以非甲烷总烃计）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调查，项目</w:t>
            </w:r>
            <w:r>
              <w:rPr>
                <w:rFonts w:hint="default" w:ascii="Times New Roman" w:hAnsi="Times New Roman" w:eastAsia="宋体" w:cs="Times New Roman"/>
                <w:color w:val="auto"/>
                <w:sz w:val="24"/>
                <w:szCs w:val="24"/>
              </w:rPr>
              <w:t>共设置了</w:t>
            </w:r>
            <w:r>
              <w:rPr>
                <w:rFonts w:hint="default" w:ascii="Times New Roman" w:hAnsi="Times New Roman" w:eastAsia="宋体" w:cs="Times New Roman"/>
                <w:color w:val="auto"/>
                <w:sz w:val="24"/>
                <w:szCs w:val="24"/>
                <w:lang w:val="en-US" w:eastAsia="zh-CN"/>
              </w:rPr>
              <w:t>1个挤出车间，1个注塑车间</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两车间挤出、塑化工序会产生一定量的非甲烷总烃，</w:t>
            </w:r>
            <w:r>
              <w:rPr>
                <w:rFonts w:hint="default" w:ascii="Times New Roman" w:hAnsi="Times New Roman" w:eastAsia="宋体" w:cs="Times New Roman"/>
                <w:color w:val="auto"/>
                <w:sz w:val="24"/>
                <w:szCs w:val="24"/>
              </w:rPr>
              <w:t>根据聚乙烯</w:t>
            </w:r>
            <w:r>
              <w:rPr>
                <w:rFonts w:hint="default" w:ascii="Times New Roman" w:hAnsi="Times New Roman" w:eastAsia="宋体" w:cs="Times New Roman"/>
                <w:color w:val="auto"/>
                <w:sz w:val="24"/>
                <w:szCs w:val="24"/>
                <w:lang w:eastAsia="zh-CN"/>
              </w:rPr>
              <w:t>、聚丙烯</w:t>
            </w:r>
            <w:r>
              <w:rPr>
                <w:rFonts w:hint="default" w:ascii="Times New Roman" w:hAnsi="Times New Roman" w:eastAsia="宋体" w:cs="Times New Roman"/>
                <w:color w:val="auto"/>
                <w:sz w:val="24"/>
                <w:szCs w:val="24"/>
              </w:rPr>
              <w:t>的性质可知，聚乙烯的熔点为130-145℃，热分解温度为380℃</w:t>
            </w:r>
            <w:r>
              <w:rPr>
                <w:rFonts w:hint="default" w:ascii="Times New Roman" w:hAnsi="Times New Roman" w:eastAsia="宋体" w:cs="Times New Roman"/>
                <w:color w:val="auto"/>
                <w:sz w:val="24"/>
                <w:szCs w:val="24"/>
                <w:lang w:eastAsia="zh-CN"/>
              </w:rPr>
              <w:t>；聚丙烯</w:t>
            </w:r>
            <w:r>
              <w:rPr>
                <w:rFonts w:hint="default" w:ascii="Times New Roman" w:hAnsi="Times New Roman" w:eastAsia="宋体" w:cs="Times New Roman"/>
                <w:color w:val="auto"/>
                <w:sz w:val="24"/>
                <w:szCs w:val="24"/>
              </w:rPr>
              <w:t>熔点为</w:t>
            </w:r>
            <w:r>
              <w:rPr>
                <w:rFonts w:hint="default" w:ascii="Times New Roman" w:hAnsi="Times New Roman" w:eastAsia="宋体" w:cs="Times New Roman"/>
                <w:color w:val="auto"/>
                <w:sz w:val="24"/>
                <w:szCs w:val="24"/>
                <w:lang w:val="en-US" w:eastAsia="zh-CN"/>
              </w:rPr>
              <w:t>189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，热分解温度为</w:t>
            </w:r>
            <w:r>
              <w:rPr>
                <w:rFonts w:hint="default" w:ascii="Times New Roman" w:hAnsi="Times New Roman" w:eastAsia="宋体" w:cs="Times New Roman"/>
                <w:color w:val="auto"/>
                <w:sz w:val="24"/>
                <w:szCs w:val="24"/>
                <w:lang w:val="en-US" w:eastAsia="zh-CN"/>
              </w:rPr>
              <w:t>305-</w:t>
            </w:r>
            <w:r>
              <w:rPr>
                <w:rFonts w:hint="default" w:ascii="Times New Roman" w:hAnsi="Times New Roman" w:eastAsia="宋体" w:cs="Times New Roman"/>
                <w:color w:val="auto"/>
                <w:sz w:val="24"/>
                <w:szCs w:val="24"/>
              </w:rPr>
              <w:t>380℃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而本项目将挤出塑化工序的温度控制在200℃，因此聚乙烯</w:t>
            </w:r>
            <w:r>
              <w:rPr>
                <w:rFonts w:hint="default" w:ascii="Times New Roman" w:hAnsi="Times New Roman" w:eastAsia="宋体" w:cs="Times New Roman"/>
                <w:color w:val="auto"/>
                <w:sz w:val="24"/>
                <w:szCs w:val="24"/>
                <w:lang w:eastAsia="zh-CN"/>
              </w:rPr>
              <w:t>及聚丙烯</w:t>
            </w:r>
            <w:r>
              <w:rPr>
                <w:rFonts w:hint="default" w:ascii="Times New Roman" w:hAnsi="Times New Roman" w:eastAsia="宋体" w:cs="Times New Roman"/>
                <w:color w:val="auto"/>
                <w:sz w:val="24"/>
                <w:szCs w:val="24"/>
              </w:rPr>
              <w:t>不会分解，但聚乙烯</w:t>
            </w:r>
            <w:r>
              <w:rPr>
                <w:rFonts w:hint="default" w:ascii="Times New Roman" w:hAnsi="Times New Roman" w:eastAsia="宋体" w:cs="Times New Roman"/>
                <w:color w:val="auto"/>
                <w:sz w:val="24"/>
                <w:szCs w:val="24"/>
                <w:lang w:eastAsia="zh-CN"/>
              </w:rPr>
              <w:t>及聚丙烯</w:t>
            </w:r>
            <w:r>
              <w:rPr>
                <w:rFonts w:hint="default" w:ascii="Times New Roman" w:hAnsi="Times New Roman" w:eastAsia="宋体" w:cs="Times New Roman"/>
                <w:color w:val="auto"/>
                <w:sz w:val="24"/>
                <w:szCs w:val="24"/>
              </w:rPr>
              <w:t>所含的杂质有极少量的单体分子和聚合物发生挥发从而产生有机废气，该有机废气成份主要含有乙烯单体及其相应的聚合物等，主要成分为非甲烷总烃。根据《污染源源强核算技术指南 准则》（HJ884-2018）的要求，现有工程采用实测法进行计算</w:t>
            </w:r>
            <w:r>
              <w:rPr>
                <w:rFonts w:hint="default" w:ascii="Times New Roman" w:hAnsi="Times New Roman" w:eastAsia="宋体" w:cs="Times New Roman"/>
                <w:color w:val="auto"/>
                <w:sz w:val="24"/>
                <w:szCs w:val="24"/>
                <w:lang w:eastAsia="zh-CN"/>
              </w:rPr>
              <w:t>，但根据调查，项目目前挤出塑化车间未采取防治措施，挤出塑化工序产生的有机废气在厂区无组织排放，</w:t>
            </w:r>
            <w:r>
              <w:rPr>
                <w:rFonts w:hint="default" w:ascii="Times New Roman" w:hAnsi="Times New Roman" w:eastAsia="宋体" w:cs="Times New Roman"/>
                <w:color w:val="auto"/>
                <w:sz w:val="24"/>
                <w:szCs w:val="24"/>
              </w:rPr>
              <w:t>无法通过实测法进行核算其产排量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为此环评拟采用产物系数法对其进行核算</w:t>
            </w:r>
            <w:r>
              <w:rPr>
                <w:rFonts w:hint="default" w:ascii="Times New Roman" w:hAnsi="Times New Roman" w:eastAsia="宋体" w:cs="Times New Roman"/>
                <w:color w:val="auto"/>
                <w:sz w:val="24"/>
                <w:szCs w:val="24"/>
                <w:lang w:eastAsia="zh-CN"/>
              </w:rPr>
              <w:t>，又《</w:t>
            </w:r>
            <w:r>
              <w:rPr>
                <w:rFonts w:hint="default" w:ascii="Times New Roman" w:hAnsi="Times New Roman" w:eastAsia="宋体" w:cs="Times New Roman"/>
                <w:color w:val="auto"/>
                <w:sz w:val="24"/>
                <w:szCs w:val="24"/>
                <w:lang w:val="en-US" w:eastAsia="zh-CN"/>
              </w:rPr>
              <w:t>277卫生材料及医药用品制造行业系数手册</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2.4条明确该行业系数手册适用的产品范围仅为“</w:t>
            </w:r>
            <w:r>
              <w:rPr>
                <w:rFonts w:hint="default" w:ascii="Times New Roman" w:hAnsi="Times New Roman" w:eastAsia="宋体" w:cs="Times New Roman"/>
                <w:color w:val="auto"/>
                <w:kern w:val="0"/>
                <w:sz w:val="24"/>
                <w:szCs w:val="24"/>
                <w:lang w:val="en-US" w:eastAsia="zh-CN" w:bidi="ar"/>
              </w:rPr>
              <w:t>产品中使用中药的卫生材料及医药用品、产品中使用化学药物的卫生材料及医药用品</w:t>
            </w:r>
            <w:r>
              <w:rPr>
                <w:rFonts w:hint="default" w:ascii="Times New Roman" w:hAnsi="Times New Roman" w:eastAsia="宋体" w:cs="Times New Roman"/>
                <w:color w:val="auto"/>
                <w:sz w:val="24"/>
                <w:szCs w:val="24"/>
                <w:lang w:val="en-US" w:eastAsia="zh-CN"/>
              </w:rPr>
              <w:t>”，故项目</w:t>
            </w:r>
            <w:r>
              <w:rPr>
                <w:rFonts w:hint="default" w:ascii="Times New Roman" w:hAnsi="Times New Roman" w:eastAsia="宋体" w:cs="Times New Roman"/>
                <w:color w:val="auto"/>
                <w:kern w:val="0"/>
                <w:sz w:val="24"/>
                <w:szCs w:val="24"/>
                <w:lang w:val="en-US" w:eastAsia="zh-CN" w:bidi="ar"/>
              </w:rPr>
              <w:t>挤出、注塑车间挤</w:t>
            </w:r>
            <w:r>
              <w:rPr>
                <w:rFonts w:hint="default" w:ascii="Times New Roman" w:hAnsi="Times New Roman" w:eastAsia="宋体" w:cs="Times New Roman"/>
                <w:color w:val="auto"/>
                <w:sz w:val="24"/>
                <w:szCs w:val="24"/>
                <w:lang w:val="en-US" w:eastAsia="zh-CN"/>
              </w:rPr>
              <w:t>出塑化工序产生的有机废气（以非甲烷总烃计）参照《排放源统计调查产排污核算方法和系数手册》中“292塑料制品业系数手册”进行核算。</w:t>
            </w:r>
            <w:r>
              <w:rPr>
                <w:rFonts w:hint="default" w:ascii="Times New Roman" w:hAnsi="Times New Roman" w:eastAsia="宋体" w:cs="Times New Roman"/>
                <w:color w:val="auto"/>
                <w:sz w:val="24"/>
                <w:szCs w:val="24"/>
                <w:lang w:eastAsia="zh-CN"/>
              </w:rPr>
              <w:t>两车间</w:t>
            </w:r>
            <w:r>
              <w:rPr>
                <w:rFonts w:hint="default" w:ascii="Times New Roman" w:hAnsi="Times New Roman" w:eastAsia="宋体" w:cs="Times New Roman"/>
                <w:color w:val="auto"/>
                <w:sz w:val="24"/>
                <w:szCs w:val="24"/>
              </w:rPr>
              <w:t>非甲烷总烃产生量具体分析如下。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根据原辅料用量可知，项目聚丙烯颗粒用量为30t/a、聚乙烯颗粒用量30t/a,则挤出注塑工序产品产量为60t/a，根据</w:t>
            </w:r>
            <w:r>
              <w:rPr>
                <w:rFonts w:hint="default" w:ascii="Times New Roman" w:hAnsi="Times New Roman" w:eastAsia="宋体" w:cs="Times New Roman"/>
                <w:color w:val="auto"/>
                <w:sz w:val="24"/>
                <w:szCs w:val="24"/>
                <w:lang w:val="en-US" w:eastAsia="zh-CN"/>
              </w:rPr>
              <w:t>《《排放源统计调查产排污核算方法和系数手册》中“292塑料制品业系数手册”</w:t>
            </w:r>
            <w:r>
              <w:rPr>
                <w:rFonts w:hint="default" w:ascii="Times New Roman" w:hAnsi="Times New Roman" w:eastAsia="宋体" w:cs="Times New Roman"/>
                <w:color w:val="auto"/>
                <w:kern w:val="0"/>
                <w:sz w:val="24"/>
                <w:szCs w:val="24"/>
                <w:lang w:val="en-US" w:eastAsia="zh-CN" w:bidi="ar"/>
              </w:rPr>
              <w:t>塑料板、管、型材挥发性有机物产污系数为1.5kg/t产品，</w:t>
            </w:r>
            <w:r>
              <w:rPr>
                <w:rFonts w:hint="default" w:ascii="Times New Roman" w:hAnsi="Times New Roman" w:eastAsia="宋体" w:cs="Times New Roman"/>
                <w:color w:val="auto"/>
                <w:kern w:val="0"/>
                <w:sz w:val="24"/>
                <w:szCs w:val="24"/>
                <w:highlight w:val="none"/>
                <w:lang w:val="en-US" w:eastAsia="zh-CN" w:bidi="ar"/>
              </w:rPr>
              <w:t>则本项目在</w:t>
            </w:r>
            <w:r>
              <w:rPr>
                <w:rFonts w:hint="default" w:ascii="Times New Roman" w:hAnsi="Times New Roman" w:eastAsia="宋体" w:cs="Times New Roman"/>
                <w:color w:val="auto"/>
                <w:kern w:val="0"/>
                <w:sz w:val="24"/>
                <w:szCs w:val="24"/>
                <w:lang w:val="en-US" w:eastAsia="zh-CN" w:bidi="ar"/>
              </w:rPr>
              <w:t>挤出、注塑工序非甲烷总烃的产生量约为0.09t/a，项目目前未采取防治措施，不能满足环保要求，本环评提出，将挤出、注塑两个生产工序分别进行密闭，并</w:t>
            </w:r>
            <w:r>
              <w:rPr>
                <w:rFonts w:hint="default" w:ascii="Times New Roman" w:hAnsi="Times New Roman" w:eastAsia="宋体" w:cs="Times New Roman"/>
                <w:color w:val="auto"/>
                <w:sz w:val="24"/>
                <w:szCs w:val="24"/>
              </w:rPr>
              <w:t>在</w:t>
            </w:r>
            <w:r>
              <w:rPr>
                <w:rFonts w:hint="default" w:ascii="Times New Roman" w:hAnsi="Times New Roman" w:eastAsia="宋体" w:cs="Times New Roman"/>
                <w:color w:val="auto"/>
                <w:sz w:val="24"/>
                <w:szCs w:val="24"/>
                <w:lang w:eastAsia="zh-CN"/>
              </w:rPr>
              <w:t>各</w:t>
            </w:r>
            <w:r>
              <w:rPr>
                <w:rFonts w:hint="default" w:ascii="Times New Roman" w:hAnsi="Times New Roman" w:eastAsia="宋体" w:cs="Times New Roman"/>
                <w:color w:val="auto"/>
                <w:sz w:val="24"/>
                <w:szCs w:val="24"/>
              </w:rPr>
              <w:t>封闭空间内设置1套集气罩对有机废气进行收集，集气效率不低于80%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集气罩的集气风量为</w:t>
            </w:r>
            <w:r>
              <w:rPr>
                <w:rFonts w:hint="default" w:ascii="Times New Roman" w:hAnsi="Times New Roman" w:eastAsia="宋体" w:cs="Times New Roman"/>
                <w:color w:val="auto"/>
                <w:sz w:val="24"/>
                <w:szCs w:val="24"/>
                <w:lang w:val="en-US" w:eastAsia="zh-CN"/>
              </w:rPr>
              <w:t>5000</w:t>
            </w:r>
            <w:r>
              <w:rPr>
                <w:rFonts w:hint="default" w:ascii="Times New Roman" w:hAnsi="Times New Roman" w:eastAsia="宋体" w:cs="Times New Roman"/>
                <w:color w:val="auto"/>
                <w:sz w:val="24"/>
                <w:szCs w:val="24"/>
              </w:rPr>
              <w:t>m³/h；非甲烷总烃经收集后，进入1台有机废气处理装置</w:t>
            </w:r>
            <w:r>
              <w:rPr>
                <w:rFonts w:hint="default" w:ascii="Times New Roman" w:hAnsi="Times New Roman" w:eastAsia="宋体" w:cs="Times New Roman"/>
                <w:color w:val="auto"/>
                <w:sz w:val="24"/>
                <w:szCs w:val="24"/>
                <w:lang w:eastAsia="zh-CN"/>
              </w:rPr>
              <w:t>（活性炭吸附法）</w:t>
            </w:r>
            <w:r>
              <w:rPr>
                <w:rFonts w:hint="default" w:ascii="Times New Roman" w:hAnsi="Times New Roman" w:eastAsia="宋体" w:cs="Times New Roman"/>
                <w:color w:val="auto"/>
                <w:sz w:val="24"/>
                <w:szCs w:val="24"/>
              </w:rPr>
              <w:t>进行处理，参考“</w:t>
            </w:r>
            <w:r>
              <w:rPr>
                <w:rFonts w:hint="default" w:ascii="Times New Roman" w:hAnsi="Times New Roman" w:eastAsia="宋体" w:cs="Times New Roman"/>
                <w:color w:val="auto"/>
                <w:sz w:val="24"/>
                <w:szCs w:val="24"/>
                <w:lang w:val="en-US" w:eastAsia="zh-CN"/>
              </w:rPr>
              <w:t>2922塑料板、管、型材制造行业系数表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活性炭吸附</w:t>
            </w:r>
            <w:r>
              <w:rPr>
                <w:rFonts w:hint="default" w:ascii="Times New Roman" w:hAnsi="Times New Roman" w:eastAsia="宋体" w:cs="Times New Roman"/>
                <w:color w:val="auto"/>
                <w:sz w:val="24"/>
                <w:szCs w:val="24"/>
              </w:rPr>
              <w:t>法</w:t>
            </w:r>
            <w:r>
              <w:rPr>
                <w:rFonts w:hint="default" w:ascii="Times New Roman" w:hAnsi="Times New Roman" w:eastAsia="宋体" w:cs="Times New Roman"/>
                <w:color w:val="auto"/>
                <w:sz w:val="24"/>
                <w:szCs w:val="24"/>
                <w:lang w:val="en-US" w:eastAsia="zh-CN"/>
              </w:rPr>
              <w:t>末端治理技术平均去除效率</w:t>
            </w:r>
            <w:r>
              <w:rPr>
                <w:rFonts w:hint="default" w:ascii="Times New Roman" w:hAnsi="Times New Roman" w:eastAsia="宋体" w:cs="Times New Roman"/>
                <w:color w:val="auto"/>
                <w:sz w:val="24"/>
                <w:szCs w:val="24"/>
              </w:rPr>
              <w:t>约为</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%。处理后通过1根高15m、Φ0.</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m的排气筒</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DA001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外排。项目</w:t>
            </w:r>
            <w:r>
              <w:rPr>
                <w:rFonts w:hint="default" w:ascii="Times New Roman" w:hAnsi="Times New Roman" w:eastAsia="宋体" w:cs="Times New Roman"/>
                <w:color w:val="auto"/>
                <w:sz w:val="24"/>
                <w:szCs w:val="24"/>
                <w:lang w:eastAsia="zh-CN"/>
              </w:rPr>
              <w:t>日</w:t>
            </w:r>
            <w:r>
              <w:rPr>
                <w:rFonts w:hint="default" w:ascii="Times New Roman" w:hAnsi="Times New Roman" w:eastAsia="宋体" w:cs="Times New Roman"/>
                <w:color w:val="auto"/>
                <w:sz w:val="24"/>
                <w:szCs w:val="24"/>
              </w:rPr>
              <w:t>生产24h/d，年生产300d；则</w:t>
            </w:r>
            <w:r>
              <w:rPr>
                <w:rFonts w:hint="default" w:ascii="Times New Roman" w:hAnsi="Times New Roman" w:eastAsia="宋体" w:cs="Times New Roman"/>
                <w:color w:val="auto"/>
                <w:sz w:val="24"/>
                <w:szCs w:val="24"/>
                <w:lang w:eastAsia="zh-CN"/>
              </w:rPr>
              <w:t>挤出注塑</w:t>
            </w:r>
            <w:r>
              <w:rPr>
                <w:rFonts w:hint="default" w:ascii="Times New Roman" w:hAnsi="Times New Roman" w:eastAsia="宋体" w:cs="Times New Roman"/>
                <w:color w:val="auto"/>
                <w:sz w:val="24"/>
                <w:szCs w:val="24"/>
              </w:rPr>
              <w:t>生产废气量为</w:t>
            </w: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r>
              <w:rPr>
                <w:rFonts w:hint="default" w:ascii="Times New Roman" w:hAnsi="Times New Roman" w:eastAsia="宋体" w:cs="Times New Roman"/>
                <w:color w:val="auto"/>
                <w:sz w:val="24"/>
                <w:szCs w:val="24"/>
                <w:lang w:eastAsia="zh-CN"/>
              </w:rPr>
              <w:t>最终有组织非甲烷总烃产生量约为</w:t>
            </w:r>
            <w:r>
              <w:rPr>
                <w:rFonts w:hint="default" w:ascii="Times New Roman" w:hAnsi="Times New Roman" w:eastAsia="宋体" w:cs="Times New Roman"/>
                <w:color w:val="auto"/>
                <w:sz w:val="24"/>
                <w:szCs w:val="24"/>
                <w:lang w:val="en-US" w:eastAsia="zh-CN"/>
              </w:rPr>
              <w:t>0.072t/a，</w:t>
            </w:r>
            <w:r>
              <w:rPr>
                <w:rFonts w:hint="default" w:ascii="Times New Roman" w:hAnsi="Times New Roman" w:eastAsia="宋体" w:cs="Times New Roman"/>
                <w:color w:val="auto"/>
                <w:sz w:val="24"/>
                <w:szCs w:val="24"/>
                <w:lang w:eastAsia="zh-CN"/>
              </w:rPr>
              <w:t>产生浓度为</w:t>
            </w:r>
            <w:r>
              <w:rPr>
                <w:rFonts w:hint="default" w:ascii="Times New Roman" w:hAnsi="Times New Roman" w:eastAsia="宋体" w:cs="Times New Roman"/>
                <w:color w:val="auto"/>
                <w:sz w:val="24"/>
                <w:szCs w:val="24"/>
                <w:lang w:val="en-US" w:eastAsia="zh-CN"/>
              </w:rPr>
              <w:t>2mg/</w:t>
            </w:r>
            <w:r>
              <w:rPr>
                <w:rFonts w:hint="default" w:ascii="Times New Roman" w:hAnsi="Times New Roman" w:eastAsia="宋体" w:cs="Times New Roman"/>
                <w:color w:val="auto"/>
                <w:sz w:val="24"/>
                <w:szCs w:val="24"/>
              </w:rPr>
              <w:t>m³</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有组织排放量为</w:t>
            </w:r>
            <w:r>
              <w:rPr>
                <w:rFonts w:hint="default" w:ascii="Times New Roman" w:hAnsi="Times New Roman" w:eastAsia="宋体" w:cs="Times New Roman"/>
                <w:color w:val="auto"/>
                <w:sz w:val="24"/>
                <w:szCs w:val="24"/>
                <w:lang w:val="en-US" w:eastAsia="zh-CN"/>
              </w:rPr>
              <w:t>0.057t/a，排放速率约为0.008kg/h，排放浓度为1.58mg/m³。未收集部分0.018t/a，经生产车间内新风净化系统（风量约35000m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/h）抽至一楼通过5μm初效过滤器过滤+1μm中效过滤器过滤+0.05μm高效过滤器过滤+活性炭吸附（处理效率为75%）处理后，呈无组织排放，则挤出、注塑工序无组织排放量为0.005t/a。</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⑤</w:t>
            </w:r>
            <w:r>
              <w:rPr>
                <w:rFonts w:hint="default" w:ascii="Times New Roman" w:hAnsi="Times New Roman" w:eastAsia="宋体" w:cs="Times New Roman"/>
                <w:b/>
                <w:color w:val="auto"/>
                <w:sz w:val="24"/>
                <w:szCs w:val="24"/>
              </w:rPr>
              <w:t>恶臭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由于项目生产过程有非甲烷总烃等废气产生，因此会产生少量异味</w:t>
            </w:r>
            <w:r>
              <w:rPr>
                <w:rFonts w:hint="default" w:ascii="Times New Roman" w:hAnsi="Times New Roman" w:eastAsia="宋体" w:cs="Times New Roman"/>
                <w:color w:val="auto"/>
                <w:sz w:val="24"/>
                <w:szCs w:val="24"/>
                <w:lang w:val="en-US" w:eastAsia="zh-CN"/>
              </w:rPr>
              <w:t>,但由于产量较小，呈无组织排放。</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⑥产品灭菌过程中产生的环氧乙烷废气（挥发性有机物，以非甲烷总烃计）</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灭菌过程使用的灭菌剂为环氧乙烷，根据调查，项目目前采用水喷淋吸收工艺对产品灭菌过程中产生的环氧乙烷废气进行吸收后无组织排放，该工艺吸收效率不佳，本环评提出将水喷淋吸收工艺整改为稀硫酸喷淋吸收工艺，稀硫酸喷淋吸收工艺废气处理系统对环氧乙烷的吸收效率约95%，经处理达标后无组织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本项目环氧乙烷与稀硫酸水溶液（原料为50%硫酸，加水后稀释为废气处理系统中0.5%的稀硫酸）在喷淋塔逆流接触，充分吸收，先溶解在液体中，再在硫酸提供的氢离子催化下发生水合反应，反应产物主要是乙二醇。液体夹带以上产物进入储存罐，液体未饱和时重复循环使用，根据实际生产情况，灭菌过程中约有1%的环氧乙烷残存在产品包装物上，极少量未能吸收转化的环氧乙烷气体由塔顶排出，呈无组织排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吸收过程主要反应方程式为：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object>
                <v:shape id="_x0000_i1036" o:spt="75" type="#_x0000_t75" style="height:64.5pt;width:345.75pt;" o:ole="t" filled="f" o:preferrelative="t" stroked="f" coordsize="21600,21600">
                  <v:path/>
                  <v:fill on="f" focussize="0,0"/>
                  <v:stroke on="f"/>
                  <v:imagedata r:id="rId34" o:title=""/>
                  <o:lock v:ext="edit" aspectratio="f"/>
                  <w10:wrap type="none"/>
                  <w10:anchorlock/>
                </v:shape>
                <o:OLEObject Type="Embed" ProgID="Visio.Drawing.15" ShapeID="_x0000_i1036" DrawAspect="Content" ObjectID="_1468075736" r:id="rId33">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根据业主提供，每天进行1次灭菌，每次灭菌12h、3600h/a，本项目年使用环氧乙烷灭菌剂3t。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经计算，1%环氧乙烷(0.03t/a)吸附在产品包装物表面进入产品仓库解析挥发，其余部分（2.97t/a）全部进入环氧乙烷吸收塔处理，则环氧乙烷产生速率约为0.83kg/h，经环氧乙烷吸收塔处理后，95%（2.82t）环氧乙烷气体吸收于稀硫酸吸收液中，其余未吸收部分0.15t环氧乙烷气体从塔顶排除，呈无组织排放，排放速率约为0.04kg/h。</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产品包装后经环氧乙烷灭菌柜灭菌，1%的环氧乙烷（0.03t/a）将吸附在产品表面，产品在成品仓库内需放置7天进行解析，使吸附在表面的环氧乙烷自然挥发，则产品解析无组织排放的环氧乙烷（以非甲烷总烃计）0.03t/a。</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综上，项目各生产线废气产排情况如下表所示</w:t>
            </w:r>
          </w:p>
          <w:p>
            <w:pPr>
              <w:jc w:val="center"/>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表4.2.1-1  项目各生产线产排情况一览表</w:t>
            </w:r>
          </w:p>
          <w:tbl>
            <w:tblPr>
              <w:tblStyle w:val="2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8"/>
              <w:gridCol w:w="810"/>
              <w:gridCol w:w="1455"/>
              <w:gridCol w:w="1080"/>
              <w:gridCol w:w="810"/>
              <w:gridCol w:w="960"/>
              <w:gridCol w:w="975"/>
              <w:gridCol w:w="778"/>
              <w:gridCol w:w="8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8" w:type="dxa"/>
                  <w:gridSpan w:val="2"/>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产排污环节</w:t>
                  </w:r>
                </w:p>
              </w:tc>
              <w:tc>
                <w:tcPr>
                  <w:tcW w:w="1455"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污染物种类</w:t>
                  </w:r>
                </w:p>
              </w:tc>
              <w:tc>
                <w:tcPr>
                  <w:tcW w:w="2850" w:type="dxa"/>
                  <w:gridSpan w:val="3"/>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color w:val="auto"/>
                      <w:szCs w:val="21"/>
                    </w:rPr>
                    <w:t>污染物产生情况</w:t>
                  </w:r>
                </w:p>
              </w:tc>
              <w:tc>
                <w:tcPr>
                  <w:tcW w:w="2555" w:type="dxa"/>
                  <w:gridSpan w:val="3"/>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污染物排放量和浓度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48" w:type="dxa"/>
                  <w:gridSpan w:val="2"/>
                  <w:vMerge w:val="continue"/>
                  <w:vAlign w:val="center"/>
                </w:tcPr>
                <w:p>
                  <w:pPr>
                    <w:pStyle w:val="45"/>
                    <w:spacing w:line="360" w:lineRule="exact"/>
                    <w:rPr>
                      <w:rFonts w:hint="default" w:ascii="Times New Roman" w:hAnsi="Times New Roman" w:eastAsia="宋体" w:cs="Times New Roman"/>
                      <w:color w:val="auto"/>
                      <w:szCs w:val="21"/>
                    </w:rPr>
                  </w:pPr>
                </w:p>
              </w:tc>
              <w:tc>
                <w:tcPr>
                  <w:tcW w:w="1455"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080"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产生浓度mg/m³</w:t>
                  </w:r>
                </w:p>
              </w:tc>
              <w:tc>
                <w:tcPr>
                  <w:tcW w:w="810"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产生量t/a</w:t>
                  </w:r>
                </w:p>
              </w:tc>
              <w:tc>
                <w:tcPr>
                  <w:tcW w:w="960"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产生速率</w:t>
                  </w:r>
                  <w:r>
                    <w:rPr>
                      <w:rFonts w:hint="default" w:ascii="Times New Roman" w:hAnsi="Times New Roman" w:eastAsia="宋体" w:cs="Times New Roman"/>
                      <w:color w:val="auto"/>
                      <w:szCs w:val="21"/>
                    </w:rPr>
                    <w:t>kg/h</w:t>
                  </w:r>
                </w:p>
              </w:tc>
              <w:tc>
                <w:tcPr>
                  <w:tcW w:w="9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排放浓度mg/m³</w:t>
                  </w:r>
                </w:p>
              </w:tc>
              <w:tc>
                <w:tcPr>
                  <w:tcW w:w="778" w:type="dxa"/>
                  <w:tcBorders>
                    <w:top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排放量t/a</w:t>
                  </w:r>
                </w:p>
              </w:tc>
              <w:tc>
                <w:tcPr>
                  <w:tcW w:w="802" w:type="dxa"/>
                  <w:tcBorders>
                    <w:top w:val="single" w:color="auto" w:sz="4" w:space="0"/>
                    <w:lef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排放速率kg/h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挤出、注塑车间</w:t>
                  </w:r>
                </w:p>
              </w:tc>
              <w:tc>
                <w:tcPr>
                  <w:tcW w:w="810" w:type="dxa"/>
                  <w:vMerge w:val="restart"/>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挤出注塑</w:t>
                  </w: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烟气量</w:t>
                  </w:r>
                </w:p>
              </w:tc>
              <w:tc>
                <w:tcPr>
                  <w:tcW w:w="2850" w:type="dxa"/>
                  <w:gridSpan w:val="3"/>
                  <w:tcBorders>
                    <w:top w:val="single" w:color="auto" w:sz="4" w:space="0"/>
                    <w:bottom w:val="single" w:color="auto" w:sz="4" w:space="0"/>
                  </w:tcBorders>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p>
              </w:tc>
              <w:tc>
                <w:tcPr>
                  <w:tcW w:w="2555" w:type="dxa"/>
                  <w:gridSpan w:val="3"/>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p>
              </w:tc>
              <w:tc>
                <w:tcPr>
                  <w:tcW w:w="81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非甲烷总烃（有组织）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w:t>
                  </w:r>
                </w:p>
              </w:tc>
              <w:tc>
                <w:tcPr>
                  <w:tcW w:w="810" w:type="dxa"/>
                  <w:tcBorders>
                    <w:top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0.072</w:t>
                  </w:r>
                </w:p>
              </w:tc>
              <w:tc>
                <w:tcPr>
                  <w:tcW w:w="960"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0.01</w:t>
                  </w:r>
                </w:p>
              </w:tc>
              <w:tc>
                <w:tcPr>
                  <w:tcW w:w="9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1.58</w:t>
                  </w:r>
                </w:p>
              </w:tc>
              <w:tc>
                <w:tcPr>
                  <w:tcW w:w="778" w:type="dxa"/>
                  <w:vAlign w:val="center"/>
                </w:tcPr>
                <w:p>
                  <w:pPr>
                    <w:pStyle w:val="45"/>
                    <w:spacing w:line="360" w:lineRule="exact"/>
                    <w:rPr>
                      <w:rFonts w:hint="default" w:ascii="Times New Roman" w:hAnsi="Times New Roman" w:eastAsia="宋体" w:cs="Times New Roman"/>
                      <w:color w:val="auto"/>
                      <w:szCs w:val="21"/>
                      <w:lang w:val="en-US"/>
                    </w:rPr>
                  </w:pPr>
                  <w:r>
                    <w:rPr>
                      <w:rFonts w:hint="default" w:ascii="Times New Roman" w:hAnsi="Times New Roman" w:cs="Times New Roman"/>
                      <w:color w:val="auto"/>
                      <w:szCs w:val="21"/>
                      <w:lang w:val="en-US" w:eastAsia="zh-CN"/>
                    </w:rPr>
                    <w:t>0.057</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p>
              </w:tc>
              <w:tc>
                <w:tcPr>
                  <w:tcW w:w="81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非甲烷总烃（无组织）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10" w:type="dxa"/>
                  <w:tcBorders>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0.018</w:t>
                  </w:r>
                </w:p>
              </w:tc>
              <w:tc>
                <w:tcPr>
                  <w:tcW w:w="960"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7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0.005</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p>
              </w:tc>
              <w:tc>
                <w:tcPr>
                  <w:tcW w:w="81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恶臭</w:t>
                  </w:r>
                </w:p>
              </w:tc>
              <w:tc>
                <w:tcPr>
                  <w:tcW w:w="2850" w:type="dxa"/>
                  <w:gridSpan w:val="3"/>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少量</w:t>
                  </w:r>
                </w:p>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2555" w:type="dxa"/>
                  <w:gridSpan w:val="3"/>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少量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棉签生产线</w:t>
                  </w:r>
                </w:p>
              </w:tc>
              <w:tc>
                <w:tcPr>
                  <w:tcW w:w="810" w:type="dxa"/>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棉条输送</w:t>
                  </w: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颗粒物</w:t>
                  </w:r>
                  <w:r>
                    <w:rPr>
                      <w:rFonts w:hint="default" w:ascii="Times New Roman" w:hAnsi="Times New Roman" w:cs="Times New Roman"/>
                      <w:color w:val="auto"/>
                      <w:szCs w:val="21"/>
                      <w:lang w:eastAsia="zh-CN"/>
                    </w:rPr>
                    <w:t>（无组织）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10"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0.01</w:t>
                  </w:r>
                </w:p>
              </w:tc>
              <w:tc>
                <w:tcPr>
                  <w:tcW w:w="960"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78" w:type="dxa"/>
                  <w:tcBorders>
                    <w:top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0.001</w:t>
                  </w:r>
                </w:p>
              </w:tc>
              <w:tc>
                <w:tcPr>
                  <w:tcW w:w="802" w:type="dxa"/>
                  <w:tcBorders>
                    <w:top w:val="single" w:color="auto" w:sz="4" w:space="0"/>
                    <w:left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810" w:type="dxa"/>
                  <w:vMerge w:val="restart"/>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棉签烘干</w:t>
                  </w: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w:t>
                  </w:r>
                  <w:r>
                    <w:rPr>
                      <w:rFonts w:hint="default" w:ascii="Times New Roman" w:hAnsi="Times New Roman" w:cs="Times New Roman"/>
                      <w:color w:val="auto"/>
                      <w:szCs w:val="21"/>
                      <w:lang w:eastAsia="zh-CN"/>
                    </w:rPr>
                    <w:t>（无组织）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10"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0.007</w:t>
                  </w:r>
                </w:p>
              </w:tc>
              <w:tc>
                <w:tcPr>
                  <w:tcW w:w="960"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78" w:type="dxa"/>
                  <w:tcBorders>
                    <w:top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0.002</w:t>
                  </w:r>
                </w:p>
              </w:tc>
              <w:tc>
                <w:tcPr>
                  <w:tcW w:w="802" w:type="dxa"/>
                  <w:tcBorders>
                    <w:top w:val="single" w:color="auto" w:sz="4" w:space="0"/>
                    <w:left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81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恶臭</w:t>
                  </w:r>
                </w:p>
              </w:tc>
              <w:tc>
                <w:tcPr>
                  <w:tcW w:w="2850" w:type="dxa"/>
                  <w:gridSpan w:val="3"/>
                  <w:tcBorders>
                    <w:top w:val="single" w:color="auto" w:sz="4" w:space="0"/>
                    <w:bottom w:val="single" w:color="auto" w:sz="4" w:space="0"/>
                  </w:tcBorders>
                  <w:vAlign w:val="center"/>
                </w:tcPr>
                <w:p>
                  <w:pPr>
                    <w:pStyle w:val="45"/>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少量</w:t>
                  </w:r>
                </w:p>
              </w:tc>
              <w:tc>
                <w:tcPr>
                  <w:tcW w:w="2555" w:type="dxa"/>
                  <w:gridSpan w:val="3"/>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少量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口罩生产线</w:t>
                  </w:r>
                </w:p>
              </w:tc>
              <w:tc>
                <w:tcPr>
                  <w:tcW w:w="810" w:type="dxa"/>
                  <w:vMerge w:val="restart"/>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口罩带焊接</w:t>
                  </w: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非甲烷总烃</w:t>
                  </w:r>
                  <w:r>
                    <w:rPr>
                      <w:rFonts w:hint="default" w:ascii="Times New Roman" w:hAnsi="Times New Roman" w:cs="Times New Roman"/>
                      <w:color w:val="auto"/>
                      <w:szCs w:val="21"/>
                      <w:lang w:val="en-US" w:eastAsia="zh-CN"/>
                    </w:rPr>
                    <w:t>（无组织）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10" w:type="dxa"/>
                  <w:tcBorders>
                    <w:bottom w:val="single" w:color="auto" w:sz="4" w:space="0"/>
                  </w:tcBorders>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bCs/>
                      <w:snapToGrid w:val="0"/>
                      <w:color w:val="auto"/>
                      <w:kern w:val="32"/>
                      <w:sz w:val="21"/>
                      <w:szCs w:val="21"/>
                      <w:lang w:val="en-US" w:eastAsia="zh-CN" w:bidi="ar-SA"/>
                    </w:rPr>
                    <w:t>0.014</w:t>
                  </w:r>
                </w:p>
              </w:tc>
              <w:tc>
                <w:tcPr>
                  <w:tcW w:w="960"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78" w:type="dxa"/>
                  <w:tcBorders>
                    <w:top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0.004</w:t>
                  </w:r>
                </w:p>
              </w:tc>
              <w:tc>
                <w:tcPr>
                  <w:tcW w:w="802" w:type="dxa"/>
                  <w:tcBorders>
                    <w:top w:val="single" w:color="auto" w:sz="4" w:space="0"/>
                    <w:left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81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1455"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恶臭</w:t>
                  </w:r>
                </w:p>
              </w:tc>
              <w:tc>
                <w:tcPr>
                  <w:tcW w:w="2850" w:type="dxa"/>
                  <w:gridSpan w:val="3"/>
                  <w:tcBorders>
                    <w:top w:val="single" w:color="auto" w:sz="4" w:space="0"/>
                    <w:bottom w:val="single" w:color="auto" w:sz="4" w:space="0"/>
                  </w:tcBorders>
                  <w:vAlign w:val="center"/>
                </w:tcPr>
                <w:p>
                  <w:pPr>
                    <w:pStyle w:val="45"/>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少量</w:t>
                  </w:r>
                </w:p>
              </w:tc>
              <w:tc>
                <w:tcPr>
                  <w:tcW w:w="2555" w:type="dxa"/>
                  <w:gridSpan w:val="3"/>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灭菌生产线</w:t>
                  </w:r>
                </w:p>
              </w:tc>
              <w:tc>
                <w:tcPr>
                  <w:tcW w:w="810" w:type="dxa"/>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灭菌</w:t>
                  </w:r>
                </w:p>
              </w:tc>
              <w:tc>
                <w:tcPr>
                  <w:tcW w:w="1455" w:type="dxa"/>
                  <w:vMerge w:val="restart"/>
                  <w:tcBorders>
                    <w:top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w:t>
                  </w:r>
                  <w:r>
                    <w:rPr>
                      <w:rFonts w:hint="default" w:ascii="Times New Roman" w:hAnsi="Times New Roman" w:cs="Times New Roman"/>
                      <w:color w:val="auto"/>
                      <w:szCs w:val="21"/>
                      <w:lang w:eastAsia="zh-CN"/>
                    </w:rPr>
                    <w:t>（无组织）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1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2.97</w:t>
                  </w:r>
                </w:p>
              </w:tc>
              <w:tc>
                <w:tcPr>
                  <w:tcW w:w="960"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7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0.1</w:t>
                  </w:r>
                  <w:r>
                    <w:rPr>
                      <w:rFonts w:hint="default" w:ascii="Times New Roman" w:hAnsi="Times New Roman" w:cs="Times New Roman"/>
                      <w:color w:val="auto"/>
                      <w:szCs w:val="21"/>
                      <w:lang w:val="en-US" w:eastAsia="zh-CN"/>
                    </w:rPr>
                    <w:t>5</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810" w:type="dxa"/>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解析</w:t>
                  </w:r>
                </w:p>
              </w:tc>
              <w:tc>
                <w:tcPr>
                  <w:tcW w:w="1455" w:type="dxa"/>
                  <w:vMerge w:val="continue"/>
                  <w:vAlign w:val="center"/>
                </w:tcPr>
                <w:p>
                  <w:pPr>
                    <w:pStyle w:val="45"/>
                    <w:spacing w:line="360" w:lineRule="exact"/>
                    <w:rPr>
                      <w:rFonts w:hint="default" w:ascii="Times New Roman" w:hAnsi="Times New Roman" w:eastAsia="宋体" w:cs="Times New Roman"/>
                      <w:color w:val="auto"/>
                      <w:szCs w:val="21"/>
                      <w:lang w:eastAsia="zh-CN"/>
                    </w:rPr>
                  </w:pP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1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0.03</w:t>
                  </w:r>
                </w:p>
              </w:tc>
              <w:tc>
                <w:tcPr>
                  <w:tcW w:w="960" w:type="dxa"/>
                  <w:vAlign w:val="center"/>
                </w:tcPr>
                <w:p>
                  <w:pPr>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c>
                <w:tcPr>
                  <w:tcW w:w="975"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77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0.03</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合计</w:t>
                  </w:r>
                </w:p>
              </w:tc>
              <w:tc>
                <w:tcPr>
                  <w:tcW w:w="2265" w:type="dxa"/>
                  <w:gridSpan w:val="2"/>
                  <w:tcBorders>
                    <w:left w:val="single" w:color="auto" w:sz="4" w:space="0"/>
                  </w:tcBorders>
                  <w:vAlign w:val="center"/>
                </w:tcPr>
                <w:p>
                  <w:pPr>
                    <w:pStyle w:val="45"/>
                    <w:spacing w:line="360" w:lineRule="exac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废气量</w:t>
                  </w:r>
                </w:p>
              </w:tc>
              <w:tc>
                <w:tcPr>
                  <w:tcW w:w="2850" w:type="dxa"/>
                  <w:gridSpan w:val="3"/>
                  <w:tcBorders>
                    <w:top w:val="single" w:color="auto" w:sz="4" w:space="0"/>
                    <w:bottom w:val="single" w:color="auto" w:sz="4" w:space="0"/>
                  </w:tcBorders>
                  <w:vAlign w:val="center"/>
                </w:tcPr>
                <w:p>
                  <w:pPr>
                    <w:pStyle w:val="45"/>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p>
              </w:tc>
              <w:tc>
                <w:tcPr>
                  <w:tcW w:w="2555" w:type="dxa"/>
                  <w:gridSpan w:val="3"/>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2265" w:type="dxa"/>
                  <w:gridSpan w:val="2"/>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非甲烷总烃（有组织）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w:t>
                  </w:r>
                </w:p>
              </w:tc>
              <w:tc>
                <w:tcPr>
                  <w:tcW w:w="810" w:type="dxa"/>
                  <w:tcBorders>
                    <w:top w:val="single" w:color="auto" w:sz="4" w:space="0"/>
                    <w:bottom w:val="single" w:color="auto" w:sz="4" w:space="0"/>
                  </w:tcBorders>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0.072</w:t>
                  </w:r>
                </w:p>
              </w:tc>
              <w:tc>
                <w:tcPr>
                  <w:tcW w:w="960" w:type="dxa"/>
                  <w:vAlign w:val="center"/>
                </w:tcPr>
                <w:p>
                  <w:pPr>
                    <w:pStyle w:val="45"/>
                    <w:spacing w:line="360" w:lineRule="exact"/>
                    <w:jc w:val="center"/>
                    <w:rPr>
                      <w:rFonts w:hint="default" w:ascii="Times New Roman" w:hAnsi="Times New Roman" w:cs="Times New Roman"/>
                      <w:color w:val="auto"/>
                      <w:szCs w:val="21"/>
                      <w:lang w:val="en-US" w:eastAsia="zh-CN"/>
                    </w:rPr>
                  </w:pPr>
                </w:p>
              </w:tc>
              <w:tc>
                <w:tcPr>
                  <w:tcW w:w="9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778"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0.057</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cs="Times New Roman"/>
                      <w:color w:val="auto"/>
                      <w:szCs w:val="21"/>
                      <w:lang w:eastAsia="zh-CN"/>
                    </w:rPr>
                  </w:pPr>
                </w:p>
              </w:tc>
              <w:tc>
                <w:tcPr>
                  <w:tcW w:w="2265" w:type="dxa"/>
                  <w:gridSpan w:val="2"/>
                  <w:tcBorders>
                    <w:left w:val="single" w:color="auto" w:sz="4" w:space="0"/>
                  </w:tcBorders>
                  <w:vAlign w:val="center"/>
                </w:tcPr>
                <w:p>
                  <w:pPr>
                    <w:pStyle w:val="45"/>
                    <w:spacing w:line="360" w:lineRule="exac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非甲烷总烃（无组织）</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10" w:type="dxa"/>
                  <w:tcBorders>
                    <w:top w:val="single" w:color="auto" w:sz="4" w:space="0"/>
                    <w:bottom w:val="single" w:color="auto" w:sz="4" w:space="0"/>
                  </w:tcBorders>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3.201</w:t>
                  </w:r>
                </w:p>
              </w:tc>
              <w:tc>
                <w:tcPr>
                  <w:tcW w:w="960" w:type="dxa"/>
                  <w:vAlign w:val="center"/>
                </w:tcPr>
                <w:p>
                  <w:pPr>
                    <w:pStyle w:val="45"/>
                    <w:spacing w:line="360" w:lineRule="exact"/>
                    <w:jc w:val="center"/>
                    <w:rPr>
                      <w:rFonts w:hint="default" w:ascii="Times New Roman" w:hAnsi="Times New Roman" w:cs="Times New Roman"/>
                      <w:color w:val="auto"/>
                      <w:szCs w:val="21"/>
                      <w:lang w:val="en-US" w:eastAsia="zh-CN"/>
                    </w:rPr>
                  </w:pPr>
                </w:p>
              </w:tc>
              <w:tc>
                <w:tcPr>
                  <w:tcW w:w="9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778"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0.191</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cs="Times New Roman"/>
                      <w:color w:val="auto"/>
                      <w:szCs w:val="21"/>
                      <w:lang w:eastAsia="zh-CN"/>
                    </w:rPr>
                  </w:pPr>
                </w:p>
              </w:tc>
              <w:tc>
                <w:tcPr>
                  <w:tcW w:w="2265" w:type="dxa"/>
                  <w:gridSpan w:val="2"/>
                  <w:tcBorders>
                    <w:left w:val="single" w:color="auto" w:sz="4" w:space="0"/>
                  </w:tcBorders>
                  <w:vAlign w:val="center"/>
                </w:tcPr>
                <w:p>
                  <w:pPr>
                    <w:pStyle w:val="45"/>
                    <w:spacing w:line="360" w:lineRule="exac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颗粒物</w:t>
                  </w:r>
                </w:p>
              </w:tc>
              <w:tc>
                <w:tcPr>
                  <w:tcW w:w="1080"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10" w:type="dxa"/>
                  <w:tcBorders>
                    <w:top w:val="single" w:color="auto" w:sz="4" w:space="0"/>
                    <w:bottom w:val="single" w:color="auto" w:sz="4" w:space="0"/>
                  </w:tcBorders>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0.01</w:t>
                  </w:r>
                </w:p>
              </w:tc>
              <w:tc>
                <w:tcPr>
                  <w:tcW w:w="960" w:type="dxa"/>
                  <w:vAlign w:val="center"/>
                </w:tcPr>
                <w:p>
                  <w:pPr>
                    <w:pStyle w:val="45"/>
                    <w:spacing w:line="360" w:lineRule="exact"/>
                    <w:jc w:val="center"/>
                    <w:rPr>
                      <w:rFonts w:hint="default" w:ascii="Times New Roman" w:hAnsi="Times New Roman" w:cs="Times New Roman"/>
                      <w:color w:val="auto"/>
                      <w:szCs w:val="21"/>
                      <w:lang w:val="en-US" w:eastAsia="zh-CN"/>
                    </w:rPr>
                  </w:pPr>
                </w:p>
              </w:tc>
              <w:tc>
                <w:tcPr>
                  <w:tcW w:w="9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778"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0.001</w:t>
                  </w:r>
                </w:p>
              </w:tc>
              <w:tc>
                <w:tcPr>
                  <w:tcW w:w="80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8" w:type="dxa"/>
                  <w:vMerge w:val="continue"/>
                  <w:tcBorders>
                    <w:right w:val="single" w:color="auto" w:sz="4" w:space="0"/>
                  </w:tcBorders>
                  <w:vAlign w:val="center"/>
                </w:tcPr>
                <w:p>
                  <w:pPr>
                    <w:pStyle w:val="45"/>
                    <w:spacing w:line="360" w:lineRule="exact"/>
                    <w:rPr>
                      <w:rFonts w:hint="default" w:ascii="Times New Roman" w:hAnsi="Times New Roman" w:cs="Times New Roman"/>
                      <w:color w:val="auto"/>
                      <w:szCs w:val="21"/>
                      <w:lang w:eastAsia="zh-CN"/>
                    </w:rPr>
                  </w:pPr>
                </w:p>
              </w:tc>
              <w:tc>
                <w:tcPr>
                  <w:tcW w:w="2265" w:type="dxa"/>
                  <w:gridSpan w:val="2"/>
                  <w:tcBorders>
                    <w:left w:val="single" w:color="auto" w:sz="4" w:space="0"/>
                  </w:tcBorders>
                  <w:vAlign w:val="center"/>
                </w:tcPr>
                <w:p>
                  <w:pPr>
                    <w:pStyle w:val="45"/>
                    <w:spacing w:line="360" w:lineRule="exac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恶臭</w:t>
                  </w:r>
                </w:p>
              </w:tc>
              <w:tc>
                <w:tcPr>
                  <w:tcW w:w="2850" w:type="dxa"/>
                  <w:gridSpan w:val="3"/>
                  <w:tcBorders>
                    <w:top w:val="single" w:color="auto" w:sz="4" w:space="0"/>
                    <w:bottom w:val="single" w:color="auto" w:sz="4" w:space="0"/>
                  </w:tcBorders>
                  <w:vAlign w:val="center"/>
                </w:tcPr>
                <w:p>
                  <w:pPr>
                    <w:pStyle w:val="45"/>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少量</w:t>
                  </w:r>
                </w:p>
              </w:tc>
              <w:tc>
                <w:tcPr>
                  <w:tcW w:w="2555" w:type="dxa"/>
                  <w:gridSpan w:val="3"/>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少量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608" w:type="dxa"/>
                  <w:gridSpan w:val="9"/>
                  <w:vAlign w:val="center"/>
                </w:tcPr>
                <w:p>
                  <w:pPr>
                    <w:pStyle w:val="45"/>
                    <w:spacing w:line="360" w:lineRule="exact"/>
                    <w:jc w:val="left"/>
                    <w:rPr>
                      <w:rFonts w:hint="default" w:ascii="Times New Roman" w:hAnsi="Times New Roman" w:cs="Times New Roman"/>
                      <w:color w:val="auto"/>
                      <w:szCs w:val="21"/>
                      <w:lang w:val="en-US" w:eastAsia="zh-CN"/>
                    </w:rPr>
                  </w:pPr>
                  <w:r>
                    <w:rPr>
                      <w:rFonts w:hint="default" w:ascii="Times New Roman" w:hAnsi="Times New Roman" w:cs="Times New Roman"/>
                      <w:b w:val="0"/>
                      <w:bCs w:val="0"/>
                      <w:color w:val="auto"/>
                      <w:sz w:val="21"/>
                      <w:szCs w:val="21"/>
                      <w:lang w:val="en-US" w:eastAsia="zh-CN"/>
                    </w:rPr>
                    <w:t>备注：项目各处理线年工作7200h</w:t>
                  </w:r>
                </w:p>
              </w:tc>
            </w:tr>
          </w:tbl>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（2）废气污染物污染防治措施及达标性分析</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①废气污染物治理措施及排放方式</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根据项目产污环节和废气污染源强核算可知，项目废气污染物排放源的治理措施及排放方式如下表所示。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4.2.1-2 废气污染物治理措施及排放方式一览表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992"/>
              <w:gridCol w:w="1134"/>
              <w:gridCol w:w="2207"/>
              <w:gridCol w:w="746"/>
              <w:gridCol w:w="65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55"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产排污环节</w:t>
                  </w: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2207"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治理设施及效率</w:t>
                  </w:r>
                </w:p>
              </w:tc>
              <w:tc>
                <w:tcPr>
                  <w:tcW w:w="74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排放形式</w:t>
                  </w: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挤出、注塑车间</w:t>
                  </w:r>
                </w:p>
              </w:tc>
              <w:tc>
                <w:tcPr>
                  <w:tcW w:w="992"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挤出塑化</w:t>
                  </w:r>
                </w:p>
              </w:tc>
              <w:tc>
                <w:tcPr>
                  <w:tcW w:w="1134"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非甲烷总烃</w:t>
                  </w:r>
                </w:p>
              </w:tc>
              <w:tc>
                <w:tcPr>
                  <w:tcW w:w="2207"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整改后，</w:t>
                  </w:r>
                  <w:r>
                    <w:rPr>
                      <w:rFonts w:hint="default" w:ascii="Times New Roman" w:hAnsi="Times New Roman" w:eastAsia="宋体" w:cs="Times New Roman"/>
                      <w:color w:val="auto"/>
                      <w:sz w:val="21"/>
                      <w:szCs w:val="21"/>
                    </w:rPr>
                    <w:t>项目拟对</w:t>
                  </w:r>
                  <w:r>
                    <w:rPr>
                      <w:rFonts w:hint="default" w:ascii="Times New Roman" w:hAnsi="Times New Roman" w:eastAsia="宋体" w:cs="Times New Roman"/>
                      <w:color w:val="auto"/>
                      <w:sz w:val="21"/>
                      <w:szCs w:val="21"/>
                      <w:lang w:eastAsia="zh-CN"/>
                    </w:rPr>
                    <w:t>挤出、注塑</w:t>
                  </w:r>
                  <w:r>
                    <w:rPr>
                      <w:rFonts w:hint="default" w:ascii="Times New Roman" w:hAnsi="Times New Roman" w:eastAsia="宋体" w:cs="Times New Roman"/>
                      <w:color w:val="auto"/>
                      <w:sz w:val="21"/>
                      <w:szCs w:val="21"/>
                    </w:rPr>
                    <w:t>工序</w:t>
                  </w:r>
                  <w:r>
                    <w:rPr>
                      <w:rFonts w:hint="default" w:ascii="Times New Roman" w:hAnsi="Times New Roman" w:eastAsia="宋体" w:cs="Times New Roman"/>
                      <w:color w:val="auto"/>
                      <w:sz w:val="21"/>
                      <w:szCs w:val="21"/>
                      <w:lang w:eastAsia="zh-CN"/>
                    </w:rPr>
                    <w:t>出口</w:t>
                  </w:r>
                  <w:r>
                    <w:rPr>
                      <w:rFonts w:hint="default" w:ascii="Times New Roman" w:hAnsi="Times New Roman" w:eastAsia="宋体" w:cs="Times New Roman"/>
                      <w:color w:val="auto"/>
                      <w:sz w:val="21"/>
                      <w:szCs w:val="21"/>
                    </w:rPr>
                    <w:t>进行封闭，并设置集气罩，将</w:t>
                  </w:r>
                  <w:r>
                    <w:rPr>
                      <w:rFonts w:hint="default" w:ascii="Times New Roman" w:hAnsi="Times New Roman" w:eastAsia="宋体" w:cs="Times New Roman"/>
                      <w:color w:val="auto"/>
                      <w:sz w:val="21"/>
                      <w:szCs w:val="21"/>
                      <w:lang w:eastAsia="zh-CN"/>
                    </w:rPr>
                    <w:t>非甲烷总烃</w:t>
                  </w:r>
                  <w:r>
                    <w:rPr>
                      <w:rFonts w:hint="default" w:ascii="Times New Roman" w:hAnsi="Times New Roman" w:eastAsia="宋体" w:cs="Times New Roman"/>
                      <w:color w:val="auto"/>
                      <w:sz w:val="21"/>
                      <w:szCs w:val="21"/>
                    </w:rPr>
                    <w:t>进行统一收集后，通过1台</w:t>
                  </w:r>
                  <w:r>
                    <w:rPr>
                      <w:rFonts w:hint="default" w:ascii="Times New Roman" w:hAnsi="Times New Roman" w:eastAsia="宋体" w:cs="Times New Roman"/>
                      <w:color w:val="auto"/>
                      <w:sz w:val="21"/>
                      <w:szCs w:val="21"/>
                      <w:lang w:eastAsia="zh-CN"/>
                    </w:rPr>
                    <w:t>有机废气处理装置</w:t>
                  </w:r>
                  <w:r>
                    <w:rPr>
                      <w:rFonts w:hint="default" w:ascii="Times New Roman" w:hAnsi="Times New Roman" w:eastAsia="宋体" w:cs="Times New Roman"/>
                      <w:color w:val="auto"/>
                      <w:sz w:val="21"/>
                      <w:szCs w:val="21"/>
                    </w:rPr>
                    <w:t>进行处理，并经过1根Φ0.3m、高15m的排气筒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DA001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外排；集气罩集气效率为</w:t>
                  </w:r>
                  <w:r>
                    <w:rPr>
                      <w:rFonts w:hint="default" w:ascii="Times New Roman" w:hAnsi="Times New Roman" w:eastAsia="宋体" w:cs="Times New Roman"/>
                      <w:color w:val="auto"/>
                      <w:sz w:val="21"/>
                      <w:szCs w:val="21"/>
                      <w:lang w:val="en-US" w:eastAsia="zh-CN"/>
                    </w:rPr>
                    <w:t>80</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有机废气处理装置处理</w:t>
                  </w:r>
                  <w:r>
                    <w:rPr>
                      <w:rFonts w:hint="default" w:ascii="Times New Roman" w:hAnsi="Times New Roman" w:eastAsia="宋体" w:cs="Times New Roman"/>
                      <w:color w:val="auto"/>
                      <w:sz w:val="21"/>
                      <w:szCs w:val="21"/>
                    </w:rPr>
                    <w:t>效率为</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w:t>
                  </w:r>
                </w:p>
              </w:tc>
              <w:tc>
                <w:tcPr>
                  <w:tcW w:w="746"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2207"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p>
              </w:tc>
              <w:tc>
                <w:tcPr>
                  <w:tcW w:w="74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65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高度</w:t>
                  </w:r>
                </w:p>
              </w:tc>
              <w:tc>
                <w:tcPr>
                  <w:tcW w:w="171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2207"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p>
              </w:tc>
              <w:tc>
                <w:tcPr>
                  <w:tcW w:w="74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65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内径</w:t>
                  </w:r>
                </w:p>
              </w:tc>
              <w:tc>
                <w:tcPr>
                  <w:tcW w:w="171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2207"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p>
              </w:tc>
              <w:tc>
                <w:tcPr>
                  <w:tcW w:w="74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65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w:t>
                  </w:r>
                </w:p>
              </w:tc>
              <w:tc>
                <w:tcPr>
                  <w:tcW w:w="171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2207"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p>
              </w:tc>
              <w:tc>
                <w:tcPr>
                  <w:tcW w:w="74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65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编号</w:t>
                  </w:r>
                </w:p>
              </w:tc>
              <w:tc>
                <w:tcPr>
                  <w:tcW w:w="171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2207"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p>
              </w:tc>
              <w:tc>
                <w:tcPr>
                  <w:tcW w:w="74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65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171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2207"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p>
              </w:tc>
              <w:tc>
                <w:tcPr>
                  <w:tcW w:w="746"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65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坐标</w:t>
                  </w:r>
                </w:p>
              </w:tc>
              <w:tc>
                <w:tcPr>
                  <w:tcW w:w="171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E103.160351°、</w:t>
                  </w:r>
                </w:p>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N26.105047°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134"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2207" w:type="dxa"/>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未收集部分经生产车间内新风净化系统（风量约35000m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 xml:space="preserve"> /h）抽至一楼通过5μm初效过滤器过滤+1μm中效过滤器过滤+0.05μm高效过滤器过滤+活性炭吸附（处理效率为75%）处理后，呈无组织排放</w:t>
                  </w:r>
                </w:p>
              </w:tc>
              <w:tc>
                <w:tcPr>
                  <w:tcW w:w="74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无组织</w:t>
                  </w: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992"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恶臭</w:t>
                  </w:r>
                </w:p>
              </w:tc>
              <w:tc>
                <w:tcPr>
                  <w:tcW w:w="2207"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4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无组织</w:t>
                  </w: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restart"/>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棉签生产线</w:t>
                  </w:r>
                </w:p>
              </w:tc>
              <w:tc>
                <w:tcPr>
                  <w:tcW w:w="992" w:type="dxa"/>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棉条输送</w:t>
                  </w: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粉尘</w:t>
                  </w:r>
                </w:p>
              </w:tc>
              <w:tc>
                <w:tcPr>
                  <w:tcW w:w="2207" w:type="dxa"/>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生产车间设置1台风量为2000m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/h的抽风机，将产生的棉絮90%吸收至收集袋中，由于项目生产车间密闭性较强，棉絮不易外逸，剩余10%棉絮中在车间内自由沉降，车间清洁时清扫后当固体废物委托环卫清运。</w:t>
                  </w:r>
                </w:p>
              </w:tc>
              <w:tc>
                <w:tcPr>
                  <w:tcW w:w="746"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无组织</w:t>
                  </w: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restart"/>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棉签烘干</w:t>
                  </w: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220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项目生产车间均按照洁净车间设计，净化级别为10万级，正常生产时门窗紧闭，通风换气均采用新风净化系统，超声波焊接产生的非甲烷总烃经生产车间内新风净化系统（风量约 88000m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/h）抽至二楼通过5μm初效过滤器过滤+1μm中效过滤器过滤+0.05μm高效过滤器过滤+活性炭吸附（处理效率为75%）处理后，呈无组织排放</w:t>
                  </w:r>
                  <w:r>
                    <w:rPr>
                      <w:rFonts w:hint="default" w:ascii="Times New Roman" w:hAnsi="Times New Roman" w:cs="Times New Roman"/>
                      <w:color w:val="auto"/>
                      <w:sz w:val="21"/>
                      <w:szCs w:val="21"/>
                      <w:lang w:val="en-US" w:eastAsia="zh-CN"/>
                    </w:rPr>
                    <w:t>。</w:t>
                  </w:r>
                </w:p>
              </w:tc>
              <w:tc>
                <w:tcPr>
                  <w:tcW w:w="74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992" w:type="dxa"/>
                  <w:vMerge w:val="continue"/>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恶臭</w:t>
                  </w:r>
                </w:p>
              </w:tc>
              <w:tc>
                <w:tcPr>
                  <w:tcW w:w="220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4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restart"/>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口罩生产线</w:t>
                  </w:r>
                </w:p>
              </w:tc>
              <w:tc>
                <w:tcPr>
                  <w:tcW w:w="992" w:type="dxa"/>
                  <w:vMerge w:val="restart"/>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口罩带焊接</w:t>
                  </w: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220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项目生产车间均按照洁净车间设计，净化级别为10万级，正常生产时门窗紧闭，通风换气均采用新风净化系统，超声波焊接产生的非甲烷总烃经生产车间内新风净化系统（风量约 88000m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 xml:space="preserve"> /h）抽至二楼通过5μm初效过滤器过滤+1μm中效过滤器过滤+0.05μm高效过滤器过滤+活性炭吸附（处理效率为75%）处理后，呈无组织排放</w:t>
                  </w:r>
                  <w:r>
                    <w:rPr>
                      <w:rFonts w:hint="default" w:ascii="Times New Roman" w:hAnsi="Times New Roman" w:cs="Times New Roman"/>
                      <w:color w:val="auto"/>
                      <w:sz w:val="21"/>
                      <w:szCs w:val="21"/>
                      <w:lang w:val="en-US" w:eastAsia="zh-CN"/>
                    </w:rPr>
                    <w:t>。</w:t>
                  </w:r>
                </w:p>
              </w:tc>
              <w:tc>
                <w:tcPr>
                  <w:tcW w:w="74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vMerge w:val="continue"/>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992" w:type="dxa"/>
                  <w:vMerge w:val="continue"/>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恶臭</w:t>
                  </w:r>
                </w:p>
              </w:tc>
              <w:tc>
                <w:tcPr>
                  <w:tcW w:w="220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4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rPr>
                  </w:pP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灭菌生产线</w:t>
                  </w:r>
                </w:p>
              </w:tc>
              <w:tc>
                <w:tcPr>
                  <w:tcW w:w="992" w:type="dxa"/>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灭菌、解析</w:t>
                  </w: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2207"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整改后，</w:t>
                  </w:r>
                  <w:r>
                    <w:rPr>
                      <w:rFonts w:hint="default" w:ascii="Times New Roman" w:hAnsi="Times New Roman" w:eastAsia="宋体" w:cs="Times New Roman"/>
                      <w:color w:val="auto"/>
                      <w:kern w:val="0"/>
                      <w:sz w:val="21"/>
                      <w:szCs w:val="21"/>
                      <w:lang w:val="en-US" w:eastAsia="zh-CN" w:bidi="ar"/>
                    </w:rPr>
                    <w:t>建设单位拟采用稀硫酸喷淋吸收工艺处理，此废气处理系统对环氧乙烷的吸收效率约95%，经处理达标后无组织排放。</w:t>
                  </w:r>
                </w:p>
              </w:tc>
              <w:tc>
                <w:tcPr>
                  <w:tcW w:w="746" w:type="dxa"/>
                  <w:vMerge w:val="continue"/>
                  <w:vAlign w:val="center"/>
                </w:tcPr>
                <w:p>
                  <w:pPr>
                    <w:keepNext w:val="0"/>
                    <w:keepLines w:val="0"/>
                    <w:pageBreakBefore w:val="0"/>
                    <w:kinsoku/>
                    <w:wordWrap/>
                    <w:topLinePunct w:val="0"/>
                    <w:autoSpaceDE/>
                    <w:autoSpaceDN/>
                    <w:bidi w:val="0"/>
                    <w:snapToGrid/>
                    <w:spacing w:line="360" w:lineRule="exact"/>
                    <w:jc w:val="both"/>
                    <w:rPr>
                      <w:rFonts w:hint="default" w:ascii="Times New Roman" w:hAnsi="Times New Roman" w:eastAsia="宋体" w:cs="Times New Roman"/>
                      <w:bCs/>
                      <w:snapToGrid w:val="0"/>
                      <w:color w:val="auto"/>
                      <w:kern w:val="32"/>
                      <w:sz w:val="21"/>
                      <w:szCs w:val="21"/>
                      <w:lang w:val="en-US" w:eastAsia="zh-CN"/>
                    </w:rPr>
                  </w:pP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3" w:type="dxa"/>
                  <w:tcBorders>
                    <w:righ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厨房</w:t>
                  </w:r>
                </w:p>
              </w:tc>
              <w:tc>
                <w:tcPr>
                  <w:tcW w:w="992" w:type="dxa"/>
                  <w:tcBorders>
                    <w:left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w:t>
                  </w:r>
                </w:p>
              </w:tc>
              <w:tc>
                <w:tcPr>
                  <w:tcW w:w="1134"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厨房油烟</w:t>
                  </w:r>
                </w:p>
              </w:tc>
              <w:tc>
                <w:tcPr>
                  <w:tcW w:w="2207"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rPr>
                    <w:t>项目区厨房已安装了1</w:t>
                  </w:r>
                  <w:r>
                    <w:rPr>
                      <w:rFonts w:hint="default" w:ascii="Times New Roman" w:hAnsi="Times New Roman" w:eastAsia="宋体" w:cs="Times New Roman"/>
                      <w:color w:val="auto"/>
                      <w:sz w:val="21"/>
                      <w:szCs w:val="21"/>
                      <w:lang w:eastAsia="zh-CN"/>
                    </w:rPr>
                    <w:t>套油烟净化器</w:t>
                  </w:r>
                  <w:r>
                    <w:rPr>
                      <w:rFonts w:hint="default" w:ascii="Times New Roman" w:hAnsi="Times New Roman" w:eastAsia="宋体" w:cs="Times New Roman"/>
                      <w:color w:val="auto"/>
                      <w:sz w:val="21"/>
                      <w:szCs w:val="21"/>
                    </w:rPr>
                    <w:t>，其油烟处理效率不低于60%</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油烟净化器处理后的厨房油烟</w:t>
                  </w:r>
                  <w:r>
                    <w:rPr>
                      <w:rFonts w:hint="default" w:ascii="Times New Roman" w:hAnsi="Times New Roman" w:eastAsia="宋体" w:cs="Times New Roman"/>
                      <w:color w:val="auto"/>
                      <w:sz w:val="21"/>
                      <w:szCs w:val="21"/>
                      <w:lang w:eastAsia="zh-CN"/>
                    </w:rPr>
                    <w:t>经</w:t>
                  </w:r>
                  <w:r>
                    <w:rPr>
                      <w:rFonts w:hint="default" w:ascii="Times New Roman" w:hAnsi="Times New Roman" w:eastAsia="宋体" w:cs="Times New Roman"/>
                      <w:color w:val="auto"/>
                      <w:sz w:val="21"/>
                      <w:szCs w:val="21"/>
                    </w:rPr>
                    <w:t>高于房顶1.5m的烟道外排。</w:t>
                  </w:r>
                </w:p>
              </w:tc>
              <w:tc>
                <w:tcPr>
                  <w:tcW w:w="746"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rPr>
                    <w:t>--</w:t>
                  </w:r>
                </w:p>
              </w:tc>
              <w:tc>
                <w:tcPr>
                  <w:tcW w:w="2366" w:type="dxa"/>
                  <w:gridSpan w:val="2"/>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bCs/>
                      <w:snapToGrid w:val="0"/>
                      <w:color w:val="auto"/>
                      <w:kern w:val="32"/>
                      <w:sz w:val="21"/>
                      <w:szCs w:val="21"/>
                      <w:highlight w:val="yellow"/>
                      <w:lang w:val="en-US" w:eastAsia="zh-CN" w:bidi="ar-SA"/>
                    </w:rPr>
                  </w:pPr>
                  <w:r>
                    <w:rPr>
                      <w:rFonts w:hint="default" w:ascii="Times New Roman" w:hAnsi="Times New Roman" w:eastAsia="宋体" w:cs="Times New Roman"/>
                      <w:bCs/>
                      <w:snapToGrid w:val="0"/>
                      <w:color w:val="auto"/>
                      <w:kern w:val="32"/>
                      <w:sz w:val="21"/>
                      <w:szCs w:val="21"/>
                      <w:highlight w:val="none"/>
                      <w:lang w:val="en-US" w:eastAsia="zh-CN" w:bidi="ar-SA"/>
                    </w:rPr>
                    <w:t>--</w:t>
                  </w:r>
                </w:p>
              </w:tc>
            </w:tr>
          </w:tbl>
          <w:p>
            <w:pPr>
              <w:spacing w:beforeLines="50"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color w:val="auto"/>
                <w:sz w:val="24"/>
              </w:rPr>
              <w:t>②废气污染物排放源产排量及达标情况</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color w:val="auto"/>
                <w:sz w:val="24"/>
                <w:szCs w:val="24"/>
                <w:lang w:eastAsia="zh-CN"/>
              </w:rPr>
              <w:t>根据建设单位委托</w:t>
            </w:r>
            <w:r>
              <w:rPr>
                <w:rFonts w:hint="default" w:ascii="Times New Roman" w:hAnsi="Times New Roman" w:eastAsia="宋体" w:cs="Times New Roman"/>
                <w:b w:val="0"/>
                <w:bCs/>
                <w:color w:val="auto"/>
                <w:sz w:val="24"/>
                <w:szCs w:val="24"/>
              </w:rPr>
              <w:t>云南加莱希安全检测有限公司</w:t>
            </w:r>
            <w:r>
              <w:rPr>
                <w:rFonts w:hint="default" w:ascii="Times New Roman" w:hAnsi="Times New Roman" w:eastAsia="宋体" w:cs="Times New Roman"/>
                <w:b w:val="0"/>
                <w:bCs/>
                <w:color w:val="auto"/>
                <w:sz w:val="24"/>
                <w:szCs w:val="24"/>
                <w:lang w:eastAsia="zh-CN"/>
              </w:rPr>
              <w:t>于</w:t>
            </w:r>
            <w:r>
              <w:rPr>
                <w:rFonts w:hint="default" w:ascii="Times New Roman" w:hAnsi="Times New Roman" w:eastAsia="宋体" w:cs="Times New Roman"/>
                <w:b w:val="0"/>
                <w:bCs/>
                <w:color w:val="auto"/>
                <w:sz w:val="24"/>
                <w:szCs w:val="24"/>
                <w:lang w:val="en-US" w:eastAsia="zh-CN"/>
              </w:rPr>
              <w:t>2023年10月19日-10月20日正常运行期间对项目区无组织废气进行了监测，具体如下：</w:t>
            </w:r>
          </w:p>
          <w:p>
            <w:pPr>
              <w:spacing w:line="360" w:lineRule="auto"/>
              <w:ind w:firstLine="482" w:firstLineChars="200"/>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fldChar w:fldCharType="begin"/>
            </w:r>
            <w:r>
              <w:rPr>
                <w:rFonts w:hint="default" w:ascii="Times New Roman" w:hAnsi="Times New Roman" w:cs="Times New Roman" w:eastAsiaTheme="minorEastAsia"/>
                <w:b/>
                <w:color w:val="auto"/>
                <w:sz w:val="24"/>
                <w:szCs w:val="24"/>
              </w:rPr>
              <w:instrText xml:space="preserve">= 1 \* GB2</w:instrText>
            </w:r>
            <w:r>
              <w:rPr>
                <w:rFonts w:hint="default" w:ascii="Times New Roman" w:hAnsi="Times New Roman" w:cs="Times New Roman" w:eastAsiaTheme="minorEastAsia"/>
                <w:b/>
                <w:color w:val="auto"/>
                <w:sz w:val="24"/>
                <w:szCs w:val="24"/>
              </w:rPr>
              <w:fldChar w:fldCharType="separate"/>
            </w:r>
            <w:r>
              <w:rPr>
                <w:rFonts w:hint="default" w:ascii="Times New Roman" w:hAnsi="Times New Roman" w:cs="Times New Roman" w:eastAsiaTheme="minorEastAsia"/>
                <w:b/>
                <w:color w:val="auto"/>
                <w:sz w:val="24"/>
                <w:szCs w:val="24"/>
              </w:rPr>
              <w:t>⑴</w:t>
            </w:r>
            <w:r>
              <w:rPr>
                <w:rFonts w:hint="default" w:ascii="Times New Roman" w:hAnsi="Times New Roman" w:cs="Times New Roman" w:eastAsiaTheme="minorEastAsia"/>
                <w:b/>
                <w:color w:val="auto"/>
                <w:sz w:val="24"/>
                <w:szCs w:val="24"/>
              </w:rPr>
              <w:fldChar w:fldCharType="end"/>
            </w:r>
            <w:r>
              <w:rPr>
                <w:rFonts w:hint="default" w:ascii="Times New Roman" w:hAnsi="Times New Roman" w:cs="Times New Roman" w:eastAsiaTheme="minorEastAsia"/>
                <w:b/>
                <w:color w:val="auto"/>
                <w:sz w:val="24"/>
                <w:szCs w:val="24"/>
              </w:rPr>
              <w:t>监测期间基本情况</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根据监测报告，监测期间参数如下表所示。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cs="Times New Roman" w:eastAsiaTheme="minorEastAsia"/>
                <w:bCs/>
                <w:snapToGrid w:val="0"/>
                <w:color w:val="auto"/>
                <w:sz w:val="21"/>
                <w:szCs w:val="21"/>
              </w:rPr>
            </w:pPr>
            <w:r>
              <w:rPr>
                <w:rFonts w:hint="default" w:ascii="Times New Roman" w:hAnsi="Times New Roman" w:cs="Times New Roman" w:eastAsiaTheme="minorEastAsia"/>
                <w:bCs/>
                <w:snapToGrid w:val="0"/>
                <w:color w:val="auto"/>
                <w:sz w:val="21"/>
                <w:szCs w:val="21"/>
              </w:rPr>
              <w:t>表4.2.1-1 废气排放监测参数一览表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2289"/>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排放源</w:t>
                  </w:r>
                </w:p>
              </w:tc>
              <w:tc>
                <w:tcPr>
                  <w:tcW w:w="2289"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4338"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vMerge w:val="restart"/>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无</w:t>
                  </w:r>
                  <w:r>
                    <w:rPr>
                      <w:rFonts w:hint="default" w:ascii="Times New Roman" w:hAnsi="Times New Roman" w:cs="Times New Roman"/>
                      <w:color w:val="auto"/>
                      <w:sz w:val="21"/>
                      <w:szCs w:val="21"/>
                    </w:rPr>
                    <w:t>组织废气</w:t>
                  </w:r>
                </w:p>
              </w:tc>
              <w:tc>
                <w:tcPr>
                  <w:tcW w:w="2289"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监测工况</w:t>
                  </w:r>
                </w:p>
              </w:tc>
              <w:tc>
                <w:tcPr>
                  <w:tcW w:w="4338" w:type="dxa"/>
                  <w:vAlign w:val="center"/>
                </w:tcPr>
                <w:p>
                  <w:pPr>
                    <w:pStyle w:val="45"/>
                    <w:spacing w:line="360" w:lineRule="exact"/>
                    <w:ind w:firstLine="210" w:firstLineChars="1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生产线满负荷运行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vMerge w:val="continue"/>
                  <w:vAlign w:val="center"/>
                </w:tcPr>
                <w:p>
                  <w:pPr>
                    <w:pStyle w:val="45"/>
                    <w:spacing w:line="360" w:lineRule="exact"/>
                    <w:rPr>
                      <w:rFonts w:hint="default" w:ascii="Times New Roman" w:hAnsi="Times New Roman" w:cs="Times New Roman"/>
                      <w:color w:val="auto"/>
                      <w:sz w:val="21"/>
                      <w:szCs w:val="21"/>
                    </w:rPr>
                  </w:pPr>
                </w:p>
              </w:tc>
              <w:tc>
                <w:tcPr>
                  <w:tcW w:w="2289"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4338"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厂界上风向</w:t>
                  </w:r>
                  <w:r>
                    <w:rPr>
                      <w:rFonts w:hint="default" w:ascii="Times New Roman" w:hAnsi="Times New Roman" w:cs="Times New Roman"/>
                      <w:color w:val="auto"/>
                      <w:sz w:val="21"/>
                      <w:szCs w:val="21"/>
                      <w:lang w:val="en-US" w:eastAsia="zh-CN"/>
                    </w:rPr>
                    <w:t>1个监测点，下风向3个监测点，厂区内一个监测点。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vMerge w:val="continue"/>
                  <w:vAlign w:val="center"/>
                </w:tcPr>
                <w:p>
                  <w:pPr>
                    <w:pStyle w:val="45"/>
                    <w:spacing w:line="360" w:lineRule="exact"/>
                    <w:rPr>
                      <w:rFonts w:hint="default" w:ascii="Times New Roman" w:hAnsi="Times New Roman" w:cs="Times New Roman"/>
                      <w:color w:val="auto"/>
                      <w:sz w:val="21"/>
                      <w:szCs w:val="21"/>
                    </w:rPr>
                  </w:pPr>
                </w:p>
              </w:tc>
              <w:tc>
                <w:tcPr>
                  <w:tcW w:w="2289"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监测项目</w:t>
                  </w:r>
                </w:p>
              </w:tc>
              <w:tc>
                <w:tcPr>
                  <w:tcW w:w="4338"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颗粒物、</w:t>
                  </w:r>
                  <w:r>
                    <w:rPr>
                      <w:rFonts w:hint="default" w:ascii="Times New Roman" w:hAnsi="Times New Roman" w:cs="Times New Roman"/>
                      <w:color w:val="auto"/>
                      <w:sz w:val="21"/>
                      <w:szCs w:val="21"/>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vMerge w:val="continue"/>
                  <w:vAlign w:val="center"/>
                </w:tcPr>
                <w:p>
                  <w:pPr>
                    <w:pStyle w:val="45"/>
                    <w:spacing w:line="360" w:lineRule="exact"/>
                    <w:rPr>
                      <w:rFonts w:hint="default" w:ascii="Times New Roman" w:hAnsi="Times New Roman" w:cs="Times New Roman"/>
                      <w:color w:val="auto"/>
                      <w:sz w:val="21"/>
                      <w:szCs w:val="21"/>
                    </w:rPr>
                  </w:pPr>
                </w:p>
              </w:tc>
              <w:tc>
                <w:tcPr>
                  <w:tcW w:w="2289" w:type="dxa"/>
                  <w:vAlign w:val="center"/>
                </w:tcPr>
                <w:p>
                  <w:pPr>
                    <w:pStyle w:val="45"/>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采样时间</w:t>
                  </w:r>
                </w:p>
              </w:tc>
              <w:tc>
                <w:tcPr>
                  <w:tcW w:w="4338" w:type="dxa"/>
                  <w:vAlign w:val="center"/>
                </w:tcPr>
                <w:p>
                  <w:pPr>
                    <w:pStyle w:val="45"/>
                    <w:spacing w:line="360" w:lineRule="exact"/>
                    <w:ind w:firstLine="210" w:firstLineChars="1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4"/>
                    </w:rPr>
                    <w:t>2023年</w:t>
                  </w:r>
                  <w:r>
                    <w:rPr>
                      <w:rFonts w:hint="default" w:ascii="Times New Roman" w:hAnsi="Times New Roman" w:cs="Times New Roman"/>
                      <w:color w:val="auto"/>
                      <w:sz w:val="21"/>
                      <w:szCs w:val="24"/>
                      <w:lang w:val="en-US" w:eastAsia="zh-CN"/>
                    </w:rPr>
                    <w:t>10</w:t>
                  </w:r>
                  <w:r>
                    <w:rPr>
                      <w:rFonts w:hint="default" w:ascii="Times New Roman" w:hAnsi="Times New Roman" w:cs="Times New Roman"/>
                      <w:color w:val="auto"/>
                      <w:sz w:val="21"/>
                      <w:szCs w:val="24"/>
                    </w:rPr>
                    <w:t>月</w:t>
                  </w:r>
                  <w:r>
                    <w:rPr>
                      <w:rFonts w:hint="default" w:ascii="Times New Roman" w:hAnsi="Times New Roman" w:cs="Times New Roman"/>
                      <w:color w:val="auto"/>
                      <w:sz w:val="21"/>
                      <w:szCs w:val="24"/>
                      <w:lang w:val="en-US" w:eastAsia="zh-CN"/>
                    </w:rPr>
                    <w:t>19</w:t>
                  </w:r>
                  <w:r>
                    <w:rPr>
                      <w:rFonts w:hint="default" w:ascii="Times New Roman" w:hAnsi="Times New Roman" w:cs="Times New Roman"/>
                      <w:color w:val="auto"/>
                      <w:sz w:val="21"/>
                      <w:szCs w:val="24"/>
                    </w:rPr>
                    <w:t>日至</w:t>
                  </w:r>
                  <w:r>
                    <w:rPr>
                      <w:rFonts w:hint="default" w:ascii="Times New Roman" w:hAnsi="Times New Roman" w:cs="Times New Roman"/>
                      <w:color w:val="auto"/>
                      <w:sz w:val="21"/>
                      <w:szCs w:val="24"/>
                      <w:lang w:val="en-US" w:eastAsia="zh-CN"/>
                    </w:rPr>
                    <w:t>20</w:t>
                  </w:r>
                  <w:r>
                    <w:rPr>
                      <w:rFonts w:hint="default" w:ascii="Times New Roman" w:hAnsi="Times New Roman" w:cs="Times New Roman"/>
                      <w:color w:val="auto"/>
                      <w:sz w:val="21"/>
                      <w:szCs w:val="24"/>
                    </w:rPr>
                    <w:t>日</w:t>
                  </w:r>
                </w:p>
              </w:tc>
            </w:tr>
          </w:tbl>
          <w:p>
            <w:pPr>
              <w:spacing w:beforeLines="50" w:line="360" w:lineRule="auto"/>
              <w:ind w:firstLine="482" w:firstLineChars="200"/>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fldChar w:fldCharType="begin"/>
            </w:r>
            <w:r>
              <w:rPr>
                <w:rFonts w:hint="default" w:ascii="Times New Roman" w:hAnsi="Times New Roman" w:cs="Times New Roman" w:eastAsiaTheme="minorEastAsia"/>
                <w:b/>
                <w:color w:val="auto"/>
                <w:sz w:val="24"/>
                <w:szCs w:val="24"/>
              </w:rPr>
              <w:instrText xml:space="preserve">= 2 \* GB2</w:instrText>
            </w:r>
            <w:r>
              <w:rPr>
                <w:rFonts w:hint="default" w:ascii="Times New Roman" w:hAnsi="Times New Roman" w:cs="Times New Roman" w:eastAsiaTheme="minorEastAsia"/>
                <w:b/>
                <w:color w:val="auto"/>
                <w:sz w:val="24"/>
                <w:szCs w:val="24"/>
              </w:rPr>
              <w:fldChar w:fldCharType="separate"/>
            </w:r>
            <w:r>
              <w:rPr>
                <w:rFonts w:hint="default" w:ascii="Times New Roman" w:hAnsi="Times New Roman" w:cs="Times New Roman" w:eastAsiaTheme="minorEastAsia"/>
                <w:b/>
                <w:color w:val="auto"/>
                <w:sz w:val="24"/>
                <w:szCs w:val="24"/>
              </w:rPr>
              <w:t>⑵</w:t>
            </w:r>
            <w:r>
              <w:rPr>
                <w:rFonts w:hint="default" w:ascii="Times New Roman" w:hAnsi="Times New Roman" w:cs="Times New Roman" w:eastAsiaTheme="minorEastAsia"/>
                <w:b/>
                <w:color w:val="auto"/>
                <w:sz w:val="24"/>
                <w:szCs w:val="24"/>
              </w:rPr>
              <w:fldChar w:fldCharType="end"/>
            </w:r>
            <w:r>
              <w:rPr>
                <w:rFonts w:hint="default" w:ascii="Times New Roman" w:hAnsi="Times New Roman" w:cs="Times New Roman" w:eastAsiaTheme="minorEastAsia"/>
                <w:b/>
                <w:color w:val="auto"/>
                <w:sz w:val="24"/>
                <w:szCs w:val="24"/>
              </w:rPr>
              <w:t>监测结果</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根据监测报告，</w:t>
            </w:r>
            <w:r>
              <w:rPr>
                <w:rFonts w:hint="default" w:ascii="Times New Roman" w:hAnsi="Times New Roman" w:cs="Times New Roman"/>
                <w:color w:val="auto"/>
                <w:sz w:val="24"/>
                <w:szCs w:val="24"/>
                <w:lang w:eastAsia="zh-CN"/>
              </w:rPr>
              <w:t>项目厂界无组织</w:t>
            </w:r>
            <w:r>
              <w:rPr>
                <w:rFonts w:hint="default" w:ascii="Times New Roman" w:hAnsi="Times New Roman" w:cs="Times New Roman" w:eastAsiaTheme="minorEastAsia"/>
                <w:color w:val="auto"/>
                <w:sz w:val="24"/>
                <w:szCs w:val="24"/>
              </w:rPr>
              <w:t>废气监测结果如下表所示。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cs="Times New Roman" w:eastAsiaTheme="minorEastAsia"/>
                <w:bCs/>
                <w:snapToGrid w:val="0"/>
                <w:color w:val="auto"/>
                <w:sz w:val="21"/>
                <w:szCs w:val="21"/>
              </w:rPr>
            </w:pPr>
            <w:r>
              <w:rPr>
                <w:rFonts w:hint="default" w:ascii="Times New Roman" w:hAnsi="Times New Roman" w:cs="Times New Roman" w:eastAsiaTheme="minorEastAsia"/>
                <w:bCs/>
                <w:snapToGrid w:val="0"/>
                <w:color w:val="auto"/>
                <w:sz w:val="21"/>
                <w:szCs w:val="21"/>
              </w:rPr>
              <w:t xml:space="preserve">表4.2.1-2 </w:t>
            </w:r>
            <w:r>
              <w:rPr>
                <w:rFonts w:hint="default" w:ascii="Times New Roman" w:hAnsi="Times New Roman" w:cs="Times New Roman" w:eastAsiaTheme="minorEastAsia"/>
                <w:bCs/>
                <w:snapToGrid w:val="0"/>
                <w:color w:val="auto"/>
                <w:sz w:val="21"/>
                <w:szCs w:val="21"/>
                <w:lang w:eastAsia="zh-CN"/>
              </w:rPr>
              <w:t>无组织废气</w:t>
            </w:r>
            <w:r>
              <w:rPr>
                <w:rFonts w:hint="default" w:ascii="Times New Roman" w:hAnsi="Times New Roman" w:cs="Times New Roman" w:eastAsiaTheme="minorEastAsia"/>
                <w:bCs/>
                <w:snapToGrid w:val="0"/>
                <w:color w:val="auto"/>
                <w:sz w:val="21"/>
                <w:szCs w:val="21"/>
              </w:rPr>
              <w:t>检测结果一览表 mg/m³</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60"/>
              <w:gridCol w:w="1185"/>
              <w:gridCol w:w="1530"/>
              <w:gridCol w:w="1991"/>
              <w:gridCol w:w="863"/>
              <w:gridCol w:w="86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分析项目</w:t>
                  </w:r>
                </w:p>
              </w:tc>
              <w:tc>
                <w:tcPr>
                  <w:tcW w:w="660"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采样点位</w:t>
                  </w:r>
                </w:p>
              </w:tc>
              <w:tc>
                <w:tcPr>
                  <w:tcW w:w="1185"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采样日期</w:t>
                  </w:r>
                </w:p>
              </w:tc>
              <w:tc>
                <w:tcPr>
                  <w:tcW w:w="1530"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采样时间</w:t>
                  </w:r>
                </w:p>
              </w:tc>
              <w:tc>
                <w:tcPr>
                  <w:tcW w:w="1991"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样品编号</w:t>
                  </w:r>
                </w:p>
              </w:tc>
              <w:tc>
                <w:tcPr>
                  <w:tcW w:w="863"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样品结果</w:t>
                  </w:r>
                </w:p>
              </w:tc>
              <w:tc>
                <w:tcPr>
                  <w:tcW w:w="863"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标准限值</w:t>
                  </w:r>
                </w:p>
              </w:tc>
              <w:tc>
                <w:tcPr>
                  <w:tcW w:w="863" w:type="dxa"/>
                  <w:tcBorders>
                    <w:tl2br w:val="nil"/>
                    <w:tr2bl w:val="nil"/>
                  </w:tcBorders>
                  <w:noWrap w:val="0"/>
                  <w:vAlign w:val="center"/>
                </w:tcPr>
                <w:p>
                  <w:pPr>
                    <w:keepNext w:val="0"/>
                    <w:keepLines w:val="0"/>
                    <w:widowControl/>
                    <w:suppressLineNumbers w:val="0"/>
                    <w:jc w:val="center"/>
                    <w:textAlignment w:val="top"/>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restart"/>
                  <w:tcBorders>
                    <w:tl2br w:val="nil"/>
                    <w:tr2bl w:val="nil"/>
                  </w:tcBorders>
                  <w:noWrap w:val="0"/>
                  <w:vAlign w:val="center"/>
                </w:tcPr>
                <w:p>
                  <w:pPr>
                    <w:pStyle w:val="8"/>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总悬浮颗粒物</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w:t>
                  </w: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厂界上风向1</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2023HW216-01-01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0.075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2023HW216-01-02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0.051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2023HW216-01-03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0.038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2023HW216-01-04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0.067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2023HW216-01-05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0.041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2023HW216-01-06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0.042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厂界下风向2</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0.137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0.133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0.153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0.147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0.158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0.136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厂界下风向3</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0.289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0.234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0.226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0.271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0.192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0.213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厂界下风向4</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0.246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0.195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0.326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12:00～13:00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0.256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14:00～15:00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0.199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16:00～17:00</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0.238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lang w:val="en-US" w:eastAsia="zh-CN"/>
                    </w:rPr>
                    <w:t>非甲烷总烃(</w:t>
                  </w:r>
                  <w:r>
                    <w:rPr>
                      <w:rFonts w:hint="default" w:ascii="Times New Roman" w:hAnsi="Times New Roman" w:eastAsia="宋体" w:cs="Times New Roman"/>
                      <w:b w:val="0"/>
                      <w:bCs w:val="0"/>
                      <w:color w:val="auto"/>
                      <w:kern w:val="0"/>
                      <w:sz w:val="21"/>
                      <w:szCs w:val="21"/>
                      <w:lang w:val="en-US" w:eastAsia="zh-CN" w:bidi="ar"/>
                    </w:rPr>
                    <w:t>mg/m</w:t>
                  </w:r>
                  <w:r>
                    <w:rPr>
                      <w:rFonts w:hint="default" w:ascii="Times New Roman" w:hAnsi="Times New Roman" w:eastAsia="宋体" w:cs="Times New Roman"/>
                      <w:b w:val="0"/>
                      <w:bCs w:val="0"/>
                      <w:color w:val="auto"/>
                      <w:kern w:val="0"/>
                      <w:sz w:val="21"/>
                      <w:szCs w:val="21"/>
                      <w:vertAlign w:val="superscript"/>
                      <w:lang w:val="en-US" w:eastAsia="zh-CN" w:bidi="ar"/>
                    </w:rPr>
                    <w:t>3</w:t>
                  </w:r>
                  <w:r>
                    <w:rPr>
                      <w:rFonts w:hint="default" w:ascii="Times New Roman" w:hAnsi="Times New Roman" w:eastAsia="宋体" w:cs="Times New Roman"/>
                      <w:b w:val="0"/>
                      <w:bCs w:val="0"/>
                      <w:color w:val="auto"/>
                      <w:sz w:val="21"/>
                      <w:szCs w:val="21"/>
                      <w:lang w:val="en-US" w:eastAsia="zh-CN"/>
                    </w:rPr>
                    <w:t>)</w:t>
                  </w: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厂界上风向1</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12:01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2023HW216-01-01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1.98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14:02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2023HW216-01-02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1.98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16:01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2023HW216-01-03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1.98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2023HW216-01-04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1.93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2023HW216-01-05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1.95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16:02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2023HW216-01-06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1.94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厂界下风向2</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12:06</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2.25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14:07</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2.31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16:06</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2.33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12:07</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2.28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14:06</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2.27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color w:val="auto"/>
                      <w:sz w:val="21"/>
                      <w:szCs w:val="21"/>
                      <w:lang w:val="en-US" w:eastAsia="zh-CN"/>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16:07</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2023HW216-02-06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2.27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color w:val="auto"/>
                      <w:sz w:val="21"/>
                      <w:szCs w:val="21"/>
                      <w:lang w:val="en-US" w:eastAsia="zh-CN"/>
                    </w:rPr>
                    <w:t>厂界下风向3</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12:11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2.17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14:12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2.16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16:11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2.12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12:12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2.19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14:11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2.19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16:12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2023HW216-03-06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2.18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restart"/>
                  <w:tcBorders>
                    <w:tl2br w:val="nil"/>
                    <w:tr2bl w:val="nil"/>
                  </w:tcBorders>
                  <w:noWrap w:val="0"/>
                  <w:vAlign w:val="center"/>
                </w:tcPr>
                <w:p>
                  <w:pPr>
                    <w:pStyle w:val="40"/>
                    <w:jc w:val="center"/>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厂界下风向4</w:t>
                  </w:r>
                  <w:r>
                    <w:rPr>
                      <w:rFonts w:hint="default" w:ascii="Times New Roman" w:hAnsi="Times New Roman" w:eastAsia="宋体" w:cs="Times New Roman"/>
                      <w:color w:val="auto"/>
                      <w:sz w:val="21"/>
                      <w:szCs w:val="21"/>
                      <w:vertAlign w:val="superscript"/>
                      <w:lang w:val="en-US" w:eastAsia="zh-CN"/>
                    </w:rPr>
                    <w:t>#</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12:16</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2.37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14:17</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2.21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16:16</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2.32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2023.10.20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12:17</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2.35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14:16</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2.35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16:17</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2023HW216-04-06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2.36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厂界内监控点</w:t>
                  </w: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2023.10.19</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12:21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2023HW216-05-01</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2.70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14:22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2023HW216-05-02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2.63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16:21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2023HW216-05-03</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2.69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rPr>
                  </w:pPr>
                </w:p>
              </w:tc>
              <w:tc>
                <w:tcPr>
                  <w:tcW w:w="1185" w:type="dxa"/>
                  <w:vMerge w:val="restart"/>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202.10.20</w:t>
                  </w: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12:22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2023HW216-05-04</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2.62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14:21</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2023HW216-05-05</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 xml:space="preserve">2.62 </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3"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660"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185" w:type="dxa"/>
                  <w:vMerge w:val="continue"/>
                  <w:tcBorders>
                    <w:tl2br w:val="nil"/>
                    <w:tr2bl w:val="nil"/>
                  </w:tcBorders>
                  <w:noWrap w:val="0"/>
                  <w:vAlign w:val="center"/>
                </w:tcPr>
                <w:p>
                  <w:pPr>
                    <w:pStyle w:val="4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hint="default" w:ascii="Times New Roman" w:hAnsi="Times New Roman" w:eastAsia="宋体" w:cs="Times New Roman"/>
                      <w:b/>
                      <w:bCs/>
                      <w:color w:val="auto"/>
                      <w:sz w:val="21"/>
                      <w:szCs w:val="21"/>
                      <w:vertAlign w:val="baseline"/>
                    </w:rPr>
                  </w:pPr>
                </w:p>
              </w:tc>
              <w:tc>
                <w:tcPr>
                  <w:tcW w:w="15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16:22</w:t>
                  </w:r>
                </w:p>
              </w:tc>
              <w:tc>
                <w:tcPr>
                  <w:tcW w:w="19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2023HW216-05-06</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vertAlign w:val="baseline"/>
                      <w:lang w:val="en-US"/>
                    </w:rPr>
                  </w:pPr>
                  <w:r>
                    <w:rPr>
                      <w:rFonts w:hint="default" w:ascii="Times New Roman" w:hAnsi="Times New Roman" w:eastAsia="宋体" w:cs="Times New Roman"/>
                      <w:i w:val="0"/>
                      <w:iCs w:val="0"/>
                      <w:color w:val="auto"/>
                      <w:kern w:val="0"/>
                      <w:sz w:val="21"/>
                      <w:szCs w:val="21"/>
                      <w:u w:val="none"/>
                      <w:lang w:val="en-US" w:eastAsia="zh-CN" w:bidi="ar"/>
                    </w:rPr>
                    <w:t>2.62</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bl>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0"/>
                <w:sz w:val="24"/>
                <w:szCs w:val="24"/>
                <w:lang w:val="en-US" w:eastAsia="zh-CN" w:bidi="ar"/>
              </w:rPr>
              <w:t>根据调查，项目挤出、注塑车间挤出塑化工序产生的有机废气（以非甲烷总烃计）目前未采取防治措施，不能满足环保要求，本环评提出，将挤出、注塑两个生产工序分别进行密闭，并</w:t>
            </w:r>
            <w:r>
              <w:rPr>
                <w:rFonts w:hint="default" w:ascii="Times New Roman" w:hAnsi="Times New Roman" w:eastAsia="宋体" w:cs="Times New Roman"/>
                <w:b w:val="0"/>
                <w:bCs w:val="0"/>
                <w:color w:val="auto"/>
                <w:sz w:val="24"/>
                <w:szCs w:val="24"/>
              </w:rPr>
              <w:t>在</w:t>
            </w:r>
            <w:r>
              <w:rPr>
                <w:rFonts w:hint="default" w:ascii="Times New Roman" w:hAnsi="Times New Roman" w:eastAsia="宋体" w:cs="Times New Roman"/>
                <w:b w:val="0"/>
                <w:bCs w:val="0"/>
                <w:color w:val="auto"/>
                <w:sz w:val="24"/>
                <w:szCs w:val="24"/>
                <w:lang w:eastAsia="zh-CN"/>
              </w:rPr>
              <w:t>各</w:t>
            </w:r>
            <w:r>
              <w:rPr>
                <w:rFonts w:hint="default" w:ascii="Times New Roman" w:hAnsi="Times New Roman" w:eastAsia="宋体" w:cs="Times New Roman"/>
                <w:b w:val="0"/>
                <w:bCs w:val="0"/>
                <w:color w:val="auto"/>
                <w:sz w:val="24"/>
                <w:szCs w:val="24"/>
              </w:rPr>
              <w:t>封闭空间内设置1套集气罩对有机废气进行收集，集气效率不低于80%</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集气罩的集气风量为</w:t>
            </w:r>
            <w:r>
              <w:rPr>
                <w:rFonts w:hint="default" w:ascii="Times New Roman" w:hAnsi="Times New Roman" w:eastAsia="宋体" w:cs="Times New Roman"/>
                <w:b w:val="0"/>
                <w:bCs w:val="0"/>
                <w:color w:val="auto"/>
                <w:sz w:val="24"/>
                <w:szCs w:val="24"/>
                <w:lang w:val="en-US" w:eastAsia="zh-CN"/>
              </w:rPr>
              <w:t>5000</w:t>
            </w:r>
            <w:r>
              <w:rPr>
                <w:rFonts w:hint="default" w:ascii="Times New Roman" w:hAnsi="Times New Roman" w:eastAsia="宋体" w:cs="Times New Roman"/>
                <w:b w:val="0"/>
                <w:bCs w:val="0"/>
                <w:color w:val="auto"/>
                <w:sz w:val="24"/>
                <w:szCs w:val="24"/>
              </w:rPr>
              <w:t>m³/h；非甲烷总烃经收集后，进入1台有机废气处理装置</w:t>
            </w:r>
            <w:r>
              <w:rPr>
                <w:rFonts w:hint="default" w:ascii="Times New Roman" w:hAnsi="Times New Roman" w:eastAsia="宋体" w:cs="Times New Roman"/>
                <w:b w:val="0"/>
                <w:bCs w:val="0"/>
                <w:color w:val="auto"/>
                <w:sz w:val="24"/>
                <w:szCs w:val="24"/>
                <w:lang w:eastAsia="zh-CN"/>
              </w:rPr>
              <w:t>（活性炭吸附法）</w:t>
            </w:r>
            <w:r>
              <w:rPr>
                <w:rFonts w:hint="default" w:ascii="Times New Roman" w:hAnsi="Times New Roman" w:eastAsia="宋体" w:cs="Times New Roman"/>
                <w:b w:val="0"/>
                <w:bCs w:val="0"/>
                <w:color w:val="auto"/>
                <w:sz w:val="24"/>
                <w:szCs w:val="24"/>
              </w:rPr>
              <w:t>进行处理</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根据项目产污环节和废气污染源强核算可知，项目废气污染物排放源产排量及达标情况如下表所示</w:t>
            </w:r>
            <w:r>
              <w:rPr>
                <w:rFonts w:hint="default" w:ascii="Times New Roman" w:hAnsi="Times New Roman" w:eastAsia="宋体" w:cs="Times New Roman"/>
                <w:color w:val="auto"/>
                <w:sz w:val="24"/>
                <w:szCs w:val="24"/>
              </w:rPr>
              <w:t>。</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 xml:space="preserve">表4.2.1-3  </w:t>
            </w:r>
            <w:r>
              <w:rPr>
                <w:rFonts w:hint="default" w:ascii="Times New Roman" w:hAnsi="Times New Roman" w:eastAsia="宋体" w:cs="Times New Roman"/>
                <w:b/>
                <w:color w:val="auto"/>
                <w:szCs w:val="24"/>
                <w:lang w:eastAsia="zh-CN"/>
              </w:rPr>
              <w:t>挤出注塑车间有组织</w:t>
            </w:r>
            <w:r>
              <w:rPr>
                <w:rFonts w:hint="default" w:ascii="Times New Roman" w:hAnsi="Times New Roman" w:eastAsia="宋体" w:cs="Times New Roman"/>
                <w:b/>
                <w:color w:val="auto"/>
                <w:szCs w:val="24"/>
              </w:rPr>
              <w:t>废气污染物排放源产排量及达标情况一览表</w:t>
            </w:r>
          </w:p>
          <w:tbl>
            <w:tblPr>
              <w:tblStyle w:val="26"/>
              <w:tblW w:w="877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5"/>
              <w:gridCol w:w="756"/>
              <w:gridCol w:w="992"/>
              <w:gridCol w:w="992"/>
              <w:gridCol w:w="851"/>
              <w:gridCol w:w="841"/>
              <w:gridCol w:w="859"/>
              <w:gridCol w:w="1"/>
              <w:gridCol w:w="850"/>
              <w:gridCol w:w="992"/>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11" w:type="dxa"/>
                  <w:gridSpan w:val="2"/>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产排污环节</w:t>
                  </w:r>
                </w:p>
              </w:tc>
              <w:tc>
                <w:tcPr>
                  <w:tcW w:w="992"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污染物种类</w:t>
                  </w:r>
                </w:p>
              </w:tc>
              <w:tc>
                <w:tcPr>
                  <w:tcW w:w="1843" w:type="dxa"/>
                  <w:gridSpan w:val="2"/>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污染物产生情况</w:t>
                  </w:r>
                </w:p>
              </w:tc>
              <w:tc>
                <w:tcPr>
                  <w:tcW w:w="2551" w:type="dxa"/>
                  <w:gridSpan w:val="4"/>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污染物排放量和浓度</w:t>
                  </w:r>
                </w:p>
              </w:tc>
              <w:tc>
                <w:tcPr>
                  <w:tcW w:w="992" w:type="dxa"/>
                  <w:vMerge w:val="restart"/>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highlight w:val="none"/>
                      <w:lang w:val="zh-CN"/>
                    </w:rPr>
                    <w:t>排放标准mg/m³</w:t>
                  </w:r>
                </w:p>
              </w:tc>
              <w:tc>
                <w:tcPr>
                  <w:tcW w:w="783" w:type="dxa"/>
                  <w:vMerge w:val="restart"/>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11" w:type="dxa"/>
                  <w:gridSpan w:val="2"/>
                  <w:vMerge w:val="continue"/>
                  <w:vAlign w:val="center"/>
                </w:tcPr>
                <w:p>
                  <w:pPr>
                    <w:pStyle w:val="45"/>
                    <w:spacing w:line="360" w:lineRule="exact"/>
                    <w:rPr>
                      <w:rFonts w:hint="default" w:ascii="Times New Roman" w:hAnsi="Times New Roman" w:eastAsia="宋体" w:cs="Times New Roman"/>
                      <w:color w:val="auto"/>
                      <w:szCs w:val="21"/>
                    </w:rPr>
                  </w:pPr>
                </w:p>
              </w:tc>
              <w:tc>
                <w:tcPr>
                  <w:tcW w:w="992"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99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产生浓度mg/m³</w:t>
                  </w:r>
                </w:p>
              </w:tc>
              <w:tc>
                <w:tcPr>
                  <w:tcW w:w="85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产生量t/a</w:t>
                  </w:r>
                </w:p>
              </w:tc>
              <w:tc>
                <w:tcPr>
                  <w:tcW w:w="84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排放浓度mg/m³</w:t>
                  </w:r>
                </w:p>
              </w:tc>
              <w:tc>
                <w:tcPr>
                  <w:tcW w:w="860" w:type="dxa"/>
                  <w:gridSpan w:val="2"/>
                  <w:tcBorders>
                    <w:top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排放量t/a</w:t>
                  </w:r>
                </w:p>
              </w:tc>
              <w:tc>
                <w:tcPr>
                  <w:tcW w:w="850" w:type="dxa"/>
                  <w:tcBorders>
                    <w:top w:val="single" w:color="auto" w:sz="4" w:space="0"/>
                    <w:lef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排放速率kg/h</w:t>
                  </w:r>
                </w:p>
              </w:tc>
              <w:tc>
                <w:tcPr>
                  <w:tcW w:w="992"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78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55"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挤出、注塑车间</w:t>
                  </w:r>
                </w:p>
              </w:tc>
              <w:tc>
                <w:tcPr>
                  <w:tcW w:w="756" w:type="dxa"/>
                  <w:vMerge w:val="restart"/>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挤出注塑</w:t>
                  </w:r>
                </w:p>
              </w:tc>
              <w:tc>
                <w:tcPr>
                  <w:tcW w:w="992"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废气量</w:t>
                  </w:r>
                </w:p>
              </w:tc>
              <w:tc>
                <w:tcPr>
                  <w:tcW w:w="1843" w:type="dxa"/>
                  <w:gridSpan w:val="2"/>
                  <w:tcBorders>
                    <w:top w:val="single" w:color="auto" w:sz="4" w:space="0"/>
                    <w:bottom w:val="single" w:color="auto" w:sz="4" w:space="0"/>
                  </w:tcBorders>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p>
              </w:tc>
              <w:tc>
                <w:tcPr>
                  <w:tcW w:w="2551" w:type="dxa"/>
                  <w:gridSpan w:val="4"/>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 w:val="24"/>
                      <w:szCs w:val="24"/>
                      <w:lang w:val="en-US" w:eastAsia="zh-CN"/>
                    </w:rPr>
                    <w:t>3600</w:t>
                  </w:r>
                  <w:r>
                    <w:rPr>
                      <w:rFonts w:hint="default" w:ascii="Times New Roman" w:hAnsi="Times New Roman" w:eastAsia="宋体" w:cs="Times New Roman"/>
                      <w:color w:val="auto"/>
                      <w:sz w:val="24"/>
                      <w:szCs w:val="24"/>
                    </w:rPr>
                    <w:t>万m³/a</w:t>
                  </w:r>
                </w:p>
              </w:tc>
              <w:tc>
                <w:tcPr>
                  <w:tcW w:w="992" w:type="dxa"/>
                  <w:tcBorders>
                    <w:top w:val="single" w:color="auto" w:sz="4" w:space="0"/>
                    <w:bottom w:val="single" w:color="auto" w:sz="4" w:space="0"/>
                  </w:tcBorders>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c>
                <w:tcPr>
                  <w:tcW w:w="783"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55"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p>
              </w:tc>
              <w:tc>
                <w:tcPr>
                  <w:tcW w:w="756"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p>
              </w:tc>
              <w:tc>
                <w:tcPr>
                  <w:tcW w:w="992"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非甲烷总烃（有组织）</w:t>
                  </w:r>
                </w:p>
              </w:tc>
              <w:tc>
                <w:tcPr>
                  <w:tcW w:w="992"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w:t>
                  </w:r>
                </w:p>
              </w:tc>
              <w:tc>
                <w:tcPr>
                  <w:tcW w:w="851" w:type="dxa"/>
                  <w:tcBorders>
                    <w:top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0.072</w:t>
                  </w:r>
                </w:p>
              </w:tc>
              <w:tc>
                <w:tcPr>
                  <w:tcW w:w="841"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1.58</w:t>
                  </w:r>
                </w:p>
              </w:tc>
              <w:tc>
                <w:tcPr>
                  <w:tcW w:w="859" w:type="dxa"/>
                  <w:vAlign w:val="center"/>
                </w:tcPr>
                <w:p>
                  <w:pPr>
                    <w:pStyle w:val="45"/>
                    <w:spacing w:line="360" w:lineRule="exact"/>
                    <w:rPr>
                      <w:rFonts w:hint="default" w:ascii="Times New Roman" w:hAnsi="Times New Roman" w:eastAsia="宋体" w:cs="Times New Roman"/>
                      <w:color w:val="auto"/>
                      <w:szCs w:val="21"/>
                      <w:lang w:val="en-US"/>
                    </w:rPr>
                  </w:pPr>
                  <w:r>
                    <w:rPr>
                      <w:rFonts w:hint="default" w:ascii="Times New Roman" w:hAnsi="Times New Roman" w:cs="Times New Roman"/>
                      <w:color w:val="auto"/>
                      <w:szCs w:val="21"/>
                      <w:lang w:val="en-US" w:eastAsia="zh-CN"/>
                    </w:rPr>
                    <w:t>0.057</w:t>
                  </w:r>
                </w:p>
              </w:tc>
              <w:tc>
                <w:tcPr>
                  <w:tcW w:w="851" w:type="dxa"/>
                  <w:gridSpan w:val="2"/>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0.008</w:t>
                  </w:r>
                </w:p>
              </w:tc>
              <w:tc>
                <w:tcPr>
                  <w:tcW w:w="992" w:type="dxa"/>
                  <w:tcBorders>
                    <w:top w:val="single" w:color="auto" w:sz="4" w:space="0"/>
                    <w:bottom w:val="single" w:color="auto" w:sz="4" w:space="0"/>
                  </w:tcBorders>
                  <w:vAlign w:val="center"/>
                </w:tcPr>
                <w:p>
                  <w:pPr>
                    <w:pStyle w:val="45"/>
                    <w:spacing w:line="360" w:lineRule="exact"/>
                    <w:rPr>
                      <w:rFonts w:hint="default" w:ascii="Times New Roman" w:hAnsi="Times New Roman" w:eastAsia="宋体" w:cs="Times New Roman"/>
                      <w:color w:val="auto"/>
                      <w:szCs w:val="21"/>
                      <w:lang w:val="en-US"/>
                    </w:rPr>
                  </w:pPr>
                  <w:r>
                    <w:rPr>
                      <w:rFonts w:hint="default" w:ascii="Times New Roman" w:hAnsi="Times New Roman" w:cs="Times New Roman"/>
                      <w:color w:val="auto"/>
                      <w:szCs w:val="21"/>
                      <w:lang w:val="en-US" w:eastAsia="zh-CN"/>
                    </w:rPr>
                    <w:t>100</w:t>
                  </w:r>
                </w:p>
              </w:tc>
              <w:tc>
                <w:tcPr>
                  <w:tcW w:w="783" w:type="dxa"/>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达标</w:t>
                  </w:r>
                </w:p>
              </w:tc>
            </w:tr>
          </w:tbl>
          <w:p>
            <w:pPr>
              <w:pStyle w:val="5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rPr>
            </w:pPr>
            <w:r>
              <w:rPr>
                <w:rFonts w:hint="default" w:ascii="Times New Roman" w:hAnsi="Times New Roman" w:cs="Times New Roman"/>
                <w:color w:val="auto"/>
                <w:szCs w:val="24"/>
                <w:highlight w:val="none"/>
                <w:lang w:eastAsia="zh-CN"/>
              </w:rPr>
              <w:t>综上分析</w:t>
            </w:r>
            <w:r>
              <w:rPr>
                <w:rFonts w:hint="default" w:ascii="Times New Roman" w:hAnsi="Times New Roman" w:eastAsia="宋体" w:cs="Times New Roman"/>
                <w:color w:val="auto"/>
                <w:szCs w:val="24"/>
                <w:highlight w:val="none"/>
              </w:rPr>
              <w:t>，项目废气达标性结论如下：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①</w:t>
            </w:r>
            <w:r>
              <w:rPr>
                <w:rFonts w:hint="default" w:ascii="Times New Roman" w:hAnsi="Times New Roman" w:cs="Times New Roman" w:eastAsiaTheme="minorEastAsia"/>
                <w:color w:val="auto"/>
                <w:sz w:val="24"/>
                <w:szCs w:val="24"/>
              </w:rPr>
              <w:t>按照《环境影响评价技术导则-大气环境》（HJ2.2-2018）附录A推荐模型中的AERSCREEN模式进行预测，</w:t>
            </w:r>
            <w:r>
              <w:rPr>
                <w:rFonts w:hint="default" w:ascii="Times New Roman" w:hAnsi="Times New Roman" w:eastAsia="宋体" w:cs="Times New Roman"/>
                <w:color w:val="auto"/>
                <w:kern w:val="0"/>
                <w:sz w:val="24"/>
                <w:szCs w:val="24"/>
                <w:lang w:val="en-US" w:eastAsia="zh-CN" w:bidi="ar"/>
              </w:rPr>
              <w:t>项目正常工况下排放的废气中非甲烷总烃、TSP的最大落地浓度占标率均在1%以下</w:t>
            </w:r>
            <w:r>
              <w:rPr>
                <w:rFonts w:hint="default" w:ascii="Times New Roman" w:hAnsi="Times New Roman" w:cs="Times New Roman" w:eastAsiaTheme="minorEastAsia"/>
                <w:color w:val="auto"/>
                <w:sz w:val="24"/>
                <w:szCs w:val="24"/>
              </w:rPr>
              <w:t>，可达到《环境空气质量标准》修改单（GB</w:t>
            </w:r>
            <w:r>
              <w:rPr>
                <w:rFonts w:hint="eastAsia"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rPr>
              <w:t>-2012）二级标准。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项目运营期采取相关措施后废气均可达标排放，且项目满负荷运行期间，建设单位委托云南加莱希安全检测有限公司于2023年10月19日~10月20日对项目区厂界颗粒物、非甲烷总烃进行了监测，根据监测结果，项目厂界颗粒物及非甲烷总烃均可达</w:t>
            </w:r>
            <w:r>
              <w:rPr>
                <w:rFonts w:hint="default" w:ascii="Times New Roman" w:hAnsi="Times New Roman" w:eastAsia="宋体" w:cs="Times New Roman"/>
                <w:color w:val="auto"/>
                <w:sz w:val="24"/>
                <w:szCs w:val="24"/>
              </w:rPr>
              <w:t>《大气污染物综合排放标准》（GB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-1996）中表2</w:t>
            </w:r>
            <w:r>
              <w:rPr>
                <w:rFonts w:hint="default" w:ascii="Times New Roman" w:hAnsi="Times New Roman" w:eastAsia="宋体" w:cs="Times New Roman"/>
                <w:color w:val="auto"/>
                <w:sz w:val="24"/>
                <w:szCs w:val="24"/>
                <w:lang w:eastAsia="zh-CN"/>
              </w:rPr>
              <w:t>中无组织</w:t>
            </w:r>
            <w:r>
              <w:rPr>
                <w:rFonts w:hint="default" w:ascii="Times New Roman" w:hAnsi="Times New Roman" w:eastAsia="宋体" w:cs="Times New Roman"/>
                <w:color w:val="auto"/>
                <w:sz w:val="24"/>
                <w:szCs w:val="24"/>
              </w:rPr>
              <w:t>标准</w:t>
            </w:r>
            <w:r>
              <w:rPr>
                <w:rFonts w:hint="default" w:ascii="Times New Roman" w:hAnsi="Times New Roman" w:eastAsia="宋体" w:cs="Times New Roman"/>
                <w:color w:val="auto"/>
                <w:sz w:val="24"/>
                <w:szCs w:val="24"/>
                <w:lang w:eastAsia="zh-CN"/>
              </w:rPr>
              <w:t>；整改后，有组织排放的非甲烷总烃可达到</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制药工业大气污染物排放标准</w:t>
            </w:r>
            <w:r>
              <w:rPr>
                <w:rFonts w:hint="default"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2019</w:t>
            </w: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sz w:val="24"/>
                <w:szCs w:val="24"/>
                <w:lang w:val="en-US" w:eastAsia="zh-CN"/>
              </w:rPr>
              <w:t>1中有组织排放</w:t>
            </w:r>
            <w:r>
              <w:rPr>
                <w:rFonts w:hint="default" w:ascii="Times New Roman" w:hAnsi="Times New Roman" w:eastAsia="宋体" w:cs="Times New Roman"/>
                <w:color w:val="auto"/>
                <w:sz w:val="24"/>
                <w:szCs w:val="24"/>
              </w:rPr>
              <w:t>标准限值</w:t>
            </w:r>
            <w:r>
              <w:rPr>
                <w:rFonts w:hint="default" w:ascii="Times New Roman" w:hAnsi="Times New Roman" w:eastAsia="宋体" w:cs="Times New Roman"/>
                <w:color w:val="auto"/>
                <w:sz w:val="24"/>
                <w:szCs w:val="24"/>
                <w:lang w:eastAsia="zh-CN"/>
              </w:rPr>
              <w:t>；厂区内无组织排放的非甲烷总烃可达到</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制药工业大气污染物排放标准</w:t>
            </w:r>
            <w:r>
              <w:rPr>
                <w:rFonts w:hint="default"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2019</w:t>
            </w:r>
            <w:r>
              <w:rPr>
                <w:rFonts w:hint="default" w:ascii="Times New Roman" w:hAnsi="Times New Roman" w:eastAsia="宋体" w:cs="Times New Roman"/>
                <w:color w:val="auto"/>
                <w:sz w:val="24"/>
                <w:szCs w:val="24"/>
              </w:rPr>
              <w:t>）中附录</w:t>
            </w:r>
            <w:r>
              <w:rPr>
                <w:rFonts w:hint="default" w:ascii="Times New Roman" w:hAnsi="Times New Roman" w:cs="Times New Roman"/>
                <w:color w:val="auto"/>
                <w:sz w:val="24"/>
                <w:szCs w:val="24"/>
                <w:lang w:val="en-US" w:eastAsia="zh-CN"/>
              </w:rPr>
              <w:t>C</w:t>
            </w:r>
            <w:r>
              <w:rPr>
                <w:rFonts w:hint="default"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排放限值要求</w:t>
            </w:r>
            <w:r>
              <w:rPr>
                <w:rFonts w:hint="default" w:ascii="Times New Roman" w:hAnsi="Times New Roman" w:eastAsia="宋体" w:cs="Times New Roman"/>
                <w:color w:val="auto"/>
                <w:sz w:val="24"/>
                <w:szCs w:val="24"/>
                <w:lang w:eastAsia="zh-CN"/>
              </w:rPr>
              <w:t>；各生产线</w:t>
            </w:r>
            <w:r>
              <w:rPr>
                <w:rFonts w:hint="default" w:ascii="Times New Roman" w:hAnsi="Times New Roman" w:eastAsia="宋体" w:cs="Times New Roman"/>
                <w:color w:val="auto"/>
                <w:sz w:val="24"/>
                <w:szCs w:val="24"/>
              </w:rPr>
              <w:t>产生的</w:t>
            </w:r>
            <w:r>
              <w:rPr>
                <w:rFonts w:hint="default" w:ascii="Times New Roman" w:hAnsi="Times New Roman" w:eastAsia="宋体" w:cs="Times New Roman"/>
                <w:color w:val="auto"/>
                <w:sz w:val="24"/>
                <w:szCs w:val="24"/>
                <w:lang w:eastAsia="zh-CN"/>
              </w:rPr>
              <w:t>异味</w:t>
            </w:r>
            <w:r>
              <w:rPr>
                <w:rFonts w:hint="default" w:ascii="Times New Roman" w:hAnsi="Times New Roman" w:eastAsia="宋体" w:cs="Times New Roman"/>
                <w:color w:val="auto"/>
                <w:sz w:val="24"/>
                <w:szCs w:val="24"/>
              </w:rPr>
              <w:t>（臭气浓度）可达到《恶臭污染物排放标准》（GB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-93）中无组织二级排放标准要求</w:t>
            </w:r>
            <w:r>
              <w:rPr>
                <w:rFonts w:hint="default" w:ascii="Times New Roman" w:hAnsi="Times New Roman" w:eastAsia="宋体" w:cs="Times New Roman"/>
                <w:color w:val="auto"/>
                <w:sz w:val="24"/>
                <w:szCs w:val="24"/>
                <w:lang w:eastAsia="zh-CN"/>
              </w:rPr>
              <w:t>。</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（3）废气污染治理设施可行性分析</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①环氧乙烷废气治理措施可行性分析</w:t>
            </w:r>
          </w:p>
          <w:p>
            <w:pPr>
              <w:spacing w:line="360" w:lineRule="auto"/>
              <w:ind w:firstLine="480" w:firstLineChars="200"/>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lang w:eastAsia="zh-CN"/>
              </w:rPr>
              <w:t>根据设计方案，环氧乙烷灭菌器是一个密闭的铝钢制腔室，灭菌室同废气处理设施之间设置有密闭的特定管道。灭菌后项目置换废气全部捕集进入环氧乙烷吸收系统处理，其</w:t>
            </w:r>
            <w:r>
              <w:rPr>
                <w:rFonts w:hint="default" w:ascii="Times New Roman" w:hAnsi="Times New Roman" w:eastAsia="宋体" w:cs="Times New Roman"/>
                <w:color w:val="auto"/>
                <w:kern w:val="0"/>
                <w:sz w:val="24"/>
                <w:szCs w:val="24"/>
                <w:lang w:val="en-US" w:eastAsia="zh-CN" w:bidi="ar"/>
              </w:rPr>
              <w:t>吸收效率约95%。</w:t>
            </w:r>
            <w:r>
              <w:rPr>
                <w:rFonts w:hint="default" w:ascii="Times New Roman" w:hAnsi="Times New Roman" w:eastAsia="宋体" w:cs="Times New Roman"/>
                <w:color w:val="auto"/>
                <w:kern w:val="0"/>
                <w:sz w:val="24"/>
                <w:szCs w:val="24"/>
                <w:lang w:eastAsia="zh-CN"/>
              </w:rPr>
              <w:t>吸收原理如下：</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 xml:space="preserve">环氧乙烷与稀硫酸水溶液（原料为50%硫酸，加水后稀释为废气处理系统中0.5%的稀硫酸）在喷淋塔逆流接触，充分吸收，先溶解在液体中，再在硫酸提供的氢离子催化下发生水合反应，反应产物主要是乙二醇。液体夹带以上产物进入储存罐，液体未饱和时重复循环使用，极少量未能吸收转化的环氧乙烷气体由塔顶排出，呈无组织排放。 </w:t>
            </w:r>
          </w:p>
          <w:p>
            <w:pPr>
              <w:widowControl/>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吸收过程主要反应方程式为：</w:t>
            </w:r>
          </w:p>
          <w:p>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object>
                <v:shape id="_x0000_i1037" o:spt="75" type="#_x0000_t75" style="height:64.8pt;width:346.2pt;" o:ole="t" filled="f" o:preferrelative="t" stroked="f" coordsize="21600,21600">
                  <v:path/>
                  <v:fill on="f" focussize="0,0"/>
                  <v:stroke on="f" joinstyle="miter"/>
                  <v:imagedata r:id="rId34" o:title=""/>
                  <o:lock v:ext="edit" aspectratio="f"/>
                  <w10:wrap type="none"/>
                  <w10:anchorlock/>
                </v:shape>
                <o:OLEObject Type="Embed" ProgID="Visio.Drawing.15" ShapeID="_x0000_i1037" DrawAspect="Content" ObjectID="_1468075737" r:id="rId35">
                  <o:LockedField>false</o:LockedField>
                </o:OLEObject>
              </w:object>
            </w:r>
          </w:p>
          <w:p>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根据环氧乙烷的理化性质，环氧乙烷与水可以任意比例互溶，反应比较快,属于瞬间反应，本环评拟采取的稀硫酸喷淋吸收能最大限度的溶解环氧乙烷，故环氧乙烷废气治理措施可行。</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②活性炭吸附有机废气工艺可行性分析</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bidi="ar"/>
              </w:rPr>
              <w:t>整改后，针对挤出、注塑两个生产工序产生的有机废气（以非甲烷总烃计），项目拟提出将两个工序分别进行密闭，并</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eastAsia="zh-CN"/>
              </w:rPr>
              <w:t>各</w:t>
            </w:r>
            <w:r>
              <w:rPr>
                <w:rFonts w:hint="default" w:ascii="Times New Roman" w:hAnsi="Times New Roman" w:eastAsia="宋体" w:cs="Times New Roman"/>
                <w:color w:val="auto"/>
                <w:sz w:val="24"/>
                <w:szCs w:val="24"/>
                <w:highlight w:val="none"/>
              </w:rPr>
              <w:t>封闭空间内设置1套集气罩对有机废气进行收集，集气效率不低于80%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集气罩的集气风量为</w:t>
            </w:r>
            <w:r>
              <w:rPr>
                <w:rFonts w:hint="default" w:ascii="Times New Roman" w:hAnsi="Times New Roman" w:eastAsia="宋体" w:cs="Times New Roman"/>
                <w:color w:val="auto"/>
                <w:sz w:val="24"/>
                <w:szCs w:val="24"/>
                <w:highlight w:val="none"/>
                <w:lang w:val="en-US" w:eastAsia="zh-CN"/>
              </w:rPr>
              <w:t>5000</w:t>
            </w:r>
            <w:r>
              <w:rPr>
                <w:rFonts w:hint="default" w:ascii="Times New Roman" w:hAnsi="Times New Roman" w:eastAsia="宋体" w:cs="Times New Roman"/>
                <w:color w:val="auto"/>
                <w:sz w:val="24"/>
                <w:szCs w:val="24"/>
                <w:highlight w:val="none"/>
              </w:rPr>
              <w:t>m³/h；非甲烷总烃</w:t>
            </w:r>
            <w:r>
              <w:rPr>
                <w:rFonts w:hint="default" w:ascii="Times New Roman" w:hAnsi="Times New Roman" w:eastAsia="宋体" w:cs="Times New Roman"/>
                <w:color w:val="auto"/>
                <w:kern w:val="0"/>
                <w:sz w:val="24"/>
                <w:szCs w:val="24"/>
                <w:highlight w:val="none"/>
                <w:lang w:val="en-US" w:eastAsia="zh-CN" w:bidi="ar"/>
              </w:rPr>
              <w:t>有机废气（以非甲烷总烃计）</w:t>
            </w:r>
            <w:r>
              <w:rPr>
                <w:rFonts w:hint="default" w:ascii="Times New Roman" w:hAnsi="Times New Roman" w:eastAsia="宋体" w:cs="Times New Roman"/>
                <w:color w:val="auto"/>
                <w:sz w:val="24"/>
                <w:szCs w:val="24"/>
                <w:highlight w:val="none"/>
              </w:rPr>
              <w:t>经收集后，进入1台有机废气处理装置</w:t>
            </w:r>
            <w:r>
              <w:rPr>
                <w:rFonts w:hint="default" w:ascii="Times New Roman" w:hAnsi="Times New Roman" w:eastAsia="宋体" w:cs="Times New Roman"/>
                <w:color w:val="auto"/>
                <w:sz w:val="24"/>
                <w:szCs w:val="24"/>
                <w:highlight w:val="none"/>
                <w:lang w:eastAsia="zh-CN"/>
              </w:rPr>
              <w:t>（活性炭吸附法）</w:t>
            </w:r>
            <w:r>
              <w:rPr>
                <w:rFonts w:hint="default" w:ascii="Times New Roman" w:hAnsi="Times New Roman" w:eastAsia="宋体" w:cs="Times New Roman"/>
                <w:color w:val="auto"/>
                <w:sz w:val="24"/>
                <w:szCs w:val="24"/>
                <w:highlight w:val="none"/>
              </w:rPr>
              <w:t>进行处理</w:t>
            </w:r>
            <w:r>
              <w:rPr>
                <w:rFonts w:hint="default" w:ascii="Times New Roman" w:hAnsi="Times New Roman" w:eastAsia="宋体" w:cs="Times New Roman"/>
                <w:color w:val="auto"/>
                <w:sz w:val="24"/>
                <w:szCs w:val="24"/>
                <w:highlight w:val="none"/>
                <w:lang w:eastAsia="zh-CN"/>
              </w:rPr>
              <w:t>，活性炭吸附是有效的去除天然和合成溶解有机物、微污染物质等的措施。大部分比较大的有机物分子、芳香族化合物、卤代炔等能牢固地吸附在活性炭表面上或空隙中，并对腐殖质、合成有机物和低分子量有机物有明显的去除效果。有机气体由风机提供动力，正压进入吸附装置内，由于活性炭固体表面上存在着未平衡和未饱和的分子引力或化学健力，因此，固体表面与气体接触时，就能吸引气体分子，使其浓聚并保持在固体表面，污染物质从而被吸附。活性炭吸附有机废气处理措施较为常用，工艺较为成熟，同时，活性炭吸附属于对挥发性有机废气污染防治可行技术。</w:t>
            </w:r>
            <w:r>
              <w:rPr>
                <w:rFonts w:hint="default" w:ascii="Times New Roman" w:hAnsi="Times New Roman" w:eastAsia="宋体" w:cs="Times New Roman"/>
                <w:color w:val="auto"/>
                <w:sz w:val="24"/>
                <w:szCs w:val="24"/>
                <w:highlight w:val="none"/>
              </w:rPr>
              <w:t>因此其污染治理设施技术可行</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rPr>
              <w:t>）非正常情况污染物排放情况</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根据项目特点，项目污染源强较小，环保设施简单，一般不存在非正常情况，非正常情形为</w:t>
            </w:r>
            <w:r>
              <w:rPr>
                <w:rFonts w:hint="default" w:ascii="Times New Roman" w:hAnsi="Times New Roman" w:eastAsia="宋体" w:cs="Times New Roman"/>
                <w:color w:val="auto"/>
                <w:sz w:val="24"/>
                <w:szCs w:val="24"/>
                <w:lang w:eastAsia="zh-CN"/>
              </w:rPr>
              <w:t>有机</w:t>
            </w:r>
            <w:r>
              <w:rPr>
                <w:rFonts w:hint="default" w:ascii="Times New Roman" w:hAnsi="Times New Roman" w:eastAsia="宋体" w:cs="Times New Roman"/>
                <w:color w:val="auto"/>
                <w:sz w:val="24"/>
                <w:szCs w:val="24"/>
              </w:rPr>
              <w:t>废气处理设施</w:t>
            </w:r>
            <w:r>
              <w:rPr>
                <w:rFonts w:hint="default" w:ascii="Times New Roman" w:hAnsi="Times New Roman" w:eastAsia="宋体" w:cs="Times New Roman"/>
                <w:color w:val="auto"/>
                <w:sz w:val="24"/>
                <w:szCs w:val="24"/>
                <w:lang w:eastAsia="zh-CN"/>
              </w:rPr>
              <w:t>故障</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导致</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挤出、注塑车间</w:t>
            </w:r>
            <w:r>
              <w:rPr>
                <w:rFonts w:hint="default" w:ascii="Times New Roman" w:hAnsi="Times New Roman" w:eastAsia="宋体" w:cs="Times New Roman"/>
                <w:color w:val="auto"/>
                <w:sz w:val="24"/>
                <w:szCs w:val="24"/>
              </w:rPr>
              <w:t>产生的非甲烷总烃</w:t>
            </w:r>
            <w:r>
              <w:rPr>
                <w:rFonts w:hint="default" w:ascii="Times New Roman" w:hAnsi="Times New Roman" w:eastAsia="宋体" w:cs="Times New Roman"/>
                <w:color w:val="auto"/>
                <w:sz w:val="24"/>
                <w:szCs w:val="24"/>
                <w:lang w:eastAsia="zh-CN"/>
              </w:rPr>
              <w:t>未经处理直接排入外环境</w:t>
            </w:r>
            <w:r>
              <w:rPr>
                <w:rFonts w:hint="default" w:ascii="Times New Roman" w:hAnsi="Times New Roman" w:eastAsia="宋体" w:cs="Times New Roman"/>
                <w:color w:val="auto"/>
                <w:sz w:val="24"/>
                <w:szCs w:val="24"/>
              </w:rPr>
              <w:t>。废气处理设施</w:t>
            </w:r>
            <w:r>
              <w:rPr>
                <w:rFonts w:hint="default" w:ascii="Times New Roman" w:hAnsi="Times New Roman" w:eastAsia="宋体" w:cs="Times New Roman"/>
                <w:color w:val="auto"/>
                <w:sz w:val="24"/>
                <w:szCs w:val="24"/>
                <w:lang w:eastAsia="zh-CN"/>
              </w:rPr>
              <w:t>故障</w:t>
            </w:r>
            <w:r>
              <w:rPr>
                <w:rFonts w:hint="default" w:ascii="Times New Roman" w:hAnsi="Times New Roman" w:eastAsia="宋体" w:cs="Times New Roman"/>
                <w:color w:val="auto"/>
                <w:sz w:val="24"/>
                <w:szCs w:val="24"/>
              </w:rPr>
              <w:t>非正常情形下废气污染物排放源产排情况如下表所示。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表4.2.1-</w:t>
            </w:r>
            <w:r>
              <w:rPr>
                <w:rFonts w:hint="default" w:ascii="Times New Roman" w:hAnsi="Times New Roman" w:eastAsia="宋体" w:cs="Times New Roman"/>
                <w:b/>
                <w:color w:val="auto"/>
                <w:szCs w:val="24"/>
                <w:lang w:val="en-US" w:eastAsia="zh-CN"/>
              </w:rPr>
              <w:t>5</w:t>
            </w:r>
            <w:r>
              <w:rPr>
                <w:rFonts w:hint="default" w:ascii="Times New Roman" w:hAnsi="Times New Roman" w:eastAsia="宋体" w:cs="Times New Roman"/>
                <w:b/>
                <w:color w:val="auto"/>
                <w:szCs w:val="24"/>
              </w:rPr>
              <w:t xml:space="preserve"> 非正常情形下废气污染物排放源产排量及达标情况一览表</w:t>
            </w:r>
          </w:p>
          <w:tbl>
            <w:tblPr>
              <w:tblStyle w:val="25"/>
              <w:tblW w:w="8620" w:type="dxa"/>
              <w:tblInd w:w="0" w:type="dxa"/>
              <w:tblLayout w:type="fixed"/>
              <w:tblCellMar>
                <w:top w:w="0" w:type="dxa"/>
                <w:left w:w="108" w:type="dxa"/>
                <w:bottom w:w="0" w:type="dxa"/>
                <w:right w:w="108" w:type="dxa"/>
              </w:tblCellMar>
            </w:tblPr>
            <w:tblGrid>
              <w:gridCol w:w="1587"/>
              <w:gridCol w:w="1279"/>
              <w:gridCol w:w="1137"/>
              <w:gridCol w:w="1137"/>
              <w:gridCol w:w="711"/>
              <w:gridCol w:w="1141"/>
              <w:gridCol w:w="1628"/>
            </w:tblGrid>
            <w:tr>
              <w:tblPrEx>
                <w:tblCellMar>
                  <w:top w:w="0" w:type="dxa"/>
                  <w:left w:w="108" w:type="dxa"/>
                  <w:bottom w:w="0" w:type="dxa"/>
                  <w:right w:w="108" w:type="dxa"/>
                </w:tblCellMar>
              </w:tblPrEx>
              <w:trPr>
                <w:trHeight w:val="576" w:hRule="atLeast"/>
              </w:trPr>
              <w:tc>
                <w:tcPr>
                  <w:tcW w:w="15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产排污环节</w:t>
                  </w:r>
                </w:p>
              </w:tc>
              <w:tc>
                <w:tcPr>
                  <w:tcW w:w="12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污染物种类</w:t>
                  </w:r>
                </w:p>
              </w:tc>
              <w:tc>
                <w:tcPr>
                  <w:tcW w:w="2274"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污染物排放量和浓度</w:t>
                  </w:r>
                </w:p>
              </w:tc>
              <w:tc>
                <w:tcPr>
                  <w:tcW w:w="711"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频次</w:t>
                  </w:r>
                </w:p>
              </w:tc>
              <w:tc>
                <w:tcPr>
                  <w:tcW w:w="1141"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持续时间</w:t>
                  </w:r>
                </w:p>
              </w:tc>
              <w:tc>
                <w:tcPr>
                  <w:tcW w:w="16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措施</w:t>
                  </w:r>
                </w:p>
              </w:tc>
            </w:tr>
            <w:tr>
              <w:tblPrEx>
                <w:tblCellMar>
                  <w:top w:w="0" w:type="dxa"/>
                  <w:left w:w="108" w:type="dxa"/>
                  <w:bottom w:w="0" w:type="dxa"/>
                  <w:right w:w="108" w:type="dxa"/>
                </w:tblCellMar>
              </w:tblPrEx>
              <w:trPr>
                <w:trHeight w:val="588" w:hRule="atLeast"/>
              </w:trPr>
              <w:tc>
                <w:tcPr>
                  <w:tcW w:w="1587" w:type="dxa"/>
                  <w:vMerge w:val="continue"/>
                  <w:tcBorders>
                    <w:top w:val="single" w:color="000000" w:sz="8" w:space="0"/>
                    <w:left w:val="single" w:color="000000" w:sz="8" w:space="0"/>
                    <w:bottom w:val="single" w:color="auto" w:sz="4" w:space="0"/>
                    <w:right w:val="single" w:color="000000" w:sz="8" w:space="0"/>
                  </w:tcBorders>
                  <w:vAlign w:val="center"/>
                </w:tcPr>
                <w:p>
                  <w:pPr>
                    <w:widowControl/>
                    <w:spacing w:line="360" w:lineRule="exact"/>
                    <w:jc w:val="center"/>
                    <w:rPr>
                      <w:rFonts w:hint="default" w:ascii="Times New Roman" w:hAnsi="Times New Roman" w:eastAsia="宋体" w:cs="Times New Roman"/>
                      <w:color w:val="auto"/>
                      <w:kern w:val="0"/>
                    </w:rPr>
                  </w:pPr>
                </w:p>
              </w:tc>
              <w:tc>
                <w:tcPr>
                  <w:tcW w:w="1279" w:type="dxa"/>
                  <w:vMerge w:val="continue"/>
                  <w:tcBorders>
                    <w:top w:val="single" w:color="000000" w:sz="8" w:space="0"/>
                    <w:left w:val="single" w:color="000000" w:sz="8" w:space="0"/>
                    <w:bottom w:val="single" w:color="auto" w:sz="4" w:space="0"/>
                    <w:right w:val="single" w:color="000000" w:sz="8" w:space="0"/>
                  </w:tcBorders>
                  <w:vAlign w:val="center"/>
                </w:tcPr>
                <w:p>
                  <w:pPr>
                    <w:widowControl/>
                    <w:spacing w:line="360" w:lineRule="exact"/>
                    <w:jc w:val="center"/>
                    <w:rPr>
                      <w:rFonts w:hint="default" w:ascii="Times New Roman" w:hAnsi="Times New Roman" w:eastAsia="宋体" w:cs="Times New Roman"/>
                      <w:color w:val="auto"/>
                      <w:kern w:val="0"/>
                    </w:rPr>
                  </w:pPr>
                </w:p>
              </w:tc>
              <w:tc>
                <w:tcPr>
                  <w:tcW w:w="1137"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排放浓度mg/m³</w:t>
                  </w:r>
                </w:p>
              </w:tc>
              <w:tc>
                <w:tcPr>
                  <w:tcW w:w="1137"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排放量kg/次</w:t>
                  </w:r>
                </w:p>
              </w:tc>
              <w:tc>
                <w:tcPr>
                  <w:tcW w:w="711" w:type="dxa"/>
                  <w:vMerge w:val="continue"/>
                  <w:tcBorders>
                    <w:top w:val="single" w:color="000000" w:sz="8" w:space="0"/>
                    <w:left w:val="single" w:color="000000" w:sz="8" w:space="0"/>
                    <w:bottom w:val="single" w:color="auto" w:sz="4" w:space="0"/>
                    <w:right w:val="single" w:color="auto" w:sz="4" w:space="0"/>
                  </w:tcBorders>
                  <w:vAlign w:val="center"/>
                </w:tcPr>
                <w:p>
                  <w:pPr>
                    <w:widowControl/>
                    <w:spacing w:line="360" w:lineRule="exact"/>
                    <w:jc w:val="center"/>
                    <w:rPr>
                      <w:rFonts w:hint="default" w:ascii="Times New Roman" w:hAnsi="Times New Roman" w:eastAsia="宋体" w:cs="Times New Roman"/>
                      <w:color w:val="auto"/>
                      <w:kern w:val="0"/>
                    </w:rPr>
                  </w:pPr>
                </w:p>
              </w:tc>
              <w:tc>
                <w:tcPr>
                  <w:tcW w:w="1141" w:type="dxa"/>
                  <w:vMerge w:val="continue"/>
                  <w:tcBorders>
                    <w:top w:val="single" w:color="000000" w:sz="8" w:space="0"/>
                    <w:left w:val="single" w:color="auto" w:sz="4" w:space="0"/>
                    <w:bottom w:val="single" w:color="auto" w:sz="4" w:space="0"/>
                    <w:right w:val="single" w:color="000000" w:sz="8" w:space="0"/>
                  </w:tcBorders>
                  <w:vAlign w:val="center"/>
                </w:tcPr>
                <w:p>
                  <w:pPr>
                    <w:widowControl/>
                    <w:spacing w:line="360" w:lineRule="exact"/>
                    <w:jc w:val="center"/>
                    <w:rPr>
                      <w:rFonts w:hint="default" w:ascii="Times New Roman" w:hAnsi="Times New Roman" w:eastAsia="宋体" w:cs="Times New Roman"/>
                      <w:color w:val="auto"/>
                      <w:kern w:val="0"/>
                    </w:rPr>
                  </w:pPr>
                </w:p>
              </w:tc>
              <w:tc>
                <w:tcPr>
                  <w:tcW w:w="1628" w:type="dxa"/>
                  <w:vMerge w:val="continue"/>
                  <w:tcBorders>
                    <w:top w:val="single" w:color="000000" w:sz="8" w:space="0"/>
                    <w:left w:val="single" w:color="000000" w:sz="8" w:space="0"/>
                    <w:bottom w:val="single" w:color="auto" w:sz="4" w:space="0"/>
                    <w:right w:val="single" w:color="000000" w:sz="8" w:space="0"/>
                  </w:tcBorders>
                  <w:vAlign w:val="center"/>
                </w:tcPr>
                <w:p>
                  <w:pPr>
                    <w:widowControl/>
                    <w:spacing w:line="360" w:lineRule="exact"/>
                    <w:jc w:val="center"/>
                    <w:rPr>
                      <w:rFonts w:hint="default" w:ascii="Times New Roman" w:hAnsi="Times New Roman" w:eastAsia="宋体" w:cs="Times New Roman"/>
                      <w:color w:val="auto"/>
                      <w:kern w:val="0"/>
                    </w:rPr>
                  </w:pPr>
                </w:p>
              </w:tc>
            </w:tr>
            <w:tr>
              <w:tblPrEx>
                <w:tblCellMar>
                  <w:top w:w="0" w:type="dxa"/>
                  <w:left w:w="108" w:type="dxa"/>
                  <w:bottom w:w="0" w:type="dxa"/>
                  <w:right w:w="108" w:type="dxa"/>
                </w:tblCellMar>
              </w:tblPrEx>
              <w:trPr>
                <w:trHeight w:val="300" w:hRule="atLeast"/>
              </w:trPr>
              <w:tc>
                <w:tcPr>
                  <w:tcW w:w="1587"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挤出注塑车间</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非甲烷总烃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0.0017</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1次/a</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10min /次</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立即停机检修</w:t>
                  </w:r>
                </w:p>
              </w:tc>
            </w:tr>
          </w:tbl>
          <w:p>
            <w:pPr>
              <w:spacing w:beforeLines="50" w:line="360" w:lineRule="auto"/>
              <w:ind w:firstLine="361" w:firstLineChars="15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）大气环境影响分析结论</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根据上述分析可知，</w:t>
            </w:r>
            <w:r>
              <w:rPr>
                <w:rFonts w:hint="default" w:ascii="Times New Roman" w:hAnsi="Times New Roman" w:eastAsia="宋体" w:cs="Times New Roman"/>
                <w:color w:val="auto"/>
                <w:kern w:val="0"/>
                <w:sz w:val="24"/>
                <w:szCs w:val="24"/>
                <w:lang w:val="en-US" w:eastAsia="zh-CN" w:bidi="ar"/>
              </w:rPr>
              <w:t>项目各污染物均可达标排放</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且项目位于环境空气质量达标区，项目所在区域基本污染因子</w:t>
            </w:r>
            <w:r>
              <w:rPr>
                <w:rFonts w:hint="default" w:ascii="Times New Roman" w:hAnsi="Times New Roman" w:eastAsia="宋体" w:cs="Times New Roman"/>
                <w:color w:val="auto"/>
                <w:sz w:val="24"/>
                <w:szCs w:val="24"/>
                <w:lang w:eastAsia="zh-CN"/>
              </w:rPr>
              <w:t>及特征污染因子</w:t>
            </w:r>
            <w:r>
              <w:rPr>
                <w:rFonts w:hint="default" w:ascii="Times New Roman" w:hAnsi="Times New Roman" w:eastAsia="宋体" w:cs="Times New Roman"/>
                <w:color w:val="auto"/>
                <w:sz w:val="24"/>
                <w:szCs w:val="24"/>
              </w:rPr>
              <w:t>环境质量现状</w:t>
            </w:r>
            <w:r>
              <w:rPr>
                <w:rFonts w:hint="default" w:ascii="Times New Roman" w:hAnsi="Times New Roman" w:eastAsia="宋体" w:cs="Times New Roman"/>
                <w:color w:val="auto"/>
                <w:sz w:val="24"/>
                <w:szCs w:val="24"/>
                <w:lang w:eastAsia="zh-CN"/>
              </w:rPr>
              <w:t>均可</w:t>
            </w:r>
            <w:r>
              <w:rPr>
                <w:rFonts w:hint="default" w:ascii="Times New Roman" w:hAnsi="Times New Roman" w:eastAsia="宋体" w:cs="Times New Roman"/>
                <w:color w:val="auto"/>
                <w:sz w:val="24"/>
                <w:szCs w:val="24"/>
              </w:rPr>
              <w:t>达到《环境空气质量标准》（GB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-2012）二级标准；项目环境保护目标</w:t>
            </w:r>
            <w:r>
              <w:rPr>
                <w:rFonts w:hint="default" w:ascii="Times New Roman" w:hAnsi="Times New Roman" w:eastAsia="宋体" w:cs="Times New Roman"/>
                <w:color w:val="auto"/>
                <w:sz w:val="24"/>
                <w:szCs w:val="24"/>
                <w:lang w:eastAsia="zh-CN"/>
              </w:rPr>
              <w:t>东侧</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eastAsia="zh-CN"/>
              </w:rPr>
              <w:t>m的小新村</w:t>
            </w:r>
            <w:r>
              <w:rPr>
                <w:rFonts w:hint="default" w:ascii="Times New Roman" w:hAnsi="Times New Roman" w:eastAsia="宋体" w:cs="Times New Roman"/>
                <w:color w:val="auto"/>
                <w:sz w:val="24"/>
                <w:szCs w:val="24"/>
              </w:rPr>
              <w:t>居民，</w:t>
            </w:r>
            <w:r>
              <w:rPr>
                <w:rFonts w:hint="default" w:ascii="Times New Roman" w:hAnsi="Times New Roman" w:eastAsia="宋体" w:cs="Times New Roman"/>
                <w:color w:val="auto"/>
                <w:sz w:val="24"/>
                <w:szCs w:val="24"/>
                <w:lang w:eastAsia="zh-CN"/>
              </w:rPr>
              <w:t>东侧</w:t>
            </w:r>
            <w:r>
              <w:rPr>
                <w:rFonts w:hint="default" w:ascii="Times New Roman" w:hAnsi="Times New Roman" w:eastAsia="宋体" w:cs="Times New Roman"/>
                <w:color w:val="auto"/>
                <w:sz w:val="24"/>
                <w:szCs w:val="24"/>
                <w:lang w:val="en-US" w:eastAsia="zh-CN"/>
              </w:rPr>
              <w:t>439.65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eastAsia="zh-CN"/>
              </w:rPr>
              <w:t>云南机电职业技术学院东川小区，北侧</w:t>
            </w:r>
            <w:r>
              <w:rPr>
                <w:rFonts w:hint="default" w:ascii="Times New Roman" w:hAnsi="Times New Roman" w:eastAsia="宋体" w:cs="Times New Roman"/>
                <w:color w:val="auto"/>
                <w:sz w:val="24"/>
                <w:szCs w:val="24"/>
                <w:lang w:val="en-US" w:eastAsia="zh-CN"/>
              </w:rPr>
              <w:t>450.8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eastAsia="zh-CN"/>
              </w:rPr>
              <w:t>洗马塘村，北侧</w:t>
            </w:r>
            <w:r>
              <w:rPr>
                <w:rFonts w:hint="default" w:ascii="Times New Roman" w:hAnsi="Times New Roman" w:eastAsia="宋体" w:cs="Times New Roman"/>
                <w:color w:val="auto"/>
                <w:sz w:val="24"/>
                <w:szCs w:val="24"/>
                <w:lang w:val="en-US" w:eastAsia="zh-CN"/>
              </w:rPr>
              <w:t>103.25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eastAsia="zh-CN"/>
              </w:rPr>
              <w:t>梭山村，均距离该项目较远</w:t>
            </w:r>
            <w:r>
              <w:rPr>
                <w:rFonts w:hint="default" w:ascii="Times New Roman" w:hAnsi="Times New Roman" w:eastAsia="宋体" w:cs="Times New Roman"/>
                <w:color w:val="auto"/>
                <w:sz w:val="24"/>
                <w:szCs w:val="24"/>
              </w:rPr>
              <w:t>，因此项目废气对环境保护目标影响较小。</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4.2.</w:t>
            </w:r>
            <w:r>
              <w:rPr>
                <w:rFonts w:hint="default" w:ascii="Times New Roman" w:hAnsi="Times New Roman" w:eastAsia="宋体" w:cs="Times New Roman"/>
                <w:b/>
                <w:color w:val="auto"/>
                <w:sz w:val="24"/>
              </w:rPr>
              <w:t>2</w:t>
            </w:r>
            <w:r>
              <w:rPr>
                <w:rFonts w:hint="default" w:ascii="Times New Roman" w:hAnsi="Times New Roman" w:eastAsia="宋体" w:cs="Times New Roman"/>
                <w:b/>
                <w:color w:val="auto"/>
                <w:sz w:val="24"/>
                <w:szCs w:val="24"/>
              </w:rPr>
              <w:t xml:space="preserve"> 运营期</w:t>
            </w:r>
            <w:r>
              <w:rPr>
                <w:rFonts w:hint="default" w:ascii="Times New Roman" w:hAnsi="Times New Roman" w:eastAsia="宋体" w:cs="Times New Roman"/>
                <w:b/>
                <w:color w:val="auto"/>
                <w:sz w:val="24"/>
              </w:rPr>
              <w:t>废水</w:t>
            </w:r>
            <w:r>
              <w:rPr>
                <w:rFonts w:hint="default" w:ascii="Times New Roman" w:hAnsi="Times New Roman" w:eastAsia="宋体" w:cs="Times New Roman"/>
                <w:b/>
                <w:color w:val="auto"/>
                <w:sz w:val="24"/>
                <w:szCs w:val="24"/>
              </w:rPr>
              <w:t>环境影响和保护措施</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（1）废水污染源分析</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根据项目水平衡计算可知，本项目供排水统计情况详见下表。</w:t>
            </w:r>
          </w:p>
          <w:p>
            <w:pPr>
              <w:jc w:val="center"/>
              <w:rPr>
                <w:rFonts w:hint="default" w:ascii="Times New Roman" w:hAnsi="Times New Roman" w:eastAsia="宋体" w:cs="Times New Roman"/>
                <w:b/>
                <w:bCs/>
                <w:color w:val="auto"/>
                <w:kern w:val="0"/>
              </w:rPr>
            </w:pPr>
            <w:r>
              <w:rPr>
                <w:rFonts w:hint="default" w:ascii="Times New Roman" w:hAnsi="Times New Roman" w:eastAsia="宋体" w:cs="Times New Roman"/>
                <w:b/>
                <w:bCs/>
                <w:color w:val="auto"/>
                <w:kern w:val="0"/>
              </w:rPr>
              <w:t>表4.2.2-1  项目供排水情况一览表</w:t>
            </w:r>
          </w:p>
          <w:tbl>
            <w:tblPr>
              <w:tblStyle w:val="25"/>
              <w:tblW w:w="8618" w:type="dxa"/>
              <w:tblInd w:w="0" w:type="dxa"/>
              <w:tblLayout w:type="fixed"/>
              <w:tblCellMar>
                <w:top w:w="0" w:type="dxa"/>
                <w:left w:w="108" w:type="dxa"/>
                <w:bottom w:w="0" w:type="dxa"/>
                <w:right w:w="108" w:type="dxa"/>
              </w:tblCellMar>
            </w:tblPr>
            <w:tblGrid>
              <w:gridCol w:w="1661"/>
              <w:gridCol w:w="1215"/>
              <w:gridCol w:w="1267"/>
              <w:gridCol w:w="887"/>
              <w:gridCol w:w="950"/>
              <w:gridCol w:w="1366"/>
              <w:gridCol w:w="1272"/>
            </w:tblGrid>
            <w:tr>
              <w:tblPrEx>
                <w:tblCellMar>
                  <w:top w:w="0" w:type="dxa"/>
                  <w:left w:w="108" w:type="dxa"/>
                  <w:bottom w:w="0" w:type="dxa"/>
                  <w:right w:w="108" w:type="dxa"/>
                </w:tblCellMar>
              </w:tblPrEx>
              <w:trPr>
                <w:trHeight w:val="285" w:hRule="atLeast"/>
              </w:trPr>
              <w:tc>
                <w:tcPr>
                  <w:tcW w:w="1661" w:type="dxa"/>
                  <w:vMerge w:val="restart"/>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用水单元</w:t>
                  </w:r>
                </w:p>
              </w:tc>
              <w:tc>
                <w:tcPr>
                  <w:tcW w:w="1215" w:type="dxa"/>
                  <w:vMerge w:val="restart"/>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规模</w:t>
                  </w:r>
                </w:p>
              </w:tc>
              <w:tc>
                <w:tcPr>
                  <w:tcW w:w="1267" w:type="dxa"/>
                  <w:vMerge w:val="restart"/>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用水量标准</w:t>
                  </w:r>
                </w:p>
              </w:tc>
              <w:tc>
                <w:tcPr>
                  <w:tcW w:w="1837" w:type="dxa"/>
                  <w:gridSpan w:val="2"/>
                  <w:tcBorders>
                    <w:top w:val="single" w:color="auto" w:sz="8" w:space="0"/>
                    <w:left w:val="nil"/>
                    <w:bottom w:val="single" w:color="auto" w:sz="8" w:space="0"/>
                    <w:right w:val="single" w:color="000000"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总用水量</w:t>
                  </w:r>
                </w:p>
              </w:tc>
              <w:tc>
                <w:tcPr>
                  <w:tcW w:w="2638" w:type="dxa"/>
                  <w:gridSpan w:val="2"/>
                  <w:tcBorders>
                    <w:top w:val="single" w:color="auto" w:sz="8" w:space="0"/>
                    <w:left w:val="nil"/>
                    <w:bottom w:val="single" w:color="auto" w:sz="8" w:space="0"/>
                    <w:right w:val="single" w:color="000000"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废水量</w:t>
                  </w:r>
                </w:p>
              </w:tc>
            </w:tr>
            <w:tr>
              <w:tblPrEx>
                <w:tblCellMar>
                  <w:top w:w="0" w:type="dxa"/>
                  <w:left w:w="108" w:type="dxa"/>
                  <w:bottom w:w="0" w:type="dxa"/>
                  <w:right w:w="108" w:type="dxa"/>
                </w:tblCellMar>
              </w:tblPrEx>
              <w:trPr>
                <w:trHeight w:val="285" w:hRule="atLeast"/>
              </w:trPr>
              <w:tc>
                <w:tcPr>
                  <w:tcW w:w="1661" w:type="dxa"/>
                  <w:vMerge w:val="continue"/>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1215" w:type="dxa"/>
                  <w:vMerge w:val="continue"/>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1267" w:type="dxa"/>
                  <w:vMerge w:val="continue"/>
                  <w:tcBorders>
                    <w:top w:val="single" w:color="auto" w:sz="8" w:space="0"/>
                    <w:left w:val="single" w:color="auto" w:sz="8" w:space="0"/>
                    <w:bottom w:val="single" w:color="000000"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m³/d</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m³/a</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m³/d</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m³/a</w:t>
                  </w:r>
                </w:p>
              </w:tc>
            </w:tr>
            <w:tr>
              <w:tblPrEx>
                <w:tblCellMar>
                  <w:top w:w="0" w:type="dxa"/>
                  <w:left w:w="108" w:type="dxa"/>
                  <w:bottom w:w="0" w:type="dxa"/>
                  <w:right w:w="108" w:type="dxa"/>
                </w:tblCellMar>
              </w:tblPrEx>
              <w:trPr>
                <w:trHeight w:val="67" w:hRule="atLeast"/>
              </w:trPr>
              <w:tc>
                <w:tcPr>
                  <w:tcW w:w="1661" w:type="dxa"/>
                  <w:vMerge w:val="restart"/>
                  <w:tcBorders>
                    <w:top w:val="nil"/>
                    <w:left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员工生活</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70</w:t>
                  </w:r>
                  <w:r>
                    <w:rPr>
                      <w:rFonts w:hint="default" w:ascii="Times New Roman" w:hAnsi="Times New Roman" w:eastAsia="宋体" w:cs="Times New Roman"/>
                      <w:color w:val="auto"/>
                      <w:szCs w:val="21"/>
                    </w:rPr>
                    <w:t>人</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非住宿50L/d·人</w:t>
                  </w:r>
                </w:p>
              </w:tc>
              <w:tc>
                <w:tcPr>
                  <w:tcW w:w="887" w:type="dxa"/>
                  <w:vMerge w:val="restart"/>
                  <w:tcBorders>
                    <w:top w:val="nil"/>
                    <w:left w:val="nil"/>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4.50</w:t>
                  </w:r>
                </w:p>
              </w:tc>
              <w:tc>
                <w:tcPr>
                  <w:tcW w:w="950" w:type="dxa"/>
                  <w:vMerge w:val="restart"/>
                  <w:tcBorders>
                    <w:top w:val="nil"/>
                    <w:left w:val="nil"/>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1350</w:t>
                  </w:r>
                </w:p>
              </w:tc>
              <w:tc>
                <w:tcPr>
                  <w:tcW w:w="1366" w:type="dxa"/>
                  <w:vMerge w:val="restart"/>
                  <w:tcBorders>
                    <w:top w:val="nil"/>
                    <w:left w:val="nil"/>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3.60</w:t>
                  </w:r>
                </w:p>
              </w:tc>
              <w:tc>
                <w:tcPr>
                  <w:tcW w:w="1272" w:type="dxa"/>
                  <w:vMerge w:val="restart"/>
                  <w:tcBorders>
                    <w:top w:val="nil"/>
                    <w:left w:val="nil"/>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1080</w:t>
                  </w:r>
                </w:p>
              </w:tc>
            </w:tr>
            <w:tr>
              <w:tblPrEx>
                <w:tblCellMar>
                  <w:top w:w="0" w:type="dxa"/>
                  <w:left w:w="108" w:type="dxa"/>
                  <w:bottom w:w="0" w:type="dxa"/>
                  <w:right w:w="108" w:type="dxa"/>
                </w:tblCellMar>
              </w:tblPrEx>
              <w:trPr>
                <w:trHeight w:val="341" w:hRule="atLeast"/>
              </w:trPr>
              <w:tc>
                <w:tcPr>
                  <w:tcW w:w="1661" w:type="dxa"/>
                  <w:vMerge w:val="continue"/>
                  <w:tcBorders>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rPr>
                    <w:t>人</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住宿100L/d·人</w:t>
                  </w:r>
                </w:p>
              </w:tc>
              <w:tc>
                <w:tcPr>
                  <w:tcW w:w="887" w:type="dxa"/>
                  <w:vMerge w:val="continue"/>
                  <w:tcBorders>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950" w:type="dxa"/>
                  <w:vMerge w:val="continue"/>
                  <w:tcBorders>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1366" w:type="dxa"/>
                  <w:vMerge w:val="continue"/>
                  <w:tcBorders>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c>
                <w:tcPr>
                  <w:tcW w:w="1272" w:type="dxa"/>
                  <w:vMerge w:val="continue"/>
                  <w:tcBorders>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地面清洗</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1244.85</w:t>
                  </w:r>
                  <w:r>
                    <w:rPr>
                      <w:rFonts w:hint="default" w:ascii="Times New Roman" w:hAnsi="Times New Roman" w:eastAsia="宋体" w:cs="Times New Roman"/>
                      <w:color w:val="auto"/>
                      <w:szCs w:val="21"/>
                    </w:rPr>
                    <w:t>m²</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bCs/>
                      <w:color w:val="auto"/>
                      <w:kern w:val="2"/>
                      <w:sz w:val="24"/>
                      <w:szCs w:val="24"/>
                      <w:highlight w:val="none"/>
                      <w:lang w:val="en-US" w:eastAsia="zh-CN" w:bidi="ar-SA"/>
                    </w:rPr>
                    <w:t>1.5L/m</w:t>
                  </w:r>
                  <w:r>
                    <w:rPr>
                      <w:rFonts w:hint="default" w:ascii="Times New Roman" w:hAnsi="Times New Roman" w:eastAsia="宋体" w:cs="Times New Roman"/>
                      <w:bCs/>
                      <w:color w:val="auto"/>
                      <w:kern w:val="2"/>
                      <w:sz w:val="24"/>
                      <w:szCs w:val="24"/>
                      <w:highlight w:val="none"/>
                      <w:vertAlign w:val="superscript"/>
                      <w:lang w:val="en-US" w:eastAsia="zh-CN" w:bidi="ar-SA"/>
                    </w:rPr>
                    <w:t>2</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1.87</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561</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1.50</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450</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纯水制备</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0.089</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26.67</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0.02</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6.67</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实验设备清洗</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kern w:val="2"/>
                      <w:sz w:val="24"/>
                      <w:szCs w:val="24"/>
                      <w:highlight w:val="none"/>
                      <w:lang w:val="en-US" w:eastAsia="zh-CN" w:bidi="ar-SA"/>
                    </w:rPr>
                    <w:t>0.3m</w:t>
                  </w:r>
                  <w:r>
                    <w:rPr>
                      <w:rFonts w:hint="default" w:ascii="Times New Roman" w:hAnsi="Times New Roman" w:eastAsia="宋体" w:cs="Times New Roman"/>
                      <w:bCs/>
                      <w:color w:val="auto"/>
                      <w:kern w:val="2"/>
                      <w:sz w:val="24"/>
                      <w:szCs w:val="24"/>
                      <w:highlight w:val="none"/>
                      <w:vertAlign w:val="superscript"/>
                      <w:lang w:val="en-US" w:eastAsia="zh-CN" w:bidi="ar-SA"/>
                    </w:rPr>
                    <w:t xml:space="preserve">3 </w:t>
                  </w:r>
                  <w:r>
                    <w:rPr>
                      <w:rFonts w:hint="default" w:ascii="Times New Roman" w:hAnsi="Times New Roman" w:eastAsia="宋体" w:cs="Times New Roman"/>
                      <w:bCs/>
                      <w:color w:val="auto"/>
                      <w:kern w:val="2"/>
                      <w:sz w:val="24"/>
                      <w:szCs w:val="24"/>
                      <w:highlight w:val="none"/>
                      <w:lang w:val="en-US" w:eastAsia="zh-CN" w:bidi="ar-SA"/>
                    </w:rPr>
                    <w:t>/次</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0.09</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27</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0.07</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21.6</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蒸汽发生器用水</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0.2</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60</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稀硫酸吸收用水</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bCs/>
                      <w:color w:val="auto"/>
                      <w:kern w:val="2"/>
                      <w:sz w:val="24"/>
                      <w:szCs w:val="24"/>
                      <w:highlight w:val="none"/>
                      <w:lang w:val="en-US" w:eastAsia="zh-CN" w:bidi="ar-SA"/>
                    </w:rPr>
                    <w:t>0.0041</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1.23</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0.014t/d（环氧乙烷吸收废液）</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4.2t/a（环氧乙烷吸收废液）</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循环冷却水</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0.0059</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1.77</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绿化用水</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2508.74m²</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3.0L/（m²·d）</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7.5</w:t>
                  </w:r>
                  <w:r>
                    <w:rPr>
                      <w:rFonts w:hint="default" w:ascii="Times New Roman" w:hAnsi="Times New Roman" w:eastAsia="宋体" w:cs="Times New Roman"/>
                      <w:color w:val="auto"/>
                      <w:szCs w:val="21"/>
                      <w:lang w:val="en-US" w:eastAsia="zh-CN"/>
                    </w:rPr>
                    <w:t>3</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188</w:t>
                  </w:r>
                  <w:r>
                    <w:rPr>
                      <w:rFonts w:hint="default" w:ascii="Times New Roman" w:hAnsi="Times New Roman" w:eastAsia="宋体" w:cs="Times New Roman"/>
                      <w:color w:val="auto"/>
                      <w:szCs w:val="21"/>
                      <w:lang w:val="en-US" w:eastAsia="zh-CN"/>
                    </w:rPr>
                    <w:t>2.5</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r>
            <w:tr>
              <w:tblPrEx>
                <w:tblCellMar>
                  <w:top w:w="0" w:type="dxa"/>
                  <w:left w:w="108" w:type="dxa"/>
                  <w:bottom w:w="0" w:type="dxa"/>
                  <w:right w:w="108" w:type="dxa"/>
                </w:tblCellMar>
              </w:tblPrEx>
              <w:trPr>
                <w:trHeight w:val="67"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初期雨水</w:t>
                  </w:r>
                </w:p>
              </w:tc>
              <w:tc>
                <w:tcPr>
                  <w:tcW w:w="2482" w:type="dxa"/>
                  <w:gridSpan w:val="2"/>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rPr>
                    <w:t>可能受污染区6000m²</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snapToGrid w:val="0"/>
                      <w:color w:val="auto"/>
                      <w:kern w:val="32"/>
                      <w:sz w:val="21"/>
                      <w:szCs w:val="20"/>
                      <w:lang w:val="zh-CN" w:eastAsia="zh-CN" w:bidi="ar-SA"/>
                    </w:rPr>
                  </w:pPr>
                  <w:r>
                    <w:rPr>
                      <w:rFonts w:hint="default" w:ascii="Times New Roman" w:hAnsi="Times New Roman" w:eastAsia="宋体" w:cs="Times New Roman"/>
                      <w:color w:val="auto"/>
                    </w:rPr>
                    <w:t>0</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snapToGrid w:val="0"/>
                      <w:color w:val="auto"/>
                      <w:kern w:val="32"/>
                      <w:sz w:val="21"/>
                      <w:szCs w:val="20"/>
                      <w:lang w:val="zh-CN" w:eastAsia="zh-CN" w:bidi="ar-SA"/>
                    </w:rPr>
                  </w:pPr>
                  <w:r>
                    <w:rPr>
                      <w:rFonts w:hint="default" w:ascii="Times New Roman" w:hAnsi="Times New Roman" w:eastAsia="宋体" w:cs="Times New Roman"/>
                      <w:color w:val="auto"/>
                    </w:rPr>
                    <w:t>0</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snapToGrid w:val="0"/>
                      <w:color w:val="auto"/>
                      <w:kern w:val="32"/>
                      <w:sz w:val="21"/>
                      <w:szCs w:val="20"/>
                      <w:lang w:val="zh-CN" w:eastAsia="zh-CN" w:bidi="ar-SA"/>
                    </w:rPr>
                  </w:pPr>
                  <w:r>
                    <w:rPr>
                      <w:rFonts w:hint="default" w:ascii="Times New Roman" w:hAnsi="Times New Roman" w:eastAsia="宋体" w:cs="Times New Roman"/>
                      <w:color w:val="auto"/>
                    </w:rPr>
                    <w:t>5.7m³/次</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bCs/>
                      <w:snapToGrid w:val="0"/>
                      <w:color w:val="auto"/>
                      <w:kern w:val="32"/>
                      <w:sz w:val="21"/>
                      <w:szCs w:val="20"/>
                      <w:lang w:val="zh-CN" w:eastAsia="zh-CN" w:bidi="ar-SA"/>
                    </w:rPr>
                  </w:pPr>
                  <w:r>
                    <w:rPr>
                      <w:rFonts w:hint="default" w:ascii="Times New Roman" w:hAnsi="Times New Roman" w:eastAsia="宋体" w:cs="Times New Roman"/>
                      <w:color w:val="auto"/>
                    </w:rPr>
                    <w:t>--</w:t>
                  </w:r>
                </w:p>
              </w:tc>
            </w:tr>
            <w:tr>
              <w:tblPrEx>
                <w:tblCellMar>
                  <w:top w:w="0" w:type="dxa"/>
                  <w:left w:w="108" w:type="dxa"/>
                  <w:bottom w:w="0" w:type="dxa"/>
                  <w:right w:w="108" w:type="dxa"/>
                </w:tblCellMar>
              </w:tblPrEx>
              <w:trPr>
                <w:trHeight w:val="300" w:hRule="atLeast"/>
              </w:trPr>
              <w:tc>
                <w:tcPr>
                  <w:tcW w:w="1661" w:type="dxa"/>
                  <w:tcBorders>
                    <w:top w:val="nil"/>
                    <w:left w:val="single" w:color="auto" w:sz="8" w:space="0"/>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总计</w:t>
                  </w:r>
                </w:p>
              </w:tc>
              <w:tc>
                <w:tcPr>
                  <w:tcW w:w="1215"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6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887"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14.29</w:t>
                  </w:r>
                </w:p>
              </w:tc>
              <w:tc>
                <w:tcPr>
                  <w:tcW w:w="950"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3910.07</w:t>
                  </w:r>
                </w:p>
              </w:tc>
              <w:tc>
                <w:tcPr>
                  <w:tcW w:w="1366"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5.19</w:t>
                  </w:r>
                </w:p>
              </w:tc>
              <w:tc>
                <w:tcPr>
                  <w:tcW w:w="1272" w:type="dxa"/>
                  <w:tcBorders>
                    <w:top w:val="nil"/>
                    <w:left w:val="nil"/>
                    <w:bottom w:val="single" w:color="auto" w:sz="8" w:space="0"/>
                    <w:right w:val="single" w:color="auto" w:sz="8" w:space="0"/>
                  </w:tcBorders>
                  <w:vAlign w:val="center"/>
                </w:tcPr>
                <w:p>
                  <w:pPr>
                    <w:pStyle w:val="45"/>
                    <w:spacing w:line="36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1558.27</w:t>
                  </w:r>
                </w:p>
              </w:tc>
            </w:tr>
          </w:tbl>
          <w:p>
            <w:pPr>
              <w:spacing w:beforeLines="50"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w:t>
            </w:r>
            <w:r>
              <w:rPr>
                <w:rFonts w:hint="default" w:ascii="Times New Roman" w:hAnsi="Times New Roman" w:eastAsia="宋体" w:cs="Times New Roman"/>
                <w:b/>
                <w:color w:val="auto"/>
                <w:sz w:val="24"/>
              </w:rPr>
              <w:t>废水</w:t>
            </w:r>
            <w:r>
              <w:rPr>
                <w:rFonts w:hint="default" w:ascii="Times New Roman" w:hAnsi="Times New Roman" w:eastAsia="宋体" w:cs="Times New Roman"/>
                <w:b/>
                <w:color w:val="auto"/>
                <w:sz w:val="24"/>
                <w:szCs w:val="24"/>
              </w:rPr>
              <w:t>污染物排放源及达标性分析</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①废水污染物治理措施及排放方式</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项目废水污染物排放源的治理措施及排放方式如下表所示。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 xml:space="preserve">4.2.2-2 </w:t>
            </w:r>
            <w:r>
              <w:rPr>
                <w:rFonts w:hint="default" w:ascii="Times New Roman" w:hAnsi="Times New Roman" w:eastAsia="宋体" w:cs="Times New Roman"/>
                <w:b/>
                <w:color w:val="auto"/>
              </w:rPr>
              <w:t>废水</w:t>
            </w:r>
            <w:r>
              <w:rPr>
                <w:rFonts w:hint="default" w:ascii="Times New Roman" w:hAnsi="Times New Roman" w:eastAsia="宋体" w:cs="Times New Roman"/>
                <w:b/>
                <w:color w:val="auto"/>
                <w:szCs w:val="24"/>
              </w:rPr>
              <w:t>污染物治理措施及排放方式一览表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869"/>
              <w:gridCol w:w="1574"/>
              <w:gridCol w:w="2990"/>
              <w:gridCol w:w="855"/>
              <w:gridCol w:w="16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673"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产排污环节</w:t>
                  </w:r>
                </w:p>
              </w:tc>
              <w:tc>
                <w:tcPr>
                  <w:tcW w:w="869"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类别</w:t>
                  </w:r>
                </w:p>
              </w:tc>
              <w:tc>
                <w:tcPr>
                  <w:tcW w:w="1574"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污染物种类</w:t>
                  </w:r>
                </w:p>
              </w:tc>
              <w:tc>
                <w:tcPr>
                  <w:tcW w:w="2990"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治理设施、效率及去向</w:t>
                  </w:r>
                </w:p>
              </w:tc>
              <w:tc>
                <w:tcPr>
                  <w:tcW w:w="855" w:type="dxa"/>
                  <w:vAlign w:val="center"/>
                </w:tcPr>
                <w:p>
                  <w:pPr>
                    <w:spacing w:line="360" w:lineRule="exact"/>
                    <w:jc w:val="center"/>
                    <w:rPr>
                      <w:rFonts w:hint="default" w:ascii="Times New Roman" w:hAnsi="Times New Roman" w:eastAsia="宋体" w:cs="Times New Roman"/>
                      <w:bCs/>
                      <w:snapToGrid w:val="0"/>
                      <w:color w:val="auto"/>
                      <w:kern w:val="32"/>
                      <w:szCs w:val="20"/>
                      <w:lang w:val="zh-CN"/>
                    </w:rPr>
                  </w:pPr>
                  <w:r>
                    <w:rPr>
                      <w:rFonts w:hint="default" w:ascii="Times New Roman" w:hAnsi="Times New Roman" w:eastAsia="宋体" w:cs="Times New Roman"/>
                      <w:bCs/>
                      <w:snapToGrid w:val="0"/>
                      <w:color w:val="auto"/>
                      <w:kern w:val="32"/>
                      <w:szCs w:val="20"/>
                      <w:lang w:val="zh-CN"/>
                    </w:rPr>
                    <w:t>排放形式及规律</w:t>
                  </w:r>
                </w:p>
              </w:tc>
              <w:tc>
                <w:tcPr>
                  <w:tcW w:w="1647" w:type="dxa"/>
                  <w:vAlign w:val="center"/>
                </w:tcPr>
                <w:p>
                  <w:pPr>
                    <w:spacing w:line="360" w:lineRule="exact"/>
                    <w:jc w:val="center"/>
                    <w:rPr>
                      <w:rFonts w:hint="default" w:ascii="Times New Roman" w:hAnsi="Times New Roman" w:eastAsia="宋体" w:cs="Times New Roman"/>
                      <w:bCs/>
                      <w:snapToGrid w:val="0"/>
                      <w:color w:val="auto"/>
                      <w:kern w:val="32"/>
                      <w:szCs w:val="20"/>
                      <w:lang w:val="zh-CN"/>
                    </w:rPr>
                  </w:pPr>
                  <w:r>
                    <w:rPr>
                      <w:rFonts w:hint="default" w:ascii="Times New Roman" w:hAnsi="Times New Roman" w:eastAsia="宋体" w:cs="Times New Roman"/>
                      <w:bCs/>
                      <w:snapToGrid w:val="0"/>
                      <w:color w:val="auto"/>
                      <w:kern w:val="32"/>
                      <w:szCs w:val="20"/>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3"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地面</w:t>
                  </w:r>
                  <w:r>
                    <w:rPr>
                      <w:rFonts w:hint="default" w:ascii="Times New Roman" w:hAnsi="Times New Roman" w:eastAsia="宋体" w:cs="Times New Roman"/>
                      <w:color w:val="auto"/>
                    </w:rPr>
                    <w:t>清洗</w:t>
                  </w:r>
                </w:p>
              </w:tc>
              <w:tc>
                <w:tcPr>
                  <w:tcW w:w="869"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地面</w:t>
                  </w:r>
                  <w:r>
                    <w:rPr>
                      <w:rFonts w:hint="default" w:ascii="Times New Roman" w:hAnsi="Times New Roman" w:eastAsia="宋体" w:cs="Times New Roman"/>
                      <w:color w:val="auto"/>
                    </w:rPr>
                    <w:t>清洗废水</w:t>
                  </w:r>
                </w:p>
              </w:tc>
              <w:tc>
                <w:tcPr>
                  <w:tcW w:w="1574"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pH、CODcr、BOD</w:t>
                  </w:r>
                  <w:r>
                    <w:rPr>
                      <w:rFonts w:hint="default" w:ascii="Times New Roman" w:hAnsi="Times New Roman" w:eastAsia="宋体" w:cs="Times New Roman"/>
                      <w:color w:val="auto"/>
                      <w:vertAlign w:val="subscript"/>
                    </w:rPr>
                    <w:t>5</w:t>
                  </w:r>
                  <w:r>
                    <w:rPr>
                      <w:rFonts w:hint="default" w:ascii="Times New Roman" w:hAnsi="Times New Roman" w:eastAsia="宋体" w:cs="Times New Roman"/>
                      <w:color w:val="auto"/>
                    </w:rPr>
                    <w:t>、SS</w:t>
                  </w:r>
                </w:p>
              </w:tc>
              <w:tc>
                <w:tcPr>
                  <w:tcW w:w="2990" w:type="dxa"/>
                  <w:vMerge w:val="restart"/>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纯水设备浓排水、理化室实验器皿初次清洗废水之后的清洗废水、生产车间、办公区域等地面清洁废水经化粪池（容积7m³）预处理后进入一体化污水处理设施（处理能力7m³）处理；</w:t>
                  </w:r>
                  <w:r>
                    <w:rPr>
                      <w:rFonts w:hint="default" w:ascii="Times New Roman" w:hAnsi="Times New Roman" w:eastAsia="宋体" w:cs="Times New Roman"/>
                      <w:color w:val="auto"/>
                      <w:sz w:val="21"/>
                      <w:szCs w:val="21"/>
                    </w:rPr>
                    <w:t>项目厨房废水先经1m³的隔油池</w:t>
                  </w:r>
                  <w:r>
                    <w:rPr>
                      <w:rFonts w:hint="default" w:ascii="Times New Roman" w:hAnsi="Times New Roman" w:eastAsia="宋体" w:cs="Times New Roman"/>
                      <w:color w:val="auto"/>
                      <w:sz w:val="21"/>
                      <w:szCs w:val="21"/>
                      <w:lang w:eastAsia="zh-CN"/>
                    </w:rPr>
                    <w:t>处理后</w:t>
                  </w:r>
                  <w:r>
                    <w:rPr>
                      <w:rFonts w:hint="default" w:ascii="Times New Roman" w:hAnsi="Times New Roman" w:eastAsia="宋体" w:cs="Times New Roman"/>
                      <w:color w:val="auto"/>
                      <w:sz w:val="21"/>
                      <w:szCs w:val="21"/>
                    </w:rPr>
                    <w:t>和其他生活污水一起进入一个有效容积不低于7m³的化粪池预处理</w:t>
                  </w:r>
                  <w:r>
                    <w:rPr>
                      <w:rFonts w:hint="default" w:ascii="Times New Roman" w:hAnsi="Times New Roman" w:eastAsia="宋体" w:cs="Times New Roman"/>
                      <w:color w:val="auto"/>
                      <w:sz w:val="21"/>
                      <w:szCs w:val="21"/>
                      <w:lang w:eastAsia="zh-CN"/>
                    </w:rPr>
                    <w:t>，预处理后经</w:t>
                  </w:r>
                  <w:r>
                    <w:rPr>
                      <w:rFonts w:hint="default" w:ascii="Times New Roman" w:hAnsi="Times New Roman" w:eastAsia="宋体" w:cs="Times New Roman"/>
                      <w:color w:val="auto"/>
                      <w:sz w:val="21"/>
                      <w:szCs w:val="21"/>
                    </w:rPr>
                    <w:t>1套处理能力为</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m³/d的一体化污水处理</w:t>
                  </w:r>
                  <w:r>
                    <w:rPr>
                      <w:rFonts w:hint="default" w:ascii="Times New Roman" w:hAnsi="Times New Roman" w:eastAsia="宋体" w:cs="Times New Roman"/>
                      <w:color w:val="auto"/>
                      <w:sz w:val="21"/>
                      <w:szCs w:val="21"/>
                      <w:lang w:eastAsia="zh-CN"/>
                    </w:rPr>
                    <w:t>设施处理。</w:t>
                  </w:r>
                  <w:r>
                    <w:rPr>
                      <w:rFonts w:hint="default" w:ascii="Times New Roman" w:hAnsi="Times New Roman" w:eastAsia="宋体" w:cs="Times New Roman"/>
                      <w:color w:val="auto"/>
                      <w:sz w:val="21"/>
                      <w:szCs w:val="21"/>
                    </w:rPr>
                    <w:t>根据调查，目前项目区域还未配套建成市政污水管网，因此本项目排水拟按近期（污水管网建成前）和远期（污水管网建成后）考虑。</w:t>
                  </w:r>
                </w:p>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近期（</w:t>
                  </w:r>
                  <w:r>
                    <w:rPr>
                      <w:rFonts w:hint="default" w:ascii="Times New Roman" w:hAnsi="Times New Roman" w:eastAsia="宋体" w:cs="Times New Roman"/>
                      <w:color w:val="auto"/>
                      <w:sz w:val="21"/>
                      <w:szCs w:val="21"/>
                      <w:lang w:eastAsia="zh-CN"/>
                    </w:rPr>
                    <w:t>污水管网</w:t>
                  </w:r>
                  <w:r>
                    <w:rPr>
                      <w:rFonts w:hint="default" w:ascii="Times New Roman" w:hAnsi="Times New Roman" w:eastAsia="宋体" w:cs="Times New Roman"/>
                      <w:color w:val="auto"/>
                      <w:sz w:val="21"/>
                      <w:szCs w:val="21"/>
                    </w:rPr>
                    <w:t>建成前），项目产生的生活污水通过隔油池、化粪池和一体化污水处理设施处理后，可达到《城市污水再生利用 城市杂用水水质》（GB/T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 xml:space="preserve"> -2020）城市绿化标准，回用于绿化不外排；远期（</w:t>
                  </w:r>
                  <w:r>
                    <w:rPr>
                      <w:rFonts w:hint="default" w:ascii="Times New Roman" w:hAnsi="Times New Roman" w:eastAsia="宋体" w:cs="Times New Roman"/>
                      <w:color w:val="auto"/>
                      <w:sz w:val="21"/>
                      <w:szCs w:val="21"/>
                      <w:lang w:eastAsia="zh-CN"/>
                    </w:rPr>
                    <w:t>污水管网</w:t>
                  </w:r>
                  <w:r>
                    <w:rPr>
                      <w:rFonts w:hint="default" w:ascii="Times New Roman" w:hAnsi="Times New Roman" w:eastAsia="宋体" w:cs="Times New Roman"/>
                      <w:color w:val="auto"/>
                      <w:sz w:val="21"/>
                      <w:szCs w:val="21"/>
                    </w:rPr>
                    <w:t>建成后）</w:t>
                  </w:r>
                  <w:r>
                    <w:rPr>
                      <w:rFonts w:hint="default" w:ascii="Times New Roman" w:hAnsi="Times New Roman" w:eastAsia="宋体" w:cs="Times New Roman"/>
                      <w:color w:val="auto"/>
                      <w:sz w:val="21"/>
                      <w:szCs w:val="21"/>
                      <w:lang w:val="en-US" w:eastAsia="zh-CN"/>
                    </w:rPr>
                    <w:t>一体化污水处理设施将闲置，</w:t>
                  </w:r>
                  <w:r>
                    <w:rPr>
                      <w:rFonts w:hint="default" w:ascii="Times New Roman" w:hAnsi="Times New Roman" w:eastAsia="宋体" w:cs="Times New Roman"/>
                      <w:color w:val="auto"/>
                      <w:sz w:val="21"/>
                      <w:szCs w:val="21"/>
                    </w:rPr>
                    <w:t>项目产生的生活污水通过隔油池、化粪池预处理后，达到《污水排入城镇下水道水质标准》（GB/T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-2015）表1A级标准，进入东川区城市污水处理厂集中处理。</w:t>
                  </w:r>
                </w:p>
              </w:tc>
              <w:tc>
                <w:tcPr>
                  <w:tcW w:w="855" w:type="dxa"/>
                  <w:vMerge w:val="restart"/>
                  <w:vAlign w:val="center"/>
                </w:tcPr>
                <w:p>
                  <w:pPr>
                    <w:pStyle w:val="45"/>
                    <w:spacing w:before="78"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间接排放、间断排放</w:t>
                  </w:r>
                </w:p>
              </w:tc>
              <w:tc>
                <w:tcPr>
                  <w:tcW w:w="1647" w:type="dxa"/>
                  <w:vMerge w:val="restart"/>
                  <w:vAlign w:val="center"/>
                </w:tcPr>
                <w:p>
                  <w:pPr>
                    <w:pStyle w:val="45"/>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①近期（园区污水处理厂建成前）不设排放口；</w:t>
                  </w:r>
                </w:p>
                <w:p>
                  <w:pPr>
                    <w:pStyle w:val="45"/>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②远期（园区污水处理厂建成后）排放口信息如下：</w:t>
                  </w:r>
                </w:p>
                <w:p>
                  <w:pPr>
                    <w:pStyle w:val="45"/>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名称：化粪池</w:t>
                  </w:r>
                </w:p>
                <w:p>
                  <w:pPr>
                    <w:pStyle w:val="45"/>
                    <w:spacing w:line="360" w:lineRule="exact"/>
                    <w:ind w:firstLine="210" w:firstLineChars="10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坐标：</w:t>
                  </w:r>
                </w:p>
                <w:p>
                  <w:pPr>
                    <w:pStyle w:val="45"/>
                    <w:spacing w:before="78" w:line="360" w:lineRule="exact"/>
                    <w:ind w:firstLine="210" w:firstLineChars="1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E103.254914°、N26.10521</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0" w:hRule="atLeast"/>
              </w:trPr>
              <w:tc>
                <w:tcPr>
                  <w:tcW w:w="673"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员工生活</w:t>
                  </w:r>
                </w:p>
              </w:tc>
              <w:tc>
                <w:tcPr>
                  <w:tcW w:w="869"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生活污水</w:t>
                  </w:r>
                </w:p>
              </w:tc>
              <w:tc>
                <w:tcPr>
                  <w:tcW w:w="1574"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pH、CODcr、BOD</w:t>
                  </w:r>
                  <w:r>
                    <w:rPr>
                      <w:rFonts w:hint="default" w:ascii="Times New Roman" w:hAnsi="Times New Roman" w:eastAsia="宋体" w:cs="Times New Roman"/>
                      <w:color w:val="auto"/>
                      <w:vertAlign w:val="subscript"/>
                    </w:rPr>
                    <w:t>5</w:t>
                  </w:r>
                  <w:r>
                    <w:rPr>
                      <w:rFonts w:hint="default" w:ascii="Times New Roman" w:hAnsi="Times New Roman" w:eastAsia="宋体" w:cs="Times New Roman"/>
                      <w:color w:val="auto"/>
                    </w:rPr>
                    <w:t>、NH</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-N、SS、总磷</w:t>
                  </w:r>
                  <w:r>
                    <w:rPr>
                      <w:rFonts w:hint="default" w:ascii="Times New Roman" w:hAnsi="Times New Roman" w:eastAsia="宋体" w:cs="Times New Roman"/>
                      <w:color w:val="auto"/>
                      <w:lang w:eastAsia="zh-CN"/>
                    </w:rPr>
                    <w:t>、总氮</w:t>
                  </w:r>
                  <w:r>
                    <w:rPr>
                      <w:rFonts w:hint="default" w:ascii="Times New Roman" w:hAnsi="Times New Roman" w:eastAsia="宋体" w:cs="Times New Roman"/>
                      <w:color w:val="auto"/>
                    </w:rPr>
                    <w:t>、阴离子表面活性剂、粪大肠菌群数（MPN/L）</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kern w:val="0"/>
                      <w:sz w:val="24"/>
                      <w:szCs w:val="24"/>
                      <w:lang w:val="en-US" w:eastAsia="zh-CN" w:bidi="ar"/>
                    </w:rPr>
                    <w:t>动植物油</w:t>
                  </w:r>
                </w:p>
              </w:tc>
              <w:tc>
                <w:tcPr>
                  <w:tcW w:w="2990" w:type="dxa"/>
                  <w:vMerge w:val="continue"/>
                  <w:vAlign w:val="center"/>
                </w:tcPr>
                <w:p>
                  <w:pPr>
                    <w:pStyle w:val="45"/>
                    <w:spacing w:line="360" w:lineRule="exact"/>
                    <w:ind w:firstLine="210" w:firstLineChars="100"/>
                    <w:jc w:val="both"/>
                    <w:rPr>
                      <w:rFonts w:hint="default" w:ascii="Times New Roman" w:hAnsi="Times New Roman" w:eastAsia="宋体" w:cs="Times New Roman"/>
                      <w:color w:val="auto"/>
                      <w:szCs w:val="21"/>
                    </w:rPr>
                  </w:pPr>
                </w:p>
              </w:tc>
              <w:tc>
                <w:tcPr>
                  <w:tcW w:w="855" w:type="dxa"/>
                  <w:vMerge w:val="continue"/>
                  <w:vAlign w:val="center"/>
                </w:tcPr>
                <w:p>
                  <w:pPr>
                    <w:pStyle w:val="45"/>
                    <w:spacing w:before="78" w:line="360" w:lineRule="exact"/>
                    <w:rPr>
                      <w:rFonts w:hint="default" w:ascii="Times New Roman" w:hAnsi="Times New Roman" w:eastAsia="宋体" w:cs="Times New Roman"/>
                      <w:color w:val="auto"/>
                      <w:szCs w:val="21"/>
                      <w:lang w:eastAsia="zh-CN"/>
                    </w:rPr>
                  </w:pPr>
                </w:p>
              </w:tc>
              <w:tc>
                <w:tcPr>
                  <w:tcW w:w="1647" w:type="dxa"/>
                  <w:vMerge w:val="continue"/>
                  <w:vAlign w:val="center"/>
                </w:tcPr>
                <w:p>
                  <w:pPr>
                    <w:pStyle w:val="45"/>
                    <w:spacing w:before="78" w:line="360" w:lineRule="exact"/>
                    <w:ind w:firstLine="210" w:firstLineChars="100"/>
                    <w:jc w:val="lef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673" w:type="dxa"/>
                  <w:vAlign w:val="center"/>
                </w:tcPr>
                <w:p>
                  <w:pPr>
                    <w:pStyle w:val="45"/>
                    <w:spacing w:line="36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设备清洗</w:t>
                  </w:r>
                </w:p>
              </w:tc>
              <w:tc>
                <w:tcPr>
                  <w:tcW w:w="869"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实验设备首次清洗之后的清洗废水</w:t>
                  </w:r>
                </w:p>
              </w:tc>
              <w:tc>
                <w:tcPr>
                  <w:tcW w:w="1574" w:type="dxa"/>
                  <w:vAlign w:val="center"/>
                </w:tcPr>
                <w:p>
                  <w:pPr>
                    <w:keepNext w:val="0"/>
                    <w:keepLines w:val="0"/>
                    <w:widowControl/>
                    <w:suppressLineNumbers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无机物成分、CODcr、BOD5、SS 等</w:t>
                  </w:r>
                </w:p>
              </w:tc>
              <w:tc>
                <w:tcPr>
                  <w:tcW w:w="2990" w:type="dxa"/>
                  <w:vMerge w:val="continue"/>
                  <w:vAlign w:val="center"/>
                </w:tcPr>
                <w:p>
                  <w:pPr>
                    <w:pStyle w:val="45"/>
                    <w:spacing w:line="360" w:lineRule="exact"/>
                    <w:ind w:firstLine="210" w:firstLineChars="100"/>
                    <w:jc w:val="both"/>
                    <w:rPr>
                      <w:rFonts w:hint="default" w:ascii="Times New Roman" w:hAnsi="Times New Roman" w:eastAsia="宋体" w:cs="Times New Roman"/>
                      <w:color w:val="auto"/>
                      <w:szCs w:val="21"/>
                    </w:rPr>
                  </w:pPr>
                </w:p>
              </w:tc>
              <w:tc>
                <w:tcPr>
                  <w:tcW w:w="855" w:type="dxa"/>
                  <w:vMerge w:val="continue"/>
                  <w:vAlign w:val="center"/>
                </w:tcPr>
                <w:p>
                  <w:pPr>
                    <w:pStyle w:val="45"/>
                    <w:spacing w:before="78" w:line="360" w:lineRule="exact"/>
                    <w:rPr>
                      <w:rFonts w:hint="default" w:ascii="Times New Roman" w:hAnsi="Times New Roman" w:eastAsia="宋体" w:cs="Times New Roman"/>
                      <w:color w:val="auto"/>
                      <w:szCs w:val="21"/>
                    </w:rPr>
                  </w:pPr>
                </w:p>
              </w:tc>
              <w:tc>
                <w:tcPr>
                  <w:tcW w:w="1647" w:type="dxa"/>
                  <w:vMerge w:val="continue"/>
                  <w:vAlign w:val="center"/>
                </w:tcPr>
                <w:p>
                  <w:pPr>
                    <w:pStyle w:val="45"/>
                    <w:spacing w:before="78" w:line="360" w:lineRule="exact"/>
                    <w:ind w:firstLine="210" w:firstLineChars="100"/>
                    <w:jc w:val="lef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673"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纯水制备</w:t>
                  </w:r>
                </w:p>
              </w:tc>
              <w:tc>
                <w:tcPr>
                  <w:tcW w:w="869" w:type="dxa"/>
                  <w:vAlign w:val="center"/>
                </w:tcPr>
                <w:p>
                  <w:pPr>
                    <w:pStyle w:val="45"/>
                    <w:spacing w:line="36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纯水制备排水</w:t>
                  </w:r>
                </w:p>
              </w:tc>
              <w:tc>
                <w:tcPr>
                  <w:tcW w:w="1574" w:type="dxa"/>
                  <w:vAlign w:val="center"/>
                </w:tcPr>
                <w:p>
                  <w:pPr>
                    <w:keepNext w:val="0"/>
                    <w:keepLines w:val="0"/>
                    <w:widowControl/>
                    <w:suppressLineNumbers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钙、镁盐类</w:t>
                  </w:r>
                </w:p>
              </w:tc>
              <w:tc>
                <w:tcPr>
                  <w:tcW w:w="2990" w:type="dxa"/>
                  <w:vMerge w:val="continue"/>
                  <w:vAlign w:val="center"/>
                </w:tcPr>
                <w:p>
                  <w:pPr>
                    <w:pStyle w:val="45"/>
                    <w:spacing w:line="360" w:lineRule="exact"/>
                    <w:ind w:firstLine="210" w:firstLineChars="100"/>
                    <w:jc w:val="both"/>
                    <w:rPr>
                      <w:rFonts w:hint="default" w:ascii="Times New Roman" w:hAnsi="Times New Roman" w:eastAsia="宋体" w:cs="Times New Roman"/>
                      <w:color w:val="auto"/>
                      <w:szCs w:val="21"/>
                    </w:rPr>
                  </w:pPr>
                </w:p>
              </w:tc>
              <w:tc>
                <w:tcPr>
                  <w:tcW w:w="855" w:type="dxa"/>
                  <w:vMerge w:val="continue"/>
                  <w:vAlign w:val="center"/>
                </w:tcPr>
                <w:p>
                  <w:pPr>
                    <w:pStyle w:val="45"/>
                    <w:spacing w:before="78" w:line="360" w:lineRule="exact"/>
                    <w:rPr>
                      <w:rFonts w:hint="default" w:ascii="Times New Roman" w:hAnsi="Times New Roman" w:eastAsia="宋体" w:cs="Times New Roman"/>
                      <w:color w:val="auto"/>
                      <w:szCs w:val="21"/>
                    </w:rPr>
                  </w:pPr>
                </w:p>
              </w:tc>
              <w:tc>
                <w:tcPr>
                  <w:tcW w:w="1647" w:type="dxa"/>
                  <w:vMerge w:val="continue"/>
                  <w:vAlign w:val="center"/>
                </w:tcPr>
                <w:p>
                  <w:pPr>
                    <w:pStyle w:val="45"/>
                    <w:spacing w:before="78" w:line="360" w:lineRule="exact"/>
                    <w:ind w:firstLine="210" w:firstLineChars="100"/>
                    <w:jc w:val="lef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673" w:type="dxa"/>
                  <w:vAlign w:val="center"/>
                </w:tcPr>
                <w:p>
                  <w:pPr>
                    <w:pStyle w:val="45"/>
                    <w:spacing w:line="360" w:lineRule="exac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厂区</w:t>
                  </w:r>
                  <w:r>
                    <w:rPr>
                      <w:rFonts w:hint="default" w:ascii="Times New Roman" w:hAnsi="Times New Roman" w:eastAsia="宋体" w:cs="Times New Roman"/>
                      <w:color w:val="auto"/>
                      <w:lang w:val="en-US" w:eastAsia="zh-CN"/>
                    </w:rPr>
                    <w:t>范围</w:t>
                  </w:r>
                </w:p>
              </w:tc>
              <w:tc>
                <w:tcPr>
                  <w:tcW w:w="869" w:type="dxa"/>
                  <w:vAlign w:val="center"/>
                </w:tcPr>
                <w:p>
                  <w:pPr>
                    <w:pStyle w:val="45"/>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初期雨水</w:t>
                  </w:r>
                </w:p>
              </w:tc>
              <w:tc>
                <w:tcPr>
                  <w:tcW w:w="1574" w:type="dxa"/>
                  <w:vAlign w:val="center"/>
                </w:tcPr>
                <w:p>
                  <w:pPr>
                    <w:pStyle w:val="45"/>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CODcr，</w:t>
                  </w:r>
                  <w:r>
                    <w:rPr>
                      <w:rFonts w:hint="default" w:ascii="Times New Roman" w:hAnsi="Times New Roman" w:eastAsia="宋体" w:cs="Times New Roman"/>
                      <w:color w:val="auto"/>
                      <w:sz w:val="21"/>
                      <w:szCs w:val="21"/>
                      <w:lang w:val="en-US" w:eastAsia="zh-CN"/>
                    </w:rPr>
                    <w:t>SS</w:t>
                  </w:r>
                </w:p>
              </w:tc>
              <w:tc>
                <w:tcPr>
                  <w:tcW w:w="2990" w:type="dxa"/>
                  <w:vAlign w:val="center"/>
                </w:tcPr>
                <w:p>
                  <w:pPr>
                    <w:pStyle w:val="45"/>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整改后，在</w:t>
                  </w:r>
                  <w:r>
                    <w:rPr>
                      <w:rFonts w:hint="default" w:ascii="Times New Roman" w:hAnsi="Times New Roman" w:eastAsia="宋体" w:cs="Times New Roman"/>
                      <w:color w:val="auto"/>
                      <w:szCs w:val="21"/>
                    </w:rPr>
                    <w:t>项目区</w:t>
                  </w:r>
                  <w:r>
                    <w:rPr>
                      <w:rFonts w:hint="default" w:ascii="Times New Roman" w:hAnsi="Times New Roman" w:eastAsia="宋体" w:cs="Times New Roman"/>
                      <w:color w:val="auto"/>
                      <w:szCs w:val="21"/>
                      <w:lang w:eastAsia="zh-CN"/>
                    </w:rPr>
                    <w:t>西</w:t>
                  </w:r>
                  <w:r>
                    <w:rPr>
                      <w:rFonts w:hint="default" w:ascii="Times New Roman" w:hAnsi="Times New Roman" w:eastAsia="宋体" w:cs="Times New Roman"/>
                      <w:color w:val="auto"/>
                      <w:szCs w:val="21"/>
                    </w:rPr>
                    <w:t>侧地势较低处设置1个10m³的初期雨水收集池，对整个厂区的初期雨水进行收集沉淀处理后，回用于项目区绿化，不外排</w:t>
                  </w:r>
                  <w:r>
                    <w:rPr>
                      <w:rFonts w:hint="default" w:ascii="Times New Roman" w:hAnsi="Times New Roman" w:cs="Times New Roman"/>
                      <w:color w:val="auto"/>
                      <w:szCs w:val="21"/>
                      <w:lang w:eastAsia="zh-CN"/>
                    </w:rPr>
                    <w:t>。</w:t>
                  </w:r>
                </w:p>
              </w:tc>
              <w:tc>
                <w:tcPr>
                  <w:tcW w:w="855" w:type="dxa"/>
                  <w:vAlign w:val="center"/>
                </w:tcPr>
                <w:p>
                  <w:pPr>
                    <w:pStyle w:val="45"/>
                    <w:spacing w:before="78"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不外排</w:t>
                  </w:r>
                </w:p>
              </w:tc>
              <w:tc>
                <w:tcPr>
                  <w:tcW w:w="1647" w:type="dxa"/>
                  <w:vAlign w:val="center"/>
                </w:tcPr>
                <w:p>
                  <w:pPr>
                    <w:pStyle w:val="45"/>
                    <w:spacing w:before="78" w:line="360" w:lineRule="exact"/>
                    <w:ind w:firstLine="210" w:firstLineChars="10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bl>
          <w:p>
            <w:pPr>
              <w:spacing w:beforeLines="50"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②废水污染物排放源产排量及达标情况</w:t>
            </w:r>
          </w:p>
          <w:p>
            <w:pPr>
              <w:pStyle w:val="53"/>
              <w:keepNext w:val="0"/>
              <w:keepLines w:val="0"/>
              <w:pageBreakBefore w:val="0"/>
              <w:widowControl w:val="0"/>
              <w:numPr>
                <w:ilvl w:val="0"/>
                <w:numId w:val="2"/>
              </w:numPr>
              <w:kinsoku/>
              <w:wordWrap/>
              <w:overflowPunct/>
              <w:topLinePunct w:val="0"/>
              <w:autoSpaceDE/>
              <w:autoSpaceDN/>
              <w:bidi w:val="0"/>
              <w:adjustRightInd/>
              <w:snapToGrid/>
              <w:ind w:firstLine="480"/>
              <w:textAlignment w:val="auto"/>
              <w:rPr>
                <w:rFonts w:hint="default" w:ascii="Times New Roman" w:hAnsi="Times New Roman" w:cs="Times New Roman"/>
                <w:b/>
                <w:bCs/>
                <w:color w:val="auto"/>
                <w:kern w:val="0"/>
                <w:sz w:val="24"/>
                <w:szCs w:val="24"/>
                <w:lang w:val="en-US" w:eastAsia="zh-CN" w:bidi="ar"/>
              </w:rPr>
            </w:pPr>
            <w:r>
              <w:rPr>
                <w:rFonts w:hint="default" w:ascii="Times New Roman" w:hAnsi="Times New Roman" w:cs="Times New Roman"/>
                <w:b/>
                <w:bCs/>
                <w:color w:val="auto"/>
                <w:kern w:val="0"/>
                <w:sz w:val="24"/>
                <w:szCs w:val="24"/>
                <w:lang w:val="en-US" w:eastAsia="zh-CN" w:bidi="ar"/>
              </w:rPr>
              <w:t>近期（污水管网建成前）</w:t>
            </w:r>
            <w:r>
              <w:rPr>
                <w:rFonts w:hint="eastAsia" w:ascii="Times New Roman" w:hAnsi="Times New Roman" w:cs="Times New Roman"/>
                <w:b/>
                <w:bCs/>
                <w:color w:val="auto"/>
                <w:kern w:val="0"/>
                <w:sz w:val="24"/>
                <w:szCs w:val="24"/>
                <w:lang w:val="en-US" w:eastAsia="zh-CN" w:bidi="ar"/>
              </w:rPr>
              <w:t>废水污染物</w:t>
            </w:r>
            <w:r>
              <w:rPr>
                <w:rFonts w:hint="default" w:ascii="Times New Roman" w:hAnsi="Times New Roman" w:cs="Times New Roman"/>
                <w:b/>
                <w:bCs/>
                <w:color w:val="auto"/>
                <w:kern w:val="0"/>
                <w:sz w:val="24"/>
                <w:szCs w:val="24"/>
                <w:lang w:val="en-US" w:eastAsia="zh-CN" w:bidi="ar"/>
              </w:rPr>
              <w:t>达标情况</w:t>
            </w:r>
          </w:p>
          <w:p>
            <w:pPr>
              <w:pStyle w:val="5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项目</w:t>
            </w:r>
            <w:r>
              <w:rPr>
                <w:rFonts w:hint="default" w:ascii="Times New Roman" w:hAnsi="Times New Roman" w:eastAsia="宋体" w:cs="Times New Roman"/>
                <w:color w:val="auto"/>
                <w:kern w:val="0"/>
                <w:sz w:val="24"/>
                <w:szCs w:val="24"/>
                <w:lang w:val="en-US" w:eastAsia="zh-CN" w:bidi="ar"/>
              </w:rPr>
              <w:t>纯水设备浓排水、理化室实验器皿初次清洗废水之后的清洗废水、生产车间、办公区域等地面清洁废水经化粪池（容积7m³）预处理后进入一体化污水处理设施（处理能力7m³）处理；</w:t>
            </w:r>
            <w:r>
              <w:rPr>
                <w:rFonts w:hint="default" w:ascii="Times New Roman" w:hAnsi="Times New Roman" w:eastAsia="宋体" w:cs="Times New Roman"/>
                <w:color w:val="auto"/>
                <w:sz w:val="24"/>
                <w:szCs w:val="24"/>
              </w:rPr>
              <w:t>项目厨房废水先经1m³的隔油池</w:t>
            </w:r>
            <w:r>
              <w:rPr>
                <w:rFonts w:hint="default" w:ascii="Times New Roman" w:hAnsi="Times New Roman" w:eastAsia="宋体" w:cs="Times New Roman"/>
                <w:color w:val="auto"/>
                <w:sz w:val="24"/>
                <w:szCs w:val="24"/>
                <w:lang w:eastAsia="zh-CN"/>
              </w:rPr>
              <w:t>处理后</w:t>
            </w:r>
            <w:r>
              <w:rPr>
                <w:rFonts w:hint="default" w:ascii="Times New Roman" w:hAnsi="Times New Roman" w:eastAsia="宋体" w:cs="Times New Roman"/>
                <w:color w:val="auto"/>
                <w:sz w:val="24"/>
                <w:szCs w:val="24"/>
              </w:rPr>
              <w:t>和其他生活污水一起进入一个有效容积7m³的化粪池预处理</w:t>
            </w:r>
            <w:r>
              <w:rPr>
                <w:rFonts w:hint="default" w:ascii="Times New Roman" w:hAnsi="Times New Roman" w:eastAsia="宋体" w:cs="Times New Roman"/>
                <w:color w:val="auto"/>
                <w:sz w:val="24"/>
                <w:szCs w:val="24"/>
                <w:lang w:eastAsia="zh-CN"/>
              </w:rPr>
              <w:t>，预处理后经</w:t>
            </w:r>
            <w:r>
              <w:rPr>
                <w:rFonts w:hint="default" w:ascii="Times New Roman" w:hAnsi="Times New Roman" w:eastAsia="宋体" w:cs="Times New Roman"/>
                <w:color w:val="auto"/>
                <w:sz w:val="24"/>
                <w:szCs w:val="24"/>
              </w:rPr>
              <w:t>1套处理能力为</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m³/d的一体化污水处理</w:t>
            </w:r>
            <w:r>
              <w:rPr>
                <w:rFonts w:hint="default" w:ascii="Times New Roman" w:hAnsi="Times New Roman" w:eastAsia="宋体" w:cs="Times New Roman"/>
                <w:color w:val="auto"/>
                <w:sz w:val="24"/>
                <w:szCs w:val="24"/>
                <w:lang w:eastAsia="zh-CN"/>
              </w:rPr>
              <w:t>设施处理</w:t>
            </w:r>
            <w:r>
              <w:rPr>
                <w:rFonts w:hint="default" w:ascii="Times New Roman" w:hAnsi="Times New Roman" w:cs="Times New Roman"/>
                <w:color w:val="auto"/>
                <w:sz w:val="24"/>
                <w:szCs w:val="24"/>
                <w:lang w:eastAsia="zh-CN"/>
              </w:rPr>
              <w:t>。建设单位委托</w:t>
            </w:r>
            <w:r>
              <w:rPr>
                <w:rFonts w:hint="default" w:ascii="Times New Roman" w:hAnsi="Times New Roman" w:eastAsia="宋体" w:cs="Times New Roman"/>
                <w:color w:val="auto"/>
                <w:kern w:val="0"/>
                <w:sz w:val="24"/>
                <w:szCs w:val="24"/>
                <w:lang w:val="en-US" w:eastAsia="zh-CN" w:bidi="ar"/>
              </w:rPr>
              <w:t>云南加莱希安全检测有限公司于2023年</w:t>
            </w:r>
            <w:r>
              <w:rPr>
                <w:rFonts w:hint="default" w:ascii="Times New Roman" w:hAnsi="Times New Roman" w:cs="Times New Roman"/>
                <w:color w:val="auto"/>
                <w:kern w:val="0"/>
                <w:sz w:val="24"/>
                <w:szCs w:val="24"/>
                <w:lang w:val="en-US" w:eastAsia="zh-CN" w:bidi="ar"/>
              </w:rPr>
              <w:t>10月19日~10月20日</w:t>
            </w:r>
            <w:r>
              <w:rPr>
                <w:rFonts w:hint="default" w:ascii="Times New Roman" w:hAnsi="Times New Roman" w:eastAsia="宋体" w:cs="Times New Roman"/>
                <w:color w:val="auto"/>
                <w:kern w:val="0"/>
                <w:sz w:val="24"/>
                <w:szCs w:val="24"/>
                <w:lang w:val="en-US" w:eastAsia="zh-CN" w:bidi="ar"/>
              </w:rPr>
              <w:t>对项目</w:t>
            </w:r>
            <w:r>
              <w:rPr>
                <w:rFonts w:hint="default" w:ascii="Times New Roman" w:hAnsi="Times New Roman" w:cs="Times New Roman"/>
                <w:color w:val="auto"/>
                <w:kern w:val="0"/>
                <w:sz w:val="24"/>
                <w:szCs w:val="24"/>
                <w:lang w:val="en-US" w:eastAsia="zh-CN" w:bidi="ar"/>
              </w:rPr>
              <w:t>一体化污水处理设施废水进行监测，具体水质检测结果表如下表所示，</w:t>
            </w:r>
          </w:p>
          <w:p>
            <w:pPr>
              <w:pStyle w:val="53"/>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表4.2.2-3  水质检测结果一览表（一体化污水处理设施排口）</w:t>
            </w:r>
          </w:p>
          <w:tbl>
            <w:tblPr>
              <w:tblStyle w:val="2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60"/>
              <w:gridCol w:w="1260"/>
              <w:gridCol w:w="1245"/>
              <w:gridCol w:w="1215"/>
              <w:gridCol w:w="1121"/>
              <w:gridCol w:w="91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val="en-US" w:eastAsia="zh-CN"/>
                    </w:rPr>
                    <w:t>分析项目</w:t>
                  </w:r>
                </w:p>
              </w:tc>
              <w:tc>
                <w:tcPr>
                  <w:tcW w:w="4841"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检测结果</w:t>
                  </w:r>
                </w:p>
              </w:tc>
              <w:tc>
                <w:tcPr>
                  <w:tcW w:w="9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标准限值</w:t>
                  </w:r>
                </w:p>
              </w:tc>
              <w:tc>
                <w:tcPr>
                  <w:tcW w:w="7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4841" w:type="dxa"/>
                  <w:gridSpan w:val="4"/>
                  <w:tcBorders>
                    <w:tl2br w:val="nil"/>
                    <w:tr2bl w:val="nil"/>
                  </w:tcBorders>
                  <w:noWrap w:val="0"/>
                  <w:vAlign w:val="center"/>
                </w:tcPr>
                <w:p>
                  <w:pPr>
                    <w:pStyle w:val="40"/>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一体化污水处理设施出口</w:t>
                  </w:r>
                </w:p>
              </w:tc>
              <w:tc>
                <w:tcPr>
                  <w:tcW w:w="919" w:type="dxa"/>
                  <w:vMerge w:val="continue"/>
                  <w:tcBorders>
                    <w:tl2br w:val="nil"/>
                    <w:tr2bl w:val="nil"/>
                  </w:tcBorders>
                  <w:noWrap w:val="0"/>
                  <w:vAlign w:val="center"/>
                </w:tcPr>
                <w:p>
                  <w:pPr>
                    <w:pStyle w:val="40"/>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p>
              </w:tc>
              <w:tc>
                <w:tcPr>
                  <w:tcW w:w="735" w:type="dxa"/>
                  <w:vMerge w:val="continue"/>
                  <w:tcBorders>
                    <w:tl2br w:val="nil"/>
                    <w:tr2bl w:val="nil"/>
                  </w:tcBorders>
                  <w:noWrap w:val="0"/>
                  <w:vAlign w:val="center"/>
                </w:tcPr>
                <w:p>
                  <w:pPr>
                    <w:pStyle w:val="40"/>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4841" w:type="dxa"/>
                  <w:gridSpan w:val="4"/>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2023.10.19</w:t>
                  </w:r>
                </w:p>
              </w:tc>
              <w:tc>
                <w:tcPr>
                  <w:tcW w:w="919" w:type="dxa"/>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735" w:type="dxa"/>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126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11:23～11:31</w:t>
                  </w:r>
                </w:p>
              </w:tc>
              <w:tc>
                <w:tcPr>
                  <w:tcW w:w="124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13:32～13:40</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15:28～15:36</w:t>
                  </w:r>
                </w:p>
              </w:tc>
              <w:tc>
                <w:tcPr>
                  <w:tcW w:w="1121"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17:21～17:29</w:t>
                  </w:r>
                </w:p>
              </w:tc>
              <w:tc>
                <w:tcPr>
                  <w:tcW w:w="91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126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2023HW216-06-01</w:t>
                  </w:r>
                </w:p>
              </w:tc>
              <w:tc>
                <w:tcPr>
                  <w:tcW w:w="124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2023HW216-06-02</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2023HW216-06-03</w:t>
                  </w:r>
                </w:p>
              </w:tc>
              <w:tc>
                <w:tcPr>
                  <w:tcW w:w="1121"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2023HW216-06-04</w:t>
                  </w:r>
                </w:p>
              </w:tc>
              <w:tc>
                <w:tcPr>
                  <w:tcW w:w="91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pH值（无量纲）</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6.6</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6.6</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6.7</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6.7</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6.0~9.0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溶解氧（mg/L）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3.8</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3.8</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3.9</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色度（倍）</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浊度（度）</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63" w:type="dxa"/>
                  <w:vMerge w:val="restart"/>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臭</w:t>
                  </w:r>
                </w:p>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（无量纲）</w:t>
                  </w:r>
                </w:p>
              </w:tc>
              <w:tc>
                <w:tcPr>
                  <w:tcW w:w="1260" w:type="dxa"/>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原水样臭</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9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无不快感</w:t>
                  </w:r>
                </w:p>
              </w:tc>
              <w:tc>
                <w:tcPr>
                  <w:tcW w:w="7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63" w:type="dxa"/>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260" w:type="dxa"/>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原水样煮沸后臭</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9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溶解性总固体（mg/L）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151</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136</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120</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134</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氨氮（mg/L）</w:t>
                  </w:r>
                </w:p>
              </w:tc>
              <w:tc>
                <w:tcPr>
                  <w:tcW w:w="126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0.074</w:t>
                  </w:r>
                </w:p>
              </w:tc>
              <w:tc>
                <w:tcPr>
                  <w:tcW w:w="124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0.077</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0.077</w:t>
                  </w:r>
                </w:p>
              </w:tc>
              <w:tc>
                <w:tcPr>
                  <w:tcW w:w="1121"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0.074</w:t>
                  </w:r>
                </w:p>
              </w:tc>
              <w:tc>
                <w:tcPr>
                  <w:tcW w:w="91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w:t>
                  </w:r>
                </w:p>
              </w:tc>
              <w:tc>
                <w:tcPr>
                  <w:tcW w:w="73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五日生化需氧量（mg/L）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9.0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8.5</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8.5</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8.0</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阴离子表面活性剂（mg/L）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0.05</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0.056</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0.05</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0.060</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0.5</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总氯（mg/L）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0.24</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0.29</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0.26</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0.24</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大肠埃希氏菌</w:t>
                  </w:r>
                  <w:r>
                    <w:rPr>
                      <w:rFonts w:hint="default" w:ascii="Times New Roman" w:hAnsi="Times New Roman" w:eastAsia="宋体" w:cs="Times New Roman"/>
                      <w:i w:val="0"/>
                      <w:iCs w:val="0"/>
                      <w:color w:val="auto"/>
                      <w:kern w:val="0"/>
                      <w:sz w:val="21"/>
                      <w:szCs w:val="21"/>
                      <w:u w:val="none"/>
                      <w:lang w:val="en-US" w:eastAsia="zh-CN" w:bidi="ar"/>
                    </w:rPr>
                    <w:t>（MPN/L）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lang w:eastAsia="zh-CN"/>
                    </w:rPr>
                    <w:t>无</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0"/>
                      <w:sz w:val="21"/>
                      <w:szCs w:val="21"/>
                      <w:lang w:eastAsia="zh-CN"/>
                    </w:rPr>
                    <w:t>样品性状</w:t>
                  </w:r>
                </w:p>
              </w:tc>
              <w:tc>
                <w:tcPr>
                  <w:tcW w:w="649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浅黄、有异味、无浮油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val="en-US" w:eastAsia="zh-CN"/>
                    </w:rPr>
                    <w:t>分析项目</w:t>
                  </w:r>
                </w:p>
              </w:tc>
              <w:tc>
                <w:tcPr>
                  <w:tcW w:w="4841"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检测结果</w:t>
                  </w:r>
                </w:p>
              </w:tc>
              <w:tc>
                <w:tcPr>
                  <w:tcW w:w="9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标准限值</w:t>
                  </w:r>
                </w:p>
              </w:tc>
              <w:tc>
                <w:tcPr>
                  <w:tcW w:w="7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4841" w:type="dxa"/>
                  <w:gridSpan w:val="4"/>
                  <w:tcBorders>
                    <w:tl2br w:val="nil"/>
                    <w:tr2bl w:val="nil"/>
                  </w:tcBorders>
                  <w:noWrap w:val="0"/>
                  <w:vAlign w:val="center"/>
                </w:tcPr>
                <w:p>
                  <w:pPr>
                    <w:pStyle w:val="40"/>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lang w:val="en-US" w:eastAsia="zh-CN"/>
                    </w:rPr>
                    <w:t>一体化污水处理设施出口</w:t>
                  </w:r>
                </w:p>
              </w:tc>
              <w:tc>
                <w:tcPr>
                  <w:tcW w:w="919" w:type="dxa"/>
                  <w:vMerge w:val="continue"/>
                  <w:tcBorders>
                    <w:tl2br w:val="nil"/>
                    <w:tr2bl w:val="nil"/>
                  </w:tcBorders>
                  <w:noWrap w:val="0"/>
                  <w:vAlign w:val="center"/>
                </w:tcPr>
                <w:p>
                  <w:pPr>
                    <w:pStyle w:val="40"/>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p>
              </w:tc>
              <w:tc>
                <w:tcPr>
                  <w:tcW w:w="735" w:type="dxa"/>
                  <w:vMerge w:val="continue"/>
                  <w:tcBorders>
                    <w:tl2br w:val="nil"/>
                    <w:tr2bl w:val="nil"/>
                  </w:tcBorders>
                  <w:noWrap w:val="0"/>
                  <w:vAlign w:val="center"/>
                </w:tcPr>
                <w:p>
                  <w:pPr>
                    <w:pStyle w:val="40"/>
                    <w:keepNext w:val="0"/>
                    <w:keepLines w:val="0"/>
                    <w:pageBreakBefore w:val="0"/>
                    <w:kinsoku/>
                    <w:wordWrap/>
                    <w:overflowPunct/>
                    <w:topLinePunct w:val="0"/>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4841" w:type="dxa"/>
                  <w:gridSpan w:val="4"/>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2023.10.20</w:t>
                  </w:r>
                </w:p>
              </w:tc>
              <w:tc>
                <w:tcPr>
                  <w:tcW w:w="919" w:type="dxa"/>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735" w:type="dxa"/>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126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11:25～11:32</w:t>
                  </w:r>
                </w:p>
              </w:tc>
              <w:tc>
                <w:tcPr>
                  <w:tcW w:w="124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13:34～13:39</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15:30～15:35</w:t>
                  </w:r>
                </w:p>
              </w:tc>
              <w:tc>
                <w:tcPr>
                  <w:tcW w:w="1121"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17:23～17:28</w:t>
                  </w:r>
                </w:p>
              </w:tc>
              <w:tc>
                <w:tcPr>
                  <w:tcW w:w="91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firstLine="0" w:firstLineChars="0"/>
                    <w:jc w:val="center"/>
                    <w:textAlignment w:val="auto"/>
                    <w:rPr>
                      <w:rFonts w:hint="default" w:ascii="Times New Roman" w:hAnsi="Times New Roman" w:eastAsia="宋体" w:cs="Times New Roman"/>
                      <w:b w:val="0"/>
                      <w:bCs w:val="0"/>
                      <w:color w:val="auto"/>
                      <w:sz w:val="21"/>
                      <w:szCs w:val="21"/>
                      <w:lang w:eastAsia="zh-CN"/>
                    </w:rPr>
                  </w:pPr>
                </w:p>
              </w:tc>
              <w:tc>
                <w:tcPr>
                  <w:tcW w:w="1260"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2023HW216-06-05</w:t>
                  </w:r>
                </w:p>
              </w:tc>
              <w:tc>
                <w:tcPr>
                  <w:tcW w:w="124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2023HW216-06-06</w:t>
                  </w:r>
                </w:p>
              </w:tc>
              <w:tc>
                <w:tcPr>
                  <w:tcW w:w="121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2023HW216-06-07</w:t>
                  </w:r>
                </w:p>
              </w:tc>
              <w:tc>
                <w:tcPr>
                  <w:tcW w:w="1121"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2023HW216-06-08</w:t>
                  </w:r>
                </w:p>
              </w:tc>
              <w:tc>
                <w:tcPr>
                  <w:tcW w:w="91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pH值（无量纲）</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6.7</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6.7</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6.7</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6.7</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6.0~9.0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溶解氧（mg/L）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3.9</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4.3</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4.4</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色度（倍）</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浊度（度）</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lang w:val="en-US" w:eastAsia="zh-CN"/>
                    </w:rPr>
                    <w:t>3</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lang w:val="en-US" w:eastAsia="zh-CN"/>
                    </w:rPr>
                    <w:t>10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63" w:type="dxa"/>
                  <w:vMerge w:val="restart"/>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臭</w:t>
                  </w:r>
                </w:p>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（无量纲）</w:t>
                  </w:r>
                </w:p>
              </w:tc>
              <w:tc>
                <w:tcPr>
                  <w:tcW w:w="1260" w:type="dxa"/>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原水样臭</w:t>
                  </w:r>
                </w:p>
              </w:tc>
              <w:tc>
                <w:tcPr>
                  <w:tcW w:w="1260" w:type="dxa"/>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9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无不快感</w:t>
                  </w:r>
                </w:p>
              </w:tc>
              <w:tc>
                <w:tcPr>
                  <w:tcW w:w="7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63" w:type="dxa"/>
                  <w:vMerge w:val="continue"/>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260" w:type="dxa"/>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原水样煮沸后臭</w:t>
                  </w:r>
                </w:p>
              </w:tc>
              <w:tc>
                <w:tcPr>
                  <w:tcW w:w="1260" w:type="dxa"/>
                  <w:tcBorders>
                    <w:tl2br w:val="nil"/>
                    <w:tr2bl w:val="nil"/>
                  </w:tcBorders>
                  <w:noWrap w:val="0"/>
                  <w:vAlign w:val="center"/>
                </w:tcPr>
                <w:p>
                  <w:pPr>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45" w:type="dxa"/>
                  <w:tcBorders>
                    <w:tl2br w:val="nil"/>
                    <w:tr2bl w:val="nil"/>
                  </w:tcBorders>
                  <w:noWrap w:val="0"/>
                  <w:vAlign w:val="center"/>
                </w:tcPr>
                <w:p>
                  <w:pPr>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215" w:type="dxa"/>
                  <w:tcBorders>
                    <w:tl2br w:val="nil"/>
                    <w:tr2bl w:val="nil"/>
                  </w:tcBorders>
                  <w:noWrap w:val="0"/>
                  <w:vAlign w:val="center"/>
                </w:tcPr>
                <w:p>
                  <w:pPr>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1121" w:type="dxa"/>
                  <w:tcBorders>
                    <w:tl2br w:val="nil"/>
                    <w:tr2bl w:val="nil"/>
                  </w:tcBorders>
                  <w:noWrap w:val="0"/>
                  <w:vAlign w:val="center"/>
                </w:tcPr>
                <w:p>
                  <w:pPr>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无</w:t>
                  </w:r>
                </w:p>
              </w:tc>
              <w:tc>
                <w:tcPr>
                  <w:tcW w:w="919" w:type="dxa"/>
                  <w:vMerge w:val="continue"/>
                  <w:tcBorders>
                    <w:tl2br w:val="nil"/>
                    <w:tr2bl w:val="nil"/>
                  </w:tcBorders>
                  <w:noWrap w:val="0"/>
                  <w:vAlign w:val="center"/>
                </w:tcPr>
                <w:p>
                  <w:pPr>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溶解性总固体（mg/L）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143</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120</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136</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132</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pStyle w:val="40"/>
                    <w:keepNext w:val="0"/>
                    <w:keepLines w:val="0"/>
                    <w:pageBreakBefore w:val="0"/>
                    <w:widowControl w:val="0"/>
                    <w:kinsoku/>
                    <w:wordWrap/>
                    <w:overflowPunct/>
                    <w:topLinePunct w:val="0"/>
                    <w:bidi w:val="0"/>
                    <w:snapToGrid/>
                    <w:spacing w:line="360" w:lineRule="exact"/>
                    <w:ind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氨氮（mg/L）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0.080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0.077</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0.080</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0.082</w:t>
                  </w:r>
                </w:p>
              </w:tc>
              <w:tc>
                <w:tcPr>
                  <w:tcW w:w="919"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w:t>
                  </w:r>
                </w:p>
              </w:tc>
              <w:tc>
                <w:tcPr>
                  <w:tcW w:w="735"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五日生化需氧量（mg/L）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9.0</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8.5</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8.1</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阴离子表面活性剂（mg/L）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0.051</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0.05</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0.05</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0.051</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0.5</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总氯（mg/L）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0.28</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0.27</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0.28</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0.26</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2.5</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大肠埃希氏菌</w:t>
                  </w:r>
                  <w:r>
                    <w:rPr>
                      <w:rFonts w:hint="default" w:ascii="Times New Roman" w:hAnsi="Times New Roman" w:eastAsia="宋体" w:cs="Times New Roman"/>
                      <w:i w:val="0"/>
                      <w:iCs w:val="0"/>
                      <w:color w:val="auto"/>
                      <w:kern w:val="0"/>
                      <w:sz w:val="21"/>
                      <w:szCs w:val="21"/>
                      <w:u w:val="none"/>
                      <w:lang w:val="en-US" w:eastAsia="zh-CN" w:bidi="ar"/>
                    </w:rPr>
                    <w:t>（MPN/L）</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12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lang w:val="en-US" w:eastAsia="zh-CN"/>
                    </w:rPr>
                    <w:t>10</w:t>
                  </w:r>
                </w:p>
              </w:tc>
              <w:tc>
                <w:tcPr>
                  <w:tcW w:w="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lang w:eastAsia="zh-CN"/>
                    </w:rPr>
                    <w:t>无</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0"/>
                      <w:sz w:val="21"/>
                      <w:szCs w:val="21"/>
                      <w:lang w:eastAsia="zh-CN"/>
                    </w:rPr>
                    <w:t>样品性状</w:t>
                  </w:r>
                </w:p>
              </w:tc>
              <w:tc>
                <w:tcPr>
                  <w:tcW w:w="649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浅黄、有异味、无浮油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63" w:type="dxa"/>
                  <w:tcBorders>
                    <w:tl2br w:val="nil"/>
                    <w:tr2bl w:val="nil"/>
                  </w:tcBorders>
                  <w:noWrap w:val="0"/>
                  <w:vAlign w:val="center"/>
                </w:tcPr>
                <w:p>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备注：</w:t>
                  </w:r>
                </w:p>
              </w:tc>
              <w:tc>
                <w:tcPr>
                  <w:tcW w:w="7755" w:type="dxa"/>
                  <w:gridSpan w:val="7"/>
                  <w:tcBorders>
                    <w:tl2br w:val="nil"/>
                    <w:tr2bl w:val="nil"/>
                  </w:tcBorders>
                  <w:noWrap w:val="0"/>
                  <w:vAlign w:val="center"/>
                </w:tcPr>
                <w:p>
                  <w:pPr>
                    <w:pStyle w:val="40"/>
                    <w:keepNext w:val="0"/>
                    <w:keepLines w:val="0"/>
                    <w:pageBreakBefore w:val="0"/>
                    <w:numPr>
                      <w:ilvl w:val="0"/>
                      <w:numId w:val="0"/>
                    </w:numPr>
                    <w:kinsoku/>
                    <w:wordWrap/>
                    <w:overflowPunct/>
                    <w:topLinePunct w:val="0"/>
                    <w:bidi w:val="0"/>
                    <w:snapToGrid/>
                    <w:spacing w:line="360" w:lineRule="exact"/>
                    <w:ind w:firstLine="0" w:firstLineChars="0"/>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lang w:eastAsia="zh-CN"/>
                    </w:rPr>
                    <w:t>检测结果低于检出限时，该项目检测结果以“＜检出限”表示。</w:t>
                  </w:r>
                </w:p>
              </w:tc>
            </w:tr>
          </w:tbl>
          <w:p>
            <w:pPr>
              <w:pStyle w:val="53"/>
              <w:spacing w:beforeLines="50"/>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由上表可知，经</w:t>
            </w:r>
            <w:r>
              <w:rPr>
                <w:rFonts w:hint="default" w:ascii="Times New Roman" w:hAnsi="Times New Roman" w:eastAsia="宋体" w:cs="Times New Roman"/>
                <w:color w:val="auto"/>
                <w:lang w:eastAsia="zh-CN"/>
              </w:rPr>
              <w:t>一体化污水处理设施</w:t>
            </w:r>
            <w:r>
              <w:rPr>
                <w:rFonts w:hint="default" w:ascii="Times New Roman" w:hAnsi="Times New Roman" w:eastAsia="宋体" w:cs="Times New Roman"/>
                <w:color w:val="auto"/>
              </w:rPr>
              <w:t>处理后的</w:t>
            </w:r>
            <w:r>
              <w:rPr>
                <w:rFonts w:hint="eastAsia" w:ascii="Times New Roman" w:hAnsi="Times New Roman" w:cs="Times New Roman"/>
                <w:color w:val="auto"/>
                <w:lang w:eastAsia="zh-CN"/>
              </w:rPr>
              <w:t>综合废水</w:t>
            </w:r>
            <w:r>
              <w:rPr>
                <w:rFonts w:hint="default" w:ascii="Times New Roman" w:hAnsi="Times New Roman" w:eastAsia="宋体" w:cs="Times New Roman"/>
                <w:color w:val="auto"/>
              </w:rPr>
              <w:t>可达到《城市污水再生利用 城市杂用水水质》（GB/T</w:t>
            </w:r>
            <w:r>
              <w:rPr>
                <w:rFonts w:hint="eastAsia" w:cs="Times New Roman"/>
                <w:color w:val="auto"/>
                <w:lang w:eastAsia="zh-CN"/>
              </w:rPr>
              <w:t>*****</w:t>
            </w:r>
            <w:r>
              <w:rPr>
                <w:rFonts w:hint="default" w:ascii="Times New Roman" w:hAnsi="Times New Roman" w:eastAsia="宋体" w:cs="Times New Roman"/>
                <w:color w:val="auto"/>
              </w:rPr>
              <w:t>-2020）中城市绿化标准。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val="0"/>
                <w:bCs w:val="0"/>
                <w:color w:val="auto"/>
                <w:kern w:val="0"/>
                <w:sz w:val="24"/>
                <w:szCs w:val="24"/>
                <w:lang w:val="en-US" w:eastAsia="zh-CN" w:bidi="ar"/>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远期（</w:t>
            </w:r>
            <w:r>
              <w:rPr>
                <w:rFonts w:hint="default" w:ascii="Times New Roman" w:hAnsi="Times New Roman" w:eastAsia="宋体" w:cs="Times New Roman"/>
                <w:b/>
                <w:bCs/>
                <w:color w:val="auto"/>
                <w:sz w:val="24"/>
                <w:szCs w:val="24"/>
                <w:lang w:eastAsia="zh-CN"/>
              </w:rPr>
              <w:t>污水管网</w:t>
            </w:r>
            <w:r>
              <w:rPr>
                <w:rFonts w:hint="default" w:ascii="Times New Roman" w:hAnsi="Times New Roman" w:eastAsia="宋体" w:cs="Times New Roman"/>
                <w:b/>
                <w:bCs/>
                <w:color w:val="auto"/>
                <w:sz w:val="24"/>
                <w:szCs w:val="24"/>
              </w:rPr>
              <w:t>建成后）</w:t>
            </w:r>
            <w:r>
              <w:rPr>
                <w:rFonts w:hint="default" w:ascii="Times New Roman" w:hAnsi="Times New Roman" w:eastAsia="宋体" w:cs="Times New Roman"/>
                <w:b/>
                <w:bCs/>
                <w:color w:val="auto"/>
                <w:sz w:val="24"/>
                <w:szCs w:val="24"/>
                <w:highlight w:val="none"/>
              </w:rPr>
              <w:t>废水污染物排放源产排量及达标情况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kern w:val="0"/>
                <w:sz w:val="24"/>
                <w:szCs w:val="24"/>
                <w:lang w:val="en-US" w:eastAsia="zh-CN" w:bidi="ar"/>
              </w:rPr>
              <w:t>远期（污水管网建成后）厨房废水经隔油池隔油处理后与纯水设备浓排水、理化室实验器皿初次清洗废水之后的清洗废水、生产车间、办公区域等地面清洁废水一起进入经化粪池（容积7m³）预处理（一体化污水处理设施将闲置），处理</w:t>
            </w:r>
            <w:r>
              <w:rPr>
                <w:rFonts w:hint="default" w:ascii="Times New Roman" w:hAnsi="Times New Roman" w:eastAsia="宋体" w:cs="Times New Roman"/>
                <w:color w:val="auto"/>
                <w:sz w:val="24"/>
                <w:szCs w:val="24"/>
              </w:rPr>
              <w:t>达到《污水排入城镇下水道水质标准》（GB/T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-2015）表1A级标准</w:t>
            </w:r>
            <w:r>
              <w:rPr>
                <w:rFonts w:hint="default" w:ascii="Times New Roman" w:hAnsi="Times New Roman" w:eastAsia="宋体" w:cs="Times New Roman"/>
                <w:color w:val="auto"/>
                <w:sz w:val="24"/>
                <w:szCs w:val="24"/>
                <w:lang w:eastAsia="zh-CN"/>
              </w:rPr>
              <w:t>后</w:t>
            </w:r>
            <w:r>
              <w:rPr>
                <w:rFonts w:hint="default" w:ascii="Times New Roman" w:hAnsi="Times New Roman" w:eastAsia="宋体" w:cs="Times New Roman"/>
                <w:color w:val="auto"/>
                <w:sz w:val="24"/>
                <w:szCs w:val="24"/>
              </w:rPr>
              <w:t>进入东川区城市污水处理厂集中处理。</w:t>
            </w:r>
            <w:r>
              <w:rPr>
                <w:rFonts w:hint="default" w:ascii="Times New Roman" w:hAnsi="Times New Roman" w:eastAsia="宋体" w:cs="Times New Roman"/>
                <w:color w:val="auto"/>
                <w:sz w:val="24"/>
                <w:szCs w:val="24"/>
                <w:lang w:eastAsia="zh-CN"/>
              </w:rPr>
              <w:t>根据类比同类行业其他项目“</w:t>
            </w:r>
            <w:r>
              <w:rPr>
                <w:rFonts w:hint="default" w:ascii="Times New Roman" w:hAnsi="Times New Roman" w:eastAsia="宋体" w:cs="Times New Roman"/>
                <w:color w:val="auto"/>
                <w:kern w:val="0"/>
                <w:sz w:val="24"/>
                <w:szCs w:val="24"/>
                <w:lang w:val="en-US" w:eastAsia="zh-CN" w:bidi="ar"/>
              </w:rPr>
              <w:t>云南康帆医疗器械有限公司一类、二类医疗器械生产项目”</w:t>
            </w:r>
            <w:r>
              <w:rPr>
                <w:rFonts w:hint="default" w:ascii="Times New Roman" w:hAnsi="Times New Roman" w:eastAsia="宋体" w:cs="Times New Roman"/>
                <w:color w:val="auto"/>
                <w:sz w:val="24"/>
                <w:szCs w:val="24"/>
                <w:lang w:eastAsia="zh-CN"/>
              </w:rPr>
              <w:t>废水核算数据</w:t>
            </w:r>
            <w:r>
              <w:rPr>
                <w:rFonts w:hint="default" w:ascii="Times New Roman" w:hAnsi="Times New Roman" w:eastAsia="宋体" w:cs="Times New Roman"/>
                <w:color w:val="auto"/>
                <w:sz w:val="24"/>
                <w:szCs w:val="24"/>
                <w:lang w:val="en-US" w:eastAsia="zh-CN"/>
              </w:rPr>
              <w:t>,该项目已进行竣工验收并投产，</w:t>
            </w:r>
            <w:r>
              <w:rPr>
                <w:rFonts w:hint="default" w:ascii="Times New Roman" w:hAnsi="Times New Roman" w:eastAsia="宋体" w:cs="Times New Roman"/>
                <w:color w:val="auto"/>
                <w:kern w:val="0"/>
                <w:sz w:val="24"/>
                <w:szCs w:val="24"/>
                <w:lang w:val="en-US" w:eastAsia="zh-CN" w:bidi="ar"/>
              </w:rPr>
              <w:t>项目废水污染物产生浓度约为：CODcr≤400mg/L、BOD5≤250mg/L、NH3-N≤45mg/L、SS≤500mg/L、TP≤8mg/L、总氮≤45mg/L、阴离子表面活性剂≤16mg/L。经隔油池化粪池处理后的废水排放浓度为CODcr≤340mg/L、BOD</w:t>
            </w:r>
            <w:r>
              <w:rPr>
                <w:rFonts w:hint="default" w:ascii="Times New Roman" w:hAnsi="Times New Roman" w:eastAsia="宋体" w:cs="Times New Roman"/>
                <w:color w:val="auto"/>
                <w:kern w:val="0"/>
                <w:sz w:val="24"/>
                <w:szCs w:val="24"/>
                <w:vertAlign w:val="subscript"/>
                <w:lang w:val="en-US" w:eastAsia="zh-CN" w:bidi="ar"/>
              </w:rPr>
              <w:t>5</w:t>
            </w:r>
            <w:r>
              <w:rPr>
                <w:rFonts w:hint="default" w:ascii="Times New Roman" w:hAnsi="Times New Roman" w:eastAsia="宋体" w:cs="Times New Roman"/>
                <w:color w:val="auto"/>
                <w:kern w:val="0"/>
                <w:sz w:val="24"/>
                <w:szCs w:val="24"/>
                <w:lang w:val="en-US" w:eastAsia="zh-CN" w:bidi="ar"/>
              </w:rPr>
              <w:t>≤250mg/L、NH</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-N≤43.65mg/L、SS≤350mg/L、TP≤7mg/L、总氮≤40mg/L、阴离子表面活性剂≤11mg/L。</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该项目污水污染物产生源强表见下表。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表4.2.2-3 项目一体化污水处理设施污染物核算一览表</w:t>
            </w:r>
          </w:p>
          <w:tbl>
            <w:tblPr>
              <w:tblStyle w:val="25"/>
              <w:tblW w:w="8617" w:type="dxa"/>
              <w:jc w:val="center"/>
              <w:tblLayout w:type="fixed"/>
              <w:tblCellMar>
                <w:top w:w="0" w:type="dxa"/>
                <w:left w:w="108" w:type="dxa"/>
                <w:bottom w:w="0" w:type="dxa"/>
                <w:right w:w="108" w:type="dxa"/>
              </w:tblCellMar>
            </w:tblPr>
            <w:tblGrid>
              <w:gridCol w:w="739"/>
              <w:gridCol w:w="741"/>
              <w:gridCol w:w="1242"/>
              <w:gridCol w:w="1138"/>
              <w:gridCol w:w="995"/>
              <w:gridCol w:w="1029"/>
              <w:gridCol w:w="959"/>
              <w:gridCol w:w="936"/>
              <w:gridCol w:w="838"/>
            </w:tblGrid>
            <w:tr>
              <w:tblPrEx>
                <w:tblCellMar>
                  <w:top w:w="0" w:type="dxa"/>
                  <w:left w:w="108" w:type="dxa"/>
                  <w:bottom w:w="0" w:type="dxa"/>
                  <w:right w:w="108" w:type="dxa"/>
                </w:tblCellMar>
              </w:tblPrEx>
              <w:trPr>
                <w:jc w:val="center"/>
              </w:trPr>
              <w:tc>
                <w:tcPr>
                  <w:tcW w:w="7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产排污环节</w:t>
                  </w:r>
                </w:p>
              </w:tc>
              <w:tc>
                <w:tcPr>
                  <w:tcW w:w="7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类别</w:t>
                  </w:r>
                </w:p>
              </w:tc>
              <w:tc>
                <w:tcPr>
                  <w:tcW w:w="12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污染物种类</w:t>
                  </w:r>
                </w:p>
              </w:tc>
              <w:tc>
                <w:tcPr>
                  <w:tcW w:w="2133" w:type="dxa"/>
                  <w:gridSpan w:val="2"/>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污染物产生情况</w:t>
                  </w:r>
                </w:p>
              </w:tc>
              <w:tc>
                <w:tcPr>
                  <w:tcW w:w="1988" w:type="dxa"/>
                  <w:gridSpan w:val="2"/>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隔油池、化粪池处理情况</w:t>
                  </w:r>
                </w:p>
              </w:tc>
              <w:tc>
                <w:tcPr>
                  <w:tcW w:w="936" w:type="dxa"/>
                  <w:vMerge w:val="restart"/>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标准</w:t>
                  </w:r>
                  <w:r>
                    <w:rPr>
                      <w:rFonts w:hint="default" w:ascii="Times New Roman" w:hAnsi="Times New Roman" w:cs="Times New Roman" w:eastAsiaTheme="minorEastAsia"/>
                      <w:color w:val="auto"/>
                      <w:szCs w:val="21"/>
                      <w:lang w:eastAsia="zh-CN"/>
                    </w:rPr>
                    <w:t>值</w:t>
                  </w:r>
                  <w:r>
                    <w:rPr>
                      <w:rFonts w:hint="default" w:ascii="Times New Roman" w:hAnsi="Times New Roman" w:cs="Times New Roman" w:eastAsiaTheme="minorEastAsia"/>
                      <w:color w:val="auto"/>
                      <w:szCs w:val="21"/>
                    </w:rPr>
                    <w:t>（mg/L）</w:t>
                  </w:r>
                </w:p>
              </w:tc>
              <w:tc>
                <w:tcPr>
                  <w:tcW w:w="8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达标情况</w:t>
                  </w:r>
                </w:p>
              </w:tc>
            </w:tr>
            <w:tr>
              <w:tblPrEx>
                <w:tblCellMar>
                  <w:top w:w="0" w:type="dxa"/>
                  <w:left w:w="108" w:type="dxa"/>
                  <w:bottom w:w="0" w:type="dxa"/>
                  <w:right w:w="108" w:type="dxa"/>
                </w:tblCellMar>
              </w:tblPrEx>
              <w:trPr>
                <w:jc w:val="center"/>
              </w:trPr>
              <w:tc>
                <w:tcPr>
                  <w:tcW w:w="739" w:type="dxa"/>
                  <w:vMerge w:val="continue"/>
                  <w:tcBorders>
                    <w:top w:val="single" w:color="000000" w:sz="8" w:space="0"/>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single" w:color="000000" w:sz="8" w:space="0"/>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vMerge w:val="continue"/>
                  <w:tcBorders>
                    <w:top w:val="single" w:color="000000" w:sz="8" w:space="0"/>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138"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eastAsia="zh-CN"/>
                    </w:rPr>
                    <w:t>进水</w:t>
                  </w:r>
                  <w:r>
                    <w:rPr>
                      <w:rFonts w:hint="default" w:ascii="Times New Roman" w:hAnsi="Times New Roman" w:cs="Times New Roman" w:eastAsiaTheme="minorEastAsia"/>
                      <w:color w:val="auto"/>
                      <w:szCs w:val="21"/>
                    </w:rPr>
                    <w:t>浓度mg/</w:t>
                  </w:r>
                  <w:r>
                    <w:rPr>
                      <w:rFonts w:hint="default" w:ascii="Times New Roman" w:hAnsi="Times New Roman" w:cs="Times New Roman" w:eastAsiaTheme="minorEastAsia"/>
                      <w:color w:val="auto"/>
                      <w:szCs w:val="21"/>
                      <w:lang w:val="en-US" w:eastAsia="zh-CN"/>
                    </w:rPr>
                    <w:t>L</w:t>
                  </w:r>
                </w:p>
              </w:tc>
              <w:tc>
                <w:tcPr>
                  <w:tcW w:w="995"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产生量t/a</w:t>
                  </w:r>
                </w:p>
              </w:tc>
              <w:tc>
                <w:tcPr>
                  <w:tcW w:w="102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eastAsia="zh-CN"/>
                    </w:rPr>
                    <w:t>出水</w:t>
                  </w:r>
                  <w:r>
                    <w:rPr>
                      <w:rFonts w:hint="default" w:ascii="Times New Roman" w:hAnsi="Times New Roman" w:cs="Times New Roman" w:eastAsiaTheme="minorEastAsia"/>
                      <w:color w:val="auto"/>
                      <w:szCs w:val="21"/>
                    </w:rPr>
                    <w:t>浓度mg/</w:t>
                  </w:r>
                  <w:r>
                    <w:rPr>
                      <w:rFonts w:hint="default" w:ascii="Times New Roman" w:hAnsi="Times New Roman" w:cs="Times New Roman" w:eastAsiaTheme="minorEastAsia"/>
                      <w:color w:val="auto"/>
                      <w:szCs w:val="21"/>
                      <w:lang w:val="en-US" w:eastAsia="zh-CN"/>
                    </w:rPr>
                    <w:t>L</w:t>
                  </w:r>
                </w:p>
              </w:tc>
              <w:tc>
                <w:tcPr>
                  <w:tcW w:w="959" w:type="dxa"/>
                  <w:tcBorders>
                    <w:top w:val="single" w:color="000000" w:sz="8" w:space="0"/>
                    <w:left w:val="nil"/>
                    <w:bottom w:val="single" w:color="auto"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eastAsia="zh-CN"/>
                    </w:rPr>
                    <w:t>处理后的量</w:t>
                  </w:r>
                  <w:r>
                    <w:rPr>
                      <w:rFonts w:hint="default" w:ascii="Times New Roman" w:hAnsi="Times New Roman" w:cs="Times New Roman" w:eastAsiaTheme="minorEastAsia"/>
                      <w:color w:val="auto"/>
                      <w:szCs w:val="21"/>
                    </w:rPr>
                    <w:t>t/a</w:t>
                  </w:r>
                </w:p>
              </w:tc>
              <w:tc>
                <w:tcPr>
                  <w:tcW w:w="936" w:type="dxa"/>
                  <w:vMerge w:val="continue"/>
                  <w:tcBorders>
                    <w:top w:val="single" w:color="000000" w:sz="8" w:space="0"/>
                    <w:left w:val="nil"/>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838" w:type="dxa"/>
                  <w:vMerge w:val="continue"/>
                  <w:tcBorders>
                    <w:top w:val="single" w:color="000000" w:sz="8" w:space="0"/>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r>
            <w:tr>
              <w:tblPrEx>
                <w:tblCellMar>
                  <w:top w:w="0" w:type="dxa"/>
                  <w:left w:w="108" w:type="dxa"/>
                  <w:bottom w:w="0" w:type="dxa"/>
                  <w:right w:w="108" w:type="dxa"/>
                </w:tblCellMar>
              </w:tblPrEx>
              <w:trPr>
                <w:jc w:val="center"/>
              </w:trPr>
              <w:tc>
                <w:tcPr>
                  <w:tcW w:w="7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eastAsia="zh-CN"/>
                    </w:rPr>
                    <w:t>项目生产、</w:t>
                  </w:r>
                  <w:r>
                    <w:rPr>
                      <w:rFonts w:hint="default" w:ascii="Times New Roman" w:hAnsi="Times New Roman" w:cs="Times New Roman" w:eastAsiaTheme="minorEastAsia"/>
                      <w:color w:val="auto"/>
                      <w:szCs w:val="21"/>
                    </w:rPr>
                    <w:t>生活</w:t>
                  </w:r>
                </w:p>
              </w:tc>
              <w:tc>
                <w:tcPr>
                  <w:tcW w:w="741" w:type="dxa"/>
                  <w:vMerge w:val="restart"/>
                  <w:tcBorders>
                    <w:top w:val="nil"/>
                    <w:left w:val="single" w:color="000000" w:sz="8" w:space="0"/>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eastAsia="zh-CN"/>
                    </w:rPr>
                    <w:t>综合</w:t>
                  </w:r>
                  <w:r>
                    <w:rPr>
                      <w:rFonts w:hint="default" w:ascii="Times New Roman" w:hAnsi="Times New Roman" w:cs="Times New Roman" w:eastAsiaTheme="minorEastAsia"/>
                      <w:color w:val="auto"/>
                      <w:szCs w:val="21"/>
                    </w:rPr>
                    <w:t>污水</w:t>
                  </w: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废水量</w:t>
                  </w:r>
                </w:p>
              </w:tc>
              <w:tc>
                <w:tcPr>
                  <w:tcW w:w="2133" w:type="dxa"/>
                  <w:gridSpan w:val="2"/>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1558.27</w:t>
                  </w:r>
                  <w:r>
                    <w:rPr>
                      <w:rFonts w:hint="default" w:ascii="Times New Roman" w:hAnsi="Times New Roman" w:cs="Times New Roman" w:eastAsiaTheme="minorEastAsia"/>
                      <w:color w:val="auto"/>
                      <w:szCs w:val="21"/>
                    </w:rPr>
                    <w:t>m³/a</w:t>
                  </w:r>
                </w:p>
              </w:tc>
              <w:tc>
                <w:tcPr>
                  <w:tcW w:w="1988" w:type="dxa"/>
                  <w:gridSpan w:val="2"/>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1558.27</w:t>
                  </w:r>
                  <w:r>
                    <w:rPr>
                      <w:rFonts w:hint="default" w:ascii="Times New Roman" w:hAnsi="Times New Roman" w:cs="Times New Roman" w:eastAsiaTheme="minorEastAsia"/>
                      <w:color w:val="auto"/>
                      <w:szCs w:val="21"/>
                    </w:rPr>
                    <w:t>m³/a</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838"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pH</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6-9</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6-9</w:t>
                  </w:r>
                </w:p>
              </w:tc>
              <w:tc>
                <w:tcPr>
                  <w:tcW w:w="959" w:type="dxa"/>
                  <w:tcBorders>
                    <w:top w:val="nil"/>
                    <w:left w:val="nil"/>
                    <w:bottom w:val="single" w:color="auto" w:sz="8" w:space="0"/>
                    <w:right w:val="single" w:color="auto"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6.5-9.5</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CODcr</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400</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0.62</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bCs/>
                      <w:snapToGrid w:val="0"/>
                      <w:color w:val="auto"/>
                      <w:kern w:val="32"/>
                      <w:lang w:val="en-US" w:eastAsia="zh-CN"/>
                    </w:rPr>
                  </w:pPr>
                  <w:r>
                    <w:rPr>
                      <w:rFonts w:hint="default" w:ascii="Times New Roman" w:hAnsi="Times New Roman" w:cs="Times New Roman"/>
                      <w:bCs/>
                      <w:snapToGrid w:val="0"/>
                      <w:color w:val="auto"/>
                      <w:kern w:val="32"/>
                      <w:lang w:val="en-US" w:eastAsia="zh-CN"/>
                    </w:rPr>
                    <w:t>340</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0.53</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500</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BOD</w:t>
                  </w:r>
                  <w:r>
                    <w:rPr>
                      <w:rFonts w:hint="default" w:ascii="Times New Roman" w:hAnsi="Times New Roman" w:cs="Times New Roman" w:eastAsiaTheme="minorEastAsia"/>
                      <w:color w:val="auto"/>
                      <w:szCs w:val="21"/>
                      <w:vertAlign w:val="subscript"/>
                    </w:rPr>
                    <w:t>5</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250</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0.39</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bCs/>
                      <w:snapToGrid w:val="0"/>
                      <w:color w:val="auto"/>
                      <w:kern w:val="32"/>
                      <w:lang w:val="en-US" w:eastAsia="zh-CN"/>
                    </w:rPr>
                  </w:pPr>
                  <w:r>
                    <w:rPr>
                      <w:rFonts w:hint="default" w:ascii="Times New Roman" w:hAnsi="Times New Roman" w:cs="Times New Roman"/>
                      <w:bCs/>
                      <w:snapToGrid w:val="0"/>
                      <w:color w:val="auto"/>
                      <w:kern w:val="32"/>
                      <w:lang w:val="en-US" w:eastAsia="zh-CN"/>
                    </w:rPr>
                    <w:t>227.5</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0.35</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350</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NH</w:t>
                  </w:r>
                  <w:r>
                    <w:rPr>
                      <w:rFonts w:hint="default" w:ascii="Times New Roman" w:hAnsi="Times New Roman" w:cs="Times New Roman" w:eastAsiaTheme="minorEastAsia"/>
                      <w:color w:val="auto"/>
                      <w:szCs w:val="21"/>
                      <w:vertAlign w:val="subscript"/>
                    </w:rPr>
                    <w:t>3</w:t>
                  </w:r>
                  <w:r>
                    <w:rPr>
                      <w:rFonts w:hint="default" w:ascii="Times New Roman" w:hAnsi="Times New Roman" w:cs="Times New Roman" w:eastAsiaTheme="minorEastAsia"/>
                      <w:color w:val="auto"/>
                      <w:szCs w:val="21"/>
                    </w:rPr>
                    <w:t>-N</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45</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0.07</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43.65</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0.07</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45</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SS</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500</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0.78</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350</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0.55</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400</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总磷</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0.01</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val="en-US" w:eastAsia="zh-CN"/>
                    </w:rPr>
                    <w:t>7</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0.01</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8</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总氮</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45</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0.07</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40</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0.06</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70</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阴离子表面活性剂</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16</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0.02</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11</w:t>
                  </w:r>
                </w:p>
              </w:tc>
              <w:tc>
                <w:tcPr>
                  <w:tcW w:w="959"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0.02</w:t>
                  </w:r>
                </w:p>
              </w:tc>
              <w:tc>
                <w:tcPr>
                  <w:tcW w:w="936" w:type="dxa"/>
                  <w:tcBorders>
                    <w:top w:val="nil"/>
                    <w:left w:val="nil"/>
                    <w:bottom w:val="single" w:color="000000" w:sz="8" w:space="0"/>
                    <w:right w:val="single" w:color="000000" w:sz="8" w:space="0"/>
                  </w:tcBorders>
                  <w:shd w:val="clear" w:color="auto" w:fill="auto"/>
                  <w:vAlign w:val="center"/>
                </w:tcPr>
                <w:p>
                  <w:pPr>
                    <w:pStyle w:val="45"/>
                    <w:tabs>
                      <w:tab w:val="left" w:pos="352"/>
                    </w:tabs>
                    <w:spacing w:line="36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20</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动植物油</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60</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0.09</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36</w:t>
                  </w:r>
                </w:p>
              </w:tc>
              <w:tc>
                <w:tcPr>
                  <w:tcW w:w="959" w:type="dxa"/>
                  <w:tcBorders>
                    <w:top w:val="nil"/>
                    <w:left w:val="nil"/>
                    <w:bottom w:val="single" w:color="000000" w:sz="8" w:space="0"/>
                    <w:right w:val="single" w:color="auto"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0.06</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100</w:t>
                  </w: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rPr>
                <w:jc w:val="center"/>
              </w:trPr>
              <w:tc>
                <w:tcPr>
                  <w:tcW w:w="739"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741" w:type="dxa"/>
                  <w:vMerge w:val="continue"/>
                  <w:tcBorders>
                    <w:top w:val="nil"/>
                    <w:left w:val="single" w:color="000000" w:sz="8" w:space="0"/>
                    <w:bottom w:val="single" w:color="000000" w:sz="8" w:space="0"/>
                    <w:right w:val="single" w:color="000000" w:sz="8" w:space="0"/>
                  </w:tcBorders>
                  <w:vAlign w:val="center"/>
                </w:tcPr>
                <w:p>
                  <w:pPr>
                    <w:pStyle w:val="45"/>
                    <w:spacing w:line="360" w:lineRule="exact"/>
                    <w:rPr>
                      <w:rFonts w:hint="default" w:ascii="Times New Roman" w:hAnsi="Times New Roman" w:cs="Times New Roman" w:eastAsiaTheme="minorEastAsia"/>
                      <w:color w:val="auto"/>
                      <w:szCs w:val="21"/>
                    </w:rPr>
                  </w:pPr>
                </w:p>
              </w:tc>
              <w:tc>
                <w:tcPr>
                  <w:tcW w:w="1242"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粪大肠菌群数（MPN/L）</w:t>
                  </w:r>
                </w:p>
              </w:tc>
              <w:tc>
                <w:tcPr>
                  <w:tcW w:w="1138"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16000</w:t>
                  </w:r>
                </w:p>
              </w:tc>
              <w:tc>
                <w:tcPr>
                  <w:tcW w:w="995"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29" w:type="dxa"/>
                  <w:tcBorders>
                    <w:top w:val="single" w:color="000000" w:sz="8" w:space="0"/>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8000</w:t>
                  </w:r>
                </w:p>
              </w:tc>
              <w:tc>
                <w:tcPr>
                  <w:tcW w:w="959" w:type="dxa"/>
                  <w:tcBorders>
                    <w:top w:val="nil"/>
                    <w:left w:val="nil"/>
                    <w:bottom w:val="single" w:color="000000" w:sz="8" w:space="0"/>
                    <w:right w:val="single" w:color="auto"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936" w:type="dxa"/>
                  <w:tcBorders>
                    <w:top w:val="nil"/>
                    <w:left w:val="nil"/>
                    <w:bottom w:val="single" w:color="000000" w:sz="8" w:space="0"/>
                    <w:right w:val="single" w:color="000000" w:sz="8" w:space="0"/>
                  </w:tcBorders>
                  <w:shd w:val="clear" w:color="auto" w:fill="auto"/>
                  <w:vAlign w:val="center"/>
                </w:tcPr>
                <w:p>
                  <w:pPr>
                    <w:pStyle w:val="45"/>
                    <w:spacing w:line="360" w:lineRule="exact"/>
                    <w:rPr>
                      <w:rFonts w:hint="default" w:ascii="Times New Roman" w:hAnsi="Times New Roman" w:cs="Times New Roman" w:eastAsiaTheme="minorEastAsia"/>
                      <w:color w:val="auto"/>
                      <w:szCs w:val="21"/>
                    </w:rPr>
                  </w:pPr>
                </w:p>
              </w:tc>
              <w:tc>
                <w:tcPr>
                  <w:tcW w:w="83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bl>
          <w:p>
            <w:pPr>
              <w:pStyle w:val="53"/>
              <w:spacing w:beforeLines="50"/>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由上表可知，经</w:t>
            </w:r>
            <w:r>
              <w:rPr>
                <w:rFonts w:hint="default" w:ascii="Times New Roman" w:hAnsi="Times New Roman" w:cs="Times New Roman"/>
                <w:color w:val="auto"/>
                <w:lang w:eastAsia="zh-CN"/>
              </w:rPr>
              <w:t>隔油池、化粪池处理后的综合废水</w:t>
            </w:r>
            <w:r>
              <w:rPr>
                <w:rFonts w:hint="default" w:ascii="Times New Roman" w:hAnsi="Times New Roman" w:cs="Times New Roman"/>
                <w:color w:val="auto"/>
              </w:rPr>
              <w:t>可达到</w:t>
            </w:r>
            <w:r>
              <w:rPr>
                <w:rFonts w:hint="default" w:ascii="Times New Roman" w:hAnsi="Times New Roman" w:eastAsia="宋体" w:cs="Times New Roman"/>
                <w:color w:val="auto"/>
                <w:sz w:val="24"/>
                <w:szCs w:val="24"/>
              </w:rPr>
              <w:t>《污水排入城镇下水道水质标准》（GB/T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-2015）表1A级标准</w:t>
            </w:r>
            <w:r>
              <w:rPr>
                <w:rFonts w:hint="default" w:ascii="Times New Roman" w:hAnsi="Times New Roman" w:eastAsia="宋体" w:cs="Times New Roman"/>
                <w:color w:val="auto"/>
                <w:sz w:val="24"/>
                <w:szCs w:val="24"/>
                <w:lang w:eastAsia="zh-CN"/>
              </w:rPr>
              <w:t>。</w:t>
            </w:r>
          </w:p>
          <w:p>
            <w:pPr>
              <w:spacing w:line="360" w:lineRule="auto"/>
              <w:ind w:firstLine="361" w:firstLineChars="15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w:t>
            </w:r>
            <w:r>
              <w:rPr>
                <w:rFonts w:hint="default" w:ascii="Times New Roman" w:hAnsi="Times New Roman" w:eastAsia="宋体" w:cs="Times New Roman"/>
                <w:b/>
                <w:color w:val="auto"/>
                <w:sz w:val="24"/>
              </w:rPr>
              <w:t>废水</w:t>
            </w:r>
            <w:r>
              <w:rPr>
                <w:rFonts w:hint="default" w:ascii="Times New Roman" w:hAnsi="Times New Roman" w:eastAsia="宋体" w:cs="Times New Roman"/>
                <w:b/>
                <w:color w:val="auto"/>
                <w:sz w:val="24"/>
                <w:szCs w:val="24"/>
              </w:rPr>
              <w:t>污染治理设施可行性分析</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①冷却循环水系统环境影响减缓措施有效性分析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根据项目特点可知，项目循环冷却水的主要污染物为热量</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已</w:t>
            </w:r>
            <w:r>
              <w:rPr>
                <w:rFonts w:hint="default" w:ascii="Times New Roman" w:hAnsi="Times New Roman" w:eastAsia="宋体" w:cs="Times New Roman"/>
                <w:color w:val="auto"/>
                <w:sz w:val="24"/>
                <w:szCs w:val="24"/>
              </w:rPr>
              <w:t>置1套冷却循环水系统对</w:t>
            </w:r>
            <w:r>
              <w:rPr>
                <w:rFonts w:hint="default" w:ascii="Times New Roman" w:hAnsi="Times New Roman" w:eastAsia="宋体" w:cs="Times New Roman"/>
                <w:color w:val="auto"/>
                <w:sz w:val="24"/>
                <w:szCs w:val="24"/>
                <w:lang w:eastAsia="zh-CN"/>
              </w:rPr>
              <w:t>注塑工序</w:t>
            </w:r>
            <w:r>
              <w:rPr>
                <w:rFonts w:hint="default" w:ascii="Times New Roman" w:hAnsi="Times New Roman" w:eastAsia="宋体" w:cs="Times New Roman"/>
                <w:color w:val="auto"/>
                <w:sz w:val="24"/>
                <w:szCs w:val="24"/>
              </w:rPr>
              <w:t>生产设备进行间接冷却，循环水系统由</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r>
              <w:rPr>
                <w:rFonts w:hint="default" w:ascii="Times New Roman" w:hAnsi="Times New Roman" w:eastAsia="宋体" w:cs="Times New Roman"/>
                <w:color w:val="auto"/>
                <w:sz w:val="24"/>
                <w:szCs w:val="24"/>
                <w:lang w:val="en-US" w:eastAsia="zh-CN"/>
              </w:rPr>
              <w:t>2m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冷却水塔和循环冷却水管道组成，冷却循环水系统的降温时间为1h，</w:t>
            </w:r>
            <w:r>
              <w:rPr>
                <w:rFonts w:hint="default" w:ascii="Times New Roman" w:hAnsi="Times New Roman" w:eastAsia="宋体" w:cs="Times New Roman"/>
                <w:color w:val="auto"/>
                <w:sz w:val="24"/>
              </w:rPr>
              <w:t>冷却循环水系统最大循环水量可达到4</w:t>
            </w:r>
            <w:r>
              <w:rPr>
                <w:rFonts w:hint="default"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m³/</w:t>
            </w:r>
            <w:r>
              <w:rPr>
                <w:rFonts w:hint="default" w:ascii="Times New Roman" w:hAnsi="Times New Roman" w:eastAsia="宋体" w:cs="Times New Roman"/>
                <w:color w:val="auto"/>
                <w:sz w:val="24"/>
                <w:lang w:val="en-US" w:eastAsia="zh-CN"/>
              </w:rPr>
              <w:t>d</w:t>
            </w:r>
            <w:r>
              <w:rPr>
                <w:rFonts w:hint="default" w:ascii="Times New Roman" w:hAnsi="Times New Roman" w:eastAsia="宋体" w:cs="Times New Roman"/>
                <w:color w:val="auto"/>
                <w:sz w:val="24"/>
                <w:szCs w:val="24"/>
              </w:rPr>
              <w:t>根据建设单位对冷却水循环量的设置，项目</w:t>
            </w:r>
            <w:r>
              <w:rPr>
                <w:rFonts w:hint="default" w:ascii="Times New Roman" w:hAnsi="Times New Roman" w:eastAsia="宋体" w:cs="Times New Roman"/>
                <w:color w:val="auto"/>
                <w:sz w:val="24"/>
                <w:szCs w:val="24"/>
                <w:lang w:eastAsia="zh-CN"/>
              </w:rPr>
              <w:t>挤出注塑生</w:t>
            </w:r>
            <w:r>
              <w:rPr>
                <w:rFonts w:hint="default" w:ascii="Times New Roman" w:hAnsi="Times New Roman" w:eastAsia="宋体" w:cs="Times New Roman"/>
                <w:color w:val="auto"/>
                <w:sz w:val="24"/>
                <w:szCs w:val="24"/>
              </w:rPr>
              <w:t>产线满负荷运行后冷却循环水系统循环冷却水量为</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m³/h（</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m³/d）</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rPr>
              <w:t>则其规模可满足降温要求。因此冷却循环水系统设置合理。</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②隔油池</w:t>
            </w:r>
            <w:r>
              <w:rPr>
                <w:rFonts w:hint="default" w:ascii="Times New Roman" w:hAnsi="Times New Roman" w:eastAsia="宋体" w:cs="Times New Roman"/>
                <w:b/>
                <w:color w:val="auto"/>
                <w:sz w:val="24"/>
                <w:szCs w:val="24"/>
              </w:rPr>
              <w:t>环境影响减缓措施有效性分析</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根据工程分析可知，该</w:t>
            </w:r>
            <w:r>
              <w:rPr>
                <w:rFonts w:hint="default" w:ascii="Times New Roman" w:hAnsi="Times New Roman" w:cs="Times New Roman"/>
                <w:color w:val="auto"/>
                <w:szCs w:val="24"/>
                <w:lang w:eastAsia="zh-CN"/>
              </w:rPr>
              <w:t>项目</w:t>
            </w:r>
            <w:r>
              <w:rPr>
                <w:rFonts w:hint="default" w:ascii="Times New Roman" w:hAnsi="Times New Roman" w:eastAsia="宋体" w:cs="Times New Roman"/>
                <w:color w:val="auto"/>
                <w:szCs w:val="24"/>
              </w:rPr>
              <w:t>设置食堂，食堂废水量约为1.</w:t>
            </w:r>
            <w:r>
              <w:rPr>
                <w:rFonts w:hint="default" w:ascii="Times New Roman" w:hAnsi="Times New Roman" w:eastAsia="宋体" w:cs="Times New Roman"/>
                <w:color w:val="auto"/>
                <w:szCs w:val="24"/>
                <w:lang w:val="en-US" w:eastAsia="zh-CN"/>
              </w:rPr>
              <w:t>73</w:t>
            </w:r>
            <w:r>
              <w:rPr>
                <w:rFonts w:hint="default" w:ascii="Times New Roman" w:hAnsi="Times New Roman" w:eastAsia="宋体" w:cs="Times New Roman"/>
                <w:color w:val="auto"/>
                <w:szCs w:val="24"/>
              </w:rPr>
              <w:t>m³/d，根据《建筑给排水设计规范》（（GB50015-2019），污水在隔油池内停留时间宜为30min，则该</w:t>
            </w:r>
            <w:r>
              <w:rPr>
                <w:rFonts w:hint="default" w:ascii="Times New Roman" w:hAnsi="Times New Roman" w:cs="Times New Roman"/>
                <w:color w:val="auto"/>
                <w:szCs w:val="24"/>
                <w:lang w:eastAsia="zh-CN"/>
              </w:rPr>
              <w:t>项目</w:t>
            </w:r>
            <w:r>
              <w:rPr>
                <w:rFonts w:hint="default" w:ascii="Times New Roman" w:hAnsi="Times New Roman" w:eastAsia="宋体" w:cs="Times New Roman"/>
                <w:color w:val="auto"/>
                <w:szCs w:val="24"/>
              </w:rPr>
              <w:t>设置的1m³的隔油池可满足停留要求，隔油池设置合理。</w:t>
            </w:r>
          </w:p>
          <w:p>
            <w:pPr>
              <w:spacing w:line="360" w:lineRule="auto"/>
              <w:ind w:firstLine="482" w:firstLineChars="200"/>
              <w:rPr>
                <w:rFonts w:hint="default" w:ascii="Times New Roman" w:hAnsi="Times New Roman" w:eastAsia="宋体" w:cs="Times New Roman"/>
                <w:color w:val="auto"/>
                <w:szCs w:val="24"/>
              </w:rPr>
            </w:pPr>
            <w:r>
              <w:rPr>
                <w:rFonts w:hint="default" w:ascii="Times New Roman" w:hAnsi="Times New Roman" w:eastAsia="宋体" w:cs="Times New Roman"/>
                <w:b/>
                <w:color w:val="auto"/>
                <w:sz w:val="24"/>
              </w:rPr>
              <w:t>③化粪池</w:t>
            </w:r>
            <w:r>
              <w:rPr>
                <w:rFonts w:hint="default" w:ascii="Times New Roman" w:hAnsi="Times New Roman" w:eastAsia="宋体" w:cs="Times New Roman"/>
                <w:b/>
                <w:color w:val="auto"/>
                <w:sz w:val="24"/>
                <w:szCs w:val="24"/>
              </w:rPr>
              <w:t>环境影响减缓措施有效性分析</w:t>
            </w:r>
          </w:p>
          <w:p>
            <w:pPr>
              <w:spacing w:line="360" w:lineRule="auto"/>
              <w:ind w:firstLine="360" w:firstLineChars="150"/>
              <w:rPr>
                <w:rFonts w:hint="default" w:ascii="Times New Roman" w:hAnsi="Times New Roman" w:eastAsia="宋体" w:cs="Times New Roman"/>
                <w:color w:val="auto"/>
                <w:szCs w:val="24"/>
              </w:rPr>
            </w:pPr>
            <w:r>
              <w:rPr>
                <w:rFonts w:hint="default" w:ascii="Times New Roman" w:hAnsi="Times New Roman" w:eastAsia="宋体" w:cs="Times New Roman"/>
                <w:color w:val="auto"/>
                <w:sz w:val="24"/>
                <w:szCs w:val="24"/>
              </w:rPr>
              <w:t>根据工程分析可知，项目污水产生量约为</w:t>
            </w:r>
            <w:r>
              <w:rPr>
                <w:rFonts w:hint="default" w:ascii="Times New Roman" w:hAnsi="Times New Roman" w:eastAsia="宋体" w:cs="Times New Roman"/>
                <w:color w:val="auto"/>
                <w:sz w:val="24"/>
                <w:szCs w:val="24"/>
                <w:lang w:val="en-US" w:eastAsia="zh-CN"/>
              </w:rPr>
              <w:t>5.19</w:t>
            </w:r>
            <w:r>
              <w:rPr>
                <w:rFonts w:hint="default" w:ascii="Times New Roman" w:hAnsi="Times New Roman" w:eastAsia="宋体" w:cs="Times New Roman"/>
                <w:color w:val="auto"/>
                <w:sz w:val="24"/>
                <w:szCs w:val="24"/>
              </w:rPr>
              <w:t>m³/d，变化系数按照1.2计，则最大生活污水量约为</w:t>
            </w:r>
            <w:r>
              <w:rPr>
                <w:rFonts w:hint="default" w:ascii="Times New Roman" w:hAnsi="Times New Roman" w:eastAsia="宋体" w:cs="Times New Roman"/>
                <w:color w:val="auto"/>
                <w:sz w:val="24"/>
                <w:szCs w:val="24"/>
                <w:lang w:val="en-US" w:eastAsia="zh-CN"/>
              </w:rPr>
              <w:t>6.23</w:t>
            </w:r>
            <w:r>
              <w:rPr>
                <w:rFonts w:hint="default" w:ascii="Times New Roman" w:hAnsi="Times New Roman" w:eastAsia="宋体" w:cs="Times New Roman"/>
                <w:color w:val="auto"/>
                <w:sz w:val="24"/>
                <w:szCs w:val="24"/>
              </w:rPr>
              <w:t>m³/d，根据《建筑给排水设计规范》（（GB50015-2019），化粪池总容积应满足废水停留时间12-24h的要求，并做好防渗处理，化粪池宜建在便于机动车清掏的位置；项目已建设的</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个有效容积为</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m³的化粪池，可满足24h停留时间要求，清掏车辆可进入进行清掏，且化粪池已严格按照规范要求进行防渗处置，因此化粪池设置合理。</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④一体化污水处理设施有效性分析</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eastAsia="zh-CN"/>
              </w:rPr>
              <w:t>⑴</w:t>
            </w:r>
            <w:r>
              <w:rPr>
                <w:rFonts w:hint="default" w:ascii="Times New Roman" w:hAnsi="Times New Roman" w:eastAsia="宋体" w:cs="Times New Roman"/>
                <w:b/>
                <w:color w:val="auto"/>
                <w:sz w:val="24"/>
                <w:szCs w:val="24"/>
              </w:rPr>
              <w:t>一体化污水处理设施规模设置合理性分析</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w:t>
            </w:r>
            <w:r>
              <w:rPr>
                <w:rFonts w:hint="default" w:ascii="Times New Roman" w:hAnsi="Times New Roman" w:cs="Times New Roman"/>
                <w:color w:val="auto"/>
                <w:szCs w:val="24"/>
                <w:lang w:eastAsia="zh-CN"/>
              </w:rPr>
              <w:t>实际生产情况</w:t>
            </w:r>
            <w:r>
              <w:rPr>
                <w:rFonts w:hint="default" w:ascii="Times New Roman" w:hAnsi="Times New Roman" w:eastAsia="宋体" w:cs="Times New Roman"/>
                <w:color w:val="auto"/>
                <w:szCs w:val="24"/>
              </w:rPr>
              <w:t>，</w:t>
            </w:r>
            <w:r>
              <w:rPr>
                <w:rFonts w:hint="default" w:ascii="Times New Roman" w:hAnsi="Times New Roman" w:cs="Times New Roman"/>
                <w:color w:val="auto"/>
                <w:szCs w:val="24"/>
                <w:lang w:eastAsia="zh-CN"/>
              </w:rPr>
              <w:t>该项目</w:t>
            </w:r>
            <w:r>
              <w:rPr>
                <w:rFonts w:hint="default" w:ascii="Times New Roman" w:hAnsi="Times New Roman" w:eastAsia="宋体" w:cs="Times New Roman"/>
                <w:color w:val="auto"/>
                <w:szCs w:val="24"/>
                <w:lang w:eastAsia="zh-CN"/>
              </w:rPr>
              <w:t>综合</w:t>
            </w:r>
            <w:r>
              <w:rPr>
                <w:rFonts w:hint="default" w:ascii="Times New Roman" w:hAnsi="Times New Roman" w:eastAsia="宋体" w:cs="Times New Roman"/>
                <w:color w:val="auto"/>
                <w:szCs w:val="24"/>
              </w:rPr>
              <w:t>污水产生量为</w:t>
            </w:r>
            <w:r>
              <w:rPr>
                <w:rFonts w:hint="default" w:ascii="Times New Roman" w:hAnsi="Times New Roman" w:eastAsia="宋体" w:cs="Times New Roman"/>
                <w:color w:val="auto"/>
                <w:szCs w:val="24"/>
                <w:lang w:val="en-US" w:eastAsia="zh-CN"/>
              </w:rPr>
              <w:t>5.19</w:t>
            </w:r>
            <w:r>
              <w:rPr>
                <w:rFonts w:hint="default" w:ascii="Times New Roman" w:hAnsi="Times New Roman" w:eastAsia="宋体" w:cs="Times New Roman"/>
                <w:color w:val="auto"/>
                <w:szCs w:val="24"/>
              </w:rPr>
              <w:t>m³/d，变化系数按照1.2计，则最大废水量约为</w:t>
            </w:r>
            <w:r>
              <w:rPr>
                <w:rFonts w:hint="default" w:ascii="Times New Roman" w:hAnsi="Times New Roman" w:eastAsia="宋体" w:cs="Times New Roman"/>
                <w:color w:val="auto"/>
                <w:szCs w:val="24"/>
                <w:lang w:val="en-US" w:eastAsia="zh-CN"/>
              </w:rPr>
              <w:t>6.23</w:t>
            </w:r>
            <w:r>
              <w:rPr>
                <w:rFonts w:hint="default" w:ascii="Times New Roman" w:hAnsi="Times New Roman" w:eastAsia="宋体" w:cs="Times New Roman"/>
                <w:color w:val="auto"/>
                <w:szCs w:val="24"/>
              </w:rPr>
              <w:t>m³/d，而项目拟设置1套处理能力</w:t>
            </w:r>
            <w:r>
              <w:rPr>
                <w:rFonts w:hint="default" w:ascii="Times New Roman" w:hAnsi="Times New Roman" w:cs="Times New Roman"/>
                <w:color w:val="auto"/>
                <w:szCs w:val="24"/>
                <w:lang w:eastAsia="zh-CN"/>
              </w:rPr>
              <w:t>为</w:t>
            </w:r>
            <w:r>
              <w:rPr>
                <w:rFonts w:hint="default" w:ascii="Times New Roman" w:hAnsi="Times New Roman" w:eastAsia="宋体" w:cs="Times New Roman"/>
                <w:color w:val="auto"/>
                <w:szCs w:val="24"/>
                <w:lang w:val="en-US" w:eastAsia="zh-CN"/>
              </w:rPr>
              <w:t>7</w:t>
            </w:r>
            <w:r>
              <w:rPr>
                <w:rFonts w:hint="default" w:ascii="Times New Roman" w:hAnsi="Times New Roman" w:eastAsia="宋体" w:cs="Times New Roman"/>
                <w:color w:val="auto"/>
                <w:szCs w:val="24"/>
              </w:rPr>
              <w:t>m³/d的一体化污水处理设施；其规模可满足要求。</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⑵一体化污水处理设施工艺设置合理性分析</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该项目设置的一体化污水处理设施购买成品进行安装，根据该一体化设施的设计资料，该设施拟采用生化处理工艺对生活污水进行处理，工艺如下图所示。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object>
                <v:shape id="_x0000_i1038" o:spt="75" type="#_x0000_t75" style="height:140.4pt;width:366pt;" o:ole="t" filled="f" o:preferrelative="t" stroked="f" coordsize="21600,21600">
                  <v:path/>
                  <v:fill on="f" focussize="0,0"/>
                  <v:stroke on="f" joinstyle="miter"/>
                  <v:imagedata r:id="rId37" o:title=""/>
                  <o:lock v:ext="edit" aspectratio="t"/>
                  <w10:wrap type="none"/>
                  <w10:anchorlock/>
                </v:shape>
                <o:OLEObject Type="Embed" ProgID="Visio.Drawing.11" ShapeID="_x0000_i1038" DrawAspect="Content" ObjectID="_1468075738" r:id="rId36">
                  <o:LockedField>false</o:LockedField>
                </o:OLEObject>
              </w:objec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图4.2.2-1 污水处理工艺流程图</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污水处理工艺流程简述：</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 1 \* GB4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㈠</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 xml:space="preserve"> 调节池</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 2 \* GB4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㈡</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接触氧化池</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好氧接触氧化池主要利用好氧菌去除CODcr、BOD</w:t>
            </w:r>
            <w:r>
              <w:rPr>
                <w:rFonts w:hint="default" w:ascii="Times New Roman" w:hAnsi="Times New Roman" w:eastAsia="宋体" w:cs="Times New Roman"/>
                <w:color w:val="auto"/>
                <w:szCs w:val="24"/>
                <w:vertAlign w:val="subscript"/>
              </w:rPr>
              <w:t>5</w:t>
            </w:r>
            <w:r>
              <w:rPr>
                <w:rFonts w:hint="default" w:ascii="Times New Roman" w:hAnsi="Times New Roman" w:eastAsia="宋体" w:cs="Times New Roman"/>
                <w:color w:val="auto"/>
                <w:szCs w:val="24"/>
              </w:rPr>
              <w:t>、SS、NH</w:t>
            </w:r>
            <w:r>
              <w:rPr>
                <w:rFonts w:hint="default" w:ascii="Times New Roman" w:hAnsi="Times New Roman" w:eastAsia="宋体" w:cs="Times New Roman"/>
                <w:color w:val="auto"/>
                <w:szCs w:val="24"/>
                <w:vertAlign w:val="subscript"/>
              </w:rPr>
              <w:t>3</w:t>
            </w:r>
            <w:r>
              <w:rPr>
                <w:rFonts w:hint="default" w:ascii="Times New Roman" w:hAnsi="Times New Roman" w:eastAsia="宋体" w:cs="Times New Roman"/>
                <w:color w:val="auto"/>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 3 \* GB4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㈢</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二沉池</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接触氧化池出水进入二沉池，二沉池前设PAC（絮凝剂）投加系统，投加PAC（絮凝剂），去除SS和部分胶体颗粒，二沉池出水经过石英砂过滤后，进一步降低水中SS和胶体颗粒含量。</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 4 \* GB4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㈣</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过滤</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二沉池出水仍含有一定的悬浮物杂质，因此本方案设置深度处理（过滤）处理单元。二沉池出水进入过滤池进行过滤，去除水中残存的有机物、胶体、细菌残留物、微生物等。</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 5 \* GB4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㈤</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消毒</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过滤后的污水经过消毒，即可满足排放要求，消毒采用自动投加方式，定量把次氯酸钠药液投加到消毒池中，可以较彻底的消除细菌、臭味、色度等可能对人群造成的危害。</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根据工程分析可知，经调节池调节处理后的生活污水BOD/COD约为0.</w:t>
            </w:r>
            <w:r>
              <w:rPr>
                <w:rFonts w:hint="default" w:ascii="Times New Roman" w:hAnsi="Times New Roman" w:eastAsia="宋体" w:cs="Times New Roman"/>
                <w:color w:val="auto"/>
                <w:szCs w:val="24"/>
                <w:lang w:val="en-US" w:eastAsia="zh-CN"/>
              </w:rPr>
              <w:t>31</w:t>
            </w:r>
            <w:r>
              <w:rPr>
                <w:rFonts w:hint="default" w:ascii="Times New Roman" w:hAnsi="Times New Roman" w:eastAsia="宋体" w:cs="Times New Roman"/>
                <w:color w:val="auto"/>
                <w:szCs w:val="24"/>
              </w:rPr>
              <w:t>≥0.3，满足可生化条件，因此项目拟采用废水生化处理工艺技术可行，</w:t>
            </w:r>
            <w:r>
              <w:rPr>
                <w:rFonts w:hint="default" w:ascii="Times New Roman" w:hAnsi="Times New Roman" w:cs="Times New Roman"/>
                <w:color w:val="auto"/>
                <w:szCs w:val="24"/>
                <w:lang w:eastAsia="zh-CN"/>
              </w:rPr>
              <w:t>根据监测数据分析</w:t>
            </w:r>
            <w:r>
              <w:rPr>
                <w:rFonts w:hint="default" w:ascii="Times New Roman" w:hAnsi="Times New Roman" w:eastAsia="宋体" w:cs="Times New Roman"/>
                <w:color w:val="auto"/>
                <w:szCs w:val="24"/>
              </w:rPr>
              <w:t>，项目生活污水经一体化污水处理设施处理后可达到《城市污水再生利用 城市杂用水水质》（GB/T</w:t>
            </w:r>
            <w:r>
              <w:rPr>
                <w:rFonts w:hint="eastAsia" w:cs="Times New Roman"/>
                <w:color w:val="auto"/>
                <w:szCs w:val="24"/>
                <w:lang w:eastAsia="zh-CN"/>
              </w:rPr>
              <w:t>*****</w:t>
            </w:r>
            <w:r>
              <w:rPr>
                <w:rFonts w:hint="default" w:ascii="Times New Roman" w:hAnsi="Times New Roman" w:eastAsia="宋体" w:cs="Times New Roman"/>
                <w:color w:val="auto"/>
                <w:szCs w:val="24"/>
              </w:rPr>
              <w:t xml:space="preserve"> -2020）城市绿化标准，因此其技术可行。</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综上，项目</w:t>
            </w:r>
            <w:r>
              <w:rPr>
                <w:rFonts w:hint="default" w:ascii="Times New Roman" w:hAnsi="Times New Roman" w:cs="Times New Roman"/>
                <w:color w:val="auto"/>
                <w:szCs w:val="24"/>
                <w:lang w:eastAsia="zh-CN"/>
              </w:rPr>
              <w:t>已</w:t>
            </w:r>
            <w:r>
              <w:rPr>
                <w:rFonts w:hint="default" w:ascii="Times New Roman" w:hAnsi="Times New Roman" w:eastAsia="宋体" w:cs="Times New Roman"/>
                <w:color w:val="auto"/>
                <w:szCs w:val="24"/>
              </w:rPr>
              <w:t>设置1套处理能力</w:t>
            </w:r>
            <w:r>
              <w:rPr>
                <w:rFonts w:hint="default" w:ascii="Times New Roman" w:hAnsi="Times New Roman" w:cs="Times New Roman"/>
                <w:color w:val="auto"/>
                <w:szCs w:val="24"/>
                <w:lang w:eastAsia="zh-CN"/>
              </w:rPr>
              <w:t>为</w:t>
            </w:r>
            <w:r>
              <w:rPr>
                <w:rFonts w:hint="default" w:ascii="Times New Roman" w:hAnsi="Times New Roman" w:eastAsia="宋体" w:cs="Times New Roman"/>
                <w:color w:val="auto"/>
                <w:szCs w:val="24"/>
                <w:lang w:val="en-US" w:eastAsia="zh-CN"/>
              </w:rPr>
              <w:t>7</w:t>
            </w:r>
            <w:r>
              <w:rPr>
                <w:rFonts w:hint="default" w:ascii="Times New Roman" w:hAnsi="Times New Roman" w:eastAsia="宋体" w:cs="Times New Roman"/>
                <w:color w:val="auto"/>
                <w:szCs w:val="24"/>
              </w:rPr>
              <w:t>m³/d的一体化污水处理设施对项目区废水进行处理，处理后回用于回用于项目区绿化，该措施可行。</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⑤再生水收集池环境影响减缓措施有效性分析</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为了满足雨天等特殊情况，处理后生活污水的暂存要求，项目配套设置</w:t>
            </w:r>
            <w:r>
              <w:rPr>
                <w:rFonts w:hint="default" w:ascii="Times New Roman" w:hAnsi="Times New Roman" w:cs="Times New Roman"/>
                <w:color w:val="auto"/>
                <w:szCs w:val="24"/>
                <w:lang w:eastAsia="zh-CN"/>
              </w:rPr>
              <w:t>了</w:t>
            </w:r>
            <w:r>
              <w:rPr>
                <w:rFonts w:hint="default" w:ascii="Times New Roman" w:hAnsi="Times New Roman" w:eastAsia="宋体" w:cs="Times New Roman"/>
                <w:color w:val="auto"/>
                <w:szCs w:val="24"/>
              </w:rPr>
              <w:t>1个有效容积为10m³的再生水收集池对处理后的生活污水进行暂存；项目生活污水最大产生量为</w:t>
            </w:r>
            <w:r>
              <w:rPr>
                <w:rFonts w:hint="default" w:ascii="Times New Roman" w:hAnsi="Times New Roman" w:eastAsia="宋体" w:cs="Times New Roman"/>
                <w:color w:val="auto"/>
                <w:szCs w:val="24"/>
                <w:lang w:val="en-US" w:eastAsia="zh-CN"/>
              </w:rPr>
              <w:t>6.23</w:t>
            </w:r>
            <w:r>
              <w:rPr>
                <w:rFonts w:hint="default" w:ascii="Times New Roman" w:hAnsi="Times New Roman" w:eastAsia="宋体" w:cs="Times New Roman"/>
                <w:color w:val="auto"/>
                <w:szCs w:val="24"/>
              </w:rPr>
              <w:t>m³/d，再生水收集池可满足生活污水超过4d的储存量，可满足雨天暂存后用于非雨天绿化的暂存要求，因此其设置可行。</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rPr>
              <w:t>⑥</w:t>
            </w:r>
            <w:r>
              <w:rPr>
                <w:rFonts w:hint="default" w:ascii="Times New Roman" w:hAnsi="Times New Roman" w:eastAsia="宋体" w:cs="Times New Roman"/>
                <w:b/>
                <w:color w:val="auto"/>
                <w:sz w:val="24"/>
                <w:szCs w:val="24"/>
              </w:rPr>
              <w:t>初期雨水污染治理措施可行性分析</w:t>
            </w:r>
          </w:p>
          <w:p>
            <w:pPr>
              <w:spacing w:line="360" w:lineRule="auto"/>
              <w:ind w:firstLine="360" w:firstLineChars="1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根据工程分析可知，该</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厂区的初期雨水产生量约为5.7m³/次，</w:t>
            </w:r>
            <w:r>
              <w:rPr>
                <w:rFonts w:hint="default" w:ascii="Times New Roman" w:hAnsi="Times New Roman" w:eastAsia="宋体" w:cs="Times New Roman"/>
                <w:color w:val="auto"/>
                <w:sz w:val="24"/>
                <w:szCs w:val="24"/>
                <w:lang w:eastAsia="zh-CN"/>
              </w:rPr>
              <w:t>整改后</w:t>
            </w:r>
            <w:r>
              <w:rPr>
                <w:rFonts w:hint="default" w:ascii="Times New Roman" w:hAnsi="Times New Roman" w:eastAsia="宋体" w:cs="Times New Roman"/>
                <w:color w:val="auto"/>
                <w:sz w:val="24"/>
                <w:szCs w:val="24"/>
              </w:rPr>
              <w:t>该项目拟配套设置了1个10m³的初期雨水收集池，初期雨水收集池的容积可满足收集要求，同时在初期雨水收集池前端设置阀门，初期雨水收集后，关闭阀门，将中、后期雨水通过雨水管网外排；该措施合理可行。</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）废水环境影响分析结论</w:t>
            </w:r>
          </w:p>
          <w:p>
            <w:pPr>
              <w:pStyle w:val="45"/>
              <w:keepNext w:val="0"/>
              <w:keepLines w:val="0"/>
              <w:pageBreakBefore w:val="0"/>
              <w:kinsoku/>
              <w:wordWrap/>
              <w:topLinePunct w:val="0"/>
              <w:autoSpaceDE/>
              <w:autoSpaceDN/>
              <w:bidi w:val="0"/>
              <w:snapToGrid/>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根据调查，目前项目区域还未配套建成市政污水管网，因此本项目排水拟按近期（污水管网建成前）和远期（污水管网建成后）考虑。</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rPr>
              <w:t>近期（</w:t>
            </w:r>
            <w:r>
              <w:rPr>
                <w:rFonts w:hint="default" w:ascii="Times New Roman" w:hAnsi="Times New Roman" w:eastAsia="宋体" w:cs="Times New Roman"/>
                <w:color w:val="auto"/>
                <w:sz w:val="24"/>
                <w:szCs w:val="24"/>
                <w:lang w:eastAsia="zh-CN"/>
              </w:rPr>
              <w:t>污水管网</w:t>
            </w:r>
            <w:r>
              <w:rPr>
                <w:rFonts w:hint="default" w:ascii="Times New Roman" w:hAnsi="Times New Roman" w:eastAsia="宋体" w:cs="Times New Roman"/>
                <w:color w:val="auto"/>
                <w:sz w:val="24"/>
                <w:szCs w:val="24"/>
              </w:rPr>
              <w:t>建成前），项目产生的污水通过隔油池、化粪池和一体化污水处理设施处理后，回用于绿化不外排</w:t>
            </w:r>
            <w:r>
              <w:rPr>
                <w:rFonts w:hint="default" w:ascii="Times New Roman" w:hAnsi="Times New Roman" w:eastAsia="宋体" w:cs="Times New Roman"/>
                <w:color w:val="auto"/>
                <w:sz w:val="24"/>
                <w:szCs w:val="24"/>
                <w:lang w:eastAsia="zh-CN"/>
              </w:rPr>
              <w:t>，根据环评期间废水监测结果，项目废水</w:t>
            </w:r>
            <w:r>
              <w:rPr>
                <w:rFonts w:hint="default" w:ascii="Times New Roman" w:hAnsi="Times New Roman" w:eastAsia="宋体" w:cs="Times New Roman"/>
                <w:color w:val="auto"/>
                <w:sz w:val="24"/>
                <w:szCs w:val="24"/>
              </w:rPr>
              <w:t>可达到《城市污水再生利用 城市杂用水水质》（GB/T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-2020）城市绿化标准；远期（</w:t>
            </w:r>
            <w:r>
              <w:rPr>
                <w:rFonts w:hint="default" w:ascii="Times New Roman" w:hAnsi="Times New Roman" w:eastAsia="宋体" w:cs="Times New Roman"/>
                <w:color w:val="auto"/>
                <w:sz w:val="24"/>
                <w:szCs w:val="24"/>
                <w:lang w:eastAsia="zh-CN"/>
              </w:rPr>
              <w:t>污水管网</w:t>
            </w:r>
            <w:r>
              <w:rPr>
                <w:rFonts w:hint="default" w:ascii="Times New Roman" w:hAnsi="Times New Roman" w:eastAsia="宋体" w:cs="Times New Roman"/>
                <w:color w:val="auto"/>
                <w:sz w:val="24"/>
                <w:szCs w:val="24"/>
              </w:rPr>
              <w:t>建成后）</w:t>
            </w:r>
            <w:r>
              <w:rPr>
                <w:rFonts w:hint="default" w:ascii="Times New Roman" w:hAnsi="Times New Roman" w:eastAsia="宋体" w:cs="Times New Roman"/>
                <w:bCs/>
                <w:color w:val="auto"/>
                <w:kern w:val="2"/>
                <w:sz w:val="24"/>
                <w:szCs w:val="24"/>
                <w:highlight w:val="none"/>
                <w:lang w:val="en-US" w:eastAsia="zh-CN" w:bidi="ar-SA"/>
              </w:rPr>
              <w:t>一体化污水处理设施将闲置</w:t>
            </w:r>
            <w:r>
              <w:rPr>
                <w:rFonts w:hint="default" w:ascii="Times New Roman" w:hAnsi="Times New Roman" w:eastAsia="宋体" w:cs="Times New Roman"/>
                <w:color w:val="auto"/>
                <w:sz w:val="24"/>
                <w:szCs w:val="24"/>
              </w:rPr>
              <w:t>，项目产生的</w:t>
            </w:r>
            <w:r>
              <w:rPr>
                <w:rFonts w:hint="default" w:ascii="Times New Roman" w:hAnsi="Times New Roman" w:eastAsia="宋体" w:cs="Times New Roman"/>
                <w:color w:val="auto"/>
                <w:sz w:val="24"/>
                <w:szCs w:val="24"/>
                <w:lang w:eastAsia="zh-CN"/>
              </w:rPr>
              <w:t>废水</w:t>
            </w:r>
            <w:r>
              <w:rPr>
                <w:rFonts w:hint="default" w:ascii="Times New Roman" w:hAnsi="Times New Roman" w:eastAsia="宋体" w:cs="Times New Roman"/>
                <w:color w:val="auto"/>
                <w:sz w:val="24"/>
                <w:szCs w:val="24"/>
              </w:rPr>
              <w:t>通过隔油池、化粪池预处理后，进入东川区城市污水处理厂集中处理</w:t>
            </w:r>
            <w:r>
              <w:rPr>
                <w:rFonts w:hint="default" w:ascii="Times New Roman" w:hAnsi="Times New Roman" w:eastAsia="宋体" w:cs="Times New Roman"/>
                <w:color w:val="auto"/>
                <w:sz w:val="24"/>
                <w:szCs w:val="24"/>
                <w:lang w:eastAsia="zh-CN"/>
              </w:rPr>
              <w:t>；整改后，初期雨水经初期雨水沉淀池</w:t>
            </w:r>
            <w:r>
              <w:rPr>
                <w:rFonts w:hint="default" w:ascii="Times New Roman" w:hAnsi="Times New Roman" w:eastAsia="宋体" w:cs="Times New Roman"/>
                <w:color w:val="auto"/>
                <w:sz w:val="24"/>
                <w:szCs w:val="24"/>
              </w:rPr>
              <w:t>沉淀处理后，回用用于项目区绿化，不外排</w:t>
            </w:r>
            <w:r>
              <w:rPr>
                <w:rFonts w:hint="default" w:ascii="Times New Roman" w:hAnsi="Times New Roman" w:eastAsia="宋体" w:cs="Times New Roman"/>
                <w:color w:val="auto"/>
                <w:sz w:val="24"/>
                <w:szCs w:val="24"/>
                <w:lang w:eastAsia="zh-CN"/>
              </w:rPr>
              <w:t>。综上，项目产生的废水</w:t>
            </w:r>
            <w:r>
              <w:rPr>
                <w:rFonts w:hint="default" w:ascii="Times New Roman" w:hAnsi="Times New Roman" w:eastAsia="宋体" w:cs="Times New Roman"/>
                <w:color w:val="auto"/>
                <w:sz w:val="24"/>
                <w:szCs w:val="24"/>
              </w:rPr>
              <w:t>对地表水环境影响较小</w:t>
            </w:r>
            <w:r>
              <w:rPr>
                <w:rFonts w:hint="default" w:ascii="Times New Roman" w:hAnsi="Times New Roman" w:eastAsia="宋体" w:cs="Times New Roman"/>
                <w:color w:val="auto"/>
                <w:sz w:val="24"/>
                <w:szCs w:val="24"/>
                <w:lang w:eastAsia="zh-CN"/>
              </w:rPr>
              <w:t>。</w:t>
            </w:r>
          </w:p>
          <w:p>
            <w:pPr>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4.2.</w:t>
            </w: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szCs w:val="24"/>
                <w:highlight w:val="none"/>
              </w:rPr>
              <w:t xml:space="preserve"> 运营期</w:t>
            </w:r>
            <w:r>
              <w:rPr>
                <w:rFonts w:hint="default" w:ascii="Times New Roman" w:hAnsi="Times New Roman" w:eastAsia="宋体" w:cs="Times New Roman"/>
                <w:b/>
                <w:color w:val="auto"/>
                <w:sz w:val="24"/>
                <w:highlight w:val="none"/>
              </w:rPr>
              <w:t>噪声</w:t>
            </w:r>
            <w:r>
              <w:rPr>
                <w:rFonts w:hint="default" w:ascii="Times New Roman" w:hAnsi="Times New Roman" w:eastAsia="宋体" w:cs="Times New Roman"/>
                <w:b/>
                <w:color w:val="auto"/>
                <w:sz w:val="24"/>
                <w:szCs w:val="24"/>
                <w:highlight w:val="none"/>
              </w:rPr>
              <w:t>环境影响和保护措施</w:t>
            </w:r>
          </w:p>
          <w:p>
            <w:pPr>
              <w:spacing w:line="360" w:lineRule="auto"/>
              <w:ind w:firstLine="361" w:firstLineChars="15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szCs w:val="24"/>
              </w:rPr>
              <w:t>（1）</w:t>
            </w:r>
            <w:r>
              <w:rPr>
                <w:rFonts w:hint="default" w:ascii="Times New Roman" w:hAnsi="Times New Roman" w:eastAsia="宋体" w:cs="Times New Roman"/>
                <w:b/>
                <w:color w:val="auto"/>
                <w:sz w:val="24"/>
              </w:rPr>
              <w:t>运营期噪声污染源强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项目噪声污染源主要为设备噪声，其源强如下表所示。</w:t>
            </w:r>
          </w:p>
          <w:p>
            <w:pPr>
              <w:jc w:val="center"/>
              <w:rPr>
                <w:rFonts w:hint="default" w:ascii="Times New Roman" w:hAnsi="Times New Roman" w:eastAsia="宋体" w:cs="Times New Roman"/>
                <w:b/>
                <w:color w:val="auto"/>
                <w:szCs w:val="24"/>
                <w:highlight w:val="none"/>
                <w:lang w:val="en-US" w:eastAsia="zh-CN"/>
              </w:rPr>
            </w:pPr>
            <w:r>
              <w:rPr>
                <w:rFonts w:hint="default" w:ascii="Times New Roman" w:hAnsi="Times New Roman" w:eastAsia="宋体" w:cs="Times New Roman"/>
                <w:b/>
                <w:color w:val="auto"/>
                <w:szCs w:val="24"/>
                <w:highlight w:val="none"/>
              </w:rPr>
              <w:t>表4.2.</w:t>
            </w:r>
            <w:r>
              <w:rPr>
                <w:rFonts w:hint="default" w:ascii="Times New Roman" w:hAnsi="Times New Roman" w:eastAsia="宋体" w:cs="Times New Roman"/>
                <w:b/>
                <w:color w:val="auto"/>
                <w:highlight w:val="none"/>
              </w:rPr>
              <w:t>3</w:t>
            </w:r>
            <w:r>
              <w:rPr>
                <w:rFonts w:hint="default" w:ascii="Times New Roman" w:hAnsi="Times New Roman" w:eastAsia="宋体" w:cs="Times New Roman"/>
                <w:b/>
                <w:color w:val="auto"/>
                <w:szCs w:val="24"/>
                <w:highlight w:val="none"/>
              </w:rPr>
              <w:t>-1 项目噪声源强</w:t>
            </w:r>
            <w:r>
              <w:rPr>
                <w:rFonts w:hint="default" w:ascii="Times New Roman" w:hAnsi="Times New Roman" w:eastAsia="宋体" w:cs="Times New Roman"/>
                <w:b/>
                <w:color w:val="auto"/>
                <w:szCs w:val="24"/>
                <w:highlight w:val="none"/>
                <w:lang w:eastAsia="zh-CN"/>
              </w:rPr>
              <w:t>调查清单</w:t>
            </w:r>
            <w:r>
              <w:rPr>
                <w:rFonts w:hint="default" w:ascii="Times New Roman" w:hAnsi="Times New Roman" w:eastAsia="宋体" w:cs="Times New Roman"/>
                <w:b/>
                <w:color w:val="auto"/>
                <w:szCs w:val="24"/>
                <w:highlight w:val="none"/>
                <w:lang w:val="en-US" w:eastAsia="zh-CN"/>
              </w:rPr>
              <w:t>(室内声源）</w:t>
            </w:r>
          </w:p>
          <w:tbl>
            <w:tblPr>
              <w:tblStyle w:val="26"/>
              <w:tblW w:w="84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2015"/>
              <w:gridCol w:w="1410"/>
              <w:gridCol w:w="969"/>
              <w:gridCol w:w="1091"/>
              <w:gridCol w:w="1170"/>
              <w:gridCol w:w="8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建筑物名称</w:t>
                  </w:r>
                </w:p>
              </w:tc>
              <w:tc>
                <w:tcPr>
                  <w:tcW w:w="2015" w:type="dxa"/>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声源名称</w:t>
                  </w:r>
                </w:p>
              </w:tc>
              <w:tc>
                <w:tcPr>
                  <w:tcW w:w="1410"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型号</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w:t>
                  </w:r>
                  <w:r>
                    <w:rPr>
                      <w:rFonts w:hint="default" w:ascii="Times New Roman" w:hAnsi="Times New Roman" w:eastAsia="宋体" w:cs="Times New Roman"/>
                      <w:color w:val="auto"/>
                      <w:szCs w:val="21"/>
                      <w:lang w:eastAsia="zh-CN"/>
                    </w:rPr>
                    <w:t>源强</w:t>
                  </w:r>
                  <w:r>
                    <w:rPr>
                      <w:rFonts w:hint="default" w:ascii="Times New Roman" w:hAnsi="Times New Roman" w:eastAsia="宋体" w:cs="Times New Roman"/>
                      <w:color w:val="auto"/>
                      <w:szCs w:val="21"/>
                    </w:rPr>
                    <w:t>〔dB（A）〕</w:t>
                  </w:r>
                </w:p>
              </w:tc>
              <w:tc>
                <w:tcPr>
                  <w:tcW w:w="1091" w:type="dxa"/>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防治</w:t>
                  </w:r>
                  <w:r>
                    <w:rPr>
                      <w:rFonts w:hint="default" w:ascii="Times New Roman" w:hAnsi="Times New Roman" w:eastAsia="宋体" w:cs="Times New Roman"/>
                      <w:color w:val="auto"/>
                      <w:szCs w:val="21"/>
                    </w:rPr>
                    <w:t>措施</w:t>
                  </w: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室外源强</w:t>
                  </w:r>
                  <w:r>
                    <w:rPr>
                      <w:rFonts w:hint="default" w:ascii="Times New Roman" w:hAnsi="Times New Roman" w:eastAsia="宋体" w:cs="Times New Roman"/>
                      <w:color w:val="auto"/>
                      <w:szCs w:val="21"/>
                    </w:rPr>
                    <w:t>〔dB（A）〕</w:t>
                  </w:r>
                </w:p>
              </w:tc>
              <w:tc>
                <w:tcPr>
                  <w:tcW w:w="800" w:type="dxa"/>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噪声特性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restart"/>
                  <w:vAlign w:val="center"/>
                </w:tcPr>
                <w:p>
                  <w:pPr>
                    <w:spacing w:line="36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bCs/>
                      <w:snapToGrid w:val="0"/>
                      <w:color w:val="auto"/>
                      <w:kern w:val="32"/>
                      <w:sz w:val="21"/>
                      <w:szCs w:val="21"/>
                      <w:lang w:val="en-US" w:eastAsia="zh-CN"/>
                    </w:rPr>
                    <w:t>2号厂房</w:t>
                  </w: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注塑机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GT3-LS160</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1091" w:type="dxa"/>
                  <w:vMerge w:val="restart"/>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选用低噪声设备，安装</w:t>
                  </w:r>
                  <w:r>
                    <w:rPr>
                      <w:rFonts w:hint="default" w:ascii="Times New Roman" w:hAnsi="Times New Roman" w:eastAsia="宋体" w:cs="Times New Roman"/>
                      <w:color w:val="auto"/>
                      <w:szCs w:val="21"/>
                    </w:rPr>
                    <w:t>减震垫、消声器、墙体阻隔</w:t>
                  </w: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65-75</w:t>
                  </w:r>
                </w:p>
              </w:tc>
              <w:tc>
                <w:tcPr>
                  <w:tcW w:w="800" w:type="dxa"/>
                  <w:vMerge w:val="restart"/>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rPr>
                    <w:t>24小时运行，</w:t>
                  </w:r>
                  <w:r>
                    <w:rPr>
                      <w:rFonts w:hint="default" w:ascii="Times New Roman" w:hAnsi="Times New Roman" w:eastAsia="宋体" w:cs="Times New Roman"/>
                      <w:color w:val="auto"/>
                      <w:szCs w:val="21"/>
                    </w:rPr>
                    <w:t>连续性、频发，固定声源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粉料机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YSC-400P</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highlight w:val="none"/>
                      <w:vertAlign w:val="baseline"/>
                      <w:lang w:val="en-US" w:eastAsia="zh-CN"/>
                    </w:rPr>
                    <w:t>塑料挤出机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SJ-50</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vertAlign w:val="baseline"/>
                      <w:lang w:val="en-US" w:eastAsia="zh-CN"/>
                    </w:rPr>
                    <w:t>折叠机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vertAlign w:val="baseline"/>
                      <w:lang w:val="en-US" w:eastAsia="zh-CN"/>
                    </w:rPr>
                    <w:t>CF5*7</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85-95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医用包装机（软膜）</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BN-D4</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85-95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棉签机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全自动</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70-80</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60-70</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自动台式快速塑料封口机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SF-400型</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滚切输液贴包装机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HSY-200</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雅娜点焊机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三型</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70-80</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60-70</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压胶机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SA"/>
                    </w:rPr>
                    <w:t>LX-608C</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015" w:type="dxa"/>
                  <w:tcBorders>
                    <w:left w:val="single" w:color="auto" w:sz="4" w:space="0"/>
                  </w:tcBorders>
                  <w:vAlign w:val="center"/>
                </w:tcPr>
                <w:p>
                  <w:pPr>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平缝机</w:t>
                  </w:r>
                </w:p>
              </w:tc>
              <w:tc>
                <w:tcPr>
                  <w:tcW w:w="1410" w:type="dxa"/>
                  <w:tcBorders>
                    <w:left w:val="single" w:color="auto" w:sz="4" w:space="0"/>
                  </w:tcBorders>
                  <w:vAlign w:val="center"/>
                </w:tcPr>
                <w:p>
                  <w:pPr>
                    <w:spacing w:line="36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vertAlign w:val="baseline"/>
                      <w:lang w:val="en-US" w:eastAsia="zh-CN"/>
                    </w:rPr>
                    <w:t>GC6150MD</w:t>
                  </w:r>
                </w:p>
              </w:tc>
              <w:tc>
                <w:tcPr>
                  <w:tcW w:w="96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80-90</w:t>
                  </w:r>
                </w:p>
              </w:tc>
              <w:tc>
                <w:tcPr>
                  <w:tcW w:w="1091" w:type="dxa"/>
                  <w:vMerge w:val="continue"/>
                  <w:tcBorders>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c>
                <w:tcPr>
                  <w:tcW w:w="1170" w:type="dxa"/>
                  <w:tcBorders>
                    <w:left w:val="single" w:color="auto" w:sz="4" w:space="0"/>
                    <w:right w:val="single" w:color="auto" w:sz="4" w:space="0"/>
                  </w:tcBorders>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70-80</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四线缝纫机</w:t>
                  </w:r>
                </w:p>
              </w:tc>
              <w:tc>
                <w:tcPr>
                  <w:tcW w:w="1410" w:type="dxa"/>
                  <w:vAlign w:val="center"/>
                </w:tcPr>
                <w:p>
                  <w:pPr>
                    <w:spacing w:line="36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杰克</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pStyle w:val="45"/>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超声波花边机</w:t>
                  </w:r>
                </w:p>
              </w:tc>
              <w:tc>
                <w:tcPr>
                  <w:tcW w:w="1410" w:type="dxa"/>
                  <w:vAlign w:val="center"/>
                </w:tcPr>
                <w:p>
                  <w:pPr>
                    <w:spacing w:line="36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JX-60</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自动铺布机</w:t>
                  </w:r>
                </w:p>
              </w:tc>
              <w:tc>
                <w:tcPr>
                  <w:tcW w:w="1410" w:type="dxa"/>
                  <w:vAlign w:val="center"/>
                </w:tcPr>
                <w:p>
                  <w:pPr>
                    <w:spacing w:line="36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ZC1201</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智能喷涂胶机</w:t>
                  </w:r>
                </w:p>
              </w:tc>
              <w:tc>
                <w:tcPr>
                  <w:tcW w:w="1410" w:type="dxa"/>
                  <w:vAlign w:val="center"/>
                </w:tcPr>
                <w:p>
                  <w:pPr>
                    <w:spacing w:line="360" w:lineRule="exact"/>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lang w:val="en-US" w:eastAsia="zh-CN"/>
                    </w:rPr>
                    <w:t>TZR1280</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85-95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电剪刀</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7001</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85-95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平面一体口罩机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羽林</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70-80</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60-70</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垫单包装机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羽林</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全自动无纺布鞋套制造机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EJWX15082</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全自动无纺布帽子制造机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ESD19074</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70-80</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60-70</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智能真空包装机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长盛</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自动台式快速塑料封口机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SF-400型</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70-80</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60-70</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有色印字封口机</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BM-810</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pStyle w:val="45"/>
                    <w:spacing w:line="360" w:lineRule="exact"/>
                    <w:rPr>
                      <w:rFonts w:hint="default" w:ascii="Times New Roman" w:hAnsi="Times New Roman" w:eastAsia="宋体" w:cs="Times New Roman"/>
                      <w:color w:val="auto"/>
                      <w:szCs w:val="21"/>
                    </w:rPr>
                  </w:pPr>
                </w:p>
              </w:tc>
              <w:tc>
                <w:tcPr>
                  <w:tcW w:w="2015" w:type="dxa"/>
                  <w:vAlign w:val="center"/>
                </w:tcPr>
                <w:p>
                  <w:pPr>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封口机</w:t>
                  </w:r>
                </w:p>
              </w:tc>
              <w:tc>
                <w:tcPr>
                  <w:tcW w:w="1410" w:type="dxa"/>
                  <w:vAlign w:val="center"/>
                </w:tcPr>
                <w:p>
                  <w:pPr>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FRBM-810</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restart"/>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lang w:eastAsia="zh-CN"/>
                    </w:rPr>
                    <w:t>厂房灭菌车间</w:t>
                  </w: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en-US" w:eastAsia="zh-CN"/>
                    </w:rPr>
                    <w:t>环氧乙烷灭菌柜</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en-US" w:eastAsia="zh-CN"/>
                    </w:rPr>
                    <w:t>HMG-A-25m3</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vMerge w:val="restart"/>
                  <w:tcBorders>
                    <w:right w:val="single" w:color="auto" w:sz="4" w:space="0"/>
                  </w:tcBorders>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安装基础减震、加装减震垫、墙体阻隔。</w:t>
                  </w: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Merge w:val="continue"/>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灭菌控制台</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85-95</w:t>
                  </w:r>
                </w:p>
              </w:tc>
              <w:tc>
                <w:tcPr>
                  <w:tcW w:w="1091" w:type="dxa"/>
                  <w:vMerge w:val="continue"/>
                  <w:tcBorders>
                    <w:right w:val="single" w:color="auto" w:sz="4" w:space="0"/>
                  </w:tcBorders>
                </w:tcPr>
                <w:p>
                  <w:pPr>
                    <w:pStyle w:val="45"/>
                    <w:spacing w:line="360" w:lineRule="exact"/>
                    <w:rPr>
                      <w:rFonts w:hint="default" w:ascii="Times New Roman" w:hAnsi="Times New Roman" w:eastAsia="宋体" w:cs="Times New Roman"/>
                      <w:color w:val="auto"/>
                      <w:szCs w:val="21"/>
                    </w:rPr>
                  </w:pP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2#厂房</w:t>
                  </w: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组合式空调机组</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ZHK-100-W-N</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85-95</w:t>
                  </w:r>
                </w:p>
              </w:tc>
              <w:tc>
                <w:tcPr>
                  <w:tcW w:w="1091" w:type="dxa"/>
                  <w:tcBorders>
                    <w:right w:val="single" w:color="auto" w:sz="4" w:space="0"/>
                  </w:tcBorders>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安装基础减震、风机安装消音器。</w:t>
                  </w: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厂区</w:t>
                  </w: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zh-CN" w:eastAsia="zh-CN"/>
                    </w:rPr>
                    <w:t>冷却水塔</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zh-CN" w:eastAsia="zh-CN"/>
                    </w:rPr>
                    <w:t>m³/个</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80-90</w:t>
                  </w:r>
                </w:p>
              </w:tc>
              <w:tc>
                <w:tcPr>
                  <w:tcW w:w="1091" w:type="dxa"/>
                  <w:tcBorders>
                    <w:right w:val="single" w:color="auto" w:sz="4" w:space="0"/>
                  </w:tcBorders>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安装基础减震、墙体阻隔。</w:t>
                  </w: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70-80</w:t>
                  </w:r>
                </w:p>
              </w:tc>
              <w:tc>
                <w:tcPr>
                  <w:tcW w:w="800" w:type="dxa"/>
                  <w:vMerge w:val="continue"/>
                  <w:tcBorders>
                    <w:left w:val="single" w:color="auto" w:sz="4" w:space="0"/>
                  </w:tcBorders>
                  <w:vAlign w:val="center"/>
                </w:tcPr>
                <w:p>
                  <w:pPr>
                    <w:spacing w:line="360" w:lineRule="exact"/>
                    <w:rPr>
                      <w:rFonts w:hint="default" w:ascii="Times New Roman" w:hAnsi="Times New Roman" w:eastAsia="宋体"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019"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rPr>
                    <w:t>1#厂房原料暂存区</w:t>
                  </w:r>
                </w:p>
              </w:tc>
              <w:tc>
                <w:tcPr>
                  <w:tcW w:w="2015" w:type="dxa"/>
                  <w:vAlign w:val="center"/>
                </w:tcPr>
                <w:p>
                  <w:pPr>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zh-CN" w:eastAsia="zh-CN"/>
                    </w:rPr>
                    <w:t>电叉车</w:t>
                  </w:r>
                </w:p>
              </w:tc>
              <w:tc>
                <w:tcPr>
                  <w:tcW w:w="1410" w:type="dxa"/>
                  <w:vAlign w:val="center"/>
                </w:tcPr>
                <w:p>
                  <w:pPr>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w:t>
                  </w:r>
                </w:p>
              </w:tc>
              <w:tc>
                <w:tcPr>
                  <w:tcW w:w="969"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75-85</w:t>
                  </w:r>
                </w:p>
              </w:tc>
              <w:tc>
                <w:tcPr>
                  <w:tcW w:w="1091" w:type="dxa"/>
                  <w:tcBorders>
                    <w:right w:val="single" w:color="auto" w:sz="4" w:space="0"/>
                  </w:tcBorders>
                  <w:vAlign w:val="top"/>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eastAsia="zh-CN"/>
                    </w:rPr>
                    <w:t>墙体阻隔</w:t>
                  </w:r>
                </w:p>
              </w:tc>
              <w:tc>
                <w:tcPr>
                  <w:tcW w:w="1170"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rPr>
                    <w:t>65-75</w:t>
                  </w:r>
                </w:p>
              </w:tc>
              <w:tc>
                <w:tcPr>
                  <w:tcW w:w="800" w:type="dxa"/>
                  <w:vAlign w:val="center"/>
                </w:tcPr>
                <w:p>
                  <w:pPr>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eastAsia="zh-CN"/>
                    </w:rPr>
                    <w:t>移动声源</w:t>
                  </w:r>
                </w:p>
              </w:tc>
            </w:tr>
          </w:tbl>
          <w:p>
            <w:pPr>
              <w:spacing w:beforeLines="50" w:line="360" w:lineRule="auto"/>
              <w:ind w:firstLine="361" w:firstLineChars="15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（2）厂界噪声达标性分析</w:t>
            </w:r>
          </w:p>
          <w:p>
            <w:pPr>
              <w:spacing w:line="360" w:lineRule="auto"/>
              <w:ind w:firstLine="482" w:firstLineChars="2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①厂界噪声监测参数设置</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项目厂界噪声监测参数如下表所示。</w:t>
            </w:r>
          </w:p>
          <w:p>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表4.2.3-2  监测参数一览表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6792"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ind w:firstLine="210" w:firstLineChars="1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44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监测工况</w:t>
                  </w:r>
                </w:p>
              </w:tc>
              <w:tc>
                <w:tcPr>
                  <w:tcW w:w="6792"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ind w:firstLine="210" w:firstLineChars="1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项目满负荷运行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4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监测点位</w:t>
                  </w:r>
                </w:p>
              </w:tc>
              <w:tc>
                <w:tcPr>
                  <w:tcW w:w="6792"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ind w:firstLine="210" w:firstLineChars="1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厂界四周分别设置1个监测点，共4个监测点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监测项目</w:t>
                  </w:r>
                </w:p>
              </w:tc>
              <w:tc>
                <w:tcPr>
                  <w:tcW w:w="6792"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ind w:firstLine="210" w:firstLineChars="1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连续等效A声级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44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监测频次</w:t>
                  </w:r>
                </w:p>
              </w:tc>
              <w:tc>
                <w:tcPr>
                  <w:tcW w:w="6792"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ind w:firstLine="210" w:firstLineChars="1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连续检测2天，每天昼间、夜间各检测1次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445"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监测时间</w:t>
                  </w:r>
                </w:p>
              </w:tc>
              <w:tc>
                <w:tcPr>
                  <w:tcW w:w="6792" w:type="dxa"/>
                  <w:tcBorders>
                    <w:top w:val="single" w:color="auto" w:sz="4" w:space="0"/>
                    <w:left w:val="single" w:color="auto" w:sz="4" w:space="0"/>
                    <w:bottom w:val="single" w:color="auto" w:sz="4" w:space="0"/>
                    <w:right w:val="single" w:color="auto" w:sz="4" w:space="0"/>
                  </w:tcBorders>
                  <w:vAlign w:val="center"/>
                </w:tcPr>
                <w:p>
                  <w:pPr>
                    <w:pStyle w:val="45"/>
                    <w:spacing w:line="360" w:lineRule="exact"/>
                    <w:ind w:firstLine="210" w:firstLineChars="1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2023年</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日至</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日</w:t>
                  </w:r>
                </w:p>
              </w:tc>
            </w:tr>
          </w:tbl>
          <w:p>
            <w:pPr>
              <w:pStyle w:val="53"/>
              <w:ind w:firstLine="480"/>
              <w:rPr>
                <w:rFonts w:hint="default" w:ascii="Times New Roman" w:hAnsi="Times New Roman" w:cs="Times New Roman" w:eastAsiaTheme="minorEastAsia"/>
                <w:b/>
                <w:bCs/>
                <w:color w:val="auto"/>
                <w:szCs w:val="24"/>
                <w:highlight w:val="none"/>
                <w:lang w:eastAsia="zh-CN"/>
              </w:rPr>
            </w:pPr>
            <w:r>
              <w:rPr>
                <w:rFonts w:hint="default" w:ascii="Times New Roman" w:hAnsi="Times New Roman" w:cs="Times New Roman" w:eastAsiaTheme="minorEastAsia"/>
                <w:b/>
                <w:bCs/>
                <w:color w:val="auto"/>
                <w:szCs w:val="24"/>
                <w:highlight w:val="none"/>
              </w:rPr>
              <w:t>②</w:t>
            </w:r>
            <w:r>
              <w:rPr>
                <w:rFonts w:hint="default" w:ascii="Times New Roman" w:hAnsi="Times New Roman" w:cs="Times New Roman" w:eastAsiaTheme="minorEastAsia"/>
                <w:b/>
                <w:bCs/>
                <w:color w:val="auto"/>
                <w:szCs w:val="24"/>
                <w:highlight w:val="none"/>
                <w:lang w:eastAsia="zh-CN"/>
              </w:rPr>
              <w:t>厂界噪声监测结果</w:t>
            </w:r>
          </w:p>
          <w:p>
            <w:pPr>
              <w:pStyle w:val="53"/>
              <w:ind w:firstLine="480"/>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color w:val="auto"/>
                <w:szCs w:val="24"/>
                <w:highlight w:val="none"/>
              </w:rPr>
              <w:t>根据建设单位委托云南加莱希安全检测有限公司于2023年</w:t>
            </w:r>
            <w:r>
              <w:rPr>
                <w:rFonts w:hint="default" w:ascii="Times New Roman" w:hAnsi="Times New Roman" w:cs="Times New Roman" w:eastAsiaTheme="minorEastAsia"/>
                <w:color w:val="auto"/>
                <w:szCs w:val="24"/>
                <w:highlight w:val="none"/>
                <w:lang w:val="en-US" w:eastAsia="zh-CN"/>
              </w:rPr>
              <w:t>10</w:t>
            </w:r>
            <w:r>
              <w:rPr>
                <w:rFonts w:hint="default" w:ascii="Times New Roman" w:hAnsi="Times New Roman" w:cs="Times New Roman" w:eastAsiaTheme="minorEastAsia"/>
                <w:color w:val="auto"/>
                <w:szCs w:val="24"/>
                <w:highlight w:val="none"/>
              </w:rPr>
              <w:t>月</w:t>
            </w:r>
            <w:r>
              <w:rPr>
                <w:rFonts w:hint="default" w:ascii="Times New Roman" w:hAnsi="Times New Roman" w:cs="Times New Roman" w:eastAsiaTheme="minorEastAsia"/>
                <w:color w:val="auto"/>
                <w:szCs w:val="24"/>
                <w:highlight w:val="none"/>
                <w:lang w:val="en-US" w:eastAsia="zh-CN"/>
              </w:rPr>
              <w:t>19</w:t>
            </w:r>
            <w:r>
              <w:rPr>
                <w:rFonts w:hint="default" w:ascii="Times New Roman" w:hAnsi="Times New Roman" w:cs="Times New Roman" w:eastAsiaTheme="minorEastAsia"/>
                <w:color w:val="auto"/>
                <w:szCs w:val="24"/>
                <w:highlight w:val="none"/>
              </w:rPr>
              <w:t>日至</w:t>
            </w:r>
            <w:r>
              <w:rPr>
                <w:rFonts w:hint="default" w:ascii="Times New Roman" w:hAnsi="Times New Roman" w:cs="Times New Roman" w:eastAsiaTheme="minorEastAsia"/>
                <w:color w:val="auto"/>
                <w:szCs w:val="24"/>
                <w:highlight w:val="none"/>
                <w:lang w:val="en-US" w:eastAsia="zh-CN"/>
              </w:rPr>
              <w:t>20</w:t>
            </w:r>
            <w:r>
              <w:rPr>
                <w:rFonts w:hint="default" w:ascii="Times New Roman" w:hAnsi="Times New Roman" w:cs="Times New Roman" w:eastAsiaTheme="minorEastAsia"/>
                <w:color w:val="auto"/>
                <w:szCs w:val="24"/>
                <w:highlight w:val="none"/>
              </w:rPr>
              <w:t>日对项目区厂界噪声进行检测，其检测结果如下表所示。</w:t>
            </w:r>
          </w:p>
          <w:p>
            <w:pPr>
              <w:pStyle w:val="47"/>
              <w:widowControl/>
              <w:tabs>
                <w:tab w:val="left" w:pos="540"/>
                <w:tab w:val="left" w:pos="851"/>
                <w:tab w:val="left" w:pos="994"/>
                <w:tab w:val="left" w:pos="1260"/>
                <w:tab w:val="left" w:pos="3108"/>
                <w:tab w:val="left" w:pos="3150"/>
              </w:tabs>
              <w:snapToGrid/>
              <w:spacing w:beforeLines="0"/>
              <w:textAlignment w:val="auto"/>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表4.2.3-3  噪声监测结果表   单位：dB（A）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
              <w:gridCol w:w="919"/>
              <w:gridCol w:w="1535"/>
              <w:gridCol w:w="1017"/>
              <w:gridCol w:w="1443"/>
              <w:gridCol w:w="1296"/>
              <w:gridCol w:w="741"/>
              <w:gridCol w:w="763"/>
              <w:gridCol w:w="88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vMerge w:val="restart"/>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检</w:t>
                  </w:r>
                  <w:r>
                    <w:rPr>
                      <w:rFonts w:hint="default" w:ascii="Times New Roman" w:hAnsi="Times New Roman" w:eastAsia="宋体" w:cs="Times New Roman"/>
                      <w:b/>
                      <w:bCs/>
                      <w:color w:val="auto"/>
                      <w:sz w:val="21"/>
                      <w:szCs w:val="21"/>
                      <w:highlight w:val="none"/>
                    </w:rPr>
                    <w:t>测点及编号</w:t>
                  </w:r>
                </w:p>
              </w:tc>
              <w:tc>
                <w:tcPr>
                  <w:tcW w:w="5291" w:type="dxa"/>
                  <w:gridSpan w:val="4"/>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测量时间及结果Leq[dB(A)]</w:t>
                  </w:r>
                </w:p>
              </w:tc>
              <w:tc>
                <w:tcPr>
                  <w:tcW w:w="1504" w:type="dxa"/>
                  <w:gridSpan w:val="2"/>
                  <w:vMerge w:val="restart"/>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标准限值</w:t>
                  </w:r>
                </w:p>
              </w:tc>
              <w:tc>
                <w:tcPr>
                  <w:tcW w:w="885" w:type="dxa"/>
                  <w:vMerge w:val="restart"/>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p>
              </w:tc>
              <w:tc>
                <w:tcPr>
                  <w:tcW w:w="5291" w:type="dxa"/>
                  <w:gridSpan w:val="4"/>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2023.10.19</w:t>
                  </w:r>
                </w:p>
              </w:tc>
              <w:tc>
                <w:tcPr>
                  <w:tcW w:w="1504" w:type="dxa"/>
                  <w:gridSpan w:val="2"/>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val="en-US" w:eastAsia="zh-CN"/>
                    </w:rPr>
                  </w:pPr>
                </w:p>
              </w:tc>
              <w:tc>
                <w:tcPr>
                  <w:tcW w:w="885" w:type="dxa"/>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p>
              </w:tc>
              <w:tc>
                <w:tcPr>
                  <w:tcW w:w="2552" w:type="dxa"/>
                  <w:gridSpan w:val="2"/>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2739" w:type="dxa"/>
                  <w:gridSpan w:val="2"/>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504" w:type="dxa"/>
                  <w:gridSpan w:val="2"/>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p>
              </w:tc>
              <w:tc>
                <w:tcPr>
                  <w:tcW w:w="885" w:type="dxa"/>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p>
              </w:tc>
              <w:tc>
                <w:tcPr>
                  <w:tcW w:w="1535"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测量时间</w:t>
                  </w:r>
                </w:p>
              </w:tc>
              <w:tc>
                <w:tcPr>
                  <w:tcW w:w="1017"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测量结果</w:t>
                  </w:r>
                </w:p>
              </w:tc>
              <w:tc>
                <w:tcPr>
                  <w:tcW w:w="1443"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测量时间</w:t>
                  </w:r>
                </w:p>
              </w:tc>
              <w:tc>
                <w:tcPr>
                  <w:tcW w:w="1296"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测量结果</w:t>
                  </w:r>
                </w:p>
              </w:tc>
              <w:tc>
                <w:tcPr>
                  <w:tcW w:w="741"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昼间</w:t>
                  </w:r>
                </w:p>
              </w:tc>
              <w:tc>
                <w:tcPr>
                  <w:tcW w:w="763"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夜间</w:t>
                  </w:r>
                </w:p>
              </w:tc>
              <w:tc>
                <w:tcPr>
                  <w:tcW w:w="885" w:type="dxa"/>
                  <w:vMerge w:val="continue"/>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厂界东</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09:08～09:09</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54.4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22:05～22:06</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46.9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88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厂界南</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09:24～09:25</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53.7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22:13～22:14</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46.8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88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厂界西</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09:32～09:33</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53.0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22:23～22:24</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48.4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76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88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 w:type="dxa"/>
                <w:wAfter w:w="5" w:type="dxa"/>
                <w:trHeight w:val="0" w:hRule="atLeast"/>
                <w:jc w:val="center"/>
              </w:trPr>
              <w:tc>
                <w:tcPr>
                  <w:tcW w:w="919"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厂界北</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09:43～09:44</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54.8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22:31～22:32</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48.6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88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vMerge w:val="restart"/>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检</w:t>
                  </w:r>
                  <w:r>
                    <w:rPr>
                      <w:rFonts w:hint="default" w:ascii="Times New Roman" w:hAnsi="Times New Roman" w:eastAsia="宋体" w:cs="Times New Roman"/>
                      <w:b/>
                      <w:bCs/>
                      <w:color w:val="auto"/>
                      <w:sz w:val="21"/>
                      <w:szCs w:val="21"/>
                      <w:highlight w:val="none"/>
                    </w:rPr>
                    <w:t>测点及编号</w:t>
                  </w:r>
                </w:p>
              </w:tc>
              <w:tc>
                <w:tcPr>
                  <w:tcW w:w="5291" w:type="dxa"/>
                  <w:gridSpan w:val="4"/>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测量时间及结果Leq[dB(A)]</w:t>
                  </w:r>
                </w:p>
              </w:tc>
              <w:tc>
                <w:tcPr>
                  <w:tcW w:w="1504" w:type="dxa"/>
                  <w:gridSpan w:val="2"/>
                  <w:vMerge w:val="restart"/>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标准限值</w:t>
                  </w:r>
                </w:p>
              </w:tc>
              <w:tc>
                <w:tcPr>
                  <w:tcW w:w="890" w:type="dxa"/>
                  <w:gridSpan w:val="2"/>
                  <w:vMerge w:val="restart"/>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vMerge w:val="continue"/>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p>
              </w:tc>
              <w:tc>
                <w:tcPr>
                  <w:tcW w:w="5291" w:type="dxa"/>
                  <w:gridSpan w:val="4"/>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2023.10.20</w:t>
                  </w:r>
                </w:p>
              </w:tc>
              <w:tc>
                <w:tcPr>
                  <w:tcW w:w="1504" w:type="dxa"/>
                  <w:gridSpan w:val="2"/>
                  <w:vMerge w:val="continue"/>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val="en-US" w:eastAsia="zh-CN"/>
                    </w:rPr>
                  </w:pPr>
                </w:p>
              </w:tc>
              <w:tc>
                <w:tcPr>
                  <w:tcW w:w="890" w:type="dxa"/>
                  <w:gridSpan w:val="2"/>
                  <w:vMerge w:val="continue"/>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vMerge w:val="continue"/>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p>
              </w:tc>
              <w:tc>
                <w:tcPr>
                  <w:tcW w:w="2552" w:type="dxa"/>
                  <w:gridSpan w:val="2"/>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2739" w:type="dxa"/>
                  <w:gridSpan w:val="2"/>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504" w:type="dxa"/>
                  <w:gridSpan w:val="2"/>
                  <w:vMerge w:val="continue"/>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p>
              </w:tc>
              <w:tc>
                <w:tcPr>
                  <w:tcW w:w="890" w:type="dxa"/>
                  <w:gridSpan w:val="2"/>
                  <w:vMerge w:val="continue"/>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vMerge w:val="continue"/>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b/>
                      <w:bCs/>
                      <w:color w:val="auto"/>
                      <w:sz w:val="21"/>
                      <w:szCs w:val="21"/>
                      <w:highlight w:val="none"/>
                    </w:rPr>
                  </w:pPr>
                </w:p>
              </w:tc>
              <w:tc>
                <w:tcPr>
                  <w:tcW w:w="1535"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测量时间</w:t>
                  </w:r>
                </w:p>
              </w:tc>
              <w:tc>
                <w:tcPr>
                  <w:tcW w:w="1017"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测量结果</w:t>
                  </w:r>
                </w:p>
              </w:tc>
              <w:tc>
                <w:tcPr>
                  <w:tcW w:w="1443"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测量时间</w:t>
                  </w:r>
                </w:p>
              </w:tc>
              <w:tc>
                <w:tcPr>
                  <w:tcW w:w="1296"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测量结果</w:t>
                  </w:r>
                </w:p>
              </w:tc>
              <w:tc>
                <w:tcPr>
                  <w:tcW w:w="741" w:type="dxa"/>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昼间</w:t>
                  </w:r>
                </w:p>
              </w:tc>
              <w:tc>
                <w:tcPr>
                  <w:tcW w:w="763" w:type="dxa"/>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夜间</w:t>
                  </w:r>
                </w:p>
              </w:tc>
              <w:tc>
                <w:tcPr>
                  <w:tcW w:w="890" w:type="dxa"/>
                  <w:gridSpan w:val="2"/>
                  <w:vMerge w:val="continue"/>
                  <w:tcBorders>
                    <w:righ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厂界东</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08:40～08:41</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56.6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23:00～23:01</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47.6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3" w:type="dxa"/>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890" w:type="dxa"/>
                  <w:gridSpan w:val="2"/>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厂界南</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08:51～08:52</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23:08～23:09</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47.5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3" w:type="dxa"/>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890" w:type="dxa"/>
                  <w:gridSpan w:val="2"/>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tcBorders>
                    <w:left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厂界西</w:t>
                  </w:r>
                </w:p>
              </w:tc>
              <w:tc>
                <w:tcPr>
                  <w:tcW w:w="1535"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09:02～09:03</w:t>
                  </w:r>
                </w:p>
              </w:tc>
              <w:tc>
                <w:tcPr>
                  <w:tcW w:w="1017"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55.5 </w:t>
                  </w:r>
                </w:p>
              </w:tc>
              <w:tc>
                <w:tcPr>
                  <w:tcW w:w="1443"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23:15～23:16</w:t>
                  </w:r>
                </w:p>
              </w:tc>
              <w:tc>
                <w:tcPr>
                  <w:tcW w:w="1296"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46.1 </w:t>
                  </w:r>
                </w:p>
              </w:tc>
              <w:tc>
                <w:tcPr>
                  <w:tcW w:w="741" w:type="dxa"/>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763" w:type="dxa"/>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55</w:t>
                  </w:r>
                </w:p>
              </w:tc>
              <w:tc>
                <w:tcPr>
                  <w:tcW w:w="890" w:type="dxa"/>
                  <w:gridSpan w:val="2"/>
                  <w:tcBorders>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tcBorders>
                    <w:left w:val="single" w:color="auto" w:sz="4" w:space="0"/>
                    <w:bottom w:val="single" w:color="auto" w:sz="4" w:space="0"/>
                  </w:tcBorders>
                  <w:noWrap w:val="0"/>
                  <w:vAlign w:val="center"/>
                </w:tcPr>
                <w:p>
                  <w:pPr>
                    <w:pStyle w:val="40"/>
                    <w:keepNext w:val="0"/>
                    <w:keepLines w:val="0"/>
                    <w:pageBreakBefore w:val="0"/>
                    <w:kinsoku/>
                    <w:wordWrap/>
                    <w:overflowPunct/>
                    <w:topLinePunct w:val="0"/>
                    <w:bidi w:val="0"/>
                    <w:snapToGrid/>
                    <w:spacing w:line="36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厂界北</w:t>
                  </w:r>
                </w:p>
              </w:tc>
              <w:tc>
                <w:tcPr>
                  <w:tcW w:w="1535"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09:12～09:13</w:t>
                  </w:r>
                </w:p>
              </w:tc>
              <w:tc>
                <w:tcPr>
                  <w:tcW w:w="1017"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54.7 </w:t>
                  </w:r>
                </w:p>
              </w:tc>
              <w:tc>
                <w:tcPr>
                  <w:tcW w:w="1443"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23:23～23:24</w:t>
                  </w:r>
                </w:p>
              </w:tc>
              <w:tc>
                <w:tcPr>
                  <w:tcW w:w="1296"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48.4 </w:t>
                  </w:r>
                </w:p>
              </w:tc>
              <w:tc>
                <w:tcPr>
                  <w:tcW w:w="741"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3"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890" w:type="dxa"/>
                  <w:gridSpan w:val="2"/>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bl>
          <w:p>
            <w:pPr>
              <w:spacing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由上表可知，项目运营期设备加装减振垫、消音器，噪声墙体阻隔、空气吸收和距离等衰减后，由项目昼夜噪声在北厂界、</w:t>
            </w:r>
            <w:r>
              <w:rPr>
                <w:rFonts w:hint="default" w:ascii="Times New Roman" w:hAnsi="Times New Roman" w:eastAsia="宋体" w:cs="Times New Roman"/>
                <w:color w:val="auto"/>
                <w:sz w:val="24"/>
                <w:szCs w:val="24"/>
                <w:highlight w:val="none"/>
                <w:lang w:eastAsia="zh-CN"/>
              </w:rPr>
              <w:t>南</w:t>
            </w:r>
            <w:r>
              <w:rPr>
                <w:rFonts w:hint="default" w:ascii="Times New Roman" w:hAnsi="Times New Roman" w:eastAsia="宋体" w:cs="Times New Roman"/>
                <w:color w:val="auto"/>
                <w:sz w:val="24"/>
                <w:szCs w:val="24"/>
                <w:highlight w:val="none"/>
              </w:rPr>
              <w:t>厂界、东厂界能达到《工业企业厂界环境噪声排放标准》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昼间60dB(A)，夜间50dB(A)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标准，项目昼夜噪声在</w:t>
            </w:r>
            <w:r>
              <w:rPr>
                <w:rFonts w:hint="default" w:ascii="Times New Roman" w:hAnsi="Times New Roman" w:eastAsia="宋体" w:cs="Times New Roman"/>
                <w:color w:val="auto"/>
                <w:sz w:val="24"/>
                <w:szCs w:val="24"/>
                <w:highlight w:val="none"/>
                <w:lang w:eastAsia="zh-CN"/>
              </w:rPr>
              <w:t>西</w:t>
            </w:r>
            <w:r>
              <w:rPr>
                <w:rFonts w:hint="default" w:ascii="Times New Roman" w:hAnsi="Times New Roman" w:eastAsia="宋体" w:cs="Times New Roman"/>
                <w:color w:val="auto"/>
                <w:sz w:val="24"/>
                <w:szCs w:val="24"/>
                <w:highlight w:val="none"/>
              </w:rPr>
              <w:t>厂界能达到《工业企业厂界环境噪声排放标准》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4类(昼间70dB(A)，夜间</w:t>
            </w:r>
            <w:r>
              <w:rPr>
                <w:rFonts w:hint="default" w:ascii="Times New Roman" w:hAnsi="Times New Roman"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rPr>
              <w:t>dB(A)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w:t>
            </w:r>
          </w:p>
          <w:p>
            <w:pPr>
              <w:spacing w:line="360" w:lineRule="auto"/>
              <w:ind w:firstLine="361" w:firstLineChars="15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（3）对环境保护目标影响</w:t>
            </w:r>
            <w:r>
              <w:rPr>
                <w:rFonts w:hint="default" w:ascii="Times New Roman" w:hAnsi="Times New Roman" w:eastAsia="宋体" w:cs="Times New Roman"/>
                <w:b/>
                <w:color w:val="auto"/>
                <w:sz w:val="24"/>
                <w:highlight w:val="none"/>
                <w:lang w:eastAsia="zh-CN"/>
              </w:rPr>
              <w:t>分析</w:t>
            </w:r>
          </w:p>
          <w:p>
            <w:pPr>
              <w:pStyle w:val="53"/>
              <w:ind w:firstLine="480"/>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根据项目环境保护目标分布，项目区声环境50m评价范围内声环境保护目标</w:t>
            </w:r>
            <w:r>
              <w:rPr>
                <w:rFonts w:hint="default" w:ascii="Times New Roman" w:hAnsi="Times New Roman" w:eastAsia="宋体" w:cs="Times New Roman"/>
                <w:color w:val="auto"/>
                <w:szCs w:val="24"/>
                <w:highlight w:val="none"/>
                <w:lang w:eastAsia="zh-CN"/>
              </w:rPr>
              <w:t>为项目东侧距离项目区</w:t>
            </w:r>
            <w:r>
              <w:rPr>
                <w:rFonts w:hint="default" w:ascii="Times New Roman" w:hAnsi="Times New Roman" w:eastAsia="宋体" w:cs="Times New Roman"/>
                <w:color w:val="auto"/>
                <w:szCs w:val="24"/>
                <w:highlight w:val="none"/>
                <w:lang w:val="en-US" w:eastAsia="zh-CN"/>
              </w:rPr>
              <w:t>21m的小新村居民</w:t>
            </w:r>
            <w:r>
              <w:rPr>
                <w:rFonts w:hint="default" w:ascii="Times New Roman" w:hAnsi="Times New Roman" w:eastAsia="宋体" w:cs="Times New Roman"/>
                <w:color w:val="auto"/>
                <w:szCs w:val="24"/>
                <w:highlight w:val="none"/>
              </w:rPr>
              <w:t>，</w:t>
            </w:r>
            <w:r>
              <w:rPr>
                <w:rFonts w:hint="default" w:ascii="Times New Roman" w:hAnsi="Times New Roman" w:cs="Times New Roman"/>
                <w:color w:val="auto"/>
                <w:szCs w:val="24"/>
                <w:highlight w:val="none"/>
                <w:lang w:eastAsia="zh-CN"/>
              </w:rPr>
              <w:t>正常满负荷运行期间，建设单位委托云南环普检测科技有限公司于</w:t>
            </w:r>
            <w:r>
              <w:rPr>
                <w:rFonts w:hint="default" w:ascii="Times New Roman" w:hAnsi="Times New Roman" w:cs="Times New Roman"/>
                <w:color w:val="auto"/>
                <w:szCs w:val="24"/>
                <w:highlight w:val="none"/>
                <w:lang w:val="en-US" w:eastAsia="zh-CN"/>
              </w:rPr>
              <w:t>2023年2月21日对项目区噪声敏感目标进行了监测，</w:t>
            </w:r>
            <w:r>
              <w:rPr>
                <w:rFonts w:hint="default" w:ascii="Times New Roman" w:hAnsi="Times New Roman" w:cs="Times New Roman"/>
                <w:color w:val="auto"/>
                <w:szCs w:val="24"/>
                <w:highlight w:val="none"/>
                <w:lang w:eastAsia="zh-CN"/>
              </w:rPr>
              <w:t>具体监测数据如下表所示。</w:t>
            </w:r>
          </w:p>
          <w:p>
            <w:pPr>
              <w:pStyle w:val="53"/>
              <w:ind w:firstLine="48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表4.2.3-</w:t>
            </w:r>
            <w:r>
              <w:rPr>
                <w:rFonts w:hint="default"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项目建成后</w:t>
            </w:r>
            <w:r>
              <w:rPr>
                <w:rFonts w:hint="default" w:ascii="Times New Roman" w:hAnsi="Times New Roman" w:eastAsia="宋体" w:cs="Times New Roman"/>
                <w:b/>
                <w:color w:val="auto"/>
                <w:sz w:val="21"/>
                <w:szCs w:val="21"/>
                <w:highlight w:val="none"/>
                <w:lang w:eastAsia="zh-CN"/>
              </w:rPr>
              <w:t>保护目标出最大</w:t>
            </w:r>
            <w:r>
              <w:rPr>
                <w:rFonts w:hint="default" w:ascii="Times New Roman" w:hAnsi="Times New Roman" w:eastAsia="宋体" w:cs="Times New Roman"/>
                <w:b/>
                <w:color w:val="auto"/>
                <w:sz w:val="21"/>
                <w:szCs w:val="21"/>
                <w:highlight w:val="none"/>
              </w:rPr>
              <w:t>噪声预测值  单位：dB（A）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717"/>
              <w:gridCol w:w="1717"/>
              <w:gridCol w:w="1333"/>
              <w:gridCol w:w="133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75"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监测日期</w:t>
                  </w:r>
                </w:p>
              </w:tc>
              <w:tc>
                <w:tcPr>
                  <w:tcW w:w="1717" w:type="dxa"/>
                  <w:vAlign w:val="center"/>
                </w:tcPr>
                <w:p>
                  <w:pPr>
                    <w:widowControl/>
                    <w:spacing w:line="360" w:lineRule="exact"/>
                    <w:jc w:val="center"/>
                    <w:rPr>
                      <w:rFonts w:hint="default" w:ascii="Times New Roman" w:hAnsi="Times New Roman" w:eastAsia="宋体" w:cs="Times New Roman"/>
                      <w:color w:val="auto"/>
                      <w:kern w:val="32"/>
                      <w:highlight w:val="none"/>
                      <w:lang w:eastAsia="zh-CN"/>
                    </w:rPr>
                  </w:pPr>
                  <w:r>
                    <w:rPr>
                      <w:rFonts w:hint="default" w:ascii="Times New Roman" w:hAnsi="Times New Roman" w:eastAsia="宋体" w:cs="Times New Roman"/>
                      <w:color w:val="auto"/>
                      <w:kern w:val="32"/>
                      <w:highlight w:val="none"/>
                      <w:lang w:eastAsia="zh-CN"/>
                    </w:rPr>
                    <w:t>监测点位</w:t>
                  </w:r>
                </w:p>
              </w:tc>
              <w:tc>
                <w:tcPr>
                  <w:tcW w:w="1717" w:type="dxa"/>
                  <w:vAlign w:val="center"/>
                </w:tcPr>
                <w:p>
                  <w:pPr>
                    <w:widowControl/>
                    <w:spacing w:line="360" w:lineRule="exact"/>
                    <w:jc w:val="center"/>
                    <w:rPr>
                      <w:rFonts w:hint="default" w:ascii="Times New Roman" w:hAnsi="Times New Roman" w:eastAsia="宋体" w:cs="Times New Roman"/>
                      <w:color w:val="auto"/>
                      <w:kern w:val="32"/>
                      <w:highlight w:val="none"/>
                      <w:lang w:eastAsia="zh-CN"/>
                    </w:rPr>
                  </w:pPr>
                  <w:r>
                    <w:rPr>
                      <w:rFonts w:hint="default" w:ascii="Times New Roman" w:hAnsi="Times New Roman" w:eastAsia="宋体" w:cs="Times New Roman"/>
                      <w:color w:val="auto"/>
                      <w:kern w:val="32"/>
                      <w:highlight w:val="none"/>
                      <w:lang w:eastAsia="zh-CN"/>
                    </w:rPr>
                    <w:t>采样时间</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eastAsia="zh-CN"/>
                    </w:rPr>
                  </w:pPr>
                  <w:r>
                    <w:rPr>
                      <w:rFonts w:hint="default" w:ascii="Times New Roman" w:hAnsi="Times New Roman" w:eastAsia="宋体" w:cs="Times New Roman"/>
                      <w:color w:val="auto"/>
                      <w:kern w:val="32"/>
                      <w:highlight w:val="none"/>
                      <w:lang w:eastAsia="zh-CN"/>
                    </w:rPr>
                    <w:t>测试时长（</w:t>
                  </w:r>
                  <w:r>
                    <w:rPr>
                      <w:rFonts w:hint="default" w:ascii="Times New Roman" w:hAnsi="Times New Roman" w:eastAsia="宋体" w:cs="Times New Roman"/>
                      <w:color w:val="auto"/>
                      <w:kern w:val="32"/>
                      <w:highlight w:val="none"/>
                      <w:lang w:val="en-US" w:eastAsia="zh-CN"/>
                    </w:rPr>
                    <w:t>min</w:t>
                  </w:r>
                  <w:r>
                    <w:rPr>
                      <w:rFonts w:hint="default" w:ascii="Times New Roman" w:hAnsi="Times New Roman" w:eastAsia="宋体" w:cs="Times New Roman"/>
                      <w:color w:val="auto"/>
                      <w:kern w:val="32"/>
                      <w:highlight w:val="none"/>
                      <w:lang w:eastAsia="zh-CN"/>
                    </w:rPr>
                    <w:t>）</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eastAsia="zh-CN"/>
                    </w:rPr>
                    <w:t>检测项目</w:t>
                  </w:r>
                  <w:r>
                    <w:rPr>
                      <w:rFonts w:hint="default" w:ascii="Times New Roman" w:hAnsi="Times New Roman" w:eastAsia="宋体" w:cs="Times New Roman"/>
                      <w:color w:val="auto"/>
                      <w:kern w:val="32"/>
                      <w:highlight w:val="none"/>
                      <w:lang w:val="en-US" w:eastAsia="zh-CN"/>
                    </w:rPr>
                    <w:t>(Leq)</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eastAsia="zh-CN"/>
                    </w:rPr>
                  </w:pPr>
                  <w:r>
                    <w:rPr>
                      <w:rFonts w:hint="default" w:ascii="Times New Roman" w:hAnsi="Times New Roman" w:eastAsia="宋体" w:cs="Times New Roman"/>
                      <w:color w:val="auto"/>
                      <w:kern w:val="32"/>
                      <w:highlight w:val="none"/>
                      <w:lang w:eastAsia="zh-CN"/>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75" w:type="dxa"/>
                  <w:vMerge w:val="restart"/>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2023年2月21</w:t>
                  </w:r>
                </w:p>
              </w:tc>
              <w:tc>
                <w:tcPr>
                  <w:tcW w:w="1717" w:type="dxa"/>
                  <w:vMerge w:val="restart"/>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小新村</w:t>
                  </w:r>
                </w:p>
              </w:tc>
              <w:tc>
                <w:tcPr>
                  <w:tcW w:w="1717"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15:41</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10</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58</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生活噪声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75" w:type="dxa"/>
                  <w:vMerge w:val="continue"/>
                  <w:vAlign w:val="center"/>
                </w:tcPr>
                <w:p>
                  <w:pPr>
                    <w:widowControl/>
                    <w:spacing w:line="360" w:lineRule="exact"/>
                    <w:jc w:val="center"/>
                    <w:rPr>
                      <w:rFonts w:hint="default" w:ascii="Times New Roman" w:hAnsi="Times New Roman" w:eastAsia="宋体" w:cs="Times New Roman"/>
                      <w:color w:val="auto"/>
                      <w:kern w:val="32"/>
                      <w:highlight w:val="none"/>
                      <w:lang w:eastAsia="zh-CN"/>
                    </w:rPr>
                  </w:pPr>
                </w:p>
              </w:tc>
              <w:tc>
                <w:tcPr>
                  <w:tcW w:w="1717" w:type="dxa"/>
                  <w:vMerge w:val="continue"/>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p>
              </w:tc>
              <w:tc>
                <w:tcPr>
                  <w:tcW w:w="1717"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22:14</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10</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47</w:t>
                  </w:r>
                </w:p>
              </w:tc>
              <w:tc>
                <w:tcPr>
                  <w:tcW w:w="1333" w:type="dxa"/>
                  <w:vAlign w:val="center"/>
                </w:tcPr>
                <w:p>
                  <w:pPr>
                    <w:widowControl/>
                    <w:spacing w:line="360" w:lineRule="exact"/>
                    <w:jc w:val="center"/>
                    <w:rPr>
                      <w:rFonts w:hint="default" w:ascii="Times New Roman" w:hAnsi="Times New Roman" w:eastAsia="宋体" w:cs="Times New Roman"/>
                      <w:color w:val="auto"/>
                      <w:kern w:val="32"/>
                      <w:highlight w:val="none"/>
                      <w:lang w:val="en-US" w:eastAsia="zh-CN"/>
                    </w:rPr>
                  </w:pPr>
                  <w:r>
                    <w:rPr>
                      <w:rFonts w:hint="default" w:ascii="Times New Roman" w:hAnsi="Times New Roman" w:eastAsia="宋体" w:cs="Times New Roman"/>
                      <w:color w:val="auto"/>
                      <w:kern w:val="32"/>
                      <w:highlight w:val="none"/>
                      <w:lang w:val="en-US" w:eastAsia="zh-CN"/>
                    </w:rPr>
                    <w:t>生活噪声</w:t>
                  </w:r>
                </w:p>
              </w:tc>
            </w:tr>
          </w:tbl>
          <w:p>
            <w:pPr>
              <w:pStyle w:val="53"/>
              <w:ind w:firstLine="480"/>
              <w:rPr>
                <w:rFonts w:hint="default" w:ascii="Times New Roman" w:hAnsi="Times New Roman" w:eastAsia="宋体" w:cs="Times New Roman"/>
                <w:color w:val="auto"/>
                <w:szCs w:val="24"/>
              </w:rPr>
            </w:pPr>
            <w:r>
              <w:rPr>
                <w:rFonts w:hint="default" w:ascii="Times New Roman" w:hAnsi="Times New Roman" w:cs="Times New Roman"/>
                <w:b w:val="0"/>
                <w:bCs w:val="0"/>
                <w:color w:val="auto"/>
                <w:sz w:val="24"/>
                <w:szCs w:val="24"/>
                <w:highlight w:val="none"/>
                <w:lang w:eastAsia="zh-CN"/>
              </w:rPr>
              <w:t>根据监测结果可知</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Cs w:val="24"/>
                <w:highlight w:val="none"/>
                <w:lang w:eastAsia="zh-CN"/>
              </w:rPr>
              <w:t>项目</w:t>
            </w:r>
            <w:r>
              <w:rPr>
                <w:rFonts w:hint="default" w:ascii="Times New Roman" w:hAnsi="Times New Roman" w:cs="Times New Roman"/>
                <w:b w:val="0"/>
                <w:bCs w:val="0"/>
                <w:color w:val="auto"/>
                <w:szCs w:val="24"/>
                <w:highlight w:val="none"/>
                <w:lang w:eastAsia="zh-CN"/>
              </w:rPr>
              <w:t>声环境</w:t>
            </w:r>
            <w:r>
              <w:rPr>
                <w:rFonts w:hint="default" w:ascii="Times New Roman" w:hAnsi="Times New Roman" w:eastAsia="宋体" w:cs="Times New Roman"/>
                <w:b w:val="0"/>
                <w:bCs w:val="0"/>
                <w:color w:val="auto"/>
                <w:szCs w:val="24"/>
                <w:highlight w:val="none"/>
                <w:lang w:eastAsia="zh-CN"/>
              </w:rPr>
              <w:t>保护目标小新村居民处</w:t>
            </w:r>
            <w:r>
              <w:rPr>
                <w:rFonts w:hint="default" w:ascii="Times New Roman" w:hAnsi="Times New Roman" w:cs="Times New Roman"/>
                <w:b w:val="0"/>
                <w:bCs w:val="0"/>
                <w:color w:val="auto"/>
                <w:szCs w:val="24"/>
                <w:highlight w:val="none"/>
                <w:lang w:eastAsia="zh-CN"/>
              </w:rPr>
              <w:t>声环境</w:t>
            </w:r>
            <w:r>
              <w:rPr>
                <w:rFonts w:hint="default" w:ascii="Times New Roman" w:hAnsi="Times New Roman" w:eastAsia="宋体" w:cs="Times New Roman"/>
                <w:b w:val="0"/>
                <w:bCs w:val="0"/>
                <w:color w:val="auto"/>
                <w:szCs w:val="24"/>
                <w:highlight w:val="none"/>
              </w:rPr>
              <w:t>可达到《声环境质量标准》（GB</w:t>
            </w:r>
            <w:r>
              <w:rPr>
                <w:rFonts w:hint="eastAsia"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-2008）2类区标准</w:t>
            </w:r>
            <w:r>
              <w:rPr>
                <w:rFonts w:hint="default"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因此项目噪声对环境</w:t>
            </w:r>
            <w:r>
              <w:rPr>
                <w:rFonts w:hint="default" w:ascii="Times New Roman" w:hAnsi="Times New Roman" w:cs="Times New Roman"/>
                <w:b w:val="0"/>
                <w:bCs w:val="0"/>
                <w:color w:val="auto"/>
                <w:szCs w:val="24"/>
                <w:highlight w:val="none"/>
                <w:lang w:eastAsia="zh-CN"/>
              </w:rPr>
              <w:t>保护目标</w:t>
            </w:r>
            <w:r>
              <w:rPr>
                <w:rFonts w:hint="default" w:ascii="Times New Roman" w:hAnsi="Times New Roman" w:eastAsia="宋体" w:cs="Times New Roman"/>
                <w:b w:val="0"/>
                <w:bCs w:val="0"/>
                <w:color w:val="auto"/>
                <w:szCs w:val="24"/>
                <w:highlight w:val="none"/>
              </w:rPr>
              <w:t>影响较小</w:t>
            </w:r>
            <w:r>
              <w:rPr>
                <w:rFonts w:hint="default" w:ascii="Times New Roman" w:hAnsi="Times New Roman" w:eastAsia="宋体" w:cs="Times New Roman"/>
                <w:color w:val="auto"/>
                <w:szCs w:val="24"/>
                <w:highlight w:val="none"/>
              </w:rPr>
              <w:t>。</w:t>
            </w:r>
          </w:p>
          <w:p>
            <w:pPr>
              <w:spacing w:beforeLines="50"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4.2.4 运营期固体废物环境影响和保护措施</w:t>
            </w:r>
          </w:p>
          <w:p>
            <w:pPr>
              <w:spacing w:line="360" w:lineRule="auto"/>
              <w:ind w:firstLine="361" w:firstLineChars="15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（1）固体废物污染源强分析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lang w:eastAsia="zh-CN"/>
              </w:rPr>
              <w:t>根据实际生产情况，</w:t>
            </w:r>
            <w:r>
              <w:rPr>
                <w:rFonts w:hint="default" w:ascii="Times New Roman" w:hAnsi="Times New Roman" w:eastAsia="宋体" w:cs="Times New Roman"/>
                <w:color w:val="auto"/>
                <w:kern w:val="0"/>
                <w:sz w:val="24"/>
                <w:szCs w:val="24"/>
                <w:lang w:val="en-US" w:eastAsia="zh-CN" w:bidi="ar"/>
              </w:rPr>
              <w:t>项目固体废弃物主要为生产固废、危险废物、生活固废。</w:t>
            </w:r>
            <w:r>
              <w:rPr>
                <w:rFonts w:hint="default" w:ascii="Times New Roman" w:hAnsi="Times New Roman" w:eastAsia="宋体" w:cs="Times New Roman"/>
                <w:color w:val="auto"/>
                <w:sz w:val="24"/>
                <w:szCs w:val="24"/>
                <w:lang w:eastAsia="zh-CN"/>
              </w:rPr>
              <w:t>具体产生情况如下：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⑴生产固废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①边角料、废包装袋、废包装盒、废纸箱、不合格产品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在生产过程中，原料裁剪、组装、生产过程、产品检验中将产生边角料、不合格产品，产品包装工序将产生废包装袋、废包装盒、废纸箱。根据实际生产情况，项目生产过程中产生的边角料、废包装袋、废包装盒、废纸箱、不合格产品约为2.5t/a，进行分类收集、分类处理，可回收部分卖给废品收购站进行回收利用，不可回收部分同生活垃圾一起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②棉签生产过程中产生的棉絮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根据实际生产情况，棉签生产过程中产生的棉絮产生量为0.001t/a，经收集后同生活垃圾一同处置。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③实验一般固体废物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实验一般固体废物主要包括破碎玻璃器皿、废培养基等，根据实际生产情况，产生量约为0.04t/a，经统一收集并经灭菌灭活处理后，同生活垃圾一起处理。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④纯水机设备更换的废活性炭、废离子交换树脂、废石英砂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根据实际生产情况，纯水设备利用活性炭、离子交换树脂、石英砂吸附进行净化，石英砂需每半年更换一次，活性炭需每半年更换一次，离子交换树脂需每半年更换一次，产生量约为约为0.05t/a。经查阅《国家危险废物名录》（2021年版）和《危险废物鉴别标准》（2007）可知，项目制备纯化水产生的废活性炭、废离子交换树脂、废石英砂不属于危险废物，为一般固体废物，更换下来的废弃活性炭、废离子交换树脂、废石英砂同项目其余生活垃圾一同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kern w:val="0"/>
                <w:sz w:val="24"/>
                <w:szCs w:val="24"/>
                <w:lang w:val="en-US" w:eastAsia="zh-CN" w:bidi="ar"/>
              </w:rPr>
              <w:t xml:space="preserve">⑵危险废物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①实验废液、实验器皿初次清洗高浓度废水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本项目实验过程中产生的实验废液、实验器皿初次清洗高浓度废水，属于《国家危险废物名录》（2021年版）中的HW49其他废物，编号为900-047-49，根据实际运行情况，项目实验废液、实验废液、实验器皿初次清洗高浓度废水产生量0.13t/a，根据调查，项目目前未进行收集，直接稀释后排入一体化污水处理设施进行处理，由于处理方式不规范，环评提出建设一个5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的危险废物暂存间对其暂存后委托有资质的单位进行处置。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lang w:val="en-US" w:eastAsia="zh-CN" w:bidi="ar"/>
              </w:rPr>
              <w:t xml:space="preserve">②环氧乙烷吸收废液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根据实际生产情况，项目目前采用水喷淋吸收法对环氧乙烷进行吸收，自生产运行至今未对吸收废液进行收集和处理。整改后采用稀硫酸喷淋吸收工艺，根据计算，项目环氧乙烷产生量约为2.97t/a，其中95%的环氧乙烷被稀硫酸溶液吸收，约为2.82t/a，5%的环氧乙烷无组织排放，约为0.15t/a。项目稀硫酸吸收液为1.22t/a，则环氧乙烷吸收废液产生量约为4.19t/a，该废液属于《国家危险废物名录》（2021年版）中的HW06废有机溶剂与含有机溶剂废物，编号为900-404-06，整改后，经统一收集暂存于拟建设的危险废物暂存间后委托有资质的单位进行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③废活性炭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根据调查，项目目前未对挤出、注塑工序设置有机废气处理设施，不能满足环保要求，本环评提出拟</w:t>
            </w:r>
            <w:r>
              <w:rPr>
                <w:rFonts w:hint="default" w:ascii="Times New Roman" w:hAnsi="Times New Roman" w:eastAsia="宋体" w:cs="Times New Roman"/>
                <w:color w:val="auto"/>
                <w:sz w:val="24"/>
                <w:szCs w:val="24"/>
              </w:rPr>
              <w:t>设置</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套有机废气处理装置</w:t>
            </w:r>
            <w:r>
              <w:rPr>
                <w:rFonts w:hint="default" w:ascii="Times New Roman" w:hAnsi="Times New Roman" w:eastAsia="宋体" w:cs="Times New Roman"/>
                <w:color w:val="auto"/>
                <w:sz w:val="24"/>
                <w:szCs w:val="24"/>
                <w:lang w:eastAsia="zh-CN"/>
              </w:rPr>
              <w:t>进行</w:t>
            </w:r>
            <w:r>
              <w:rPr>
                <w:rFonts w:hint="default" w:ascii="Times New Roman" w:hAnsi="Times New Roman" w:eastAsia="宋体" w:cs="Times New Roman"/>
                <w:color w:val="auto"/>
                <w:sz w:val="24"/>
                <w:szCs w:val="24"/>
              </w:rPr>
              <w:t>处理</w:t>
            </w:r>
            <w:r>
              <w:rPr>
                <w:rFonts w:hint="default" w:ascii="Times New Roman" w:hAnsi="Times New Roman" w:eastAsia="宋体" w:cs="Times New Roman"/>
                <w:color w:val="auto"/>
                <w:sz w:val="24"/>
                <w:szCs w:val="24"/>
                <w:lang w:eastAsia="zh-CN"/>
              </w:rPr>
              <w:t>，该装置采用</w:t>
            </w:r>
            <w:r>
              <w:rPr>
                <w:rFonts w:hint="default" w:ascii="Times New Roman" w:hAnsi="Times New Roman" w:eastAsia="宋体" w:cs="Times New Roman"/>
                <w:color w:val="auto"/>
                <w:kern w:val="0"/>
                <w:sz w:val="24"/>
                <w:szCs w:val="24"/>
                <w:lang w:val="en-US" w:eastAsia="zh-CN" w:bidi="ar"/>
              </w:rPr>
              <w:t>活性炭吸附工艺，根据杨芬、刘品华《活性炭纤维在挥发性有机废气处理中应用》的实验结果标明，每公斤活性炭可吸0.22~0.25kg有机废气，本次环评取每公斤活性炭吸附0.22公斤有机废气，项目运营过程中挤出、注塑工序非甲烷总烃产生总量约为0.023t/a，废气处理设施集气效率为80%，挤出、注塑有机废气处理设施活性炭吸附效率按21%计算，则项目挤出注塑工序有机废气去除量约为0.0039t/a，经计算，挤出、注塑工序废气处理设施失效活性炭产生量约为0.018t/a；根据实际生产情况，新风净化系统失效活性炭产生量约为0.087t/a，则建项目失效活性炭合计产生量为0.105t/a，对照《国家危险废物名录》（2021年版），废活性炭属于危险废物HW49类别：其他废物，代码为900-039-49。整改后，废活性炭经收集暂存于拟新建的1个5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的危险废物暂存间后委托交由有资质的单位处理。 </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根据《国家危险废物名录》（2021版），</w:t>
            </w:r>
            <w:r>
              <w:rPr>
                <w:rFonts w:hint="default" w:ascii="Times New Roman" w:hAnsi="Times New Roman" w:cs="Times New Roman"/>
                <w:color w:val="auto"/>
                <w:sz w:val="24"/>
                <w:szCs w:val="24"/>
                <w:highlight w:val="none"/>
                <w:lang w:eastAsia="zh-CN"/>
              </w:rPr>
              <w:t>项目产生的危险废物</w:t>
            </w:r>
            <w:r>
              <w:rPr>
                <w:rFonts w:hint="default" w:ascii="Times New Roman" w:hAnsi="Times New Roman" w:cs="Times New Roman"/>
                <w:color w:val="auto"/>
                <w:sz w:val="24"/>
                <w:szCs w:val="24"/>
                <w:highlight w:val="none"/>
              </w:rPr>
              <w:t>其属性见下表</w:t>
            </w:r>
          </w:p>
          <w:p>
            <w:pPr>
              <w:jc w:val="center"/>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表4.2.4-</w:t>
            </w:r>
            <w:r>
              <w:rPr>
                <w:rFonts w:hint="default" w:ascii="Times New Roman" w:hAnsi="Times New Roman" w:eastAsia="宋体" w:cs="Times New Roman"/>
                <w:b/>
                <w:color w:val="auto"/>
                <w:szCs w:val="24"/>
                <w:highlight w:val="none"/>
                <w:lang w:val="en-US" w:eastAsia="zh-CN"/>
              </w:rPr>
              <w:t>1</w:t>
            </w:r>
            <w:r>
              <w:rPr>
                <w:rFonts w:hint="default" w:ascii="Times New Roman" w:hAnsi="Times New Roman" w:eastAsia="宋体" w:cs="Times New Roman"/>
                <w:b/>
                <w:color w:val="auto"/>
                <w:szCs w:val="24"/>
                <w:highlight w:val="none"/>
              </w:rPr>
              <w:t xml:space="preserve">  国家危险废物名录（2021年）（摘抄）</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142"/>
              <w:gridCol w:w="953"/>
              <w:gridCol w:w="1214"/>
              <w:gridCol w:w="3372"/>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项目危废</w:t>
                  </w:r>
                </w:p>
              </w:tc>
              <w:tc>
                <w:tcPr>
                  <w:tcW w:w="66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废物类别</w:t>
                  </w:r>
                </w:p>
              </w:tc>
              <w:tc>
                <w:tcPr>
                  <w:tcW w:w="55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行业来源</w:t>
                  </w:r>
                </w:p>
              </w:tc>
              <w:tc>
                <w:tcPr>
                  <w:tcW w:w="705"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废物代码</w:t>
                  </w:r>
                </w:p>
              </w:tc>
              <w:tc>
                <w:tcPr>
                  <w:tcW w:w="1958"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tc>
              <w:tc>
                <w:tcPr>
                  <w:tcW w:w="408"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实验废液、实验器皿初次清洗高浓度废水</w:t>
                  </w:r>
                </w:p>
              </w:tc>
              <w:tc>
                <w:tcPr>
                  <w:tcW w:w="66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HW</w:t>
                  </w:r>
                  <w:r>
                    <w:rPr>
                      <w:rFonts w:hint="default" w:ascii="Times New Roman" w:hAnsi="Times New Roman" w:eastAsia="宋体" w:cs="Times New Roman"/>
                      <w:color w:val="auto"/>
                      <w:sz w:val="21"/>
                      <w:szCs w:val="21"/>
                      <w:highlight w:val="none"/>
                      <w:lang w:val="en-US" w:eastAsia="zh-CN"/>
                    </w:rPr>
                    <w:t>49</w:t>
                  </w:r>
                  <w:r>
                    <w:rPr>
                      <w:rFonts w:hint="default" w:ascii="Times New Roman" w:hAnsi="Times New Roman" w:eastAsia="宋体" w:cs="Times New Roman"/>
                      <w:color w:val="auto"/>
                      <w:sz w:val="21"/>
                      <w:szCs w:val="21"/>
                      <w:highlight w:val="none"/>
                      <w:lang w:eastAsia="zh-CN"/>
                    </w:rPr>
                    <w:t>其他废物</w:t>
                  </w:r>
                </w:p>
              </w:tc>
              <w:tc>
                <w:tcPr>
                  <w:tcW w:w="55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705"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900-047-49</w:t>
                  </w:r>
                </w:p>
              </w:tc>
              <w:tc>
                <w:tcPr>
                  <w:tcW w:w="1958"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 管理要求进行清洗后的试剂包装物、容器）、过滤吸附介质等。</w:t>
                  </w:r>
                </w:p>
              </w:tc>
              <w:tc>
                <w:tcPr>
                  <w:tcW w:w="408"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T</w:t>
                  </w:r>
                  <w:r>
                    <w:rPr>
                      <w:rFonts w:hint="default" w:ascii="Times New Roman" w:hAnsi="Times New Roman" w:eastAsia="宋体" w:cs="Times New Roman"/>
                      <w:color w:val="auto"/>
                      <w:kern w:val="0"/>
                      <w:sz w:val="21"/>
                      <w:szCs w:val="21"/>
                      <w:highlight w:val="none"/>
                      <w:lang w:val="en-US" w:eastAsia="zh-CN"/>
                    </w:rPr>
                    <w: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环氧乙烷吸收废液</w:t>
                  </w:r>
                </w:p>
              </w:tc>
              <w:tc>
                <w:tcPr>
                  <w:tcW w:w="66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1"/>
                      <w:szCs w:val="21"/>
                      <w:highlight w:val="none"/>
                      <w:lang w:val="en-US" w:eastAsia="zh-CN" w:bidi="ar-SA"/>
                    </w:rPr>
                    <w:t>HW06废有机溶剂与含有机溶剂废物</w:t>
                  </w:r>
                </w:p>
              </w:tc>
              <w:tc>
                <w:tcPr>
                  <w:tcW w:w="55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705"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w:t>
                  </w:r>
                  <w:r>
                    <w:rPr>
                      <w:rFonts w:hint="default" w:ascii="Times New Roman" w:hAnsi="Times New Roman" w:cs="Times New Roman"/>
                      <w:color w:val="auto"/>
                      <w:sz w:val="21"/>
                      <w:szCs w:val="21"/>
                      <w:highlight w:val="none"/>
                      <w:lang w:val="en-US" w:eastAsia="zh-CN"/>
                    </w:rPr>
                    <w:t>404</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6</w:t>
                  </w:r>
                </w:p>
              </w:tc>
              <w:tc>
                <w:tcPr>
                  <w:tcW w:w="1958"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工业生产中作为清洗剂、萃取剂、溶剂或反应介质使用后废弃的其他列入《危险化学品目录》的有机溶剂，以及在使用前混合的含有一种或多种上述溶剂的混合/调和溶剂。</w:t>
                  </w:r>
                </w:p>
              </w:tc>
              <w:tc>
                <w:tcPr>
                  <w:tcW w:w="408"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color w:val="auto"/>
                      <w:kern w:val="0"/>
                      <w:sz w:val="21"/>
                      <w:szCs w:val="21"/>
                      <w:highlight w:val="none"/>
                    </w:rPr>
                    <w:t>T</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废活性炭</w:t>
                  </w:r>
                </w:p>
              </w:tc>
              <w:tc>
                <w:tcPr>
                  <w:tcW w:w="66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HW49其他废物</w:t>
                  </w:r>
                </w:p>
              </w:tc>
              <w:tc>
                <w:tcPr>
                  <w:tcW w:w="553"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705"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w:t>
                  </w:r>
                  <w:r>
                    <w:rPr>
                      <w:rFonts w:hint="eastAsia" w:ascii="Times New Roman" w:hAnsi="Times New Roman" w:cs="Times New Roman"/>
                      <w:color w:val="auto"/>
                      <w:sz w:val="21"/>
                      <w:szCs w:val="21"/>
                      <w:highlight w:val="none"/>
                      <w:lang w:val="en-US" w:eastAsia="zh-CN"/>
                    </w:rPr>
                    <w:t>039</w:t>
                  </w:r>
                  <w:r>
                    <w:rPr>
                      <w:rFonts w:hint="default" w:ascii="Times New Roman" w:hAnsi="Times New Roman" w:eastAsia="宋体" w:cs="Times New Roman"/>
                      <w:color w:val="auto"/>
                      <w:sz w:val="21"/>
                      <w:szCs w:val="21"/>
                      <w:highlight w:val="none"/>
                      <w:lang w:val="en-US" w:eastAsia="zh-CN"/>
                    </w:rPr>
                    <w:t>-49</w:t>
                  </w:r>
                </w:p>
              </w:tc>
              <w:tc>
                <w:tcPr>
                  <w:tcW w:w="1958"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408" w:type="pc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T</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⑶生活固废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 xml:space="preserve">①生活垃圾 </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实际运营情况，项目定员70人，每人每天生活垃圾产生量约0.5kg/人·d，则日产生活垃35kg/d，年生活垃圾产生量10.5t，项目区内设置垃圾桶，并由专职人员每天定时清扫用垃圾桶集中收集由委托环卫部门统一清运处理，日产日清。</w:t>
            </w:r>
          </w:p>
          <w:p>
            <w:pPr>
              <w:pStyle w:val="53"/>
              <w:keepNext w:val="0"/>
              <w:keepLines w:val="0"/>
              <w:pageBreakBefore w:val="0"/>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b w:val="0"/>
                <w:bCs/>
                <w:color w:val="auto"/>
                <w:szCs w:val="24"/>
                <w:lang w:eastAsia="zh-CN"/>
              </w:rPr>
            </w:pPr>
            <w:r>
              <w:rPr>
                <w:rFonts w:hint="default" w:ascii="Times New Roman" w:hAnsi="Times New Roman" w:eastAsia="宋体" w:cs="Times New Roman"/>
                <w:b w:val="0"/>
                <w:bCs/>
                <w:color w:val="auto"/>
                <w:szCs w:val="24"/>
              </w:rPr>
              <w:t>②餐厨废物</w:t>
            </w:r>
            <w:r>
              <w:rPr>
                <w:rFonts w:hint="default" w:ascii="Times New Roman" w:hAnsi="Times New Roman" w:cs="Times New Roman"/>
                <w:b w:val="0"/>
                <w:bCs/>
                <w:color w:val="auto"/>
                <w:szCs w:val="24"/>
                <w:lang w:eastAsia="zh-CN"/>
              </w:rPr>
              <w:t>（泔水）</w:t>
            </w:r>
          </w:p>
          <w:p>
            <w:pPr>
              <w:pStyle w:val="53"/>
              <w:keepNext w:val="0"/>
              <w:keepLines w:val="0"/>
              <w:pageBreakBefore w:val="0"/>
              <w:kinsoku/>
              <w:wordWrap/>
              <w:overflowPunct/>
              <w:topLinePunct w:val="0"/>
              <w:autoSpaceDE/>
              <w:autoSpaceDN/>
              <w:bidi w:val="0"/>
              <w:adjustRightInd/>
              <w:snapToGrid/>
              <w:ind w:leftChars="0" w:firstLine="480" w:firstLineChars="200"/>
              <w:jc w:val="both"/>
              <w:textAlignment w:val="auto"/>
              <w:rPr>
                <w:rFonts w:hint="default" w:ascii="Times New Roman" w:hAnsi="Times New Roman" w:eastAsia="宋体" w:cs="Times New Roman"/>
                <w:color w:val="auto"/>
                <w:szCs w:val="24"/>
              </w:rPr>
            </w:pPr>
            <w:r>
              <w:rPr>
                <w:rFonts w:hint="default" w:ascii="Times New Roman" w:hAnsi="Times New Roman" w:cs="Times New Roman"/>
                <w:color w:val="auto"/>
                <w:szCs w:val="24"/>
                <w:lang w:eastAsia="zh-CN"/>
              </w:rPr>
              <w:t>根据实际运营情况</w:t>
            </w:r>
            <w:r>
              <w:rPr>
                <w:rFonts w:hint="default" w:ascii="Times New Roman" w:hAnsi="Times New Roman" w:eastAsia="宋体" w:cs="Times New Roman"/>
                <w:color w:val="auto"/>
                <w:szCs w:val="24"/>
              </w:rPr>
              <w:t>，</w:t>
            </w:r>
            <w:r>
              <w:rPr>
                <w:rFonts w:hint="default" w:ascii="Times New Roman" w:hAnsi="Times New Roman" w:cs="Times New Roman"/>
                <w:color w:val="auto"/>
                <w:szCs w:val="24"/>
                <w:lang w:eastAsia="zh-CN"/>
              </w:rPr>
              <w:t>项目</w:t>
            </w:r>
            <w:r>
              <w:rPr>
                <w:rFonts w:hint="default" w:ascii="Times New Roman" w:hAnsi="Times New Roman" w:eastAsia="宋体" w:cs="Times New Roman"/>
                <w:color w:val="auto"/>
                <w:szCs w:val="24"/>
                <w:lang w:eastAsia="zh-CN"/>
              </w:rPr>
              <w:t>工作制度为三班制，每天在公司就餐人员约</w:t>
            </w:r>
            <w:r>
              <w:rPr>
                <w:rFonts w:hint="default" w:ascii="Times New Roman" w:hAnsi="Times New Roman" w:eastAsia="宋体" w:cs="Times New Roman"/>
                <w:color w:val="auto"/>
                <w:szCs w:val="24"/>
                <w:lang w:val="en-US" w:eastAsia="zh-CN"/>
              </w:rPr>
              <w:t>30人，每人</w:t>
            </w:r>
            <w:r>
              <w:rPr>
                <w:rFonts w:hint="default" w:ascii="Times New Roman" w:hAnsi="Times New Roman" w:cs="Times New Roman"/>
                <w:color w:val="auto"/>
                <w:szCs w:val="24"/>
                <w:lang w:val="en-US" w:eastAsia="zh-CN"/>
              </w:rPr>
              <w:t>每次餐厨垃圾产生量约</w:t>
            </w:r>
            <w:r>
              <w:rPr>
                <w:rFonts w:hint="default" w:ascii="Times New Roman" w:hAnsi="Times New Roman" w:eastAsia="宋体" w:cs="Times New Roman"/>
                <w:color w:val="auto"/>
                <w:szCs w:val="24"/>
                <w:lang w:val="en-US" w:eastAsia="zh-CN"/>
              </w:rPr>
              <w:t>0.15kg，</w:t>
            </w:r>
            <w:r>
              <w:rPr>
                <w:rFonts w:hint="default" w:ascii="Times New Roman" w:hAnsi="Times New Roman" w:eastAsia="宋体" w:cs="Times New Roman"/>
                <w:color w:val="auto"/>
                <w:szCs w:val="24"/>
              </w:rPr>
              <w:t>项目餐厨废物产生量约为</w:t>
            </w:r>
            <w:r>
              <w:rPr>
                <w:rFonts w:hint="default" w:ascii="Times New Roman" w:hAnsi="Times New Roman" w:eastAsia="宋体" w:cs="Times New Roman"/>
                <w:color w:val="auto"/>
                <w:szCs w:val="24"/>
                <w:lang w:val="en-US" w:eastAsia="zh-CN"/>
              </w:rPr>
              <w:t>13.5</w:t>
            </w:r>
            <w:r>
              <w:rPr>
                <w:rFonts w:hint="default" w:ascii="Times New Roman" w:hAnsi="Times New Roman" w:eastAsia="宋体" w:cs="Times New Roman"/>
                <w:color w:val="auto"/>
                <w:szCs w:val="24"/>
              </w:rPr>
              <w:t>kg/d（合计</w:t>
            </w:r>
            <w:r>
              <w:rPr>
                <w:rFonts w:hint="default" w:ascii="Times New Roman" w:hAnsi="Times New Roman" w:eastAsia="宋体" w:cs="Times New Roman"/>
                <w:color w:val="auto"/>
                <w:szCs w:val="24"/>
                <w:lang w:val="en-US" w:eastAsia="zh-CN"/>
              </w:rPr>
              <w:t>4.05</w:t>
            </w:r>
            <w:r>
              <w:rPr>
                <w:rFonts w:hint="default" w:ascii="Times New Roman" w:hAnsi="Times New Roman" w:eastAsia="宋体" w:cs="Times New Roman"/>
                <w:color w:val="auto"/>
                <w:szCs w:val="24"/>
              </w:rPr>
              <w:t>t/a），</w:t>
            </w:r>
            <w:r>
              <w:rPr>
                <w:rFonts w:hint="default" w:ascii="Times New Roman" w:hAnsi="Times New Roman" w:cs="Times New Roman"/>
                <w:color w:val="auto"/>
                <w:szCs w:val="24"/>
                <w:lang w:eastAsia="zh-CN"/>
              </w:rPr>
              <w:t>根据调查，目前由公司员工带回家中喂养牲畜，处置方式不规范，环评提出，</w:t>
            </w:r>
            <w:r>
              <w:rPr>
                <w:rFonts w:hint="default" w:ascii="Times New Roman" w:hAnsi="Times New Roman" w:cs="Times New Roman"/>
                <w:color w:val="auto"/>
                <w:kern w:val="0"/>
                <w:sz w:val="24"/>
                <w:szCs w:val="24"/>
              </w:rPr>
              <w:t>采用泔水桶收集后</w:t>
            </w:r>
            <w:r>
              <w:rPr>
                <w:rFonts w:hint="default" w:ascii="Times New Roman" w:hAnsi="Times New Roman" w:cs="Times New Roman"/>
                <w:color w:val="auto"/>
                <w:kern w:val="0"/>
                <w:sz w:val="24"/>
                <w:szCs w:val="24"/>
                <w:lang w:eastAsia="zh-CN"/>
              </w:rPr>
              <w:t>委托有资质的单位</w:t>
            </w:r>
            <w:r>
              <w:rPr>
                <w:rFonts w:hint="default" w:ascii="Times New Roman" w:hAnsi="Times New Roman" w:cs="Times New Roman"/>
                <w:color w:val="auto"/>
                <w:kern w:val="0"/>
                <w:sz w:val="24"/>
                <w:szCs w:val="24"/>
              </w:rPr>
              <w:t>清运处置</w:t>
            </w:r>
            <w:r>
              <w:rPr>
                <w:rFonts w:hint="default" w:ascii="Times New Roman" w:hAnsi="Times New Roman" w:eastAsia="宋体" w:cs="Times New Roman"/>
                <w:color w:val="auto"/>
                <w:szCs w:val="24"/>
              </w:rPr>
              <w:t>。</w:t>
            </w:r>
          </w:p>
          <w:p>
            <w:pPr>
              <w:pStyle w:val="53"/>
              <w:ind w:firstLine="482"/>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③隔油池浮油</w:t>
            </w:r>
          </w:p>
          <w:p>
            <w:pPr>
              <w:pStyle w:val="53"/>
              <w:ind w:firstLine="480"/>
              <w:rPr>
                <w:rFonts w:hint="default" w:ascii="Times New Roman" w:hAnsi="Times New Roman" w:eastAsia="宋体" w:cs="Times New Roman"/>
                <w:color w:val="auto"/>
                <w:szCs w:val="24"/>
                <w:lang w:eastAsia="zh-CN"/>
              </w:rPr>
            </w:pPr>
            <w:r>
              <w:rPr>
                <w:rFonts w:hint="default" w:ascii="Times New Roman" w:hAnsi="Times New Roman" w:cs="Times New Roman"/>
                <w:color w:val="auto"/>
                <w:szCs w:val="24"/>
                <w:lang w:eastAsia="zh-CN"/>
              </w:rPr>
              <w:t>根据调查</w:t>
            </w:r>
            <w:r>
              <w:rPr>
                <w:rFonts w:hint="default" w:ascii="Times New Roman" w:hAnsi="Times New Roman" w:eastAsia="宋体" w:cs="Times New Roman"/>
                <w:color w:val="auto"/>
                <w:szCs w:val="24"/>
              </w:rPr>
              <w:t>，项目针对于厨房生活污水，项目已设置1个1m³的隔油池对厨房废水进行预处理；该隔油池会产生隔油池浮油，产生量约为</w:t>
            </w:r>
            <w:r>
              <w:rPr>
                <w:rFonts w:hint="default" w:ascii="Times New Roman" w:hAnsi="Times New Roman" w:eastAsia="宋体" w:cs="Times New Roman"/>
                <w:color w:val="auto"/>
                <w:szCs w:val="24"/>
                <w:lang w:val="en-US" w:eastAsia="zh-CN"/>
              </w:rPr>
              <w:t>80</w:t>
            </w:r>
            <w:r>
              <w:rPr>
                <w:rFonts w:hint="default" w:ascii="Times New Roman" w:hAnsi="Times New Roman" w:eastAsia="宋体" w:cs="Times New Roman"/>
                <w:color w:val="auto"/>
                <w:szCs w:val="24"/>
              </w:rPr>
              <w:t>kg/a；</w:t>
            </w:r>
            <w:r>
              <w:rPr>
                <w:rFonts w:hint="default" w:ascii="Times New Roman" w:hAnsi="Times New Roman" w:cs="Times New Roman"/>
                <w:color w:val="auto"/>
                <w:szCs w:val="24"/>
                <w:lang w:eastAsia="zh-CN"/>
              </w:rPr>
              <w:t>项目运行至今从未进行收集处置，环评提出，针对隔油池浮油，委托有资质的单位定期清运处置。</w:t>
            </w:r>
          </w:p>
          <w:p>
            <w:pPr>
              <w:pStyle w:val="53"/>
              <w:ind w:firstLine="482"/>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④污水处理设施污泥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调查</w:t>
            </w:r>
            <w:r>
              <w:rPr>
                <w:rFonts w:hint="default" w:ascii="Times New Roman" w:hAnsi="Times New Roman" w:eastAsia="宋体" w:cs="Times New Roman"/>
                <w:color w:val="auto"/>
                <w:sz w:val="24"/>
                <w:szCs w:val="24"/>
              </w:rPr>
              <w:t>，项目化粪池、一体化污水处理设施在处理废水的过程中，将产生一定的污泥，污泥主要来源于SS和BOD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的去除，计污泥产生量</w:t>
            </w:r>
            <w:r>
              <w:rPr>
                <w:rFonts w:hint="default" w:ascii="Times New Roman" w:hAnsi="Times New Roman" w:eastAsia="宋体" w:cs="Times New Roman"/>
                <w:color w:val="auto"/>
                <w:sz w:val="24"/>
                <w:szCs w:val="24"/>
                <w:lang w:eastAsia="zh-CN"/>
              </w:rPr>
              <w:t>约</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1.044</w:t>
            </w:r>
            <w:r>
              <w:rPr>
                <w:rFonts w:hint="default" w:ascii="Times New Roman" w:hAnsi="Times New Roman" w:eastAsia="宋体" w:cs="Times New Roman"/>
                <w:color w:val="auto"/>
                <w:sz w:val="24"/>
                <w:szCs w:val="24"/>
              </w:rPr>
              <w:t>t/a。委托环卫部门清运处理，其处置率为100%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 xml:space="preserve"> </w:t>
            </w:r>
          </w:p>
          <w:p>
            <w:pPr>
              <w:spacing w:line="360" w:lineRule="auto"/>
              <w:ind w:firstLine="361" w:firstLineChars="15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（2）固体废物环境影响和保护措施分析</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根据固体废物污染源强分析可知，项目产生的固体废物，其环境影响和保护措施分析具体如下：</w:t>
            </w:r>
          </w:p>
          <w:p>
            <w:pPr>
              <w:pStyle w:val="47"/>
              <w:spacing w:beforeLine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表4.2.4-2  固体废物环境影响和保护措施分析一览表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777"/>
              <w:gridCol w:w="1636"/>
              <w:gridCol w:w="772"/>
              <w:gridCol w:w="1065"/>
              <w:gridCol w:w="1335"/>
              <w:gridCol w:w="1350"/>
              <w:gridCol w:w="10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777"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产生环节</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772"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属性</w:t>
                  </w: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贮存方式</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利用处置方式和去向</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77" w:type="dxa"/>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原料堆存区</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边角料、废包装袋、废包装盒、废纸箱、不合格产品</w:t>
                  </w:r>
                </w:p>
              </w:tc>
              <w:tc>
                <w:tcPr>
                  <w:tcW w:w="772" w:type="dxa"/>
                  <w:vMerge w:val="restart"/>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一般工业固废</w:t>
                  </w: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5t/a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在原料堆存区临时暂存。</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收集后定时外售相关回收单位处理。</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777" w:type="dxa"/>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棉签生产</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棉絮</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0.001</w:t>
                  </w:r>
                  <w:r>
                    <w:rPr>
                      <w:rFonts w:hint="default" w:ascii="Times New Roman" w:hAnsi="Times New Roman" w:eastAsia="宋体" w:cs="Times New Roman"/>
                      <w:color w:val="auto"/>
                      <w:sz w:val="21"/>
                      <w:szCs w:val="21"/>
                    </w:rPr>
                    <w:t>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与生活垃圾一起收集</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0.001</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777" w:type="dxa"/>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实验一般固体废物：破碎玻璃器皿、废培养基</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0.4</w:t>
                  </w:r>
                  <w:r>
                    <w:rPr>
                      <w:rFonts w:hint="default" w:ascii="Times New Roman" w:hAnsi="Times New Roman" w:eastAsia="宋体" w:cs="Times New Roman"/>
                      <w:color w:val="auto"/>
                      <w:sz w:val="21"/>
                      <w:szCs w:val="21"/>
                    </w:rPr>
                    <w:t>t/a</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经统一收集并经灭菌灭活处理后，同生活垃圾一起处理。</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0.4</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777" w:type="dxa"/>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纯水制备</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纯水机设备更换的废活性炭、废离子交换树脂、废石英砂</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0.05</w:t>
                  </w:r>
                  <w:r>
                    <w:rPr>
                      <w:rFonts w:hint="default" w:ascii="Times New Roman" w:hAnsi="Times New Roman" w:eastAsia="宋体" w:cs="Times New Roman"/>
                      <w:color w:val="auto"/>
                      <w:sz w:val="21"/>
                      <w:szCs w:val="21"/>
                    </w:rPr>
                    <w:t>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与生活垃圾一起收集</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0.05</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Merge w:val="restart"/>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rPr>
                    <w:t>5</w:t>
                  </w:r>
                </w:p>
              </w:tc>
              <w:tc>
                <w:tcPr>
                  <w:tcW w:w="777" w:type="dxa"/>
                  <w:vMerge w:val="restart"/>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员工生活</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生活垃圾</w:t>
                  </w:r>
                </w:p>
              </w:tc>
              <w:tc>
                <w:tcPr>
                  <w:tcW w:w="772" w:type="dxa"/>
                  <w:vMerge w:val="restart"/>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生活固废</w:t>
                  </w: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10.5</w:t>
                  </w:r>
                  <w:r>
                    <w:rPr>
                      <w:rFonts w:hint="default" w:ascii="Times New Roman" w:hAnsi="Times New Roman" w:eastAsia="宋体" w:cs="Times New Roman"/>
                      <w:color w:val="auto"/>
                      <w:sz w:val="21"/>
                      <w:szCs w:val="21"/>
                    </w:rPr>
                    <w:t>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使用垃圾桶集中收集，日产日清。</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委托环卫部门定期清运处置。</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10.5</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Merge w:val="continue"/>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p>
              </w:tc>
              <w:tc>
                <w:tcPr>
                  <w:tcW w:w="777"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rPr>
                    <w:t>餐厨废物</w:t>
                  </w:r>
                  <w:r>
                    <w:rPr>
                      <w:rFonts w:hint="default" w:ascii="Times New Roman" w:hAnsi="Times New Roman" w:eastAsia="宋体" w:cs="Times New Roman"/>
                      <w:b w:val="0"/>
                      <w:bCs/>
                      <w:color w:val="auto"/>
                      <w:sz w:val="21"/>
                      <w:szCs w:val="21"/>
                      <w:lang w:eastAsia="zh-CN"/>
                    </w:rPr>
                    <w:t>（泔水）</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4.05</w:t>
                  </w:r>
                  <w:r>
                    <w:rPr>
                      <w:rFonts w:hint="default" w:ascii="Times New Roman" w:hAnsi="Times New Roman" w:eastAsia="宋体" w:cs="Times New Roman"/>
                      <w:color w:val="auto"/>
                      <w:sz w:val="21"/>
                      <w:szCs w:val="21"/>
                    </w:rPr>
                    <w:t>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泔水桶</w:t>
                  </w:r>
                  <w:r>
                    <w:rPr>
                      <w:rFonts w:hint="default" w:ascii="Times New Roman" w:hAnsi="Times New Roman" w:eastAsia="宋体" w:cs="Times New Roman"/>
                      <w:color w:val="auto"/>
                      <w:sz w:val="21"/>
                      <w:szCs w:val="21"/>
                    </w:rPr>
                    <w:t>统一收集</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委托有资质的单位进行处置</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4.05</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Merge w:val="continue"/>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777"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隔油池浮油</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0.08</w:t>
                  </w:r>
                  <w:r>
                    <w:rPr>
                      <w:rFonts w:hint="default" w:ascii="Times New Roman" w:hAnsi="Times New Roman" w:eastAsia="宋体" w:cs="Times New Roman"/>
                      <w:color w:val="auto"/>
                      <w:sz w:val="21"/>
                      <w:szCs w:val="21"/>
                    </w:rPr>
                    <w:t>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即清即运，不贮存</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委托有资质的单位进行清理和处置</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0.08</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Merge w:val="continue"/>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777" w:type="dxa"/>
                  <w:vMerge w:val="continue"/>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污水处理设施污泥</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1.044</w:t>
                  </w:r>
                  <w:r>
                    <w:rPr>
                      <w:rFonts w:hint="default" w:ascii="Times New Roman" w:hAnsi="Times New Roman" w:eastAsia="宋体" w:cs="Times New Roman"/>
                      <w:color w:val="auto"/>
                      <w:sz w:val="21"/>
                      <w:szCs w:val="21"/>
                    </w:rPr>
                    <w:t>t/a</w:t>
                  </w:r>
                </w:p>
              </w:tc>
              <w:tc>
                <w:tcPr>
                  <w:tcW w:w="133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即清即运，不贮存</w:t>
                  </w:r>
                </w:p>
              </w:tc>
              <w:tc>
                <w:tcPr>
                  <w:tcW w:w="135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委托环卫部门清运处理</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1.044</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777"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实验废液、实验器皿初次清洗高浓度废水</w:t>
                  </w:r>
                </w:p>
              </w:tc>
              <w:tc>
                <w:tcPr>
                  <w:tcW w:w="772" w:type="dxa"/>
                  <w:vMerge w:val="restart"/>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危险废物</w:t>
                  </w: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0.13</w:t>
                  </w:r>
                  <w:r>
                    <w:rPr>
                      <w:rFonts w:hint="default" w:ascii="Times New Roman" w:hAnsi="Times New Roman" w:eastAsia="宋体" w:cs="Times New Roman"/>
                      <w:color w:val="auto"/>
                      <w:sz w:val="21"/>
                      <w:szCs w:val="21"/>
                    </w:rPr>
                    <w:t>t/a</w:t>
                  </w:r>
                </w:p>
              </w:tc>
              <w:tc>
                <w:tcPr>
                  <w:tcW w:w="13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集中收集暂存于危险废物暂存间</w:t>
                  </w:r>
                </w:p>
              </w:tc>
              <w:tc>
                <w:tcPr>
                  <w:tcW w:w="13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委托有资质单位清运处理。</w:t>
                  </w: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0.13</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777"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环氧乙烷吸收废液</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4.19</w:t>
                  </w:r>
                  <w:r>
                    <w:rPr>
                      <w:rFonts w:hint="default" w:ascii="Times New Roman" w:hAnsi="Times New Roman" w:eastAsia="宋体" w:cs="Times New Roman"/>
                      <w:color w:val="auto"/>
                      <w:sz w:val="21"/>
                      <w:szCs w:val="21"/>
                    </w:rPr>
                    <w:t>t/a</w:t>
                  </w:r>
                </w:p>
              </w:tc>
              <w:tc>
                <w:tcPr>
                  <w:tcW w:w="1335"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350"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4.19</w:t>
                  </w:r>
                  <w:r>
                    <w:rPr>
                      <w:rFonts w:hint="default" w:ascii="Times New Roman" w:hAnsi="Times New Roman" w:eastAsia="宋体" w:cs="Times New Roman"/>
                      <w:color w:val="auto"/>
                      <w:sz w:val="2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33" w:type="dxa"/>
                  <w:vAlign w:val="center"/>
                </w:tcPr>
                <w:p>
                  <w:pPr>
                    <w:pStyle w:val="45"/>
                    <w:keepNext w:val="0"/>
                    <w:keepLines w:val="0"/>
                    <w:pageBreakBefore w:val="0"/>
                    <w:widowControl/>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777"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废气处理</w:t>
                  </w:r>
                </w:p>
              </w:tc>
              <w:tc>
                <w:tcPr>
                  <w:tcW w:w="163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废活性炭</w:t>
                  </w:r>
                </w:p>
              </w:tc>
              <w:tc>
                <w:tcPr>
                  <w:tcW w:w="772"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65"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0.105</w:t>
                  </w:r>
                  <w:r>
                    <w:rPr>
                      <w:rFonts w:hint="default" w:ascii="Times New Roman" w:hAnsi="Times New Roman" w:eastAsia="宋体" w:cs="Times New Roman"/>
                      <w:color w:val="auto"/>
                      <w:sz w:val="21"/>
                      <w:szCs w:val="21"/>
                    </w:rPr>
                    <w:t>t/a</w:t>
                  </w:r>
                </w:p>
              </w:tc>
              <w:tc>
                <w:tcPr>
                  <w:tcW w:w="1335"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350" w:type="dxa"/>
                  <w:vMerge w:val="continue"/>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rPr>
                  </w:pPr>
                </w:p>
              </w:tc>
              <w:tc>
                <w:tcPr>
                  <w:tcW w:w="1040"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0.105</w:t>
                  </w:r>
                  <w:r>
                    <w:rPr>
                      <w:rFonts w:hint="default" w:ascii="Times New Roman" w:hAnsi="Times New Roman" w:eastAsia="宋体" w:cs="Times New Roman"/>
                      <w:color w:val="auto"/>
                      <w:sz w:val="21"/>
                      <w:szCs w:val="21"/>
                    </w:rPr>
                    <w:t>t/a</w:t>
                  </w:r>
                </w:p>
              </w:tc>
            </w:tr>
          </w:tbl>
          <w:p>
            <w:pPr>
              <w:pStyle w:val="53"/>
              <w:spacing w:beforeLines="50"/>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由上表可知，</w:t>
            </w:r>
            <w:r>
              <w:rPr>
                <w:rFonts w:hint="default" w:ascii="Times New Roman" w:hAnsi="Times New Roman" w:cs="Times New Roman"/>
                <w:color w:val="auto"/>
                <w:szCs w:val="24"/>
                <w:lang w:eastAsia="zh-CN"/>
              </w:rPr>
              <w:t>整改后，</w:t>
            </w:r>
            <w:r>
              <w:rPr>
                <w:rFonts w:hint="default" w:ascii="Times New Roman" w:hAnsi="Times New Roman" w:eastAsia="宋体" w:cs="Times New Roman"/>
                <w:color w:val="auto"/>
                <w:szCs w:val="24"/>
              </w:rPr>
              <w:t>项目针对固废废物采取的保护措施具体实施如下：</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①项目产生的废包装材料、</w:t>
            </w:r>
            <w:r>
              <w:rPr>
                <w:rFonts w:hint="default" w:ascii="Times New Roman" w:hAnsi="Times New Roman" w:eastAsia="宋体" w:cs="Times New Roman"/>
                <w:color w:val="auto"/>
                <w:szCs w:val="24"/>
                <w:lang w:eastAsia="zh-CN"/>
              </w:rPr>
              <w:t>不合格产品</w:t>
            </w:r>
            <w:r>
              <w:rPr>
                <w:rFonts w:hint="default" w:ascii="Times New Roman" w:hAnsi="Times New Roman" w:eastAsia="宋体" w:cs="Times New Roman"/>
                <w:color w:val="auto"/>
                <w:szCs w:val="24"/>
              </w:rPr>
              <w:t>等一般工业固废均可得到合理处置。</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②针对项目产生的</w:t>
            </w:r>
            <w:r>
              <w:rPr>
                <w:rFonts w:hint="default" w:ascii="Times New Roman" w:hAnsi="Times New Roman" w:eastAsia="宋体" w:cs="Times New Roman"/>
                <w:color w:val="auto"/>
                <w:szCs w:val="24"/>
                <w:lang w:eastAsia="zh-CN"/>
              </w:rPr>
              <w:t>环氧乙烷吸收废液、实验器皿清洗高浓度废水、废活性炭等危险废物，</w:t>
            </w:r>
            <w:r>
              <w:rPr>
                <w:rFonts w:hint="default" w:ascii="Times New Roman" w:hAnsi="Times New Roman" w:eastAsia="宋体" w:cs="Times New Roman"/>
                <w:color w:val="auto"/>
                <w:szCs w:val="24"/>
              </w:rPr>
              <w:t>厂区拟建设1个5m²的危险废物贮存间对项目区危险废物进行分类暂存。委托有资质的单位处置，要求项目危险废物贮存间严格进行地面和裙墙防腐防渗，内部设置导流渠和收集池，规范设置标识标牌等。</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③</w:t>
            </w:r>
            <w:r>
              <w:rPr>
                <w:rFonts w:hint="default" w:ascii="Times New Roman" w:hAnsi="Times New Roman" w:eastAsia="宋体" w:cs="Times New Roman"/>
                <w:color w:val="auto"/>
                <w:szCs w:val="24"/>
                <w:lang w:eastAsia="zh-CN"/>
              </w:rPr>
              <w:t>实验破碎器皿、培养基、</w:t>
            </w:r>
            <w:r>
              <w:rPr>
                <w:rFonts w:hint="default" w:ascii="Times New Roman" w:hAnsi="Times New Roman" w:eastAsia="宋体" w:cs="Times New Roman"/>
                <w:color w:val="auto"/>
                <w:kern w:val="0"/>
                <w:sz w:val="24"/>
                <w:szCs w:val="24"/>
                <w:lang w:val="en-US" w:eastAsia="zh-CN" w:bidi="ar"/>
              </w:rPr>
              <w:t>纯水机设备更换的废活性炭、废离子交换树脂、废石英砂</w:t>
            </w:r>
            <w:r>
              <w:rPr>
                <w:rFonts w:hint="default" w:ascii="Times New Roman" w:hAnsi="Times New Roman" w:eastAsia="宋体" w:cs="Times New Roman"/>
                <w:color w:val="auto"/>
                <w:szCs w:val="24"/>
                <w:lang w:eastAsia="zh-CN"/>
              </w:rPr>
              <w:t>等</w:t>
            </w:r>
            <w:r>
              <w:rPr>
                <w:rFonts w:hint="default" w:ascii="Times New Roman" w:hAnsi="Times New Roman" w:eastAsia="宋体" w:cs="Times New Roman"/>
                <w:color w:val="auto"/>
                <w:szCs w:val="24"/>
              </w:rPr>
              <w:t>和生活垃圾委托环卫部门定期清运处置。</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综上，项目产生的固体废物均可得到合理处置，处置率为100%；对环境影响较小。</w:t>
            </w:r>
          </w:p>
          <w:p>
            <w:pPr>
              <w:spacing w:line="360" w:lineRule="auto"/>
              <w:ind w:firstLine="361" w:firstLineChars="15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（3）环境管理要求</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①危险废物管理要求</w:t>
            </w:r>
          </w:p>
          <w:p>
            <w:pPr>
              <w:pStyle w:val="53"/>
              <w:ind w:firstLine="480"/>
              <w:rPr>
                <w:rFonts w:hint="default" w:ascii="Times New Roman" w:hAnsi="Times New Roman" w:eastAsia="宋体" w:cs="Times New Roman"/>
                <w:color w:val="auto"/>
                <w:szCs w:val="24"/>
              </w:rPr>
            </w:pPr>
            <w:r>
              <w:rPr>
                <w:rFonts w:hint="default" w:ascii="Times New Roman" w:hAnsi="Times New Roman" w:cs="Times New Roman"/>
                <w:color w:val="auto"/>
                <w:szCs w:val="24"/>
              </w:rPr>
              <w:t>针对项目产生的危险废物，项目在日常管理过程中，必须严格按照《危险废物贮存污染控制标准》（GB</w:t>
            </w:r>
            <w:r>
              <w:rPr>
                <w:rFonts w:hint="eastAsia" w:cs="Times New Roman"/>
                <w:color w:val="auto"/>
                <w:szCs w:val="24"/>
                <w:lang w:eastAsia="zh-CN"/>
              </w:rPr>
              <w:t>*****</w:t>
            </w:r>
            <w:r>
              <w:rPr>
                <w:rFonts w:hint="default" w:ascii="Times New Roman" w:hAnsi="Times New Roman" w:cs="Times New Roman"/>
                <w:color w:val="auto"/>
                <w:szCs w:val="24"/>
              </w:rPr>
              <w:t>-2023）的要求，做到下表提出的要求</w:t>
            </w:r>
            <w:r>
              <w:rPr>
                <w:rFonts w:hint="default" w:ascii="Times New Roman" w:hAnsi="Times New Roman" w:eastAsia="宋体" w:cs="Times New Roman"/>
                <w:color w:val="auto"/>
                <w:szCs w:val="24"/>
              </w:rPr>
              <w:t>。</w:t>
            </w:r>
          </w:p>
          <w:p>
            <w:pPr>
              <w:pStyle w:val="47"/>
              <w:keepNext w:val="0"/>
              <w:keepLines w:val="0"/>
              <w:pageBreakBefore w:val="0"/>
              <w:widowControl w:val="0"/>
              <w:kinsoku/>
              <w:wordWrap/>
              <w:overflowPunct/>
              <w:topLinePunct w:val="0"/>
              <w:autoSpaceDE/>
              <w:autoSpaceDN/>
              <w:bidi w:val="0"/>
              <w:spacing w:beforeLines="0"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表4.2.4-3 项目危险废物管理要求一览表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exact"/>
                    <w:jc w:val="center"/>
                    <w:rPr>
                      <w:rFonts w:hint="default" w:ascii="Times New Roman" w:hAnsi="Times New Roman" w:cs="Times New Roman"/>
                      <w:color w:val="auto"/>
                      <w:sz w:val="21"/>
                      <w:szCs w:val="21"/>
                    </w:rPr>
                  </w:pPr>
                  <w:bookmarkStart w:id="5" w:name="_Toc484976361"/>
                  <w:r>
                    <w:rPr>
                      <w:rFonts w:hint="default" w:ascii="Times New Roman" w:hAnsi="Times New Roman" w:cs="Times New Roman"/>
                      <w:color w:val="auto"/>
                      <w:sz w:val="21"/>
                      <w:szCs w:val="21"/>
                    </w:rPr>
                    <w:t>环节</w:t>
                  </w:r>
                </w:p>
              </w:tc>
              <w:tc>
                <w:tcPr>
                  <w:tcW w:w="77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总体要求</w:t>
                  </w:r>
                </w:p>
              </w:tc>
              <w:tc>
                <w:tcPr>
                  <w:tcW w:w="7725" w:type="dxa"/>
                  <w:tcBorders>
                    <w:top w:val="single" w:color="auto" w:sz="4" w:space="0"/>
                    <w:left w:val="single" w:color="auto" w:sz="4" w:space="0"/>
                    <w:right w:val="single" w:color="auto" w:sz="4" w:space="0"/>
                  </w:tcBorders>
                  <w:noWrap/>
                  <w:vAlign w:val="center"/>
                </w:tcPr>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①贮存危险废物应根据危险废物的类别、形态、物理化学性质和污染防治要求进行分类贮存，且应避免危险废物与不相容的物质或材料接触；</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②危险废物贮存过程产生的液态废物和固态废物应分类收集，按其环境管理要求妥善处理；</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③贮存设施或场所、容器和包装物应按 HJ 1276 要求设置危险废物贮存设施或场所标志、危险废物贮存分区标志和危险废物标签等危险废物识别标志。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贮存设施污染控制要求一般规定</w:t>
                  </w:r>
                </w:p>
              </w:tc>
              <w:tc>
                <w:tcPr>
                  <w:tcW w:w="7725" w:type="dxa"/>
                  <w:tcBorders>
                    <w:top w:val="single" w:color="auto" w:sz="4" w:space="0"/>
                    <w:left w:val="single" w:color="auto" w:sz="4" w:space="0"/>
                    <w:right w:val="single" w:color="auto" w:sz="4" w:space="0"/>
                  </w:tcBorders>
                  <w:noWrap/>
                  <w:vAlign w:val="center"/>
                </w:tcPr>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①贮存设施应根据危险废物的形态、物理化学性质、包装形式和污染物迁移途径，采取必要的防风、防晒、防雨、防漏、防渗、防腐以及其他环境污染防治措施，不应露天堆放危险废物；</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②贮存设施应根据危险废物的类别、数量、形态、物理化学性质和污染防治等要求设置必要的贮存分区，避免不相容的危险废物接触、混合；</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③贮存设施或贮存分区内地面、墙面裙脚、堵截泄漏的围堰、接触危险废物的隔板和墙体等应采用坚固的材料建造，表面无裂缝；</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cs="Times New Roman"/>
                      <w:color w:val="auto"/>
                      <w:sz w:val="21"/>
                      <w:szCs w:val="21"/>
                      <w:vertAlign w:val="superscript"/>
                    </w:rPr>
                    <w:t xml:space="preserve">-7 </w:t>
                  </w:r>
                  <w:r>
                    <w:rPr>
                      <w:rFonts w:hint="default" w:ascii="Times New Roman" w:hAnsi="Times New Roman" w:cs="Times New Roman"/>
                      <w:color w:val="auto"/>
                      <w:sz w:val="21"/>
                      <w:szCs w:val="21"/>
                    </w:rPr>
                    <w:t>cm/s），或至少2mm厚高密度聚乙烯膜等人工防渗材料（渗透系数不大于10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 xml:space="preserve"> cm/s），或其他防渗性能等效的材料；</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⑥贮存设施应采取技术和管理措施防止无关人员进入。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贮存过程污染控制要求</w:t>
                  </w:r>
                </w:p>
              </w:tc>
              <w:tc>
                <w:tcPr>
                  <w:tcW w:w="7725" w:type="dxa"/>
                  <w:tcBorders>
                    <w:top w:val="single" w:color="auto" w:sz="4" w:space="0"/>
                    <w:left w:val="single" w:color="auto" w:sz="4" w:space="0"/>
                    <w:right w:val="single" w:color="auto" w:sz="4" w:space="0"/>
                  </w:tcBorders>
                  <w:noWrap/>
                  <w:vAlign w:val="center"/>
                </w:tcPr>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危险废物存入贮存设施前应对危险废物类别和特性与危险废物标签等危险废物识别标志的一致性进行核验，不一致的或类别、特性不明的不应存入；应定期检查危险废物的贮存状况，及时清理贮存设施地面，更换破损泄漏的危险废物贮存容器和包装物，保证堆存危险废物的防雨、防风、防扬尘等设施功能完好；作业设备及车辆等结束作业离开贮存设施时，应对其残留的危险废物进行清理，清理的废物或清洗废水应收集处理；贮存设施运行期间，应按国家有关标准和规定建立危险废物管理台账并保存；贮存设施所有者或运营者应建立贮存设施环境管理制度、管理人员岗位职责制度、设施运行操作制度、人员岗位培训制度等；贮存设施所有者或运营者应依据国家土壤和地下水污染防治的有关规定，结合贮存设施特点建立土壤和地下水污染隐患排查制度，并定期开展隐患排查；发现隐患应及时采取措施消除隐患，并建立档案；贮存设施所有者或运营者应建立贮存设施全部档案，包括设计、施工、验收、运行、监测和环境应急等，应按国家有关档案管理的法律法规进行整理和归档；</w:t>
                  </w:r>
                </w:p>
                <w:p>
                  <w:pPr>
                    <w:pStyle w:val="64"/>
                    <w:keepNext w:val="0"/>
                    <w:keepLines w:val="0"/>
                    <w:pageBreakBefore w:val="0"/>
                    <w:widowControl w:val="0"/>
                    <w:kinsoku/>
                    <w:wordWrap/>
                    <w:overflowPunct/>
                    <w:topLinePunct w:val="0"/>
                    <w:autoSpaceDE/>
                    <w:autoSpaceDN/>
                    <w:bidi w:val="0"/>
                    <w:spacing w:line="360" w:lineRule="exact"/>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贮存点应具有固定的区域边界，并应采取与其他区域进行隔离的措施；贮存点应采取防风、防雨、防晒和防止危险废物流失、扬散等措施；贮存点贮存的危险废物应置于容器或包装物中，不应直接散堆；贮存点应根据危险废物的形态、物理化学性质、包装形式等，采取防渗、防漏等污染防治措施或采用具有相应功能的装置；贮存点应及时清运贮存的危险废物，实时贮存量不应超过3吨。</w:t>
                  </w:r>
                </w:p>
              </w:tc>
            </w:tr>
          </w:tbl>
          <w:p>
            <w:pPr>
              <w:pStyle w:val="53"/>
              <w:spacing w:beforeLines="50"/>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②生活垃圾管理要求</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项目产生的生活垃圾应做到日产日清。</w:t>
            </w:r>
          </w:p>
          <w:bookmarkEnd w:id="5"/>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4.2.5 地下水、土壤环境影响和保护措施</w:t>
            </w:r>
          </w:p>
          <w:p>
            <w:pPr>
              <w:pStyle w:val="53"/>
              <w:ind w:firstLine="361" w:firstLineChars="150"/>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（1）污染源及污染物类型</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污染物从污染源进入地下水、土壤所经过的路径称为地下水、土壤污染途径，地下水、土壤污染途径是多种多样的。根据项目的特点，本项目可能对地下水、土壤造成污染的途径主要有：</w:t>
            </w:r>
            <w:r>
              <w:rPr>
                <w:rFonts w:hint="default" w:ascii="Times New Roman" w:hAnsi="Times New Roman" w:eastAsia="宋体" w:cs="Times New Roman"/>
                <w:color w:val="auto"/>
                <w:szCs w:val="24"/>
                <w:lang w:eastAsia="zh-CN"/>
              </w:rPr>
              <w:t>环氧乙烷废液</w:t>
            </w:r>
            <w:r>
              <w:rPr>
                <w:rFonts w:hint="default" w:ascii="Times New Roman" w:hAnsi="Times New Roman" w:eastAsia="宋体" w:cs="Times New Roman"/>
                <w:color w:val="auto"/>
                <w:szCs w:val="24"/>
              </w:rPr>
              <w:t>、</w:t>
            </w:r>
            <w:r>
              <w:rPr>
                <w:rFonts w:hint="default" w:ascii="Times New Roman" w:hAnsi="Times New Roman" w:eastAsia="宋体" w:cs="Times New Roman"/>
                <w:color w:val="auto"/>
                <w:szCs w:val="24"/>
                <w:lang w:eastAsia="zh-CN"/>
              </w:rPr>
              <w:t>实验器皿清洗高浓度废水</w:t>
            </w:r>
            <w:r>
              <w:rPr>
                <w:rFonts w:hint="default" w:ascii="Times New Roman" w:hAnsi="Times New Roman" w:eastAsia="宋体" w:cs="Times New Roman"/>
                <w:color w:val="auto"/>
                <w:szCs w:val="24"/>
              </w:rPr>
              <w:t>等在地面防渗层发生破损的情况下会发生渗漏，对地下水、土壤造成污染，其污染物类型包</w:t>
            </w:r>
            <w:r>
              <w:rPr>
                <w:rFonts w:hint="default" w:ascii="Times New Roman" w:hAnsi="Times New Roman" w:eastAsia="宋体" w:cs="Times New Roman"/>
                <w:color w:val="auto"/>
                <w:szCs w:val="24"/>
                <w:lang w:eastAsia="zh-CN"/>
              </w:rPr>
              <w:t>有机物、</w:t>
            </w:r>
            <w:r>
              <w:rPr>
                <w:rFonts w:hint="default" w:ascii="Times New Roman" w:hAnsi="Times New Roman" w:eastAsia="宋体" w:cs="Times New Roman"/>
                <w:color w:val="auto"/>
                <w:szCs w:val="24"/>
              </w:rPr>
              <w:t>石油类等因子。</w:t>
            </w:r>
          </w:p>
          <w:p>
            <w:pPr>
              <w:pStyle w:val="53"/>
              <w:ind w:firstLine="361" w:firstLineChars="150"/>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（2）污染源及污染途径</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污染物从污染源进入地下水所经过的路径称为地下水污染途径，地下水污染途径是多种多样的。根据项目的特点，本项目可能对地下水、土壤造成污染的途径主要有：</w:t>
            </w:r>
            <w:r>
              <w:rPr>
                <w:rFonts w:hint="default" w:ascii="Times New Roman" w:hAnsi="Times New Roman" w:eastAsia="宋体" w:cs="Times New Roman"/>
                <w:color w:val="auto"/>
                <w:szCs w:val="24"/>
                <w:lang w:eastAsia="zh-CN"/>
              </w:rPr>
              <w:t>环氧乙烷吸收废液、实验器皿清洗高浓度废水</w:t>
            </w:r>
            <w:r>
              <w:rPr>
                <w:rFonts w:hint="default" w:ascii="Times New Roman" w:hAnsi="Times New Roman" w:eastAsia="宋体" w:cs="Times New Roman"/>
                <w:color w:val="auto"/>
                <w:szCs w:val="24"/>
              </w:rPr>
              <w:t>在地面防渗层发生破损的情况下会发生渗漏，对地下水、土壤造成污染。</w:t>
            </w:r>
          </w:p>
          <w:p>
            <w:pPr>
              <w:pStyle w:val="53"/>
              <w:ind w:firstLine="361" w:firstLineChars="150"/>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（2）防控措施</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本项目地下水、土壤污染防治措施按照“源头控制、分区防治、应急响应”相结合的原则，从污染物的产生、入渗、扩散、应急响应进行控制。</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①源头控制措施</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严格按照公司制定的规范管理要求进行危险废物的管理。</w:t>
            </w:r>
          </w:p>
          <w:p>
            <w:pPr>
              <w:pStyle w:val="53"/>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②分区控制措施</w:t>
            </w:r>
          </w:p>
          <w:p>
            <w:pPr>
              <w:pStyle w:val="53"/>
              <w:ind w:firstLine="48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根据以上分区原则可知，项目分区防渗具体如下：</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fldChar w:fldCharType="begin"/>
            </w:r>
            <w:r>
              <w:rPr>
                <w:rFonts w:hint="default" w:ascii="Times New Roman" w:hAnsi="Times New Roman" w:eastAsia="宋体" w:cs="Times New Roman"/>
                <w:b/>
                <w:color w:val="auto"/>
                <w:sz w:val="24"/>
                <w:szCs w:val="24"/>
              </w:rPr>
              <w:instrText xml:space="preserve"> = 1 \* GB2 </w:instrText>
            </w:r>
            <w:r>
              <w:rPr>
                <w:rFonts w:hint="default" w:ascii="Times New Roman" w:hAnsi="Times New Roman" w:eastAsia="宋体" w:cs="Times New Roman"/>
                <w:b/>
                <w:color w:val="auto"/>
                <w:sz w:val="24"/>
                <w:szCs w:val="24"/>
              </w:rPr>
              <w:fldChar w:fldCharType="separate"/>
            </w:r>
            <w:r>
              <w:rPr>
                <w:rFonts w:hint="default" w:ascii="Times New Roman" w:hAnsi="Times New Roman" w:eastAsia="宋体" w:cs="Times New Roman"/>
                <w:b/>
                <w:color w:val="auto"/>
                <w:sz w:val="24"/>
                <w:szCs w:val="24"/>
              </w:rPr>
              <w:t>⑴</w:t>
            </w:r>
            <w:r>
              <w:rPr>
                <w:rFonts w:hint="default" w:ascii="Times New Roman" w:hAnsi="Times New Roman" w:eastAsia="宋体" w:cs="Times New Roman"/>
                <w:b/>
                <w:color w:val="auto"/>
                <w:sz w:val="24"/>
                <w:szCs w:val="24"/>
              </w:rPr>
              <w:fldChar w:fldCharType="end"/>
            </w:r>
            <w:r>
              <w:rPr>
                <w:rFonts w:hint="default" w:ascii="Times New Roman" w:hAnsi="Times New Roman" w:eastAsia="宋体" w:cs="Times New Roman"/>
                <w:b/>
                <w:color w:val="auto"/>
                <w:sz w:val="24"/>
                <w:szCs w:val="24"/>
              </w:rPr>
              <w:t>重点防渗区</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项目重点防渗区为危险废物贮存间：</w:t>
            </w:r>
            <w:r>
              <w:rPr>
                <w:rFonts w:hint="default" w:ascii="Times New Roman" w:hAnsi="Times New Roman" w:eastAsia="宋体" w:cs="Times New Roman"/>
                <w:bCs/>
                <w:snapToGrid w:val="0"/>
                <w:color w:val="auto"/>
                <w:kern w:val="0"/>
                <w:sz w:val="24"/>
                <w:szCs w:val="24"/>
                <w:lang w:val="zh-CN" w:eastAsia="zh-CN" w:bidi="ar-SA"/>
              </w:rPr>
              <w:t>危险废物暂存间地面及裙角应采取表面防渗措施，表面防渗材料应与所接触的物料或污染物相容，防渗层为至少1m厚黏土层(渗透系数不大于10</w:t>
            </w:r>
            <w:r>
              <w:rPr>
                <w:rFonts w:hint="default" w:ascii="Times New Roman" w:hAnsi="Times New Roman" w:eastAsia="宋体" w:cs="Times New Roman"/>
                <w:bCs/>
                <w:snapToGrid w:val="0"/>
                <w:color w:val="auto"/>
                <w:kern w:val="0"/>
                <w:sz w:val="24"/>
                <w:szCs w:val="24"/>
                <w:vertAlign w:val="superscript"/>
                <w:lang w:val="en-US" w:eastAsia="zh-CN" w:bidi="ar-SA"/>
              </w:rPr>
              <w:t>-7</w:t>
            </w:r>
            <w:r>
              <w:rPr>
                <w:rFonts w:hint="default" w:ascii="Times New Roman" w:hAnsi="Times New Roman" w:eastAsia="宋体" w:cs="Times New Roman"/>
                <w:bCs/>
                <w:snapToGrid w:val="0"/>
                <w:color w:val="auto"/>
                <w:kern w:val="0"/>
                <w:sz w:val="24"/>
                <w:szCs w:val="24"/>
                <w:lang w:val="zh-CN" w:eastAsia="zh-CN" w:bidi="ar-SA"/>
              </w:rPr>
              <w:t>cm/s)，或至少2mm厚高密度聚乙烯膜等人工防渗材料(渗透系数不大于10</w:t>
            </w:r>
            <w:r>
              <w:rPr>
                <w:rFonts w:hint="default" w:ascii="Times New Roman" w:hAnsi="Times New Roman" w:eastAsia="宋体" w:cs="Times New Roman"/>
                <w:bCs/>
                <w:snapToGrid w:val="0"/>
                <w:color w:val="auto"/>
                <w:kern w:val="0"/>
                <w:sz w:val="24"/>
                <w:szCs w:val="24"/>
                <w:vertAlign w:val="superscript"/>
                <w:lang w:val="en-US" w:eastAsia="zh-CN" w:bidi="ar-SA"/>
              </w:rPr>
              <w:t>-10</w:t>
            </w:r>
            <w:r>
              <w:rPr>
                <w:rFonts w:hint="default" w:ascii="Times New Roman" w:hAnsi="Times New Roman" w:eastAsia="宋体" w:cs="Times New Roman"/>
                <w:bCs/>
                <w:snapToGrid w:val="0"/>
                <w:color w:val="auto"/>
                <w:kern w:val="0"/>
                <w:sz w:val="24"/>
                <w:szCs w:val="24"/>
                <w:lang w:val="zh-CN" w:eastAsia="zh-CN" w:bidi="ar-SA"/>
              </w:rPr>
              <w:t>cm/s)，或其他防渗性能等效的材料。</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fldChar w:fldCharType="begin"/>
            </w:r>
            <w:r>
              <w:rPr>
                <w:rFonts w:hint="default" w:ascii="Times New Roman" w:hAnsi="Times New Roman" w:eastAsia="宋体" w:cs="Times New Roman"/>
                <w:b/>
                <w:color w:val="auto"/>
                <w:sz w:val="24"/>
                <w:szCs w:val="24"/>
              </w:rPr>
              <w:instrText xml:space="preserve"> = 2 \* GB2 </w:instrText>
            </w:r>
            <w:r>
              <w:rPr>
                <w:rFonts w:hint="default" w:ascii="Times New Roman" w:hAnsi="Times New Roman" w:eastAsia="宋体" w:cs="Times New Roman"/>
                <w:b/>
                <w:color w:val="auto"/>
                <w:sz w:val="24"/>
                <w:szCs w:val="24"/>
              </w:rPr>
              <w:fldChar w:fldCharType="separate"/>
            </w:r>
            <w:r>
              <w:rPr>
                <w:rFonts w:hint="default" w:ascii="Times New Roman" w:hAnsi="Times New Roman" w:eastAsia="宋体" w:cs="Times New Roman"/>
                <w:b/>
                <w:color w:val="auto"/>
                <w:sz w:val="24"/>
                <w:szCs w:val="24"/>
              </w:rPr>
              <w:t>⑵</w:t>
            </w:r>
            <w:r>
              <w:rPr>
                <w:rFonts w:hint="default" w:ascii="Times New Roman" w:hAnsi="Times New Roman" w:eastAsia="宋体" w:cs="Times New Roman"/>
                <w:b/>
                <w:color w:val="auto"/>
                <w:sz w:val="24"/>
                <w:szCs w:val="24"/>
              </w:rPr>
              <w:fldChar w:fldCharType="end"/>
            </w:r>
            <w:r>
              <w:rPr>
                <w:rFonts w:hint="default" w:ascii="Times New Roman" w:hAnsi="Times New Roman" w:eastAsia="宋体" w:cs="Times New Roman"/>
                <w:b/>
                <w:color w:val="auto"/>
                <w:sz w:val="24"/>
                <w:szCs w:val="24"/>
              </w:rPr>
              <w:t>一般防渗区</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根据分区防渗规范要求，项目生产车间划定为一般防渗区，根据调查，项目一般防渗区措施在地面采取粘土铺底，并在上层铺30cm的混凝土进行硬化。确保防渗性能，使其渗透系数≤1.0×10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fldChar w:fldCharType="begin"/>
            </w:r>
            <w:r>
              <w:rPr>
                <w:rFonts w:hint="default" w:ascii="Times New Roman" w:hAnsi="Times New Roman" w:eastAsia="宋体" w:cs="Times New Roman"/>
                <w:b/>
                <w:color w:val="auto"/>
                <w:sz w:val="24"/>
                <w:szCs w:val="24"/>
              </w:rPr>
              <w:instrText xml:space="preserve"> = 3 \* GB2 </w:instrText>
            </w:r>
            <w:r>
              <w:rPr>
                <w:rFonts w:hint="default" w:ascii="Times New Roman" w:hAnsi="Times New Roman" w:eastAsia="宋体" w:cs="Times New Roman"/>
                <w:b/>
                <w:color w:val="auto"/>
                <w:sz w:val="24"/>
                <w:szCs w:val="24"/>
              </w:rPr>
              <w:fldChar w:fldCharType="separate"/>
            </w:r>
            <w:r>
              <w:rPr>
                <w:rFonts w:hint="default" w:ascii="Times New Roman" w:hAnsi="Times New Roman" w:eastAsia="宋体" w:cs="Times New Roman"/>
                <w:b/>
                <w:color w:val="auto"/>
                <w:sz w:val="24"/>
                <w:szCs w:val="24"/>
              </w:rPr>
              <w:t>⑶</w:t>
            </w:r>
            <w:r>
              <w:rPr>
                <w:rFonts w:hint="default" w:ascii="Times New Roman" w:hAnsi="Times New Roman" w:eastAsia="宋体" w:cs="Times New Roman"/>
                <w:b/>
                <w:color w:val="auto"/>
                <w:sz w:val="24"/>
                <w:szCs w:val="24"/>
              </w:rPr>
              <w:fldChar w:fldCharType="end"/>
            </w:r>
            <w:r>
              <w:rPr>
                <w:rFonts w:hint="default" w:ascii="Times New Roman" w:hAnsi="Times New Roman" w:eastAsia="宋体" w:cs="Times New Roman"/>
                <w:b/>
                <w:color w:val="auto"/>
                <w:sz w:val="24"/>
                <w:szCs w:val="24"/>
              </w:rPr>
              <w:t>简单防渗区</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根据项目特点，对于基本上不产生污染物的简单防渗区，不采取专门针对地下水污染的防治措施。</w:t>
            </w:r>
          </w:p>
          <w:p>
            <w:pPr>
              <w:pStyle w:val="53"/>
              <w:ind w:firstLine="361" w:firstLineChars="150"/>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（3）环境影响跟踪监测计划</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①地下水环境影响跟踪监测计划</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由于项目地下水影响较小，因此本项目不设置地下水环境影响跟踪监测计划。</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②土壤环境影响跟踪监测计划</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由于项目50m范围内无土壤环境敏感目标，因此本项目不设置土壤环境影响跟踪监测计划。</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4.2.6 生态环境影响和保护措施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本项目位于云南省昆明市东川区铜都街道办事处碧谷小新村，属于工业</w:t>
            </w:r>
            <w:r>
              <w:rPr>
                <w:rFonts w:hint="default" w:ascii="Times New Roman" w:hAnsi="Times New Roman" w:eastAsia="宋体" w:cs="Times New Roman"/>
                <w:color w:val="auto"/>
                <w:sz w:val="24"/>
                <w:szCs w:val="24"/>
                <w:lang w:eastAsia="zh-CN"/>
              </w:rPr>
              <w:t>用地</w:t>
            </w:r>
            <w:r>
              <w:rPr>
                <w:rFonts w:hint="default" w:ascii="Times New Roman" w:hAnsi="Times New Roman" w:eastAsia="宋体" w:cs="Times New Roman"/>
                <w:color w:val="auto"/>
                <w:sz w:val="24"/>
                <w:szCs w:val="24"/>
              </w:rPr>
              <w:t>，且</w:t>
            </w:r>
            <w:r>
              <w:rPr>
                <w:rFonts w:hint="default" w:ascii="Times New Roman" w:hAnsi="Times New Roman" w:eastAsia="宋体" w:cs="Times New Roman"/>
                <w:color w:val="auto"/>
                <w:sz w:val="24"/>
                <w:szCs w:val="24"/>
                <w:lang w:eastAsia="zh-CN"/>
              </w:rPr>
              <w:t>本项目的建设</w:t>
            </w:r>
            <w:r>
              <w:rPr>
                <w:rFonts w:hint="default" w:ascii="Times New Roman" w:hAnsi="Times New Roman" w:eastAsia="宋体" w:cs="Times New Roman"/>
                <w:color w:val="auto"/>
                <w:sz w:val="24"/>
                <w:szCs w:val="24"/>
              </w:rPr>
              <w:t>不新增用地，生态环境影响较小。</w:t>
            </w:r>
          </w:p>
          <w:p>
            <w:pPr>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4.2.7 环境风险影响和防治措施</w:t>
            </w:r>
          </w:p>
          <w:p>
            <w:pPr>
              <w:pStyle w:val="53"/>
              <w:ind w:firstLine="482"/>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val="en-US" w:eastAsia="zh-CN"/>
              </w:rPr>
              <w:t>（1）</w:t>
            </w:r>
            <w:r>
              <w:rPr>
                <w:rFonts w:hint="default" w:ascii="Times New Roman" w:hAnsi="Times New Roman" w:cs="Times New Roman"/>
                <w:b/>
                <w:bCs/>
                <w:color w:val="auto"/>
                <w:lang w:eastAsia="zh-CN"/>
              </w:rPr>
              <w:t>风险物质分布情况</w:t>
            </w:r>
          </w:p>
          <w:p>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w:t>
            </w:r>
            <w:r>
              <w:rPr>
                <w:rFonts w:hint="default" w:ascii="Times New Roman" w:hAnsi="Times New Roman" w:eastAsia="宋体" w:cs="Times New Roman"/>
                <w:color w:val="auto"/>
                <w:sz w:val="24"/>
                <w:szCs w:val="24"/>
                <w:lang w:eastAsia="zh-CN"/>
              </w:rPr>
              <w:t>物质</w:t>
            </w:r>
            <w:r>
              <w:rPr>
                <w:rFonts w:hint="default" w:ascii="Times New Roman" w:hAnsi="Times New Roman" w:eastAsia="宋体" w:cs="Times New Roman"/>
                <w:color w:val="auto"/>
                <w:sz w:val="24"/>
                <w:szCs w:val="24"/>
              </w:rPr>
              <w:t>种类包括</w:t>
            </w:r>
            <w:r>
              <w:rPr>
                <w:rFonts w:hint="default" w:ascii="Times New Roman" w:hAnsi="Times New Roman" w:eastAsia="宋体" w:cs="Times New Roman"/>
                <w:color w:val="auto"/>
                <w:sz w:val="24"/>
                <w:szCs w:val="24"/>
                <w:lang w:eastAsia="zh-CN"/>
              </w:rPr>
              <w:t>环氧乙烷、硝酸、硫酸、盐酸、次氯酸钠以及项目生产过程产生的危险废物，其分布情况及存在量如</w:t>
            </w:r>
            <w:r>
              <w:rPr>
                <w:rFonts w:hint="default" w:ascii="Times New Roman" w:hAnsi="Times New Roman" w:eastAsia="宋体" w:cs="Times New Roman"/>
                <w:color w:val="auto"/>
                <w:sz w:val="24"/>
                <w:szCs w:val="24"/>
              </w:rPr>
              <w:t>下表所示</w:t>
            </w:r>
            <w:r>
              <w:rPr>
                <w:rFonts w:hint="default" w:ascii="Times New Roman" w:hAnsi="Times New Roman" w:cs="Times New Roman"/>
                <w:color w:val="auto"/>
                <w:sz w:val="24"/>
                <w:szCs w:val="24"/>
                <w:lang w:eastAsia="zh-CN"/>
              </w:rPr>
              <w:t>。</w:t>
            </w:r>
          </w:p>
          <w:p>
            <w:pPr>
              <w:pStyle w:val="47"/>
              <w:spacing w:beforeLine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表4.2.7-1  项目涉及的危险物质基本情况一览表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608"/>
              <w:gridCol w:w="1213"/>
              <w:gridCol w:w="106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危险品名称</w:t>
                  </w:r>
                </w:p>
              </w:tc>
              <w:tc>
                <w:tcPr>
                  <w:tcW w:w="360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贮存设施及方式</w:t>
                  </w:r>
                </w:p>
              </w:tc>
              <w:tc>
                <w:tcPr>
                  <w:tcW w:w="12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q</w:t>
                  </w:r>
                  <w:r>
                    <w:rPr>
                      <w:rFonts w:hint="default" w:ascii="Times New Roman" w:hAnsi="Times New Roman" w:cs="Times New Roman"/>
                      <w:color w:val="auto"/>
                      <w:szCs w:val="21"/>
                    </w:rPr>
                    <w:t>最大储存量（t）</w:t>
                  </w:r>
                </w:p>
              </w:tc>
              <w:tc>
                <w:tcPr>
                  <w:tcW w:w="106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Q</w:t>
                  </w:r>
                  <w:r>
                    <w:rPr>
                      <w:rFonts w:hint="default" w:ascii="Times New Roman" w:hAnsi="Times New Roman" w:cs="Times New Roman"/>
                      <w:color w:val="auto"/>
                      <w:szCs w:val="21"/>
                    </w:rPr>
                    <w:t>临界量（t）</w:t>
                  </w:r>
                </w:p>
              </w:tc>
              <w:tc>
                <w:tcPr>
                  <w:tcW w:w="122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环氧乙烷</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储存于环氧乙烷室干燥阴凉处。</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rPr>
                    <w:t>0.42</w:t>
                  </w:r>
                  <w:r>
                    <w:rPr>
                      <w:rFonts w:hint="default" w:ascii="Times New Roman" w:hAnsi="Times New Roman" w:cs="Times New Roman"/>
                      <w:color w:val="auto"/>
                      <w:szCs w:val="21"/>
                    </w:rPr>
                    <w:t>t/a</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rPr>
                    <w:t>7.5</w:t>
                  </w:r>
                  <w:r>
                    <w:rPr>
                      <w:rFonts w:hint="default" w:ascii="Times New Roman" w:hAnsi="Times New Roman" w:cs="Times New Roman"/>
                      <w:color w:val="auto"/>
                      <w:szCs w:val="21"/>
                    </w:rPr>
                    <w:t>t/a</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bCs/>
                      <w:snapToGrid w:val="0"/>
                      <w:color w:val="auto"/>
                      <w:kern w:val="32"/>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硝酸</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kern w:val="0"/>
                      <w:szCs w:val="21"/>
                      <w:lang w:val="en-US"/>
                    </w:rPr>
                    <w:t>500ml（密度1.51g/L，0.00076kg）采用棕色玻璃瓶包装贮存于化验室。</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500ml/a</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7.5</w:t>
                  </w:r>
                  <w:r>
                    <w:rPr>
                      <w:rFonts w:hint="default" w:ascii="Times New Roman" w:hAnsi="Times New Roman" w:cs="Times New Roman"/>
                      <w:color w:val="auto"/>
                      <w:szCs w:val="21"/>
                    </w:rPr>
                    <w:t>t/a</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0.0000001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rPr>
                  </w:pPr>
                  <w:r>
                    <w:rPr>
                      <w:rFonts w:hint="default" w:ascii="Times New Roman" w:hAnsi="Times New Roman" w:cs="Times New Roman"/>
                      <w:color w:val="auto"/>
                      <w:szCs w:val="21"/>
                    </w:rPr>
                    <w:t>硫酸</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kern w:val="0"/>
                      <w:szCs w:val="21"/>
                      <w:lang w:val="en-US"/>
                    </w:rPr>
                    <w:t>500ml（密度 1.84g/L，0.00092kg）采用玻璃瓶包装贮存于化验室。</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rPr>
                    <w:t>500ml/a</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10</w:t>
                  </w:r>
                  <w:r>
                    <w:rPr>
                      <w:rFonts w:hint="default" w:ascii="Times New Roman" w:hAnsi="Times New Roman" w:cs="Times New Roman"/>
                      <w:color w:val="auto"/>
                      <w:szCs w:val="21"/>
                    </w:rPr>
                    <w:t>t/a</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0.00000092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rPr>
                  </w:pPr>
                  <w:r>
                    <w:rPr>
                      <w:rFonts w:hint="default" w:ascii="Times New Roman" w:hAnsi="Times New Roman" w:cs="Times New Roman"/>
                      <w:color w:val="auto"/>
                      <w:szCs w:val="21"/>
                    </w:rPr>
                    <w:t>盐酸</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kern w:val="0"/>
                      <w:szCs w:val="21"/>
                      <w:lang w:val="en-US"/>
                    </w:rPr>
                    <w:t>500ml（密度 1.18g/L，0.00059kg）采用玻璃瓶包装贮存于化验室。</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rPr>
                    <w:t>500ml/a</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7.5</w:t>
                  </w:r>
                  <w:r>
                    <w:rPr>
                      <w:rFonts w:hint="default" w:ascii="Times New Roman" w:hAnsi="Times New Roman" w:cs="Times New Roman"/>
                      <w:color w:val="auto"/>
                      <w:szCs w:val="21"/>
                    </w:rPr>
                    <w:t>t/a</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0.00000079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rPr>
                  </w:pPr>
                  <w:r>
                    <w:rPr>
                      <w:rFonts w:hint="default" w:ascii="Times New Roman" w:hAnsi="Times New Roman" w:cs="Times New Roman"/>
                      <w:color w:val="auto"/>
                      <w:szCs w:val="21"/>
                    </w:rPr>
                    <w:t>次氯酸钠</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采用袋装贮存于办公区内，保持干燥</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ind w:left="11"/>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0.05t</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5</w:t>
                  </w:r>
                  <w:r>
                    <w:rPr>
                      <w:rFonts w:hint="default" w:ascii="Times New Roman" w:hAnsi="Times New Roman" w:cs="Times New Roman"/>
                      <w:color w:val="auto"/>
                      <w:szCs w:val="21"/>
                    </w:rPr>
                    <w:t>t/a</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实验废液</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桶装暂存于危废暂存间</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ind w:left="11"/>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0.13</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环氧乙烷吸收废液</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桶装暂存于危废暂存间</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ind w:left="11"/>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4.19</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0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废活性炭</w:t>
                  </w:r>
                </w:p>
              </w:tc>
              <w:tc>
                <w:tcPr>
                  <w:tcW w:w="3608"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袋装暂存于危废暂存间</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ind w:left="11"/>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0.105</w:t>
                  </w:r>
                </w:p>
              </w:tc>
              <w:tc>
                <w:tcPr>
                  <w:tcW w:w="106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2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588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qn/Qn</w:t>
                  </w:r>
                </w:p>
              </w:tc>
              <w:tc>
                <w:tcPr>
                  <w:tcW w:w="122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5"/>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rPr>
                    <w:t>0.06600181</w:t>
                  </w:r>
                </w:p>
              </w:tc>
            </w:tr>
          </w:tbl>
          <w:p>
            <w:pPr>
              <w:pStyle w:val="5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项目所涉及的风险物质危险特性如表</w:t>
            </w:r>
            <w:r>
              <w:rPr>
                <w:rFonts w:hint="default" w:ascii="Times New Roman" w:hAnsi="Times New Roman" w:cs="Times New Roman"/>
                <w:color w:val="auto"/>
                <w:sz w:val="24"/>
                <w:szCs w:val="24"/>
                <w:lang w:val="en-US" w:eastAsia="zh-CN"/>
              </w:rPr>
              <w:t>4.2.7-2~表4.2.7-4</w:t>
            </w:r>
            <w:r>
              <w:rPr>
                <w:rFonts w:hint="default" w:ascii="Times New Roman" w:hAnsi="Times New Roman" w:cs="Times New Roman"/>
                <w:color w:val="auto"/>
                <w:sz w:val="24"/>
                <w:szCs w:val="24"/>
                <w:lang w:eastAsia="zh-CN"/>
              </w:rPr>
              <w:t>所示。</w:t>
            </w:r>
          </w:p>
          <w:p>
            <w:pPr>
              <w:keepNext w:val="0"/>
              <w:keepLines w:val="0"/>
              <w:widowControl/>
              <w:suppressLineNumbers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表</w:t>
            </w:r>
            <w:r>
              <w:rPr>
                <w:rFonts w:hint="default" w:ascii="Times New Roman" w:hAnsi="Times New Roman" w:eastAsia="宋体" w:cs="Times New Roman"/>
                <w:b/>
                <w:bCs/>
                <w:color w:val="auto"/>
                <w:sz w:val="21"/>
                <w:szCs w:val="21"/>
                <w:lang w:val="en-US" w:eastAsia="zh-CN"/>
              </w:rPr>
              <w:t xml:space="preserve">4.2.7-2  </w:t>
            </w:r>
            <w:r>
              <w:rPr>
                <w:rFonts w:hint="default" w:ascii="Times New Roman" w:hAnsi="Times New Roman" w:eastAsia="宋体" w:cs="Times New Roman"/>
                <w:b/>
                <w:bCs/>
                <w:color w:val="auto"/>
                <w:kern w:val="0"/>
                <w:sz w:val="21"/>
                <w:szCs w:val="21"/>
                <w:lang w:val="en-US" w:eastAsia="zh-CN" w:bidi="ar"/>
              </w:rPr>
              <w:t>环氧乙烷的理化性质及危险特性</w:t>
            </w:r>
          </w:p>
          <w:tbl>
            <w:tblPr>
              <w:tblStyle w:val="26"/>
              <w:tblW w:w="493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17"/>
              <w:gridCol w:w="1325"/>
              <w:gridCol w:w="1299"/>
              <w:gridCol w:w="197"/>
              <w:gridCol w:w="1370"/>
              <w:gridCol w:w="160"/>
              <w:gridCol w:w="2901"/>
              <w:gridCol w:w="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662" w:hRule="atLeast"/>
                <w:jc w:val="center"/>
              </w:trPr>
              <w:tc>
                <w:tcPr>
                  <w:tcW w:w="111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环氧乙烷</w:t>
                  </w: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文别名：</w:t>
                  </w:r>
                </w:p>
              </w:tc>
              <w:tc>
                <w:tcPr>
                  <w:tcW w:w="149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环氧乙烷、氧化乙烯</w:t>
                  </w:r>
                </w:p>
              </w:tc>
              <w:tc>
                <w:tcPr>
                  <w:tcW w:w="153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英文名称：</w:t>
                  </w:r>
                </w:p>
              </w:tc>
              <w:tc>
                <w:tcPr>
                  <w:tcW w:w="29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color w:val="auto"/>
                      <w:kern w:val="0"/>
                      <w:sz w:val="20"/>
                      <w:szCs w:val="20"/>
                      <w:lang w:val="en-US" w:eastAsia="zh-CN" w:bidi="ar"/>
                    </w:rPr>
                    <w:t>Epoxyethane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336"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CAS号：</w:t>
                  </w:r>
                </w:p>
              </w:tc>
              <w:tc>
                <w:tcPr>
                  <w:tcW w:w="149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75-21-8</w:t>
                  </w:r>
                </w:p>
              </w:tc>
              <w:tc>
                <w:tcPr>
                  <w:tcW w:w="1530"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UN号：</w:t>
                  </w:r>
                </w:p>
              </w:tc>
              <w:tc>
                <w:tcPr>
                  <w:tcW w:w="290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1040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1705"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kern w:val="0"/>
                      <w:sz w:val="21"/>
                      <w:szCs w:val="21"/>
                      <w:lang w:val="en-US" w:eastAsia="zh-CN" w:bidi="ar"/>
                    </w:rPr>
                    <w:t>健康危害</w:t>
                  </w:r>
                </w:p>
              </w:tc>
              <w:tc>
                <w:tcPr>
                  <w:tcW w:w="5927"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 w:val="0"/>
                      <w:bCs w:val="0"/>
                      <w:color w:val="auto"/>
                      <w:kern w:val="0"/>
                      <w:sz w:val="21"/>
                      <w:szCs w:val="21"/>
                      <w:lang w:val="en-US" w:eastAsia="zh-CN" w:bidi="ar"/>
                    </w:rPr>
                    <w:t>兼有中枢神经抑制作用、皮肤、粘膜刺激和原浆毒作用。急性中毒：有剧烈的搏动性头痛、头晕、恶心和呕吐；较重者全身肌肉颤动、出汗、神志不清，以至昏迷。化验可见淋巴细胞增多，肝脏解毒功能障碍等。皮肤接触迅速发生红肿，数小时起泡，反复接触可致敏。慢性影响：长期少量接</w:t>
                  </w:r>
                  <w:r>
                    <w:rPr>
                      <w:rFonts w:hint="default" w:ascii="Times New Roman" w:hAnsi="Times New Roman" w:eastAsia="宋体" w:cs="Times New Roman"/>
                      <w:color w:val="auto"/>
                      <w:kern w:val="0"/>
                      <w:sz w:val="21"/>
                      <w:szCs w:val="21"/>
                      <w:lang w:val="en-US" w:eastAsia="zh-CN" w:bidi="ar"/>
                    </w:rPr>
                    <w:t>触可见有神经衰弱症候群和植物神经功能紊乱。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336"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GHS警示词：</w:t>
                  </w:r>
                </w:p>
              </w:tc>
              <w:tc>
                <w:tcPr>
                  <w:tcW w:w="592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575"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危险性说明：</w:t>
                  </w:r>
                </w:p>
              </w:tc>
              <w:tc>
                <w:tcPr>
                  <w:tcW w:w="592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环氧乙烷是一种有毒的致癌物质，环氧乙烷易燃易爆，不宜长途运输。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575"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理化特性：</w:t>
                  </w:r>
                </w:p>
              </w:tc>
              <w:tc>
                <w:tcPr>
                  <w:tcW w:w="5927"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kern w:val="0"/>
                      <w:sz w:val="21"/>
                      <w:szCs w:val="21"/>
                      <w:lang w:val="en-US" w:eastAsia="zh-CN" w:bidi="ar"/>
                    </w:rPr>
                    <w:t>无色气体。在11℃以下为液体，无色，有醚的甜味，作为压缩液化气体运输。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1140"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燃烧与爆炸危险性</w:t>
                  </w:r>
                </w:p>
              </w:tc>
              <w:tc>
                <w:tcPr>
                  <w:tcW w:w="5927"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kern w:val="0"/>
                      <w:sz w:val="21"/>
                      <w:szCs w:val="21"/>
                      <w:lang w:val="en-US" w:eastAsia="zh-CN" w:bidi="ar"/>
                    </w:rPr>
                    <w:t>与空气混合能形成爆炸性混合物，遇明火、高热能引起燃烧爆炸。其蒸气比空气重，能在较低处扩散到相当远的地方，遇火源引着回燃。若遇高热可发生剧烈分解，引起容器破裂或爆炸事故。液态氩可致皮肤冻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336"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溶解性：</w:t>
                  </w:r>
                </w:p>
              </w:tc>
              <w:tc>
                <w:tcPr>
                  <w:tcW w:w="5927"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kern w:val="0"/>
                      <w:sz w:val="21"/>
                      <w:szCs w:val="21"/>
                      <w:lang w:val="en-US" w:eastAsia="zh-CN" w:bidi="ar"/>
                    </w:rPr>
                    <w:t>溶于水、乙醇、乙醚、苯、丙酮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336"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禁忌物：</w:t>
                  </w:r>
                </w:p>
              </w:tc>
              <w:tc>
                <w:tcPr>
                  <w:tcW w:w="592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酸、碱、醇类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19" w:type="dxa"/>
                <w:trHeight w:val="350" w:hRule="atLeast"/>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毒性：</w:t>
                  </w:r>
                </w:p>
              </w:tc>
              <w:tc>
                <w:tcPr>
                  <w:tcW w:w="5927"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color w:val="auto"/>
                      <w:kern w:val="0"/>
                      <w:sz w:val="21"/>
                      <w:szCs w:val="21"/>
                      <w:lang w:val="en-US" w:eastAsia="zh-CN" w:bidi="ar"/>
                    </w:rPr>
                    <w:t>LD50：LD50：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次氯酸钠</w:t>
                  </w: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文别名：</w:t>
                  </w:r>
                </w:p>
              </w:tc>
              <w:tc>
                <w:tcPr>
                  <w:tcW w:w="129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次氯酸钠</w:t>
                  </w:r>
                </w:p>
              </w:tc>
              <w:tc>
                <w:tcPr>
                  <w:tcW w:w="156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英文名称：</w:t>
                  </w:r>
                </w:p>
              </w:tc>
              <w:tc>
                <w:tcPr>
                  <w:tcW w:w="3180"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CAS号：</w:t>
                  </w:r>
                </w:p>
              </w:tc>
              <w:tc>
                <w:tcPr>
                  <w:tcW w:w="129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7681-52-9</w:t>
                  </w:r>
                </w:p>
              </w:tc>
              <w:tc>
                <w:tcPr>
                  <w:tcW w:w="1567"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UN号：</w:t>
                  </w:r>
                </w:p>
              </w:tc>
              <w:tc>
                <w:tcPr>
                  <w:tcW w:w="3180"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危险性类别：</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GHS警示词：</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危险性说明：</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理化特性：</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燃烧与爆炸危险性</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活性反应：</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禁忌物：</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p>
              </w:tc>
              <w:tc>
                <w:tcPr>
                  <w:tcW w:w="13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毒性：</w:t>
                  </w:r>
                </w:p>
              </w:tc>
              <w:tc>
                <w:tcPr>
                  <w:tcW w:w="6046" w:type="dxa"/>
                  <w:gridSpan w:val="6"/>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LD50：8500mg/kg（大鼠腹腔）</w:t>
                  </w:r>
                </w:p>
              </w:tc>
            </w:tr>
          </w:tbl>
          <w:p>
            <w:pPr>
              <w:spacing w:line="360" w:lineRule="auto"/>
              <w:ind w:firstLine="422" w:firstLineChars="20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表</w:t>
            </w:r>
            <w:r>
              <w:rPr>
                <w:rFonts w:hint="default" w:ascii="Times New Roman" w:hAnsi="Times New Roman" w:eastAsia="宋体" w:cs="Times New Roman"/>
                <w:b/>
                <w:bCs/>
                <w:color w:val="auto"/>
                <w:sz w:val="21"/>
                <w:szCs w:val="21"/>
                <w:lang w:val="en-US" w:eastAsia="zh-CN"/>
              </w:rPr>
              <w:t>4.2.7-3 化学试剂危险性一览表</w:t>
            </w:r>
          </w:p>
          <w:tbl>
            <w:tblPr>
              <w:tblStyle w:val="26"/>
              <w:tblW w:w="838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7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名称</w:t>
                  </w:r>
                </w:p>
              </w:tc>
              <w:tc>
                <w:tcPr>
                  <w:tcW w:w="5700"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危险性</w:t>
                  </w:r>
                </w:p>
              </w:tc>
              <w:tc>
                <w:tcPr>
                  <w:tcW w:w="1770"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lang w:eastAsia="zh-CN"/>
                    </w:rPr>
                    <w:t>硝酸</w:t>
                  </w:r>
                </w:p>
              </w:tc>
              <w:tc>
                <w:tcPr>
                  <w:tcW w:w="5700" w:type="dxa"/>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其蒸气有刺激作用，引起眼和上呼吸道刺激症状，如流泪、咽喉刺激感、呛咳，并伴有头痛、头晕、胸闷等。口服引起腹部剧痛，严重者可有胃穿孔、腹膜炎、肾损害、休克以及窒息。皮肤接触引起灼伤。</w:t>
                  </w:r>
                </w:p>
              </w:tc>
              <w:tc>
                <w:tcPr>
                  <w:tcW w:w="17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强酸、腐蚀性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硫酸</w:t>
                  </w:r>
                </w:p>
              </w:tc>
              <w:tc>
                <w:tcPr>
                  <w:tcW w:w="5700"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硫酸是一种最活泼的二元无机强酸，能和绝大多数金属发生反应。高浓度的硫酸有强烈吸水性。与水混合时，亦会放出大量热能。</w:t>
                  </w:r>
                </w:p>
              </w:tc>
              <w:tc>
                <w:tcPr>
                  <w:tcW w:w="17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强酸、腐蚀性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盐酸</w:t>
                  </w:r>
                </w:p>
              </w:tc>
              <w:tc>
                <w:tcPr>
                  <w:tcW w:w="5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俗称氢氯酸，为一元强酸，具有刺激性气味。</w:t>
                  </w:r>
                </w:p>
              </w:tc>
              <w:tc>
                <w:tcPr>
                  <w:tcW w:w="17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强酸、腐蚀性</w:t>
                  </w:r>
                </w:p>
              </w:tc>
            </w:tr>
          </w:tbl>
          <w:p>
            <w:pPr>
              <w:pStyle w:val="53"/>
              <w:ind w:firstLine="482"/>
              <w:jc w:val="center"/>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4.2.7-4 危险废物主要成分及危险特性一览表</w:t>
            </w:r>
          </w:p>
          <w:tbl>
            <w:tblPr>
              <w:tblStyle w:val="2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8"/>
              <w:gridCol w:w="8"/>
              <w:gridCol w:w="1348"/>
              <w:gridCol w:w="59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restart"/>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highlight w:val="none"/>
                      <w:lang w:val="en-US" w:eastAsia="zh-CN" w:bidi="ar"/>
                    </w:rPr>
                    <w:t>实验废液、实验器皿初次清洗高浓度废水</w:t>
                  </w:r>
                </w:p>
              </w:tc>
              <w:tc>
                <w:tcPr>
                  <w:tcW w:w="1364" w:type="dxa"/>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废物类别</w:t>
                  </w:r>
                </w:p>
              </w:tc>
              <w:tc>
                <w:tcPr>
                  <w:tcW w:w="6012" w:type="dxa"/>
                  <w:vAlign w:val="center"/>
                </w:tcPr>
                <w:p>
                  <w:pPr>
                    <w:pStyle w:val="45"/>
                    <w:spacing w:line="360" w:lineRule="exact"/>
                    <w:ind w:left="11"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HW</w:t>
                  </w:r>
                  <w:r>
                    <w:rPr>
                      <w:rFonts w:hint="default" w:ascii="Times New Roman" w:hAnsi="Times New Roman" w:eastAsia="宋体" w:cs="Times New Roman"/>
                      <w:color w:val="auto"/>
                      <w:sz w:val="21"/>
                      <w:szCs w:val="21"/>
                      <w:highlight w:val="none"/>
                      <w:lang w:val="en-US" w:eastAsia="zh-CN"/>
                    </w:rPr>
                    <w:t>49</w:t>
                  </w:r>
                  <w:r>
                    <w:rPr>
                      <w:rFonts w:hint="default" w:ascii="Times New Roman" w:hAnsi="Times New Roman" w:eastAsia="宋体" w:cs="Times New Roman"/>
                      <w:color w:val="auto"/>
                      <w:sz w:val="21"/>
                      <w:szCs w:val="21"/>
                      <w:highlight w:val="none"/>
                      <w:lang w:eastAsia="zh-CN"/>
                    </w:rPr>
                    <w:t>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废物代码</w:t>
                  </w:r>
                </w:p>
              </w:tc>
              <w:tc>
                <w:tcPr>
                  <w:tcW w:w="6012" w:type="dxa"/>
                  <w:vAlign w:val="center"/>
                </w:tcPr>
                <w:p>
                  <w:pPr>
                    <w:pStyle w:val="45"/>
                    <w:spacing w:line="360" w:lineRule="exact"/>
                    <w:ind w:left="11"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highlight w:val="none"/>
                      <w:lang w:val="en-US" w:eastAsia="zh-CN" w:bidi="ar"/>
                    </w:rPr>
                    <w:t>900-047-49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危险特征</w:t>
                  </w:r>
                </w:p>
              </w:tc>
              <w:tc>
                <w:tcPr>
                  <w:tcW w:w="6012" w:type="dxa"/>
                  <w:vAlign w:val="center"/>
                </w:tcPr>
                <w:p>
                  <w:pPr>
                    <w:pStyle w:val="45"/>
                    <w:spacing w:line="360" w:lineRule="exact"/>
                    <w:ind w:left="11"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highlight w:val="none"/>
                    </w:rPr>
                    <w:t>T</w:t>
                  </w:r>
                  <w:r>
                    <w:rPr>
                      <w:rFonts w:hint="default" w:ascii="Times New Roman" w:hAnsi="Times New Roman" w:eastAsia="宋体" w:cs="Times New Roman"/>
                      <w:color w:val="auto"/>
                      <w:kern w:val="0"/>
                      <w:sz w:val="21"/>
                      <w:szCs w:val="21"/>
                      <w:highlight w:val="none"/>
                      <w:lang w:val="en-US" w:eastAsia="zh-CN"/>
                    </w:rPr>
                    <w:t>/C/I/R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w:t>
                  </w:r>
                </w:p>
              </w:tc>
              <w:tc>
                <w:tcPr>
                  <w:tcW w:w="6012" w:type="dxa"/>
                  <w:vAlign w:val="center"/>
                </w:tcPr>
                <w:p>
                  <w:pPr>
                    <w:pStyle w:val="45"/>
                    <w:spacing w:line="360" w:lineRule="exact"/>
                    <w:ind w:left="11"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实验室废液中含有一些危险物质，如有毒有害、腐蚀性等，会对人体产生刺激和危害，重者可能致癌或伤及器官。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restart"/>
                  <w:vAlign w:val="center"/>
                </w:tcPr>
                <w:p>
                  <w:pPr>
                    <w:pStyle w:val="45"/>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highlight w:val="none"/>
                      <w:lang w:val="en-US" w:eastAsia="zh-CN" w:bidi="ar"/>
                    </w:rPr>
                    <w:t>环氧乙烷吸收废液</w:t>
                  </w:r>
                </w:p>
              </w:tc>
              <w:tc>
                <w:tcPr>
                  <w:tcW w:w="1372" w:type="dxa"/>
                  <w:gridSpan w:val="2"/>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废物类别</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1"/>
                      <w:szCs w:val="21"/>
                      <w:highlight w:val="none"/>
                      <w:lang w:val="en-US" w:eastAsia="zh-CN" w:bidi="ar-SA"/>
                    </w:rPr>
                    <w:t>HW06废有机溶剂与含有机溶剂废物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72" w:type="dxa"/>
                  <w:gridSpan w:val="2"/>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废物代码</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900-404-06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72" w:type="dxa"/>
                  <w:gridSpan w:val="2"/>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危险特征</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highlight w:val="none"/>
                    </w:rPr>
                    <w:t>T</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l，R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72" w:type="dxa"/>
                  <w:gridSpan w:val="2"/>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有机溶剂由于大多具有毒性、易燃性、腐蚀性、易挥发性或反应性等特性，对环境和人体健康具有极大的危害性。废有机溶剂对人体较大危害，该物质随着大气进入人体后，将会引起人类的毒性神经衰弱和植物神经性功能紊乱，最终导致人类出现头晕目眩、记忆力消退、浑身无力等。以苯为主的有机溶剂，通过逐渐减少人体内的白细胞和血小板，最终逐渐减少人类的全血细胞，引发人类病发白血病；以氯代烃类为主的有机溶剂，主要为引发人类病发中毒性肝炎，产生大量的蛋白尿，使患者出现肝区痛和肝功能异常现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restart"/>
                  <w:vAlign w:val="center"/>
                </w:tcPr>
                <w:p>
                  <w:pPr>
                    <w:pStyle w:val="45"/>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highlight w:val="none"/>
                      <w:lang w:val="en-US" w:eastAsia="zh-CN" w:bidi="ar"/>
                    </w:rPr>
                    <w:t>废活性炭</w:t>
                  </w: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废物类别</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HW49其他废物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废物代码</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900-</w:t>
                  </w:r>
                  <w:r>
                    <w:rPr>
                      <w:rFonts w:hint="eastAsia" w:ascii="Times New Roman" w:hAnsi="Times New Roman" w:eastAsia="宋体" w:cs="Times New Roman"/>
                      <w:color w:val="auto"/>
                      <w:sz w:val="21"/>
                      <w:szCs w:val="21"/>
                      <w:highlight w:val="none"/>
                      <w:lang w:val="en-US" w:eastAsia="zh-CN"/>
                    </w:rPr>
                    <w:t>039</w:t>
                  </w:r>
                  <w:r>
                    <w:rPr>
                      <w:rFonts w:hint="default" w:ascii="Times New Roman" w:hAnsi="Times New Roman" w:eastAsia="宋体" w:cs="Times New Roman"/>
                      <w:color w:val="auto"/>
                      <w:sz w:val="21"/>
                      <w:szCs w:val="21"/>
                      <w:highlight w:val="none"/>
                      <w:lang w:val="en-US" w:eastAsia="zh-CN"/>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危险特征</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w:t>
                  </w:r>
                  <w:r>
                    <w:rPr>
                      <w:rFonts w:hint="default" w:ascii="Times New Roman" w:hAnsi="Times New Roman" w:eastAsia="宋体" w:cs="Times New Roman"/>
                      <w:color w:val="auto"/>
                      <w:sz w:val="21"/>
                      <w:szCs w:val="21"/>
                    </w:rPr>
                    <w:t>活性炭具有易燃、易爆的危险特性。如果长时间吸入活性炭粉尘，可能对呼吸系统造成刺激和损害，严重时甚至会引发肺部疾病。此外，如果误食活性炭，可能会导致肠梗阻、腹痛等问题，甚至危及生命。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45"/>
                    <w:spacing w:line="360" w:lineRule="exact"/>
                    <w:rPr>
                      <w:rFonts w:hint="default" w:ascii="Times New Roman" w:hAnsi="Times New Roman" w:eastAsia="宋体" w:cs="Times New Roman"/>
                      <w:color w:val="auto"/>
                      <w:sz w:val="21"/>
                      <w:szCs w:val="21"/>
                    </w:rPr>
                  </w:pPr>
                </w:p>
              </w:tc>
              <w:tc>
                <w:tcPr>
                  <w:tcW w:w="1364"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w:t>
                  </w:r>
                </w:p>
              </w:tc>
              <w:tc>
                <w:tcPr>
                  <w:tcW w:w="6012" w:type="dxa"/>
                  <w:vAlign w:val="center"/>
                </w:tcPr>
                <w:p>
                  <w:pPr>
                    <w:pStyle w:val="45"/>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T</w:t>
                  </w:r>
                </w:p>
              </w:tc>
            </w:tr>
          </w:tbl>
          <w:p>
            <w:pPr>
              <w:pStyle w:val="53"/>
              <w:ind w:firstLine="361" w:firstLineChars="150"/>
              <w:rPr>
                <w:rFonts w:hint="default" w:ascii="Times New Roman" w:hAnsi="Times New Roman" w:eastAsia="宋体" w:cs="Times New Roman"/>
                <w:b/>
                <w:color w:val="auto"/>
                <w:szCs w:val="24"/>
                <w:lang w:eastAsia="zh-CN"/>
              </w:rPr>
            </w:pPr>
            <w:r>
              <w:rPr>
                <w:rFonts w:hint="default" w:ascii="Times New Roman" w:hAnsi="Times New Roman" w:eastAsia="宋体" w:cs="Times New Roman"/>
                <w:b/>
                <w:color w:val="auto"/>
                <w:szCs w:val="24"/>
                <w:lang w:val="en-US" w:eastAsia="zh-CN"/>
              </w:rPr>
              <w:t>（</w:t>
            </w:r>
            <w:r>
              <w:rPr>
                <w:rFonts w:hint="default" w:ascii="Times New Roman" w:hAnsi="Times New Roman" w:cs="Times New Roman"/>
                <w:b/>
                <w:color w:val="auto"/>
                <w:szCs w:val="24"/>
                <w:lang w:val="en-US" w:eastAsia="zh-CN"/>
              </w:rPr>
              <w:t>2</w:t>
            </w:r>
            <w:r>
              <w:rPr>
                <w:rFonts w:hint="default" w:ascii="Times New Roman" w:hAnsi="Times New Roman" w:eastAsia="宋体" w:cs="Times New Roman"/>
                <w:b/>
                <w:color w:val="auto"/>
                <w:szCs w:val="24"/>
                <w:lang w:val="en-US" w:eastAsia="zh-CN"/>
              </w:rPr>
              <w:t>）</w:t>
            </w:r>
            <w:r>
              <w:rPr>
                <w:rFonts w:hint="default" w:ascii="Times New Roman" w:hAnsi="Times New Roman" w:cs="Times New Roman"/>
                <w:b/>
                <w:color w:val="auto"/>
                <w:szCs w:val="24"/>
                <w:lang w:eastAsia="zh-CN"/>
              </w:rPr>
              <w:t>可能影响途径</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eastAsia="zh-CN"/>
              </w:rPr>
              <w:t>实验室试剂在贮存或使用过程</w:t>
            </w:r>
            <w:r>
              <w:rPr>
                <w:rFonts w:hint="default" w:ascii="Times New Roman" w:hAnsi="Times New Roman" w:cs="Times New Roman"/>
                <w:color w:val="auto"/>
                <w:sz w:val="24"/>
                <w:szCs w:val="24"/>
              </w:rPr>
              <w:t>火灾、爆炸、泄露的环境风险。</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lang w:eastAsia="zh-CN"/>
              </w:rPr>
              <w:t>项目产生的危险废物</w:t>
            </w:r>
            <w:r>
              <w:rPr>
                <w:rFonts w:hint="default" w:ascii="Times New Roman" w:hAnsi="Times New Roman" w:eastAsia="宋体" w:cs="Times New Roman"/>
                <w:color w:val="auto"/>
                <w:sz w:val="24"/>
                <w:szCs w:val="24"/>
                <w:lang w:val="en-US" w:eastAsia="zh-CN"/>
              </w:rPr>
              <w:t>(环氧乙烷吸收废液、实验废液)</w:t>
            </w:r>
            <w:r>
              <w:rPr>
                <w:rFonts w:hint="default" w:ascii="Times New Roman" w:hAnsi="Times New Roman" w:cs="Times New Roman"/>
                <w:color w:val="auto"/>
                <w:sz w:val="24"/>
                <w:szCs w:val="24"/>
              </w:rPr>
              <w:t>等物质引发泄漏漫流或下渗污染土壤、地下水。</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③</w:t>
            </w:r>
            <w:r>
              <w:rPr>
                <w:rFonts w:hint="default" w:ascii="Times New Roman" w:hAnsi="Times New Roman" w:cs="Times New Roman"/>
                <w:color w:val="auto"/>
                <w:sz w:val="24"/>
                <w:szCs w:val="24"/>
              </w:rPr>
              <w:t>操作人员违规操作，如在设备内检维修作业时，未采取可靠隔离、切断电源、通风置换等措施，则可能发生包装纸箱火灾等风险。</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④人员在生产车间吸烟、使用明火等，可能发生火灾的风险。</w:t>
            </w:r>
          </w:p>
          <w:p>
            <w:pPr>
              <w:pStyle w:val="53"/>
              <w:ind w:firstLine="361" w:firstLineChars="150"/>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lang w:val="en-US" w:eastAsia="zh-CN"/>
              </w:rPr>
              <w:t>（</w:t>
            </w:r>
            <w:r>
              <w:rPr>
                <w:rFonts w:hint="default" w:ascii="Times New Roman" w:hAnsi="Times New Roman" w:cs="Times New Roman"/>
                <w:b/>
                <w:color w:val="auto"/>
                <w:szCs w:val="24"/>
                <w:lang w:val="en-US" w:eastAsia="zh-CN"/>
              </w:rPr>
              <w:t>3</w:t>
            </w:r>
            <w:r>
              <w:rPr>
                <w:rFonts w:hint="default" w:ascii="Times New Roman" w:hAnsi="Times New Roman" w:eastAsia="宋体" w:cs="Times New Roman"/>
                <w:b/>
                <w:color w:val="auto"/>
                <w:szCs w:val="24"/>
                <w:lang w:val="en-US" w:eastAsia="zh-CN"/>
              </w:rPr>
              <w:t>）</w:t>
            </w:r>
            <w:r>
              <w:rPr>
                <w:rFonts w:hint="default" w:ascii="Times New Roman" w:hAnsi="Times New Roman" w:cs="Times New Roman"/>
                <w:b/>
                <w:color w:val="auto"/>
                <w:szCs w:val="24"/>
                <w:lang w:val="en-US" w:eastAsia="zh-CN"/>
              </w:rPr>
              <w:t>环境风险防范</w:t>
            </w:r>
            <w:r>
              <w:rPr>
                <w:rFonts w:hint="default" w:ascii="Times New Roman" w:hAnsi="Times New Roman" w:eastAsia="宋体" w:cs="Times New Roman"/>
                <w:b/>
                <w:color w:val="auto"/>
                <w:szCs w:val="24"/>
              </w:rPr>
              <w:t>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根据该项目环境影响途经，提出以下风险防范措施：</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①生产车间严禁烟火。</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②项目区配备相应品种的消防器材；</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③加强车间原辅材料暂存管理，各种材料应分别存放，应有专人管理，加强防火。</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④严格按照安全、消防部门以及安全预评价的要求存储区出入口处设置消防设备。</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5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⑤</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加强危险物质存储管理，确保其安全；同时规范操作，在取用运输过程，防止其跑冒滴漏。</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⑥强化禁火区域安全管理，严禁烟火，将生产、储存装置区域列为禁火区，区内加强火源管理，严禁吸烟。</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w:t>
            </w:r>
            <w:bookmarkStart w:id="6" w:name="_Toc76139457"/>
            <w:bookmarkStart w:id="7" w:name="_Toc114997846"/>
            <w:bookmarkStart w:id="8" w:name="_Toc88466811"/>
            <w:bookmarkStart w:id="9" w:name="_Toc57516383"/>
            <w:bookmarkStart w:id="10" w:name="_Toc56427845"/>
            <w:bookmarkStart w:id="11" w:name="_Toc115259923"/>
            <w:bookmarkStart w:id="12" w:name="_Toc57516232"/>
            <w:bookmarkStart w:id="13" w:name="_Toc67822189"/>
            <w:bookmarkStart w:id="14" w:name="_Toc82857308"/>
            <w:bookmarkStart w:id="15" w:name="_Toc116622310"/>
            <w:r>
              <w:rPr>
                <w:rFonts w:hint="default" w:ascii="Times New Roman" w:hAnsi="Times New Roman" w:eastAsia="宋体" w:cs="Times New Roman"/>
                <w:color w:val="auto"/>
                <w:sz w:val="24"/>
                <w:szCs w:val="24"/>
              </w:rPr>
              <w:t>严格按照安全、消防部门以及安全预评价的要求在仓库和存储区出入口处设置消防设备。</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⑧</w:t>
            </w:r>
            <w:bookmarkEnd w:id="6"/>
            <w:bookmarkEnd w:id="7"/>
            <w:bookmarkEnd w:id="8"/>
            <w:bookmarkEnd w:id="9"/>
            <w:bookmarkEnd w:id="10"/>
            <w:bookmarkEnd w:id="11"/>
            <w:bookmarkEnd w:id="12"/>
            <w:bookmarkEnd w:id="13"/>
            <w:bookmarkEnd w:id="14"/>
            <w:bookmarkEnd w:id="15"/>
            <w:r>
              <w:rPr>
                <w:rFonts w:hint="default" w:ascii="Times New Roman" w:hAnsi="Times New Roman" w:eastAsia="宋体" w:cs="Times New Roman"/>
                <w:color w:val="auto"/>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rPr>
              <w:t>⑨针对项目可能发生的突发事故，为了将风险事故率降低到最小，企业应编制突发环境事件应急预案并报</w:t>
            </w:r>
            <w:r>
              <w:rPr>
                <w:rFonts w:hint="default" w:ascii="Times New Roman" w:hAnsi="Times New Roman" w:eastAsia="宋体" w:cs="Times New Roman"/>
                <w:color w:val="auto"/>
                <w:sz w:val="24"/>
                <w:lang w:eastAsia="zh-CN"/>
              </w:rPr>
              <w:t>昆明市生态环境局东川分局</w:t>
            </w:r>
            <w:r>
              <w:rPr>
                <w:rFonts w:hint="default" w:ascii="Times New Roman" w:hAnsi="Times New Roman" w:eastAsia="宋体" w:cs="Times New Roman"/>
                <w:color w:val="auto"/>
                <w:sz w:val="24"/>
              </w:rPr>
              <w:t>生态环境保护主管部门备案。建设单位应严格按照《企业突发环境事件风险分级方法》(HJ 941-2018)、《企业突发环境事件应急预案编制指南》等文件要求开展应急预案的编制工作，包括环境风险评估报告、环境应急资源调查报告和突发环境事件应急预案三个报告</w:t>
            </w:r>
            <w:r>
              <w:rPr>
                <w:rFonts w:hint="default" w:ascii="Times New Roman" w:hAnsi="Times New Roman" w:eastAsia="宋体" w:cs="Times New Roman"/>
                <w:color w:val="auto"/>
                <w:sz w:val="24"/>
                <w:lang w:eastAsia="zh-CN"/>
              </w:rPr>
              <w:t>。</w:t>
            </w:r>
          </w:p>
          <w:p>
            <w:pPr>
              <w:spacing w:line="360" w:lineRule="auto"/>
              <w:ind w:firstLine="482" w:firstLineChars="200"/>
              <w:rPr>
                <w:rFonts w:hint="default" w:ascii="Times New Roman" w:hAnsi="Times New Roman" w:eastAsia="宋体" w:cs="Times New Roman"/>
                <w:b/>
                <w:color w:val="auto"/>
                <w:sz w:val="24"/>
                <w:szCs w:val="24"/>
              </w:rPr>
            </w:pPr>
            <w:bookmarkStart w:id="16" w:name="_Toc72228649"/>
            <w:r>
              <w:rPr>
                <w:rFonts w:hint="default" w:ascii="Times New Roman" w:hAnsi="Times New Roman" w:eastAsia="宋体" w:cs="Times New Roman"/>
                <w:b/>
                <w:color w:val="auto"/>
                <w:sz w:val="24"/>
                <w:szCs w:val="24"/>
              </w:rPr>
              <w:t>4.3 环保投资估算</w:t>
            </w:r>
            <w:bookmarkEnd w:id="16"/>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项目总投资</w:t>
            </w:r>
            <w:r>
              <w:rPr>
                <w:rFonts w:hint="default" w:ascii="Times New Roman" w:hAnsi="Times New Roman" w:eastAsia="宋体" w:cs="Times New Roman"/>
                <w:color w:val="auto"/>
                <w:sz w:val="24"/>
                <w:szCs w:val="24"/>
                <w:lang w:val="en-US" w:eastAsia="zh-CN"/>
              </w:rPr>
              <w:t>2063.5</w:t>
            </w:r>
            <w:r>
              <w:rPr>
                <w:rFonts w:hint="default" w:ascii="Times New Roman" w:hAnsi="Times New Roman" w:eastAsia="宋体" w:cs="Times New Roman"/>
                <w:color w:val="auto"/>
                <w:sz w:val="24"/>
                <w:szCs w:val="24"/>
              </w:rPr>
              <w:t>万元，其中环保投资为</w:t>
            </w:r>
            <w:r>
              <w:rPr>
                <w:rFonts w:hint="default" w:ascii="Times New Roman" w:hAnsi="Times New Roman" w:eastAsia="宋体" w:cs="Times New Roman"/>
                <w:color w:val="auto"/>
                <w:sz w:val="24"/>
                <w:szCs w:val="24"/>
                <w:lang w:val="en-US" w:eastAsia="zh-CN"/>
              </w:rPr>
              <w:t>87.81</w:t>
            </w:r>
            <w:r>
              <w:rPr>
                <w:rFonts w:hint="default" w:ascii="Times New Roman" w:hAnsi="Times New Roman" w:eastAsia="宋体" w:cs="Times New Roman"/>
                <w:color w:val="auto"/>
                <w:sz w:val="24"/>
                <w:szCs w:val="24"/>
              </w:rPr>
              <w:t>万元，占总投资的</w:t>
            </w:r>
            <w:r>
              <w:rPr>
                <w:rFonts w:hint="default" w:ascii="Times New Roman" w:hAnsi="Times New Roman" w:eastAsia="宋体" w:cs="Times New Roman"/>
                <w:color w:val="auto"/>
                <w:sz w:val="24"/>
                <w:szCs w:val="24"/>
                <w:lang w:val="en-US" w:eastAsia="zh-CN"/>
              </w:rPr>
              <w:t>4.3%</w:t>
            </w:r>
            <w:r>
              <w:rPr>
                <w:rFonts w:hint="default" w:ascii="Times New Roman" w:hAnsi="Times New Roman" w:eastAsia="宋体" w:cs="Times New Roman"/>
                <w:color w:val="auto"/>
                <w:sz w:val="24"/>
                <w:szCs w:val="24"/>
              </w:rPr>
              <w:t>。年环保投资运行费用约为</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万元，项目拟采取措施的具体内容、责任主体、实施时段及环境保护投入资金如下表所示。</w:t>
            </w:r>
          </w:p>
          <w:p>
            <w:pPr>
              <w:pStyle w:val="47"/>
              <w:spacing w:beforeLine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表4.3-1  项目环保投资一览表 单位：万元</w:t>
            </w:r>
          </w:p>
          <w:tbl>
            <w:tblPr>
              <w:tblStyle w:val="25"/>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64"/>
              <w:gridCol w:w="1147"/>
              <w:gridCol w:w="1566"/>
              <w:gridCol w:w="2724"/>
              <w:gridCol w:w="109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22"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时期</w:t>
                  </w:r>
                </w:p>
              </w:tc>
              <w:tc>
                <w:tcPr>
                  <w:tcW w:w="1811" w:type="dxa"/>
                  <w:gridSpan w:val="2"/>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类型</w:t>
                  </w:r>
                </w:p>
              </w:tc>
              <w:tc>
                <w:tcPr>
                  <w:tcW w:w="4290"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环保措施</w:t>
                  </w:r>
                </w:p>
              </w:tc>
              <w:tc>
                <w:tcPr>
                  <w:tcW w:w="1091"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已投资费用</w:t>
                  </w:r>
                  <w:r>
                    <w:rPr>
                      <w:rFonts w:hint="default" w:ascii="Times New Roman" w:hAnsi="Times New Roman" w:eastAsia="宋体" w:cs="Times New Roman"/>
                      <w:color w:val="auto"/>
                      <w:szCs w:val="21"/>
                    </w:rPr>
                    <w:t>（万元）</w:t>
                  </w:r>
                </w:p>
              </w:tc>
              <w:tc>
                <w:tcPr>
                  <w:tcW w:w="850"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拟整改投费用</w:t>
                  </w:r>
                  <w:r>
                    <w:rPr>
                      <w:rFonts w:hint="default" w:ascii="Times New Roman" w:hAnsi="Times New Roman" w:eastAsia="宋体"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811" w:type="dxa"/>
                  <w:gridSpan w:val="2"/>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环保项目</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数量</w:t>
                  </w:r>
                </w:p>
              </w:tc>
              <w:tc>
                <w:tcPr>
                  <w:tcW w:w="1091"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850"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运营期污染源</w:t>
                  </w:r>
                </w:p>
              </w:tc>
              <w:tc>
                <w:tcPr>
                  <w:tcW w:w="664"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1147"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棉签生产产生的颗粒物（棉絮）</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抽风机</w:t>
                  </w:r>
                </w:p>
              </w:tc>
              <w:tc>
                <w:tcPr>
                  <w:tcW w:w="27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1台风量为2000m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/h抽风机+收集袋，收集效率90%。</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非甲烷总烃</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一层新风净化系统</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1套新风净化系统（风量</w:t>
                  </w:r>
                  <w:r>
                    <w:rPr>
                      <w:rFonts w:hint="default" w:ascii="Times New Roman" w:hAnsi="Times New Roman" w:eastAsia="宋体" w:cs="Times New Roman"/>
                      <w:color w:val="auto"/>
                      <w:kern w:val="0"/>
                      <w:sz w:val="21"/>
                      <w:szCs w:val="21"/>
                      <w:highlight w:val="none"/>
                      <w:lang w:val="en-US" w:eastAsia="zh-CN" w:bidi="ar"/>
                    </w:rPr>
                    <w:t>约 35000m</w:t>
                  </w:r>
                  <w:r>
                    <w:rPr>
                      <w:rFonts w:hint="default" w:ascii="Times New Roman" w:hAnsi="Times New Roman" w:eastAsia="宋体" w:cs="Times New Roman"/>
                      <w:color w:val="auto"/>
                      <w:kern w:val="0"/>
                      <w:sz w:val="21"/>
                      <w:szCs w:val="21"/>
                      <w:highlight w:val="none"/>
                      <w:vertAlign w:val="superscript"/>
                      <w:lang w:val="en-US" w:eastAsia="zh-CN" w:bidi="ar"/>
                    </w:rPr>
                    <w:t xml:space="preserve">3 </w:t>
                  </w:r>
                  <w:r>
                    <w:rPr>
                      <w:rFonts w:hint="default" w:ascii="Times New Roman" w:hAnsi="Times New Roman" w:eastAsia="宋体" w:cs="Times New Roman"/>
                      <w:color w:val="auto"/>
                      <w:kern w:val="0"/>
                      <w:sz w:val="21"/>
                      <w:szCs w:val="21"/>
                      <w:highlight w:val="none"/>
                      <w:lang w:val="en-US" w:eastAsia="zh-CN" w:bidi="ar"/>
                    </w:rPr>
                    <w:t>/h）+ 5μm 初效过滤器过滤+1μm 中效过滤器过滤+0.05μm高效过滤器过滤+活性炭吸附（处理效率为75%）。</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 w:val="21"/>
                      <w:szCs w:val="21"/>
                      <w:lang w:val="en-US" w:eastAsia="zh-CN" w:bidi="ar"/>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二层新风净化系统</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1套新风净化系统（风量</w:t>
                  </w:r>
                  <w:r>
                    <w:rPr>
                      <w:rFonts w:hint="default" w:ascii="Times New Roman" w:hAnsi="Times New Roman" w:eastAsia="宋体" w:cs="Times New Roman"/>
                      <w:color w:val="auto"/>
                      <w:kern w:val="0"/>
                      <w:sz w:val="21"/>
                      <w:szCs w:val="21"/>
                      <w:highlight w:val="none"/>
                      <w:lang w:val="en-US" w:eastAsia="zh-CN" w:bidi="ar"/>
                    </w:rPr>
                    <w:t>约88000m</w:t>
                  </w:r>
                  <w:r>
                    <w:rPr>
                      <w:rFonts w:hint="default" w:ascii="Times New Roman" w:hAnsi="Times New Roman" w:eastAsia="宋体" w:cs="Times New Roman"/>
                      <w:color w:val="auto"/>
                      <w:kern w:val="0"/>
                      <w:sz w:val="21"/>
                      <w:szCs w:val="21"/>
                      <w:highlight w:val="none"/>
                      <w:vertAlign w:val="superscript"/>
                      <w:lang w:val="en-US" w:eastAsia="zh-CN" w:bidi="ar"/>
                    </w:rPr>
                    <w:t xml:space="preserve">3 </w:t>
                  </w:r>
                  <w:r>
                    <w:rPr>
                      <w:rFonts w:hint="default" w:ascii="Times New Roman" w:hAnsi="Times New Roman" w:eastAsia="宋体" w:cs="Times New Roman"/>
                      <w:color w:val="auto"/>
                      <w:kern w:val="0"/>
                      <w:sz w:val="21"/>
                      <w:szCs w:val="21"/>
                      <w:highlight w:val="none"/>
                      <w:lang w:val="en-US" w:eastAsia="zh-CN" w:bidi="ar"/>
                    </w:rPr>
                    <w:t>/h）+ 5μm 初效过滤器过滤+1μm 中效过滤器过滤+0.05μm高效过滤器过滤+活性炭吸附（处理效率为75%）。</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 w:val="21"/>
                      <w:szCs w:val="21"/>
                      <w:lang w:val="en-US" w:eastAsia="zh-CN" w:bidi="ar"/>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挤出、注塑工序有机废气收集设施</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rPr>
                    <w:t>项目拟设置1套半封闭集气罩对其进行收集，该集气罩集气效率不低于80%</w:t>
                  </w:r>
                  <w:r>
                    <w:rPr>
                      <w:rFonts w:hint="default" w:ascii="Times New Roman" w:hAnsi="Times New Roman" w:eastAsia="宋体" w:cs="Times New Roman"/>
                      <w:color w:val="auto"/>
                      <w:sz w:val="21"/>
                      <w:szCs w:val="21"/>
                      <w:lang w:eastAsia="zh-CN"/>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挤出、注塑工序有机废气处装置</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拟</w:t>
                  </w:r>
                  <w:r>
                    <w:rPr>
                      <w:rFonts w:hint="default" w:ascii="Times New Roman" w:hAnsi="Times New Roman" w:eastAsia="宋体" w:cs="Times New Roman"/>
                      <w:color w:val="auto"/>
                      <w:sz w:val="21"/>
                      <w:szCs w:val="21"/>
                    </w:rPr>
                    <w:t>设置1台有机废气处理装置进行处理，该装置采用</w:t>
                  </w:r>
                  <w:r>
                    <w:rPr>
                      <w:rFonts w:hint="default" w:ascii="Times New Roman" w:hAnsi="Times New Roman" w:eastAsia="宋体" w:cs="Times New Roman"/>
                      <w:color w:val="auto"/>
                      <w:sz w:val="21"/>
                      <w:szCs w:val="21"/>
                      <w:lang w:eastAsia="zh-CN"/>
                    </w:rPr>
                    <w:t>活性炭吸附</w:t>
                  </w:r>
                  <w:r>
                    <w:rPr>
                      <w:rFonts w:hint="default" w:ascii="Times New Roman" w:hAnsi="Times New Roman" w:eastAsia="宋体" w:cs="Times New Roman"/>
                      <w:color w:val="auto"/>
                      <w:sz w:val="21"/>
                      <w:szCs w:val="21"/>
                    </w:rPr>
                    <w:t>法，其处理效率约为</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有机废气排气筒</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处理后通过1根高15m、Φ0.</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m的排气筒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DA001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外排</w:t>
                  </w:r>
                  <w:r>
                    <w:rPr>
                      <w:rFonts w:hint="default" w:ascii="Times New Roman" w:hAnsi="Times New Roman" w:eastAsia="宋体" w:cs="Times New Roman"/>
                      <w:color w:val="auto"/>
                      <w:sz w:val="21"/>
                      <w:szCs w:val="21"/>
                      <w:lang w:eastAsia="zh-CN"/>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环氧乙烷吸收系统（稀硫酸喷淋吸收工艺）</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bCs/>
                      <w:snapToGrid w:val="0"/>
                      <w:color w:val="auto"/>
                      <w:kern w:val="0"/>
                      <w:sz w:val="21"/>
                      <w:szCs w:val="21"/>
                      <w:lang w:val="en-US" w:eastAsia="zh-CN" w:bidi="ar"/>
                    </w:rPr>
                    <w:t>建设单位拟采用稀硫酸喷淋吸收，此废气处理系统对环氧乙烷的净化效率＞95%，其余未吸收部分无组织排放</w:t>
                  </w:r>
                  <w:r>
                    <w:rPr>
                      <w:rFonts w:hint="default" w:ascii="Times New Roman" w:hAnsi="Times New Roman" w:eastAsia="宋体" w:cs="Times New Roman"/>
                      <w:bCs/>
                      <w:snapToGrid w:val="0"/>
                      <w:color w:val="auto"/>
                      <w:kern w:val="32"/>
                      <w:sz w:val="21"/>
                      <w:szCs w:val="21"/>
                      <w:lang w:val="en-US" w:eastAsia="zh-CN" w:bidi="ar-SA"/>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2713"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雨污分流</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雨水管网</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生活污水</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化粪池</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2个，1m³/个</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隔油池</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1个1m³ </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1.2</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一体化污水处理设施</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1套处理能力为</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m³/d</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再生水收集池</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1套处理能力为10m³/d</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循环冷却水</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循环冷却水塔</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m³</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雨水</w:t>
                  </w:r>
                </w:p>
              </w:tc>
              <w:tc>
                <w:tcPr>
                  <w:tcW w:w="1147"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初期雨水</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初期雨水收集池</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1个有效容积为10m³</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811" w:type="dxa"/>
                  <w:gridSpan w:val="2"/>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地下水防渗</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危险废物贮存间地面和裙墙应采用不低于2mm厚的HDPE膜或其他人工防渗材料进行防渗，使其渗透系数≤10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w:t>
                  </w:r>
                  <w:r>
                    <w:rPr>
                      <w:rFonts w:hint="default" w:ascii="Times New Roman" w:hAnsi="Times New Roman" w:eastAsia="宋体" w:cs="Times New Roman"/>
                      <w:color w:val="auto"/>
                      <w:sz w:val="21"/>
                      <w:szCs w:val="21"/>
                      <w:lang w:eastAsia="zh-CN"/>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w:t>
                  </w:r>
                  <w:r>
                    <w:rPr>
                      <w:rFonts w:hint="default" w:ascii="Times New Roman" w:hAnsi="Times New Roman"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811" w:type="dxa"/>
                  <w:gridSpan w:val="2"/>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项目一般防渗区措施在地面采取粘土铺底，并在上层铺30cm的混凝土进行硬化。确保防渗性能，使其渗透系数≤1.0×10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1147"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减震垫、消声器等</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设备基础加装减震垫、消声器等</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restart"/>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1147"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危险废物贮存间</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1个5m²</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1147"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566"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生活垃圾桶</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0.05</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p>
              </w:tc>
              <w:tc>
                <w:tcPr>
                  <w:tcW w:w="664"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其他</w:t>
                  </w:r>
                </w:p>
              </w:tc>
              <w:tc>
                <w:tcPr>
                  <w:tcW w:w="2713" w:type="dxa"/>
                  <w:gridSpan w:val="2"/>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标识牌</w:t>
                  </w:r>
                </w:p>
              </w:tc>
              <w:tc>
                <w:tcPr>
                  <w:tcW w:w="2724"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91"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850" w:type="dxa"/>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3" w:type="dxa"/>
                  <w:gridSpan w:val="5"/>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snapToGrid w:val="0"/>
                      <w:color w:val="auto"/>
                      <w:kern w:val="32"/>
                      <w:sz w:val="21"/>
                      <w:szCs w:val="21"/>
                      <w:lang w:val="zh-CN" w:eastAsia="zh-CN" w:bidi="ar-SA"/>
                    </w:rPr>
                    <w:t>管理相关费用</w:t>
                  </w:r>
                </w:p>
              </w:tc>
              <w:tc>
                <w:tcPr>
                  <w:tcW w:w="1941" w:type="dxa"/>
                  <w:gridSpan w:val="2"/>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3" w:type="dxa"/>
                  <w:gridSpan w:val="5"/>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091" w:type="dxa"/>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53.85</w:t>
                  </w:r>
                </w:p>
              </w:tc>
              <w:tc>
                <w:tcPr>
                  <w:tcW w:w="850" w:type="dxa"/>
                  <w:tcBorders>
                    <w:bottom w:val="single" w:color="auto" w:sz="4" w:space="0"/>
                  </w:tcBorders>
                  <w:vAlign w:val="center"/>
                </w:tcPr>
                <w:p>
                  <w:pPr>
                    <w:pStyle w:val="45"/>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r>
          </w:tbl>
          <w:p>
            <w:pPr>
              <w:pStyle w:val="5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Times New Roman" w:hAnsi="Times New Roman" w:cs="Times New Roman"/>
                <w:b/>
                <w:bCs/>
                <w:color w:val="auto"/>
                <w:szCs w:val="24"/>
                <w:lang w:val="en-US" w:eastAsia="zh-CN"/>
              </w:rPr>
            </w:pPr>
            <w:r>
              <w:rPr>
                <w:rFonts w:hint="default" w:ascii="Times New Roman" w:hAnsi="Times New Roman" w:cs="Times New Roman"/>
                <w:b/>
                <w:bCs/>
                <w:color w:val="auto"/>
                <w:szCs w:val="24"/>
                <w:lang w:val="en-US" w:eastAsia="zh-CN"/>
              </w:rPr>
              <w:t>4.4环境监测计划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）自行监测要求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该项目</w:t>
            </w:r>
            <w:r>
              <w:rPr>
                <w:rFonts w:hint="default" w:ascii="Times New Roman" w:hAnsi="Times New Roman" w:eastAsia="宋体" w:cs="Times New Roman"/>
                <w:color w:val="auto"/>
                <w:sz w:val="24"/>
                <w:szCs w:val="24"/>
                <w:lang w:eastAsia="zh-CN"/>
              </w:rPr>
              <w:t>行业类别为卫生材料及医药用品制造277，且不涉及通用工序</w:t>
            </w:r>
            <w:r>
              <w:rPr>
                <w:rFonts w:hint="default" w:ascii="Times New Roman" w:hAnsi="Times New Roman" w:eastAsia="宋体" w:cs="Times New Roman"/>
                <w:color w:val="auto"/>
                <w:sz w:val="24"/>
                <w:szCs w:val="24"/>
              </w:rPr>
              <w:t>，根据《固定污染源排污许可分类管理名录》（2019版），属于排污许可登记管理，</w:t>
            </w:r>
            <w:r>
              <w:rPr>
                <w:rFonts w:hint="default" w:ascii="Times New Roman" w:hAnsi="Times New Roman" w:eastAsia="宋体" w:cs="Times New Roman"/>
                <w:color w:val="auto"/>
                <w:sz w:val="24"/>
                <w:szCs w:val="24"/>
                <w:lang w:eastAsia="zh-CN"/>
              </w:rPr>
              <w:t>正常运行期间按照环保部门要求开展自行监测即可</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lang w:eastAsia="zh-CN"/>
              </w:rPr>
              <w:t>）竣工验收监测要求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环评按照《排污单位自行监测技术指南 </w:t>
            </w:r>
            <w:r>
              <w:rPr>
                <w:rFonts w:hint="default" w:ascii="Times New Roman" w:hAnsi="Times New Roman" w:eastAsia="宋体" w:cs="Times New Roman"/>
                <w:color w:val="auto"/>
                <w:sz w:val="24"/>
                <w:szCs w:val="24"/>
                <w:lang w:eastAsia="zh-CN"/>
              </w:rPr>
              <w:t>总则</w:t>
            </w:r>
            <w:r>
              <w:rPr>
                <w:rFonts w:hint="default" w:ascii="Times New Roman" w:hAnsi="Times New Roman" w:eastAsia="宋体" w:cs="Times New Roman"/>
                <w:color w:val="auto"/>
                <w:sz w:val="24"/>
                <w:szCs w:val="24"/>
              </w:rPr>
              <w:t>》（HJ</w:t>
            </w:r>
            <w:r>
              <w:rPr>
                <w:rFonts w:hint="default" w:ascii="Times New Roman" w:hAnsi="Times New Roman" w:eastAsia="宋体" w:cs="Times New Roman"/>
                <w:color w:val="auto"/>
                <w:sz w:val="24"/>
                <w:szCs w:val="24"/>
                <w:lang w:val="en-US" w:eastAsia="zh-CN"/>
              </w:rPr>
              <w:t>819</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）中监测因子的要求，提出竣工验收监测要求如下表所示。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表4.2.1-4  项目运营期废气自行监测计划一览表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9"/>
              <w:gridCol w:w="7"/>
              <w:gridCol w:w="2429"/>
              <w:gridCol w:w="147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对象</w:t>
                  </w:r>
                </w:p>
              </w:tc>
              <w:tc>
                <w:tcPr>
                  <w:tcW w:w="1306" w:type="dxa"/>
                  <w:gridSpan w:val="2"/>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监测点位</w:t>
                  </w:r>
                </w:p>
              </w:tc>
              <w:tc>
                <w:tcPr>
                  <w:tcW w:w="242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监测因子</w:t>
                  </w:r>
                </w:p>
              </w:tc>
              <w:tc>
                <w:tcPr>
                  <w:tcW w:w="1470"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监测频率</w:t>
                  </w:r>
                </w:p>
              </w:tc>
              <w:tc>
                <w:tcPr>
                  <w:tcW w:w="2690" w:type="dxa"/>
                  <w:vAlign w:val="center"/>
                </w:tcPr>
                <w:p>
                  <w:pPr>
                    <w:pStyle w:val="45"/>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3"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1306" w:type="dxa"/>
                  <w:gridSpan w:val="2"/>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排气筒出口（</w:t>
                  </w:r>
                  <w:r>
                    <w:rPr>
                      <w:rFonts w:hint="default" w:ascii="Times New Roman" w:hAnsi="Times New Roman" w:eastAsia="宋体" w:cs="Times New Roman"/>
                      <w:color w:val="auto"/>
                      <w:szCs w:val="21"/>
                    </w:rPr>
                    <w:t>DA001</w:t>
                  </w:r>
                  <w:r>
                    <w:rPr>
                      <w:rFonts w:hint="default" w:ascii="Times New Roman" w:hAnsi="Times New Roman" w:eastAsia="宋体" w:cs="Times New Roman"/>
                      <w:color w:val="auto"/>
                      <w:szCs w:val="21"/>
                      <w:lang w:eastAsia="zh-CN"/>
                    </w:rPr>
                    <w:t>）</w:t>
                  </w:r>
                </w:p>
              </w:tc>
              <w:tc>
                <w:tcPr>
                  <w:tcW w:w="242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非甲烷总烃</w:t>
                  </w:r>
                </w:p>
              </w:tc>
              <w:tc>
                <w:tcPr>
                  <w:tcW w:w="1470"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监测</w:t>
                  </w:r>
                  <w:r>
                    <w:rPr>
                      <w:rFonts w:hint="default" w:ascii="Times New Roman" w:hAnsi="Times New Roman" w:cs="Times New Roman"/>
                      <w:color w:val="auto"/>
                      <w:szCs w:val="21"/>
                      <w:lang w:val="en-US" w:eastAsia="zh-CN"/>
                    </w:rPr>
                    <w:t>2天，每天3次</w:t>
                  </w: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制药工业大气污染物排放标准</w:t>
                  </w:r>
                  <w:r>
                    <w:rPr>
                      <w:rFonts w:hint="default" w:ascii="Times New Roman" w:hAnsi="Times New Roman" w:eastAsia="宋体" w:cs="Times New Roman"/>
                      <w:color w:val="auto"/>
                      <w:sz w:val="21"/>
                      <w:szCs w:val="21"/>
                    </w:rPr>
                    <w:t>》（GB</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2019</w:t>
                  </w: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1中有组织排放</w:t>
                  </w:r>
                  <w:r>
                    <w:rPr>
                      <w:rFonts w:hint="default" w:ascii="Times New Roman" w:hAnsi="Times New Roman" w:eastAsia="宋体" w:cs="Times New Roman"/>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13"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306" w:type="dxa"/>
                  <w:gridSpan w:val="2"/>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rPr>
                    <w:t>无组织监控点（上风向1个点、下风向3个点）</w:t>
                  </w:r>
                </w:p>
              </w:tc>
              <w:tc>
                <w:tcPr>
                  <w:tcW w:w="242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颗粒物</w:t>
                  </w:r>
                </w:p>
              </w:tc>
              <w:tc>
                <w:tcPr>
                  <w:tcW w:w="1470" w:type="dxa"/>
                  <w:vMerge w:val="continue"/>
                  <w:vAlign w:val="center"/>
                </w:tcPr>
                <w:p>
                  <w:pPr>
                    <w:spacing w:line="360" w:lineRule="exact"/>
                    <w:rPr>
                      <w:rFonts w:hint="default" w:ascii="Times New Roman" w:hAnsi="Times New Roman" w:eastAsia="宋体" w:cs="Times New Roman"/>
                      <w:color w:val="auto"/>
                      <w:szCs w:val="21"/>
                    </w:rPr>
                  </w:pP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13"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306" w:type="dxa"/>
                  <w:gridSpan w:val="2"/>
                  <w:vMerge w:val="continue"/>
                  <w:vAlign w:val="center"/>
                </w:tcPr>
                <w:p>
                  <w:pPr>
                    <w:pStyle w:val="45"/>
                    <w:spacing w:line="360" w:lineRule="exact"/>
                    <w:rPr>
                      <w:rFonts w:hint="default" w:ascii="Times New Roman" w:hAnsi="Times New Roman" w:eastAsia="宋体" w:cs="Times New Roman"/>
                      <w:color w:val="auto"/>
                      <w:szCs w:val="21"/>
                    </w:rPr>
                  </w:pPr>
                </w:p>
              </w:tc>
              <w:tc>
                <w:tcPr>
                  <w:tcW w:w="2429"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w:t>
                  </w:r>
                </w:p>
              </w:tc>
              <w:tc>
                <w:tcPr>
                  <w:tcW w:w="1470" w:type="dxa"/>
                  <w:vMerge w:val="continue"/>
                  <w:vAlign w:val="center"/>
                </w:tcPr>
                <w:p>
                  <w:pPr>
                    <w:spacing w:line="360" w:lineRule="exact"/>
                    <w:rPr>
                      <w:rFonts w:hint="default" w:ascii="Times New Roman" w:hAnsi="Times New Roman" w:eastAsia="宋体" w:cs="Times New Roman"/>
                      <w:color w:val="auto"/>
                      <w:szCs w:val="21"/>
                    </w:rPr>
                  </w:pP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13"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306" w:type="dxa"/>
                  <w:gridSpan w:val="2"/>
                  <w:vMerge w:val="continue"/>
                  <w:vAlign w:val="center"/>
                </w:tcPr>
                <w:p>
                  <w:pPr>
                    <w:pStyle w:val="45"/>
                    <w:spacing w:line="360" w:lineRule="exact"/>
                    <w:rPr>
                      <w:rFonts w:hint="default" w:ascii="Times New Roman" w:hAnsi="Times New Roman" w:eastAsia="宋体" w:cs="Times New Roman"/>
                      <w:color w:val="auto"/>
                      <w:szCs w:val="21"/>
                    </w:rPr>
                  </w:pPr>
                </w:p>
              </w:tc>
              <w:tc>
                <w:tcPr>
                  <w:tcW w:w="242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臭气浓度</w:t>
                  </w:r>
                </w:p>
              </w:tc>
              <w:tc>
                <w:tcPr>
                  <w:tcW w:w="1470" w:type="dxa"/>
                  <w:vMerge w:val="continue"/>
                  <w:vAlign w:val="center"/>
                </w:tcPr>
                <w:p>
                  <w:pPr>
                    <w:spacing w:line="360" w:lineRule="exact"/>
                    <w:rPr>
                      <w:rFonts w:hint="default" w:ascii="Times New Roman" w:hAnsi="Times New Roman" w:eastAsia="宋体" w:cs="Times New Roman"/>
                      <w:color w:val="auto"/>
                      <w:szCs w:val="21"/>
                    </w:rPr>
                  </w:pP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《恶臭污染物排放标准》（GB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13"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306" w:type="dxa"/>
                  <w:gridSpan w:val="2"/>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厂区内</w:t>
                  </w:r>
                </w:p>
              </w:tc>
              <w:tc>
                <w:tcPr>
                  <w:tcW w:w="242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非甲烷总烃</w:t>
                  </w:r>
                </w:p>
              </w:tc>
              <w:tc>
                <w:tcPr>
                  <w:tcW w:w="1470" w:type="dxa"/>
                  <w:vMerge w:val="continue"/>
                  <w:vAlign w:val="center"/>
                </w:tcPr>
                <w:p>
                  <w:pPr>
                    <w:spacing w:line="360" w:lineRule="exact"/>
                    <w:rPr>
                      <w:rFonts w:hint="default" w:ascii="Times New Roman" w:hAnsi="Times New Roman" w:eastAsia="宋体" w:cs="Times New Roman"/>
                      <w:color w:val="auto"/>
                      <w:szCs w:val="21"/>
                    </w:rPr>
                  </w:pP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制药工业大气污染物排放标准</w:t>
                  </w:r>
                  <w:r>
                    <w:rPr>
                      <w:rFonts w:hint="default" w:ascii="Times New Roman" w:hAnsi="Times New Roman" w:eastAsia="宋体" w:cs="Times New Roman"/>
                      <w:color w:val="auto"/>
                      <w:sz w:val="21"/>
                      <w:szCs w:val="21"/>
                    </w:rPr>
                    <w:t>》（GB</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2019</w:t>
                  </w:r>
                  <w:r>
                    <w:rPr>
                      <w:rFonts w:hint="default" w:ascii="Times New Roman" w:hAnsi="Times New Roman" w:eastAsia="宋体" w:cs="Times New Roman"/>
                      <w:color w:val="auto"/>
                      <w:sz w:val="21"/>
                      <w:szCs w:val="21"/>
                    </w:rPr>
                    <w:t>）中附录</w:t>
                  </w:r>
                  <w:r>
                    <w:rPr>
                      <w:rFonts w:hint="default" w:ascii="Times New Roman" w:hAnsi="Times New Roman" w:cs="Times New Roman"/>
                      <w:color w:val="auto"/>
                      <w:sz w:val="21"/>
                      <w:szCs w:val="21"/>
                      <w:lang w:val="en-US" w:eastAsia="zh-CN"/>
                    </w:rPr>
                    <w:t>C</w:t>
                  </w:r>
                  <w:r>
                    <w:rPr>
                      <w:rFonts w:hint="default" w:ascii="Times New Roman" w:hAnsi="Times New Roman" w:eastAsia="宋体" w:cs="Times New Roman"/>
                      <w:color w:val="auto"/>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3"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1306" w:type="dxa"/>
                  <w:gridSpan w:val="2"/>
                  <w:vAlign w:val="center"/>
                </w:tcPr>
                <w:p>
                  <w:pPr>
                    <w:pStyle w:val="45"/>
                    <w:spacing w:line="360" w:lineRule="exact"/>
                    <w:ind w:firstLine="210" w:firstLineChars="1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近期监测点位位：一体化污水处理设施</w:t>
                  </w:r>
                </w:p>
              </w:tc>
              <w:tc>
                <w:tcPr>
                  <w:tcW w:w="2429" w:type="dxa"/>
                  <w:vAlign w:val="center"/>
                </w:tcPr>
                <w:p>
                  <w:pPr>
                    <w:pStyle w:val="45"/>
                    <w:spacing w:line="360" w:lineRule="exact"/>
                    <w:ind w:firstLine="210" w:firstLineChars="100"/>
                    <w:jc w:val="left"/>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pH、</w:t>
                  </w:r>
                  <w:r>
                    <w:rPr>
                      <w:rFonts w:hint="default" w:ascii="Times New Roman" w:hAnsi="Times New Roman" w:eastAsia="宋体" w:cs="Times New Roman"/>
                      <w:color w:val="auto"/>
                      <w:szCs w:val="21"/>
                    </w:rPr>
                    <w:t>CODcr</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BOD</w:t>
                  </w:r>
                  <w:r>
                    <w:rPr>
                      <w:rFonts w:hint="default" w:ascii="Times New Roman" w:hAnsi="Times New Roman" w:eastAsia="宋体" w:cs="Times New Roman"/>
                      <w:color w:val="auto"/>
                      <w:vertAlign w:val="subscript"/>
                    </w:rPr>
                    <w:t>5</w:t>
                  </w:r>
                  <w:r>
                    <w:rPr>
                      <w:rFonts w:hint="default" w:ascii="Times New Roman" w:hAnsi="Times New Roman" w:eastAsia="宋体" w:cs="Times New Roman"/>
                      <w:color w:val="auto"/>
                    </w:rPr>
                    <w:t>、NH</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-N、</w:t>
                  </w:r>
                  <w:r>
                    <w:rPr>
                      <w:rFonts w:hint="default" w:ascii="Times New Roman" w:hAnsi="Times New Roman" w:eastAsia="宋体" w:cs="Times New Roman"/>
                      <w:bCs w:val="0"/>
                      <w:snapToGrid/>
                      <w:color w:val="auto"/>
                      <w:kern w:val="0"/>
                      <w:szCs w:val="21"/>
                      <w:lang w:val="en-US"/>
                    </w:rPr>
                    <w:t>阴离子表面活性剂、</w:t>
                  </w:r>
                  <w:r>
                    <w:rPr>
                      <w:rFonts w:hint="default" w:ascii="Times New Roman" w:hAnsi="Times New Roman" w:eastAsia="宋体" w:cs="Times New Roman"/>
                      <w:color w:val="auto"/>
                    </w:rPr>
                    <w:t>粪大肠菌群数</w:t>
                  </w:r>
                  <w:r>
                    <w:rPr>
                      <w:rFonts w:hint="default" w:ascii="Times New Roman" w:hAnsi="Times New Roman" w:eastAsia="宋体" w:cs="Times New Roman"/>
                      <w:color w:val="auto"/>
                      <w:lang w:eastAsia="zh-CN"/>
                    </w:rPr>
                    <w:t>、石油类。</w:t>
                  </w:r>
                </w:p>
              </w:tc>
              <w:tc>
                <w:tcPr>
                  <w:tcW w:w="1470"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eastAsia="zh-CN"/>
                    </w:rPr>
                    <w:t>监测</w:t>
                  </w:r>
                  <w:r>
                    <w:rPr>
                      <w:rFonts w:hint="default" w:ascii="Times New Roman" w:hAnsi="Times New Roman" w:cs="Times New Roman"/>
                      <w:color w:val="auto"/>
                      <w:szCs w:val="21"/>
                      <w:lang w:val="en-US" w:eastAsia="zh-CN"/>
                    </w:rPr>
                    <w:t>2天，每天4次</w:t>
                  </w: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rPr>
                    <w:t>《城市污水再生利用 城市杂用水水质》（GB/T</w:t>
                  </w:r>
                  <w:r>
                    <w:rPr>
                      <w:rFonts w:hint="eastAsia" w:cs="Times New Roman"/>
                      <w:color w:val="auto"/>
                      <w:lang w:eastAsia="zh-CN"/>
                    </w:rPr>
                    <w:t>*****</w:t>
                  </w:r>
                  <w:r>
                    <w:rPr>
                      <w:rFonts w:hint="default" w:ascii="Times New Roman" w:hAnsi="Times New Roman" w:eastAsia="宋体" w:cs="Times New Roman"/>
                      <w:color w:val="auto"/>
                    </w:rPr>
                    <w:t>-2020）中城市绿化标准</w:t>
                  </w:r>
                  <w:r>
                    <w:rPr>
                      <w:rFonts w:hint="default" w:ascii="Times New Roman" w:hAnsi="Times New Roman" w:eastAsia="宋体"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3"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1306" w:type="dxa"/>
                  <w:gridSpan w:val="2"/>
                  <w:vAlign w:val="center"/>
                </w:tcPr>
                <w:p>
                  <w:pPr>
                    <w:pStyle w:val="45"/>
                    <w:spacing w:line="360" w:lineRule="exact"/>
                    <w:ind w:firstLine="210" w:firstLineChars="10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远期监测点位：化粪池排口</w:t>
                  </w:r>
                </w:p>
              </w:tc>
              <w:tc>
                <w:tcPr>
                  <w:tcW w:w="2429" w:type="dxa"/>
                  <w:vAlign w:val="center"/>
                </w:tcPr>
                <w:p>
                  <w:pPr>
                    <w:pStyle w:val="45"/>
                    <w:spacing w:line="360" w:lineRule="exact"/>
                    <w:ind w:firstLine="210" w:firstLineChars="100"/>
                    <w:jc w:val="left"/>
                    <w:rPr>
                      <w:rFonts w:hint="default" w:ascii="Times New Roman" w:hAnsi="Times New Roman" w:eastAsia="宋体" w:cs="Times New Roman"/>
                      <w:color w:val="auto"/>
                    </w:rPr>
                  </w:pPr>
                  <w:r>
                    <w:rPr>
                      <w:rFonts w:hint="default" w:ascii="Times New Roman" w:hAnsi="Times New Roman" w:eastAsia="宋体" w:cs="Times New Roman"/>
                      <w:color w:val="auto"/>
                    </w:rPr>
                    <w:t>pH、</w:t>
                  </w:r>
                  <w:r>
                    <w:rPr>
                      <w:rFonts w:hint="default" w:ascii="Times New Roman" w:hAnsi="Times New Roman" w:eastAsia="宋体" w:cs="Times New Roman"/>
                      <w:color w:val="auto"/>
                      <w:szCs w:val="21"/>
                    </w:rPr>
                    <w:t>CODcr</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BOD</w:t>
                  </w:r>
                  <w:r>
                    <w:rPr>
                      <w:rFonts w:hint="default" w:ascii="Times New Roman" w:hAnsi="Times New Roman" w:eastAsia="宋体" w:cs="Times New Roman"/>
                      <w:color w:val="auto"/>
                      <w:vertAlign w:val="subscript"/>
                    </w:rPr>
                    <w:t>5</w:t>
                  </w:r>
                  <w:r>
                    <w:rPr>
                      <w:rFonts w:hint="default" w:ascii="Times New Roman" w:hAnsi="Times New Roman" w:eastAsia="宋体" w:cs="Times New Roman"/>
                      <w:color w:val="auto"/>
                    </w:rPr>
                    <w:t>、NH</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-N、</w:t>
                  </w:r>
                  <w:r>
                    <w:rPr>
                      <w:rFonts w:hint="default" w:ascii="Times New Roman" w:hAnsi="Times New Roman" w:eastAsia="宋体" w:cs="Times New Roman"/>
                      <w:bCs w:val="0"/>
                      <w:snapToGrid/>
                      <w:color w:val="auto"/>
                      <w:kern w:val="0"/>
                      <w:szCs w:val="21"/>
                      <w:lang w:val="en-US"/>
                    </w:rPr>
                    <w:t>阴离子表面活性剂、</w:t>
                  </w:r>
                  <w:r>
                    <w:rPr>
                      <w:rFonts w:hint="default" w:ascii="Times New Roman" w:hAnsi="Times New Roman" w:eastAsia="宋体" w:cs="Times New Roman"/>
                      <w:color w:val="auto"/>
                    </w:rPr>
                    <w:t>粪大肠菌群数</w:t>
                  </w:r>
                  <w:r>
                    <w:rPr>
                      <w:rFonts w:hint="default" w:ascii="Times New Roman" w:hAnsi="Times New Roman" w:eastAsia="宋体" w:cs="Times New Roman"/>
                      <w:color w:val="auto"/>
                      <w:lang w:eastAsia="zh-CN"/>
                    </w:rPr>
                    <w:t>、石油类。</w:t>
                  </w:r>
                </w:p>
              </w:tc>
              <w:tc>
                <w:tcPr>
                  <w:tcW w:w="1470"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690" w:type="dxa"/>
                  <w:vAlign w:val="center"/>
                </w:tcPr>
                <w:p>
                  <w:pPr>
                    <w:pStyle w:val="45"/>
                    <w:spacing w:line="360" w:lineRule="exact"/>
                    <w:ind w:firstLine="210" w:firstLineChars="100"/>
                    <w:jc w:val="both"/>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rPr>
                    <w:t>《污水排入城镇下水道水质标准》（GB/T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-2015）表1中的</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等级标准</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13" w:type="dxa"/>
                  <w:vAlign w:val="center"/>
                </w:tcPr>
                <w:p>
                  <w:pPr>
                    <w:pStyle w:val="45"/>
                    <w:widowControl w:val="0"/>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噪声</w:t>
                  </w:r>
                </w:p>
              </w:tc>
              <w:tc>
                <w:tcPr>
                  <w:tcW w:w="1299" w:type="dxa"/>
                  <w:vAlign w:val="center"/>
                </w:tcPr>
                <w:p>
                  <w:pPr>
                    <w:pStyle w:val="45"/>
                    <w:widowControl w:val="0"/>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厂界四周</w:t>
                  </w:r>
                </w:p>
              </w:tc>
              <w:tc>
                <w:tcPr>
                  <w:tcW w:w="2436" w:type="dxa"/>
                  <w:gridSpan w:val="2"/>
                  <w:vAlign w:val="center"/>
                </w:tcPr>
                <w:p>
                  <w:pPr>
                    <w:pStyle w:val="45"/>
                    <w:widowControl w:val="0"/>
                    <w:spacing w:line="3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等效连续A声级</w:t>
                  </w:r>
                </w:p>
              </w:tc>
              <w:tc>
                <w:tcPr>
                  <w:tcW w:w="1470" w:type="dxa"/>
                  <w:vAlign w:val="center"/>
                </w:tcPr>
                <w:p>
                  <w:pPr>
                    <w:pStyle w:val="45"/>
                    <w:widowControl w:val="0"/>
                    <w:spacing w:line="360" w:lineRule="exact"/>
                    <w:rPr>
                      <w:rFonts w:hint="default" w:ascii="Times New Roman" w:hAnsi="Times New Roman" w:eastAsia="宋体" w:cs="Times New Roman"/>
                      <w:color w:val="auto"/>
                    </w:rPr>
                  </w:pPr>
                  <w:r>
                    <w:rPr>
                      <w:rFonts w:hint="default" w:ascii="Times New Roman" w:hAnsi="Times New Roman" w:cs="Times New Roman" w:eastAsiaTheme="minorEastAsia"/>
                      <w:color w:val="auto"/>
                      <w:szCs w:val="21"/>
                    </w:rPr>
                    <w:t>监测2天、每天昼夜各1次</w:t>
                  </w:r>
                </w:p>
              </w:tc>
              <w:tc>
                <w:tcPr>
                  <w:tcW w:w="2690" w:type="dxa"/>
                  <w:vAlign w:val="center"/>
                </w:tcPr>
                <w:p>
                  <w:pPr>
                    <w:pStyle w:val="45"/>
                    <w:widowControl w:val="0"/>
                    <w:spacing w:line="360" w:lineRule="exact"/>
                    <w:ind w:firstLine="210" w:firstLineChars="1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Cs w:val="21"/>
                      <w:lang w:eastAsia="zh-CN"/>
                    </w:rPr>
                    <w:t>东、南、北厂界执行</w:t>
                  </w:r>
                  <w:r>
                    <w:rPr>
                      <w:rFonts w:hint="default" w:ascii="Times New Roman" w:hAnsi="Times New Roman" w:eastAsia="宋体" w:cs="Times New Roman"/>
                      <w:color w:val="auto"/>
                      <w:szCs w:val="21"/>
                    </w:rPr>
                    <w:t>《工业企业厂界环境噪声排放标准》（GB</w:t>
                  </w:r>
                  <w:r>
                    <w:rPr>
                      <w:rFonts w:hint="eastAsia" w:cs="Times New Roman"/>
                      <w:color w:val="auto"/>
                      <w:szCs w:val="21"/>
                      <w:lang w:eastAsia="zh-CN"/>
                    </w:rPr>
                    <w:t>*****</w:t>
                  </w:r>
                  <w:r>
                    <w:rPr>
                      <w:rFonts w:hint="default" w:ascii="Times New Roman" w:hAnsi="Times New Roman" w:eastAsia="宋体" w:cs="Times New Roman"/>
                      <w:color w:val="auto"/>
                      <w:szCs w:val="21"/>
                    </w:rPr>
                    <w:t>-2008）中</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类标准</w:t>
                  </w:r>
                  <w:r>
                    <w:rPr>
                      <w:rFonts w:hint="default" w:ascii="Times New Roman" w:hAnsi="Times New Roman" w:eastAsia="宋体" w:cs="Times New Roman"/>
                      <w:color w:val="auto"/>
                      <w:szCs w:val="21"/>
                      <w:lang w:eastAsia="zh-CN"/>
                    </w:rPr>
                    <w:t>；西厂界执行</w:t>
                  </w:r>
                  <w:r>
                    <w:rPr>
                      <w:rFonts w:hint="default" w:ascii="Times New Roman" w:hAnsi="Times New Roman" w:eastAsia="宋体" w:cs="Times New Roman"/>
                      <w:color w:val="auto"/>
                      <w:szCs w:val="21"/>
                    </w:rPr>
                    <w:t>《工业企业厂界环境噪声排放标准》（GB</w:t>
                  </w:r>
                  <w:r>
                    <w:rPr>
                      <w:rFonts w:hint="eastAsia" w:cs="Times New Roman"/>
                      <w:color w:val="auto"/>
                      <w:szCs w:val="21"/>
                      <w:lang w:eastAsia="zh-CN"/>
                    </w:rPr>
                    <w:t>*****</w:t>
                  </w:r>
                  <w:r>
                    <w:rPr>
                      <w:rFonts w:hint="default" w:ascii="Times New Roman" w:hAnsi="Times New Roman" w:eastAsia="宋体" w:cs="Times New Roman"/>
                      <w:color w:val="auto"/>
                      <w:szCs w:val="21"/>
                    </w:rPr>
                    <w:t>-2008）</w:t>
                  </w:r>
                  <w:r>
                    <w:rPr>
                      <w:rFonts w:hint="default" w:ascii="Times New Roman" w:hAnsi="Times New Roman" w:eastAsia="宋体" w:cs="Times New Roman"/>
                      <w:color w:val="auto"/>
                      <w:szCs w:val="21"/>
                      <w:lang w:val="en-US" w:eastAsia="zh-CN"/>
                    </w:rPr>
                    <w:t>4类标准。</w:t>
                  </w:r>
                </w:p>
              </w:tc>
            </w:tr>
          </w:tbl>
          <w:p>
            <w:pPr>
              <w:pStyle w:val="53"/>
              <w:ind w:left="0" w:leftChars="0" w:firstLine="0" w:firstLineChars="0"/>
              <w:rPr>
                <w:rFonts w:hint="default" w:ascii="Times New Roman" w:hAnsi="Times New Roman" w:cs="Times New Roman"/>
                <w:color w:val="auto"/>
                <w:szCs w:val="24"/>
                <w:lang w:val="en-US" w:eastAsia="zh-CN"/>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p>
            <w:pPr>
              <w:pStyle w:val="53"/>
              <w:ind w:left="0" w:leftChars="0" w:firstLine="0" w:firstLineChars="0"/>
              <w:rPr>
                <w:rFonts w:hint="default" w:ascii="Times New Roman" w:hAnsi="Times New Roman" w:eastAsia="宋体" w:cs="Times New Roman"/>
                <w:color w:val="auto"/>
                <w:szCs w:val="24"/>
              </w:rPr>
            </w:pPr>
          </w:p>
        </w:tc>
      </w:tr>
    </w:tbl>
    <w:p>
      <w:pPr>
        <w:spacing w:line="360" w:lineRule="auto"/>
        <w:jc w:val="left"/>
        <w:outlineLvl w:val="0"/>
        <w:rPr>
          <w:rFonts w:hint="default" w:ascii="Times New Roman" w:hAnsi="Times New Roman" w:eastAsia="宋体"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rPr>
        <w:t>五、环境保护措施监督检查清单</w:t>
      </w:r>
    </w:p>
    <w:tbl>
      <w:tblPr>
        <w:tblStyle w:val="2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567"/>
        <w:gridCol w:w="851"/>
        <w:gridCol w:w="1580"/>
        <w:gridCol w:w="3039"/>
        <w:gridCol w:w="1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pPr>
              <w:keepNext w:val="0"/>
              <w:keepLines w:val="0"/>
              <w:pageBreakBefore w:val="0"/>
              <w:kinsoku/>
              <w:wordWrap/>
              <w:topLinePunct w:val="0"/>
              <w:autoSpaceDE/>
              <w:autoSpaceDN/>
              <w:bidi w:val="0"/>
              <w:snapToGrid/>
              <w:spacing w:line="36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2268" w:type="dxa"/>
            <w:gridSpan w:val="3"/>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排放口（编号、名称）/污染源</w:t>
            </w:r>
          </w:p>
        </w:tc>
        <w:tc>
          <w:tcPr>
            <w:tcW w:w="158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3039"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1663"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850"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挤出、注塑车间</w:t>
            </w:r>
          </w:p>
        </w:tc>
        <w:tc>
          <w:tcPr>
            <w:tcW w:w="567"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挤出和塑化</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项目针对</w:t>
            </w:r>
            <w:r>
              <w:rPr>
                <w:rFonts w:hint="default" w:ascii="Times New Roman" w:hAnsi="Times New Roman" w:eastAsia="宋体" w:cs="Times New Roman"/>
                <w:color w:val="auto"/>
                <w:sz w:val="21"/>
                <w:szCs w:val="21"/>
                <w:lang w:eastAsia="zh-CN"/>
              </w:rPr>
              <w:t>挤出塑化</w:t>
            </w:r>
            <w:r>
              <w:rPr>
                <w:rFonts w:hint="default" w:ascii="Times New Roman" w:hAnsi="Times New Roman" w:cs="Times New Roman"/>
                <w:color w:val="auto"/>
                <w:sz w:val="21"/>
                <w:szCs w:val="21"/>
                <w:lang w:eastAsia="zh-CN"/>
              </w:rPr>
              <w:t>工序废气</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整改后，</w:t>
            </w:r>
            <w:r>
              <w:rPr>
                <w:rFonts w:hint="default" w:ascii="Times New Roman" w:hAnsi="Times New Roman" w:eastAsia="宋体" w:cs="Times New Roman"/>
                <w:color w:val="auto"/>
                <w:sz w:val="21"/>
                <w:szCs w:val="21"/>
              </w:rPr>
              <w:t>项目拟对</w:t>
            </w:r>
            <w:r>
              <w:rPr>
                <w:rFonts w:hint="default" w:ascii="Times New Roman" w:hAnsi="Times New Roman" w:eastAsia="宋体" w:cs="Times New Roman"/>
                <w:color w:val="auto"/>
                <w:sz w:val="21"/>
                <w:szCs w:val="21"/>
                <w:lang w:eastAsia="zh-CN"/>
              </w:rPr>
              <w:t>挤出、注塑</w:t>
            </w:r>
            <w:r>
              <w:rPr>
                <w:rFonts w:hint="default" w:ascii="Times New Roman" w:hAnsi="Times New Roman" w:eastAsia="宋体" w:cs="Times New Roman"/>
                <w:color w:val="auto"/>
                <w:sz w:val="21"/>
                <w:szCs w:val="21"/>
              </w:rPr>
              <w:t>工序</w:t>
            </w:r>
            <w:r>
              <w:rPr>
                <w:rFonts w:hint="default" w:ascii="Times New Roman" w:hAnsi="Times New Roman" w:eastAsia="宋体" w:cs="Times New Roman"/>
                <w:color w:val="auto"/>
                <w:sz w:val="21"/>
                <w:szCs w:val="21"/>
                <w:lang w:eastAsia="zh-CN"/>
              </w:rPr>
              <w:t>出口</w:t>
            </w:r>
            <w:r>
              <w:rPr>
                <w:rFonts w:hint="default" w:ascii="Times New Roman" w:hAnsi="Times New Roman" w:eastAsia="宋体" w:cs="Times New Roman"/>
                <w:color w:val="auto"/>
                <w:sz w:val="21"/>
                <w:szCs w:val="21"/>
              </w:rPr>
              <w:t>进行封闭，并设置集气罩，将</w:t>
            </w:r>
            <w:r>
              <w:rPr>
                <w:rFonts w:hint="default" w:ascii="Times New Roman" w:hAnsi="Times New Roman" w:cs="Times New Roman"/>
                <w:color w:val="auto"/>
                <w:sz w:val="21"/>
                <w:szCs w:val="21"/>
                <w:lang w:val="en-US" w:eastAsia="zh-CN"/>
              </w:rPr>
              <w:t>有机废气（以</w:t>
            </w:r>
            <w:r>
              <w:rPr>
                <w:rFonts w:hint="default" w:ascii="Times New Roman" w:hAnsi="Times New Roman" w:eastAsia="宋体" w:cs="Times New Roman"/>
                <w:color w:val="auto"/>
                <w:sz w:val="21"/>
                <w:szCs w:val="21"/>
                <w:lang w:eastAsia="zh-CN"/>
              </w:rPr>
              <w:t>非甲烷总烃</w:t>
            </w:r>
            <w:r>
              <w:rPr>
                <w:rFonts w:hint="default" w:ascii="Times New Roman" w:hAnsi="Times New Roman" w:cs="Times New Roman"/>
                <w:color w:val="auto"/>
                <w:sz w:val="21"/>
                <w:szCs w:val="21"/>
                <w:lang w:eastAsia="zh-CN"/>
              </w:rPr>
              <w:t>计</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进行统一收集后，通过1台</w:t>
            </w:r>
            <w:r>
              <w:rPr>
                <w:rFonts w:hint="default" w:ascii="Times New Roman" w:hAnsi="Times New Roman" w:eastAsia="宋体" w:cs="Times New Roman"/>
                <w:color w:val="auto"/>
                <w:sz w:val="21"/>
                <w:szCs w:val="21"/>
                <w:lang w:eastAsia="zh-CN"/>
              </w:rPr>
              <w:t>有机废气处理装置</w:t>
            </w:r>
            <w:r>
              <w:rPr>
                <w:rFonts w:hint="default" w:ascii="Times New Roman" w:hAnsi="Times New Roman" w:eastAsia="宋体" w:cs="Times New Roman"/>
                <w:color w:val="auto"/>
                <w:sz w:val="21"/>
                <w:szCs w:val="21"/>
              </w:rPr>
              <w:t>进行处理，并经过1根Φ0.3m、高15m的排气筒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DA001</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外排；集气罩集气效率为</w:t>
            </w:r>
            <w:r>
              <w:rPr>
                <w:rFonts w:hint="default" w:ascii="Times New Roman" w:hAnsi="Times New Roman" w:eastAsia="宋体" w:cs="Times New Roman"/>
                <w:color w:val="auto"/>
                <w:sz w:val="21"/>
                <w:szCs w:val="21"/>
                <w:lang w:val="en-US" w:eastAsia="zh-CN"/>
              </w:rPr>
              <w:t>80</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有机废气处理装置处理</w:t>
            </w:r>
            <w:r>
              <w:rPr>
                <w:rFonts w:hint="default" w:ascii="Times New Roman" w:hAnsi="Times New Roman" w:eastAsia="宋体" w:cs="Times New Roman"/>
                <w:color w:val="auto"/>
                <w:sz w:val="21"/>
                <w:szCs w:val="21"/>
              </w:rPr>
              <w:t>效率为</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w:t>
            </w:r>
          </w:p>
        </w:tc>
        <w:tc>
          <w:tcPr>
            <w:tcW w:w="1663"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制药工业大气污染物排放标准</w:t>
            </w:r>
            <w:r>
              <w:rPr>
                <w:rFonts w:hint="default" w:ascii="Times New Roman" w:hAnsi="Times New Roman" w:eastAsia="宋体" w:cs="Times New Roman"/>
                <w:color w:val="auto"/>
                <w:sz w:val="21"/>
                <w:szCs w:val="21"/>
              </w:rPr>
              <w:t>》（GB</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2019</w:t>
            </w: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1中有组织排放</w:t>
            </w:r>
            <w:r>
              <w:rPr>
                <w:rFonts w:hint="default" w:ascii="Times New Roman" w:hAnsi="Times New Roman" w:eastAsia="宋体" w:cs="Times New Roman"/>
                <w:color w:val="auto"/>
                <w:sz w:val="21"/>
                <w:szCs w:val="21"/>
              </w:rPr>
              <w:t>标准限值</w:t>
            </w:r>
            <w:r>
              <w:rPr>
                <w:rFonts w:hint="default" w:ascii="Times New Roman" w:hAnsi="Times New Roman" w:cs="Times New Roman"/>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567"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851"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无组织</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Cs w:val="21"/>
                <w:lang w:val="en-US" w:eastAsia="zh-CN"/>
              </w:rPr>
              <w:t>未收集部分</w:t>
            </w:r>
            <w:r>
              <w:rPr>
                <w:rFonts w:hint="default" w:ascii="Times New Roman" w:hAnsi="Times New Roman" w:eastAsia="宋体" w:cs="Times New Roman"/>
                <w:color w:val="auto"/>
                <w:sz w:val="21"/>
                <w:szCs w:val="21"/>
                <w:lang w:val="en-US" w:eastAsia="zh-CN"/>
              </w:rPr>
              <w:t>经生产车间内新风净化系统（风量约35000m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/h）抽至一楼通过5μm初效过滤器过滤+1μm中效过滤器过滤+0.05μm高效过滤器过滤+活性炭吸附（处理效率为75%）处理后，呈无组织排放</w:t>
            </w:r>
            <w:r>
              <w:rPr>
                <w:rFonts w:hint="default" w:ascii="Times New Roman" w:hAnsi="Times New Roman" w:cs="Times New Roman"/>
                <w:color w:val="auto"/>
                <w:sz w:val="21"/>
                <w:szCs w:val="21"/>
                <w:lang w:val="en-US" w:eastAsia="zh-CN"/>
              </w:rPr>
              <w:t>。</w:t>
            </w:r>
          </w:p>
        </w:tc>
        <w:tc>
          <w:tcPr>
            <w:tcW w:w="1663"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企业边界</w:t>
            </w:r>
            <w:r>
              <w:rPr>
                <w:rFonts w:hint="default" w:ascii="Times New Roman" w:hAnsi="Times New Roman" w:eastAsia="宋体" w:cs="Times New Roman"/>
                <w:color w:val="auto"/>
                <w:sz w:val="21"/>
                <w:szCs w:val="21"/>
              </w:rPr>
              <w:t>无组织排放粉尘</w:t>
            </w:r>
            <w:r>
              <w:rPr>
                <w:rFonts w:hint="default" w:ascii="Times New Roman" w:hAnsi="Times New Roman" w:eastAsia="宋体" w:cs="Times New Roman"/>
                <w:color w:val="auto"/>
                <w:sz w:val="21"/>
                <w:szCs w:val="21"/>
                <w:lang w:eastAsia="zh-CN"/>
              </w:rPr>
              <w:t>及非甲烷总烃执行</w:t>
            </w:r>
            <w:r>
              <w:rPr>
                <w:rFonts w:hint="default" w:ascii="Times New Roman" w:hAnsi="Times New Roman" w:eastAsia="宋体" w:cs="Times New Roman"/>
                <w:color w:val="auto"/>
                <w:sz w:val="21"/>
                <w:szCs w:val="21"/>
              </w:rPr>
              <w:t>《大气污染物综合排放标准》（GB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-1996）表2</w:t>
            </w:r>
            <w:r>
              <w:rPr>
                <w:rFonts w:hint="default" w:ascii="Times New Roman" w:hAnsi="Times New Roman" w:eastAsia="宋体" w:cs="Times New Roman"/>
                <w:color w:val="auto"/>
                <w:sz w:val="21"/>
                <w:szCs w:val="21"/>
                <w:lang w:eastAsia="zh-CN"/>
              </w:rPr>
              <w:t>中无组织</w:t>
            </w:r>
            <w:r>
              <w:rPr>
                <w:rFonts w:hint="default" w:ascii="Times New Roman" w:hAnsi="Times New Roman" w:eastAsia="宋体" w:cs="Times New Roman"/>
                <w:color w:val="auto"/>
                <w:sz w:val="21"/>
                <w:szCs w:val="21"/>
              </w:rPr>
              <w:t>标准；</w:t>
            </w:r>
            <w:r>
              <w:rPr>
                <w:rFonts w:hint="default" w:ascii="Times New Roman" w:hAnsi="Times New Roman" w:eastAsia="宋体" w:cs="Times New Roman"/>
                <w:color w:val="auto"/>
                <w:sz w:val="21"/>
                <w:szCs w:val="21"/>
                <w:lang w:eastAsia="zh-CN"/>
              </w:rPr>
              <w:t>厂区内无组织排放的非甲烷总烃执行</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制药工业大气污染物排放标准</w:t>
            </w:r>
            <w:r>
              <w:rPr>
                <w:rFonts w:hint="default" w:ascii="Times New Roman" w:hAnsi="Times New Roman" w:eastAsia="宋体" w:cs="Times New Roman"/>
                <w:color w:val="auto"/>
                <w:sz w:val="21"/>
                <w:szCs w:val="21"/>
              </w:rPr>
              <w:t>》（GB</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2019</w:t>
            </w:r>
            <w:r>
              <w:rPr>
                <w:rFonts w:hint="default" w:ascii="Times New Roman" w:hAnsi="Times New Roman" w:eastAsia="宋体" w:cs="Times New Roman"/>
                <w:color w:val="auto"/>
                <w:sz w:val="21"/>
                <w:szCs w:val="21"/>
              </w:rPr>
              <w:t>）中附录</w:t>
            </w:r>
            <w:r>
              <w:rPr>
                <w:rFonts w:hint="default" w:ascii="Times New Roman" w:hAnsi="Times New Roman" w:cs="Times New Roman"/>
                <w:color w:val="auto"/>
                <w:sz w:val="21"/>
                <w:szCs w:val="21"/>
                <w:lang w:val="en-US" w:eastAsia="zh-CN"/>
              </w:rPr>
              <w:t>C</w:t>
            </w:r>
            <w:r>
              <w:rPr>
                <w:rFonts w:hint="default" w:ascii="Times New Roman" w:hAnsi="Times New Roman" w:eastAsia="宋体" w:cs="Times New Roman"/>
                <w:color w:val="auto"/>
                <w:sz w:val="21"/>
                <w:szCs w:val="21"/>
              </w:rPr>
              <w:t>的排放限值</w:t>
            </w:r>
            <w:r>
              <w:rPr>
                <w:rFonts w:hint="default" w:ascii="Times New Roman" w:hAnsi="Times New Roman" w:eastAsia="宋体" w:cs="Times New Roman"/>
                <w:color w:val="auto"/>
                <w:sz w:val="21"/>
                <w:szCs w:val="21"/>
                <w:lang w:eastAsia="zh-CN"/>
              </w:rPr>
              <w:t>；各生产线</w:t>
            </w:r>
            <w:r>
              <w:rPr>
                <w:rFonts w:hint="default" w:ascii="Times New Roman" w:hAnsi="Times New Roman" w:eastAsia="宋体" w:cs="Times New Roman"/>
                <w:color w:val="auto"/>
                <w:sz w:val="21"/>
                <w:szCs w:val="21"/>
              </w:rPr>
              <w:t>产生的异味（臭气浓度）</w:t>
            </w:r>
            <w:r>
              <w:rPr>
                <w:rFonts w:hint="default" w:ascii="Times New Roman" w:hAnsi="Times New Roman" w:eastAsia="宋体" w:cs="Times New Roman"/>
                <w:color w:val="auto"/>
                <w:sz w:val="21"/>
                <w:szCs w:val="21"/>
                <w:lang w:eastAsia="zh-CN"/>
              </w:rPr>
              <w:t>均执行</w:t>
            </w:r>
            <w:r>
              <w:rPr>
                <w:rFonts w:hint="default" w:ascii="Times New Roman" w:hAnsi="Times New Roman" w:eastAsia="宋体" w:cs="Times New Roman"/>
                <w:color w:val="auto"/>
                <w:sz w:val="21"/>
                <w:szCs w:val="21"/>
              </w:rPr>
              <w:t>《恶臭污染物排放标准》（GB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-93）中无组织二级排放标准</w:t>
            </w:r>
            <w:r>
              <w:rPr>
                <w:rFonts w:hint="default" w:ascii="Times New Roman" w:hAnsi="Times New Roman" w:cs="Times New Roman"/>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567"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851"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恶臭</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0" w:hRule="atLeast"/>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棉签生产车间</w:t>
            </w:r>
          </w:p>
        </w:tc>
        <w:tc>
          <w:tcPr>
            <w:tcW w:w="567"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棉条输送</w:t>
            </w:r>
          </w:p>
        </w:tc>
        <w:tc>
          <w:tcPr>
            <w:tcW w:w="851"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粉尘</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生产车间设置1台风量为2000m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/h的抽风机，将产生的棉絮90%吸收至收集袋中，由于项目生产车间密闭性较强，棉絮不易外逸，剩余10%棉絮中在车间内自由沉降，车间清洁时清扫后当固体废物委托环卫清运。</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567"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棉签烘干</w:t>
            </w:r>
          </w:p>
        </w:tc>
        <w:tc>
          <w:tcPr>
            <w:tcW w:w="851"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项目生产车间均按照洁净车间设计，净化级别为10万级，正常生产时门窗紧闭，通风换气均采用新风净化系统，超声波焊接产生的非甲烷总烃经生产车间内新风净化系统（风量约88000m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 xml:space="preserve"> /h）抽至二楼通过5μm初效过滤器过滤+1μm中效过滤器过滤+0.05μm高效过滤器过滤+活性炭吸附（处理效率为75%）处理后，呈无组织排放。</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567"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851"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恶臭</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口罩生产车间</w:t>
            </w:r>
          </w:p>
        </w:tc>
        <w:tc>
          <w:tcPr>
            <w:tcW w:w="567"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口罩焊接</w:t>
            </w:r>
          </w:p>
        </w:tc>
        <w:tc>
          <w:tcPr>
            <w:tcW w:w="851" w:type="dxa"/>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无组织</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非甲烷总烃</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项目生产车间均按照洁净车间设计，净化级别为10万级，正常生产时门窗紧闭，通风换气均采用新风净化系统，超声波焊接产生的非甲烷总烃经生产车间内新风净化系统（风量约88000m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/h）抽至二楼通过5μm初效过滤器过滤+1μm中效过滤器过滤+0.05μm高效过滤器过滤+活性炭吸附（处理效率为75%）处理后，呈无组织排放</w:t>
            </w:r>
            <w:r>
              <w:rPr>
                <w:rFonts w:hint="default" w:ascii="Times New Roman" w:hAnsi="Times New Roman" w:cs="Times New Roman"/>
                <w:color w:val="auto"/>
                <w:sz w:val="21"/>
                <w:szCs w:val="21"/>
                <w:lang w:val="en-US" w:eastAsia="zh-CN"/>
              </w:rPr>
              <w:t>。</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p>
        </w:tc>
        <w:tc>
          <w:tcPr>
            <w:tcW w:w="567"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851"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恶臭</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灭菌生产线</w:t>
            </w:r>
          </w:p>
        </w:tc>
        <w:tc>
          <w:tcPr>
            <w:tcW w:w="567" w:type="dxa"/>
            <w:vAlign w:val="center"/>
          </w:tcPr>
          <w:p>
            <w:pPr>
              <w:pStyle w:val="45"/>
              <w:keepNext w:val="0"/>
              <w:keepLines w:val="0"/>
              <w:pageBreakBefore w:val="0"/>
              <w:kinsoku/>
              <w:wordWrap/>
              <w:topLinePunct w:val="0"/>
              <w:autoSpaceDE/>
              <w:autoSpaceDN/>
              <w:bidi w:val="0"/>
              <w:snapToGrid/>
              <w:spacing w:line="360" w:lineRule="exact"/>
              <w:jc w:val="both"/>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eastAsia="zh-CN"/>
              </w:rPr>
              <w:t>灭菌、解析</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无组织</w:t>
            </w:r>
          </w:p>
        </w:tc>
        <w:tc>
          <w:tcPr>
            <w:tcW w:w="1580" w:type="dxa"/>
            <w:vAlign w:val="center"/>
          </w:tcPr>
          <w:p>
            <w:pPr>
              <w:pStyle w:val="45"/>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eastAsia="zh-CN"/>
              </w:rPr>
              <w:t>非甲烷总烃</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lang w:val="en-US" w:eastAsia="zh-CN" w:bidi="ar"/>
              </w:rPr>
              <w:t>整改后，</w:t>
            </w:r>
            <w:r>
              <w:rPr>
                <w:rFonts w:hint="default" w:ascii="Times New Roman" w:hAnsi="Times New Roman" w:eastAsia="宋体" w:cs="Times New Roman"/>
                <w:color w:val="auto"/>
                <w:kern w:val="0"/>
                <w:sz w:val="21"/>
                <w:szCs w:val="21"/>
                <w:lang w:val="en-US" w:eastAsia="zh-CN" w:bidi="ar"/>
              </w:rPr>
              <w:t>建设单位拟采用稀硫酸喷淋吸收工艺处理，此废气处理系统对环氧乙烷的吸收效率约99%，经处理达标后无组织排放。</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厨房</w:t>
            </w:r>
          </w:p>
        </w:tc>
        <w:tc>
          <w:tcPr>
            <w:tcW w:w="567"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厨房油烟</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项目区厨房已安装了1台</w:t>
            </w:r>
            <w:r>
              <w:rPr>
                <w:rFonts w:hint="default" w:ascii="Times New Roman" w:hAnsi="Times New Roman" w:eastAsia="宋体" w:cs="Times New Roman"/>
                <w:color w:val="auto"/>
                <w:sz w:val="21"/>
                <w:szCs w:val="21"/>
                <w:lang w:eastAsia="zh-CN"/>
              </w:rPr>
              <w:t>油烟净化器</w:t>
            </w:r>
            <w:r>
              <w:rPr>
                <w:rFonts w:hint="default" w:ascii="Times New Roman" w:hAnsi="Times New Roman" w:eastAsia="宋体" w:cs="Times New Roman"/>
                <w:color w:val="auto"/>
                <w:sz w:val="21"/>
                <w:szCs w:val="21"/>
              </w:rPr>
              <w:t>，其油烟处理效率不低于60%。</w:t>
            </w:r>
          </w:p>
        </w:tc>
        <w:tc>
          <w:tcPr>
            <w:tcW w:w="1663" w:type="dxa"/>
            <w:vMerge w:val="continue"/>
            <w:tcBorders>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417"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地面清洗废水</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不外排</w:t>
            </w:r>
          </w:p>
        </w:tc>
        <w:tc>
          <w:tcPr>
            <w:tcW w:w="1580" w:type="dxa"/>
            <w:vAlign w:val="center"/>
          </w:tcPr>
          <w:p>
            <w:pPr>
              <w:pStyle w:val="45"/>
              <w:keepNext w:val="0"/>
              <w:keepLines w:val="0"/>
              <w:pageBreakBefore w:val="0"/>
              <w:kinsoku/>
              <w:wordWrap/>
              <w:topLinePunct w:val="0"/>
              <w:autoSpaceDE/>
              <w:autoSpaceDN/>
              <w:bidi w:val="0"/>
              <w:snapToGrid/>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pH、CODcr、BOD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w:t>
            </w:r>
          </w:p>
        </w:tc>
        <w:tc>
          <w:tcPr>
            <w:tcW w:w="3039"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纯水设备浓排水、理化室实验器皿初次清洗废水之后的清洗废水、生产车间、办公区域等地面清洁废水经化粪池（容积7m³）预处理后进入一体化污水处理设施（处理能力7m³）处理；</w:t>
            </w:r>
            <w:r>
              <w:rPr>
                <w:rFonts w:hint="default" w:ascii="Times New Roman" w:hAnsi="Times New Roman" w:eastAsia="宋体" w:cs="Times New Roman"/>
                <w:color w:val="auto"/>
                <w:sz w:val="21"/>
                <w:szCs w:val="21"/>
              </w:rPr>
              <w:t>项目厨房废水先经1m³的隔油池</w:t>
            </w:r>
            <w:r>
              <w:rPr>
                <w:rFonts w:hint="default" w:ascii="Times New Roman" w:hAnsi="Times New Roman" w:eastAsia="宋体" w:cs="Times New Roman"/>
                <w:color w:val="auto"/>
                <w:sz w:val="21"/>
                <w:szCs w:val="21"/>
                <w:lang w:eastAsia="zh-CN"/>
              </w:rPr>
              <w:t>处理后</w:t>
            </w:r>
            <w:r>
              <w:rPr>
                <w:rFonts w:hint="default" w:ascii="Times New Roman" w:hAnsi="Times New Roman" w:eastAsia="宋体" w:cs="Times New Roman"/>
                <w:color w:val="auto"/>
                <w:sz w:val="21"/>
                <w:szCs w:val="21"/>
              </w:rPr>
              <w:t>和其他生活污水一起进入一个有效容积</w:t>
            </w:r>
            <w:r>
              <w:rPr>
                <w:rFonts w:hint="default" w:ascii="Times New Roman" w:hAnsi="Times New Roman" w:cs="Times New Roman"/>
                <w:color w:val="auto"/>
                <w:sz w:val="21"/>
                <w:szCs w:val="21"/>
                <w:lang w:eastAsia="zh-CN"/>
              </w:rPr>
              <w:t>为</w:t>
            </w:r>
            <w:r>
              <w:rPr>
                <w:rFonts w:hint="default" w:ascii="Times New Roman" w:hAnsi="Times New Roman" w:eastAsia="宋体" w:cs="Times New Roman"/>
                <w:color w:val="auto"/>
                <w:sz w:val="21"/>
                <w:szCs w:val="21"/>
              </w:rPr>
              <w:t>7m³的化粪池预处理</w:t>
            </w:r>
            <w:r>
              <w:rPr>
                <w:rFonts w:hint="default" w:ascii="Times New Roman" w:hAnsi="Times New Roman" w:eastAsia="宋体" w:cs="Times New Roman"/>
                <w:color w:val="auto"/>
                <w:sz w:val="21"/>
                <w:szCs w:val="21"/>
                <w:lang w:eastAsia="zh-CN"/>
              </w:rPr>
              <w:t>，预处理后经</w:t>
            </w:r>
            <w:r>
              <w:rPr>
                <w:rFonts w:hint="default" w:ascii="Times New Roman" w:hAnsi="Times New Roman" w:eastAsia="宋体" w:cs="Times New Roman"/>
                <w:color w:val="auto"/>
                <w:sz w:val="21"/>
                <w:szCs w:val="21"/>
              </w:rPr>
              <w:t>1套处理能力为</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m³/d的一体化污水处理</w:t>
            </w:r>
            <w:r>
              <w:rPr>
                <w:rFonts w:hint="default" w:ascii="Times New Roman" w:hAnsi="Times New Roman" w:eastAsia="宋体" w:cs="Times New Roman"/>
                <w:color w:val="auto"/>
                <w:sz w:val="21"/>
                <w:szCs w:val="21"/>
                <w:lang w:eastAsia="zh-CN"/>
              </w:rPr>
              <w:t>设施处理。</w:t>
            </w:r>
            <w:r>
              <w:rPr>
                <w:rFonts w:hint="default" w:ascii="Times New Roman" w:hAnsi="Times New Roman" w:eastAsia="宋体" w:cs="Times New Roman"/>
                <w:color w:val="auto"/>
                <w:sz w:val="21"/>
                <w:szCs w:val="21"/>
              </w:rPr>
              <w:t>根据调查，目前项目区域还未配套建成市政污水管网，因此本项目排水拟按近期（污水管网建成前）和远期（污水管网建成后）考虑。</w:t>
            </w:r>
          </w:p>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近期（</w:t>
            </w:r>
            <w:r>
              <w:rPr>
                <w:rFonts w:hint="default" w:ascii="Times New Roman" w:hAnsi="Times New Roman" w:eastAsia="宋体" w:cs="Times New Roman"/>
                <w:color w:val="auto"/>
                <w:sz w:val="21"/>
                <w:szCs w:val="21"/>
                <w:lang w:eastAsia="zh-CN"/>
              </w:rPr>
              <w:t>污水管网</w:t>
            </w:r>
            <w:r>
              <w:rPr>
                <w:rFonts w:hint="default" w:ascii="Times New Roman" w:hAnsi="Times New Roman" w:eastAsia="宋体" w:cs="Times New Roman"/>
                <w:color w:val="auto"/>
                <w:sz w:val="21"/>
                <w:szCs w:val="21"/>
              </w:rPr>
              <w:t>建成前），项目产生的生活污水通过隔油池、化粪池和一体化污水处理设施处理后，可达到《城市污水再生利用 城市杂用水水质》（GB/T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 xml:space="preserve"> -2020）城市绿化标准，回用于绿化不外排；远期（</w:t>
            </w:r>
            <w:r>
              <w:rPr>
                <w:rFonts w:hint="default" w:ascii="Times New Roman" w:hAnsi="Times New Roman" w:eastAsia="宋体" w:cs="Times New Roman"/>
                <w:color w:val="auto"/>
                <w:sz w:val="21"/>
                <w:szCs w:val="21"/>
                <w:lang w:eastAsia="zh-CN"/>
              </w:rPr>
              <w:t>污水管网</w:t>
            </w:r>
            <w:r>
              <w:rPr>
                <w:rFonts w:hint="default" w:ascii="Times New Roman" w:hAnsi="Times New Roman" w:eastAsia="宋体" w:cs="Times New Roman"/>
                <w:color w:val="auto"/>
                <w:sz w:val="21"/>
                <w:szCs w:val="21"/>
              </w:rPr>
              <w:t>建成后），项目产生的生活污水通过隔油池、化粪池预处理后，可达到《污水排入城镇下水道水质标准》（GB/T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-2015）表1 A级标准，进入东川区城市污水处理厂集中处理。</w:t>
            </w:r>
          </w:p>
        </w:tc>
        <w:tc>
          <w:tcPr>
            <w:tcW w:w="1663"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近期：</w:t>
            </w:r>
            <w:r>
              <w:rPr>
                <w:rFonts w:hint="default" w:ascii="Times New Roman" w:hAnsi="Times New Roman" w:eastAsia="宋体" w:cs="Times New Roman"/>
                <w:color w:val="auto"/>
                <w:sz w:val="21"/>
                <w:szCs w:val="21"/>
              </w:rPr>
              <w:t>《城市污水再生利用 城市杂用水水质》（GB/T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 xml:space="preserve"> -2020）城市绿化标准</w:t>
            </w:r>
            <w:r>
              <w:rPr>
                <w:rFonts w:hint="default" w:ascii="Times New Roman" w:hAnsi="Times New Roman" w:eastAsia="宋体" w:cs="Times New Roman"/>
                <w:color w:val="auto"/>
                <w:sz w:val="21"/>
                <w:szCs w:val="21"/>
                <w:lang w:eastAsia="zh-CN"/>
              </w:rPr>
              <w:t>；远期</w:t>
            </w:r>
            <w:r>
              <w:rPr>
                <w:rFonts w:hint="default" w:ascii="Times New Roman" w:hAnsi="Times New Roman" w:eastAsia="宋体" w:cs="Times New Roman"/>
                <w:color w:val="auto"/>
                <w:sz w:val="21"/>
                <w:szCs w:val="21"/>
              </w:rPr>
              <w:t>《污水排入城镇下水道水质标准》（GB/T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-2015）表1 A级标准</w:t>
            </w:r>
            <w:r>
              <w:rPr>
                <w:rFonts w:hint="default" w:ascii="Times New Roman" w:hAnsi="Times New Roman" w:cs="Times New Roman"/>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1417"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生活污水</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不外排</w:t>
            </w:r>
          </w:p>
        </w:tc>
        <w:tc>
          <w:tcPr>
            <w:tcW w:w="1580" w:type="dxa"/>
            <w:vAlign w:val="center"/>
          </w:tcPr>
          <w:p>
            <w:pPr>
              <w:pStyle w:val="45"/>
              <w:keepNext w:val="0"/>
              <w:keepLines w:val="0"/>
              <w:pageBreakBefore w:val="0"/>
              <w:kinsoku/>
              <w:wordWrap/>
              <w:topLinePunct w:val="0"/>
              <w:autoSpaceDE/>
              <w:autoSpaceDN/>
              <w:bidi w:val="0"/>
              <w:snapToGrid/>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生活污水（pH、CODcr、BOD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-N、TN、TP、阴离子表面活性剂、分大肠菌群数）</w:t>
            </w: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1417"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实验设备首次清洗之后的清洗废水</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不外排</w:t>
            </w:r>
          </w:p>
        </w:tc>
        <w:tc>
          <w:tcPr>
            <w:tcW w:w="1580" w:type="dxa"/>
            <w:vAlign w:val="center"/>
          </w:tcPr>
          <w:p>
            <w:pPr>
              <w:pStyle w:val="45"/>
              <w:keepNext w:val="0"/>
              <w:keepLines w:val="0"/>
              <w:pageBreakBefore w:val="0"/>
              <w:kinsoku/>
              <w:wordWrap/>
              <w:topLinePunct w:val="0"/>
              <w:autoSpaceDE/>
              <w:autoSpaceDN/>
              <w:bidi w:val="0"/>
              <w:snapToGrid/>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无机物成分、CODcr、BOD5、SS 等</w:t>
            </w: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1417" w:type="dxa"/>
            <w:gridSpan w:val="2"/>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纯水制备排水</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不外排</w:t>
            </w:r>
          </w:p>
        </w:tc>
        <w:tc>
          <w:tcPr>
            <w:tcW w:w="158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钙、镁盐类</w:t>
            </w: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tcBorders>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1417" w:type="dxa"/>
            <w:gridSpan w:val="2"/>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初期雨水</w:t>
            </w: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不外排</w:t>
            </w:r>
          </w:p>
        </w:tc>
        <w:tc>
          <w:tcPr>
            <w:tcW w:w="158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CODcr，</w:t>
            </w:r>
            <w:r>
              <w:rPr>
                <w:rFonts w:hint="default" w:ascii="Times New Roman" w:hAnsi="Times New Roman" w:eastAsia="宋体" w:cs="Times New Roman"/>
                <w:color w:val="auto"/>
                <w:sz w:val="21"/>
                <w:szCs w:val="21"/>
                <w:lang w:val="en-US" w:eastAsia="zh-CN"/>
              </w:rPr>
              <w:t>SS</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拟配套设置了1个10m³的初期雨水收集池，该初期雨水收集池位于项目区</w:t>
            </w:r>
            <w:r>
              <w:rPr>
                <w:rFonts w:hint="default" w:ascii="Times New Roman" w:hAnsi="Times New Roman" w:eastAsia="宋体" w:cs="Times New Roman"/>
                <w:color w:val="auto"/>
                <w:sz w:val="21"/>
                <w:szCs w:val="21"/>
                <w:lang w:eastAsia="zh-CN"/>
              </w:rPr>
              <w:t>西</w:t>
            </w:r>
            <w:r>
              <w:rPr>
                <w:rFonts w:hint="default" w:ascii="Times New Roman" w:hAnsi="Times New Roman" w:eastAsia="宋体" w:cs="Times New Roman"/>
                <w:color w:val="auto"/>
                <w:sz w:val="21"/>
                <w:szCs w:val="21"/>
              </w:rPr>
              <w:t>侧地势较低处，对整个厂区的初期雨水进行收集沉淀处理后，回用用于项目区绿化，不外排</w:t>
            </w:r>
            <w:r>
              <w:rPr>
                <w:rFonts w:hint="default" w:ascii="Times New Roman" w:hAnsi="Times New Roman" w:cs="Times New Roman"/>
                <w:color w:val="auto"/>
                <w:sz w:val="21"/>
                <w:szCs w:val="21"/>
                <w:lang w:eastAsia="zh-CN"/>
              </w:rPr>
              <w:t>。</w:t>
            </w:r>
          </w:p>
        </w:tc>
        <w:tc>
          <w:tcPr>
            <w:tcW w:w="1663" w:type="dxa"/>
            <w:tcBorders>
              <w:top w:val="single" w:color="auto" w:sz="4" w:space="0"/>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1417" w:type="dxa"/>
            <w:gridSpan w:val="2"/>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lang w:val="en-US"/>
              </w:rPr>
            </w:pPr>
          </w:p>
        </w:tc>
        <w:tc>
          <w:tcPr>
            <w:tcW w:w="851"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雨水口</w:t>
            </w:r>
          </w:p>
        </w:tc>
        <w:tc>
          <w:tcPr>
            <w:tcW w:w="1580" w:type="dxa"/>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雨水</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雨水外排。</w:t>
            </w:r>
          </w:p>
        </w:tc>
        <w:tc>
          <w:tcPr>
            <w:tcW w:w="1663" w:type="dxa"/>
            <w:tcBorders>
              <w:top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850"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snapToGrid w:val="0"/>
                <w:color w:val="auto"/>
                <w:kern w:val="32"/>
                <w:sz w:val="21"/>
                <w:szCs w:val="21"/>
                <w:lang w:val="zh-CN"/>
              </w:rPr>
              <w:t>管类医疗器械生产</w:t>
            </w: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注塑机</w:t>
            </w:r>
          </w:p>
        </w:tc>
        <w:tc>
          <w:tcPr>
            <w:tcW w:w="1580"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LeqdB（A）</w:t>
            </w:r>
          </w:p>
        </w:tc>
        <w:tc>
          <w:tcPr>
            <w:tcW w:w="3039"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设备安装减震垫、消声器、墙体阻隔等。</w:t>
            </w:r>
          </w:p>
        </w:tc>
        <w:tc>
          <w:tcPr>
            <w:tcW w:w="1663"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在北厂界、</w:t>
            </w:r>
            <w:r>
              <w:rPr>
                <w:rFonts w:hint="default" w:ascii="Times New Roman" w:hAnsi="Times New Roman" w:eastAsia="宋体" w:cs="Times New Roman"/>
                <w:color w:val="auto"/>
                <w:sz w:val="21"/>
                <w:szCs w:val="21"/>
                <w:lang w:eastAsia="zh-CN"/>
              </w:rPr>
              <w:t>南</w:t>
            </w:r>
            <w:r>
              <w:rPr>
                <w:rFonts w:hint="default" w:ascii="Times New Roman" w:hAnsi="Times New Roman" w:eastAsia="宋体" w:cs="Times New Roman"/>
                <w:color w:val="auto"/>
                <w:sz w:val="21"/>
                <w:szCs w:val="21"/>
              </w:rPr>
              <w:t>厂界、东厂界</w:t>
            </w:r>
            <w:r>
              <w:rPr>
                <w:rFonts w:hint="default" w:ascii="Times New Roman" w:hAnsi="Times New Roman" w:eastAsia="宋体" w:cs="Times New Roman"/>
                <w:color w:val="auto"/>
                <w:sz w:val="21"/>
                <w:szCs w:val="21"/>
                <w:lang w:eastAsia="zh-CN"/>
              </w:rPr>
              <w:t>执行</w:t>
            </w:r>
            <w:r>
              <w:rPr>
                <w:rFonts w:hint="default" w:ascii="Times New Roman" w:hAnsi="Times New Roman" w:eastAsia="宋体" w:cs="Times New Roman"/>
                <w:color w:val="auto"/>
                <w:sz w:val="21"/>
                <w:szCs w:val="21"/>
              </w:rPr>
              <w:t>(GB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 xml:space="preserve"> -2008)《工业企业厂界环境噪声排放标准》2类标准，</w:t>
            </w:r>
            <w:r>
              <w:rPr>
                <w:rFonts w:hint="default" w:ascii="Times New Roman" w:hAnsi="Times New Roman" w:eastAsia="宋体" w:cs="Times New Roman"/>
                <w:color w:val="auto"/>
                <w:sz w:val="21"/>
                <w:szCs w:val="21"/>
                <w:lang w:eastAsia="zh-CN"/>
              </w:rPr>
              <w:t>西</w:t>
            </w: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执行</w:t>
            </w:r>
            <w:r>
              <w:rPr>
                <w:rFonts w:hint="default" w:ascii="Times New Roman" w:hAnsi="Times New Roman" w:eastAsia="宋体" w:cs="Times New Roman"/>
                <w:color w:val="auto"/>
                <w:sz w:val="21"/>
                <w:szCs w:val="21"/>
              </w:rPr>
              <w:t>(GB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-2008)《工业企业厂界环境噪声排放标准》4类标准。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粉料机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highlight w:val="none"/>
                <w:vertAlign w:val="baseline"/>
                <w:lang w:val="en-US" w:eastAsia="zh-CN"/>
              </w:rPr>
              <w:t>塑料挤出机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vertAlign w:val="baseline"/>
                <w:lang w:val="en-US" w:eastAsia="zh-CN"/>
              </w:rPr>
              <w:t>折叠机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lang w:val="en-US" w:eastAsia="zh-CN"/>
              </w:rPr>
              <w:t>医用包装机（软膜）</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棉签机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自动台式快速塑料封口机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滚切输液贴包装机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 w:val="0"/>
                <w:bCs w:val="0"/>
                <w:color w:val="auto"/>
                <w:sz w:val="21"/>
                <w:szCs w:val="21"/>
                <w:lang w:val="en-US" w:eastAsia="zh-CN"/>
              </w:rPr>
              <w:t>雅娜点焊机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tcBorders>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压胶机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restart"/>
            <w:tcBorders>
              <w:top w:val="single" w:color="auto" w:sz="4" w:space="0"/>
            </w:tcBorders>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snapToGrid w:val="0"/>
                <w:color w:val="auto"/>
                <w:kern w:val="32"/>
                <w:sz w:val="21"/>
                <w:szCs w:val="21"/>
                <w:lang w:val="zh-CN"/>
              </w:rPr>
              <w:t>无纺布类医疗器械生产</w:t>
            </w:r>
          </w:p>
        </w:tc>
        <w:tc>
          <w:tcPr>
            <w:tcW w:w="1418" w:type="dxa"/>
            <w:gridSpan w:val="2"/>
            <w:tcBorders>
              <w:bottom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平缝机</w:t>
            </w:r>
          </w:p>
        </w:tc>
        <w:tc>
          <w:tcPr>
            <w:tcW w:w="1580"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LeqdB（A）</w:t>
            </w:r>
          </w:p>
        </w:tc>
        <w:tc>
          <w:tcPr>
            <w:tcW w:w="3039"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rPr>
              <w:t>设备安装减震垫、消声器、墙体阻隔等。</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top"/>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tcBorders>
              <w:top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四线缝纫机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超声波花边机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自动铺布机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智能喷涂胶机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电剪刀</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平面一体口罩机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垫单包装机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全自动无纺布鞋套制造机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highlight w:val="none"/>
                <w:vertAlign w:val="baseline"/>
                <w:lang w:val="en-US" w:eastAsia="zh-CN"/>
              </w:rPr>
              <w:t>全自动无纺布帽子制造机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智能真空包装机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自动台式快速塑料封口机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有色印字封口机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封口机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灭菌生产线</w:t>
            </w: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en-US" w:eastAsia="zh-CN"/>
              </w:rPr>
              <w:t>环氧乙烷灭菌柜</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restart"/>
            <w:vAlign w:val="top"/>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新风净化系统</w:t>
            </w: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灭菌控制台</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组合式空调机组</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储运</w:t>
            </w: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zh-CN" w:eastAsia="zh-CN"/>
              </w:rPr>
              <w:t>原料暂存区</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850"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循环水冷却系统</w:t>
            </w:r>
          </w:p>
        </w:tc>
        <w:tc>
          <w:tcPr>
            <w:tcW w:w="1418" w:type="dxa"/>
            <w:gridSpan w:val="2"/>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sz w:val="21"/>
                <w:szCs w:val="21"/>
                <w:lang w:val="zh-CN" w:eastAsia="zh-CN"/>
              </w:rPr>
              <w:t>冷却水塔</w:t>
            </w:r>
          </w:p>
        </w:tc>
        <w:tc>
          <w:tcPr>
            <w:tcW w:w="1580"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kern w:val="0"/>
                <w:sz w:val="21"/>
                <w:szCs w:val="21"/>
              </w:rPr>
            </w:pP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2268" w:type="dxa"/>
            <w:gridSpan w:val="3"/>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原料堆存区</w:t>
            </w:r>
          </w:p>
        </w:tc>
        <w:tc>
          <w:tcPr>
            <w:tcW w:w="1580" w:type="dxa"/>
            <w:tcBorders>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边角料、废包装袋、废包装盒、废纸箱、不合格产品</w:t>
            </w:r>
          </w:p>
        </w:tc>
        <w:tc>
          <w:tcPr>
            <w:tcW w:w="3039" w:type="dxa"/>
            <w:tcBorders>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收集后定时外售相关回收单位处理。</w:t>
            </w:r>
          </w:p>
        </w:tc>
        <w:tc>
          <w:tcPr>
            <w:tcW w:w="1663"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处置率为100%</w:t>
            </w:r>
            <w:r>
              <w:rPr>
                <w:rFonts w:hint="default" w:ascii="Times New Roman" w:hAnsi="Times New Roman" w:eastAsia="宋体" w:cs="Times New Roman"/>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tcBorders>
              <w:top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棉签生产</w:t>
            </w:r>
          </w:p>
        </w:tc>
        <w:tc>
          <w:tcPr>
            <w:tcW w:w="1580" w:type="dxa"/>
            <w:tcBorders>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棉絮</w:t>
            </w:r>
          </w:p>
        </w:tc>
        <w:tc>
          <w:tcPr>
            <w:tcW w:w="3039" w:type="dxa"/>
            <w:tcBorders>
              <w:top w:val="single" w:color="auto" w:sz="4" w:space="0"/>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tcBorders>
              <w:bottom w:val="single" w:color="000000" w:themeColor="text1"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实验室</w:t>
            </w:r>
          </w:p>
        </w:tc>
        <w:tc>
          <w:tcPr>
            <w:tcW w:w="1580" w:type="dxa"/>
            <w:tcBorders>
              <w:bottom w:val="single" w:color="000000" w:themeColor="text1" w:sz="4" w:space="0"/>
            </w:tcBorders>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实验一般固体废物：破碎玻璃器皿、废培养基</w:t>
            </w:r>
          </w:p>
        </w:tc>
        <w:tc>
          <w:tcPr>
            <w:tcW w:w="3039" w:type="dxa"/>
            <w:tcBorders>
              <w:top w:val="single" w:color="auto" w:sz="4" w:space="0"/>
              <w:bottom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纯水制备</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 xml:space="preserve">纯水机设备更换的废活性炭、废离子交换树脂、废石英砂 </w:t>
            </w:r>
          </w:p>
        </w:tc>
        <w:tc>
          <w:tcPr>
            <w:tcW w:w="3039" w:type="dxa"/>
            <w:tcBorders>
              <w:top w:val="single" w:color="auto" w:sz="4" w:space="0"/>
            </w:tcBorders>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Merge w:val="restart"/>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员工生活</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委托环卫部门定期清运处置。</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餐厨废物</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委托有资质的单位进行处置</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隔油池浮油</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委托有资质的单位进行清理和处置</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Merge w:val="continue"/>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污水处理设施污泥</w:t>
            </w:r>
          </w:p>
        </w:tc>
        <w:tc>
          <w:tcPr>
            <w:tcW w:w="3039" w:type="dxa"/>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委托环卫部门清运处理</w:t>
            </w: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实验室</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实验废液、实验器皿初次清洗高浓度废水</w:t>
            </w:r>
          </w:p>
        </w:tc>
        <w:tc>
          <w:tcPr>
            <w:tcW w:w="3039" w:type="dxa"/>
            <w:vMerge w:val="restart"/>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委托有资质单位清运处理。</w:t>
            </w:r>
          </w:p>
        </w:tc>
        <w:tc>
          <w:tcPr>
            <w:tcW w:w="1663" w:type="dxa"/>
            <w:vMerge w:val="restart"/>
            <w:vAlign w:val="center"/>
          </w:tcPr>
          <w:p>
            <w:pPr>
              <w:pStyle w:val="45"/>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满足</w:t>
            </w:r>
            <w:r>
              <w:rPr>
                <w:rFonts w:hint="default" w:ascii="Times New Roman" w:hAnsi="Times New Roman" w:cs="Times New Roman"/>
                <w:color w:val="auto"/>
                <w:sz w:val="21"/>
                <w:szCs w:val="21"/>
                <w:lang w:eastAsia="zh-CN"/>
              </w:rPr>
              <w:t>《危险废物贮存污染控制标准》（GB</w:t>
            </w:r>
            <w:r>
              <w:rPr>
                <w:rFonts w:hint="eastAsia" w:cs="Times New Roman"/>
                <w:color w:val="auto"/>
                <w:sz w:val="21"/>
                <w:szCs w:val="21"/>
                <w:lang w:eastAsia="zh-CN"/>
              </w:rPr>
              <w:t>*****</w:t>
            </w:r>
            <w:r>
              <w:rPr>
                <w:rFonts w:hint="default" w:ascii="Times New Roman" w:hAnsi="Times New Roman" w:cs="Times New Roman"/>
                <w:color w:val="auto"/>
                <w:sz w:val="21"/>
                <w:szCs w:val="21"/>
                <w:lang w:eastAsia="zh-CN"/>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Align w:val="center"/>
          </w:tcPr>
          <w:p>
            <w:pPr>
              <w:pStyle w:val="45"/>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废气处理</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环氧乙烷吸收废液</w:t>
            </w: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1"/>
                <w:szCs w:val="21"/>
              </w:rPr>
            </w:pPr>
          </w:p>
        </w:tc>
        <w:tc>
          <w:tcPr>
            <w:tcW w:w="2268" w:type="dxa"/>
            <w:gridSpan w:val="3"/>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废气处理</w:t>
            </w:r>
          </w:p>
        </w:tc>
        <w:tc>
          <w:tcPr>
            <w:tcW w:w="1580" w:type="dxa"/>
            <w:vAlign w:val="center"/>
          </w:tcPr>
          <w:p>
            <w:pPr>
              <w:pStyle w:val="45"/>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废活性炭</w:t>
            </w:r>
          </w:p>
        </w:tc>
        <w:tc>
          <w:tcPr>
            <w:tcW w:w="3039"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c>
          <w:tcPr>
            <w:tcW w:w="1663" w:type="dxa"/>
            <w:vMerge w:val="continue"/>
            <w:vAlign w:val="center"/>
          </w:tcPr>
          <w:p>
            <w:pPr>
              <w:pStyle w:val="45"/>
              <w:keepNext w:val="0"/>
              <w:keepLines w:val="0"/>
              <w:pageBreakBefore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8550" w:type="dxa"/>
            <w:gridSpan w:val="6"/>
            <w:vAlign w:val="center"/>
          </w:tcPr>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⑴</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重点防渗区</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bCs/>
                <w:snapToGrid w:val="0"/>
                <w:color w:val="auto"/>
                <w:kern w:val="0"/>
                <w:sz w:val="24"/>
                <w:szCs w:val="24"/>
                <w:lang w:val="zh-CN" w:eastAsia="zh-CN" w:bidi="ar-SA"/>
              </w:rPr>
              <w:t>危险废物暂存间地面及裙角应采取表面防渗措施，表面防渗材料应与所接触的物料或污染物相容，防渗层为至少1m厚黏土层(渗透系数不大于10</w:t>
            </w:r>
            <w:r>
              <w:rPr>
                <w:rFonts w:hint="default" w:ascii="Times New Roman" w:hAnsi="Times New Roman" w:eastAsia="宋体" w:cs="Times New Roman"/>
                <w:bCs/>
                <w:snapToGrid w:val="0"/>
                <w:color w:val="auto"/>
                <w:kern w:val="0"/>
                <w:sz w:val="24"/>
                <w:szCs w:val="24"/>
                <w:vertAlign w:val="superscript"/>
                <w:lang w:val="en-US" w:eastAsia="zh-CN" w:bidi="ar-SA"/>
              </w:rPr>
              <w:t>-7</w:t>
            </w:r>
            <w:r>
              <w:rPr>
                <w:rFonts w:hint="default" w:ascii="Times New Roman" w:hAnsi="Times New Roman" w:eastAsia="宋体" w:cs="Times New Roman"/>
                <w:bCs/>
                <w:snapToGrid w:val="0"/>
                <w:color w:val="auto"/>
                <w:kern w:val="0"/>
                <w:sz w:val="24"/>
                <w:szCs w:val="24"/>
                <w:lang w:val="zh-CN" w:eastAsia="zh-CN" w:bidi="ar-SA"/>
              </w:rPr>
              <w:t>cm/s)，或至少2mm厚高密度聚乙烯膜等人工防渗材料(渗透系数不大于10</w:t>
            </w:r>
            <w:r>
              <w:rPr>
                <w:rFonts w:hint="default" w:ascii="Times New Roman" w:hAnsi="Times New Roman" w:eastAsia="宋体" w:cs="Times New Roman"/>
                <w:bCs/>
                <w:snapToGrid w:val="0"/>
                <w:color w:val="auto"/>
                <w:kern w:val="0"/>
                <w:sz w:val="24"/>
                <w:szCs w:val="24"/>
                <w:vertAlign w:val="superscript"/>
                <w:lang w:val="en-US" w:eastAsia="zh-CN" w:bidi="ar-SA"/>
              </w:rPr>
              <w:t>-10</w:t>
            </w:r>
            <w:r>
              <w:rPr>
                <w:rFonts w:hint="default" w:ascii="Times New Roman" w:hAnsi="Times New Roman" w:eastAsia="宋体" w:cs="Times New Roman"/>
                <w:bCs/>
                <w:snapToGrid w:val="0"/>
                <w:color w:val="auto"/>
                <w:kern w:val="0"/>
                <w:sz w:val="24"/>
                <w:szCs w:val="24"/>
                <w:lang w:val="zh-CN" w:eastAsia="zh-CN" w:bidi="ar-SA"/>
              </w:rPr>
              <w:t>cm/s)，或其他防渗性能等效的材料。</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⑵</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一般防渗区</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根据调查，项目一般防渗区措施在地面采取粘土铺底，并在上层铺30cm的混凝土进行硬化。确保防渗性能，使其渗透系数≤1.0×10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3 \* GB2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⑶</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简单防渗区</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8550" w:type="dxa"/>
            <w:gridSpan w:val="6"/>
            <w:vAlign w:val="center"/>
          </w:tcPr>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环境风险防范措施</w:t>
            </w:r>
          </w:p>
        </w:tc>
        <w:tc>
          <w:tcPr>
            <w:tcW w:w="8550" w:type="dxa"/>
            <w:gridSpan w:val="6"/>
            <w:vAlign w:val="center"/>
          </w:tcPr>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根据该项目环境影响途经，提出以下风险防范措施：</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①生产车间严禁烟火。</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②项目区配备相应品种的消防器材；</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③加强车间原辅材料暂存管理，各种材料应分别存放，应有专人管理，加强防火。</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④严格按照安全、消防部门以及安全预评价的要求存储区出入口处设置消防设备。</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5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⑤</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加强危险物质存储管理，确保其安全；同时规范操作，在取用运输过程，防止其跑冒滴漏。</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⑥强化禁火区域安全管理，严禁烟火，将生产、储存装置区域列为禁火区，区内加强火源管理，严禁吸烟。</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⑦严格按照安全、消防部门以及安全预评价的要求在仓库和存储区出入口处设置消防设备。</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⑧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其他环境管理要求</w:t>
            </w:r>
          </w:p>
        </w:tc>
        <w:tc>
          <w:tcPr>
            <w:tcW w:w="8550" w:type="dxa"/>
            <w:gridSpan w:val="6"/>
            <w:vAlign w:val="center"/>
          </w:tcPr>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①建设单位按照危险废物管理的规范要求，设置危险废物识别标志、环境保护图形标志。</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②要求建设单位制定突发环境事件应急预案，报所在地县级以上环境保护行政主管部门备案并按照预案要求每年组织演练。</w:t>
            </w: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p>
          <w:p>
            <w:pPr>
              <w:pStyle w:val="45"/>
              <w:keepNext w:val="0"/>
              <w:keepLines w:val="0"/>
              <w:pageBreakBefore w:val="0"/>
              <w:widowControl/>
              <w:kinsoku/>
              <w:wordWrap/>
              <w:overflowPunct w:val="0"/>
              <w:topLinePunct w:val="0"/>
              <w:autoSpaceDE/>
              <w:autoSpaceDN/>
              <w:bidi w:val="0"/>
              <w:adjustRightInd w:val="0"/>
              <w:snapToGrid/>
              <w:spacing w:line="360" w:lineRule="auto"/>
              <w:ind w:firstLine="240" w:firstLineChars="100"/>
              <w:jc w:val="both"/>
              <w:textAlignment w:val="baseline"/>
              <w:rPr>
                <w:rFonts w:hint="default" w:ascii="Times New Roman" w:hAnsi="Times New Roman" w:eastAsia="宋体" w:cs="Times New Roman"/>
                <w:color w:val="auto"/>
                <w:sz w:val="24"/>
                <w:szCs w:val="24"/>
              </w:rPr>
            </w:pPr>
          </w:p>
          <w:p>
            <w:pPr>
              <w:pStyle w:val="45"/>
              <w:keepNext w:val="0"/>
              <w:keepLines w:val="0"/>
              <w:pageBreakBefore w:val="0"/>
              <w:widowControl/>
              <w:kinsoku/>
              <w:wordWrap/>
              <w:overflowPunct w:val="0"/>
              <w:topLinePunct w:val="0"/>
              <w:autoSpaceDE/>
              <w:autoSpaceDN/>
              <w:bidi w:val="0"/>
              <w:adjustRightInd w:val="0"/>
              <w:snapToGrid/>
              <w:spacing w:line="360" w:lineRule="auto"/>
              <w:jc w:val="both"/>
              <w:textAlignment w:val="baseline"/>
              <w:rPr>
                <w:rFonts w:hint="default" w:ascii="Times New Roman" w:hAnsi="Times New Roman" w:eastAsia="宋体" w:cs="Times New Roman"/>
                <w:color w:val="auto"/>
                <w:sz w:val="24"/>
                <w:szCs w:val="24"/>
              </w:rPr>
            </w:pPr>
          </w:p>
        </w:tc>
      </w:tr>
    </w:tbl>
    <w:p>
      <w:pPr>
        <w:spacing w:line="360" w:lineRule="auto"/>
        <w:jc w:val="left"/>
        <w:outlineLvl w:val="0"/>
        <w:rPr>
          <w:rFonts w:hint="default" w:ascii="Times New Roman" w:hAnsi="Times New Roman" w:eastAsia="宋体"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rPr>
        <w:t>六、结论</w:t>
      </w:r>
    </w:p>
    <w:tbl>
      <w:tblPr>
        <w:tblStyle w:val="2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云南康帆医疗器械有限公司东川分公司</w:t>
            </w:r>
            <w:r>
              <w:rPr>
                <w:rFonts w:hint="default" w:ascii="Times New Roman" w:hAnsi="Times New Roman" w:eastAsia="宋体" w:cs="Times New Roman"/>
                <w:color w:val="auto"/>
                <w:sz w:val="24"/>
                <w:szCs w:val="24"/>
              </w:rPr>
              <w:t>拟建设的</w:t>
            </w:r>
            <w:r>
              <w:rPr>
                <w:rFonts w:hint="default" w:ascii="Times New Roman" w:hAnsi="Times New Roman" w:eastAsia="宋体" w:cs="Times New Roman"/>
                <w:color w:val="auto"/>
                <w:sz w:val="24"/>
                <w:szCs w:val="24"/>
                <w:lang w:eastAsia="zh-CN"/>
              </w:rPr>
              <w:t>云南康帆医疗器械有限公司东川分公司一类、二类医疗器械生产线建设项目</w:t>
            </w:r>
            <w:r>
              <w:rPr>
                <w:rFonts w:hint="default" w:ascii="Times New Roman" w:hAnsi="Times New Roman" w:eastAsia="宋体" w:cs="Times New Roman"/>
                <w:color w:val="auto"/>
                <w:sz w:val="24"/>
                <w:szCs w:val="24"/>
              </w:rPr>
              <w:t>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p>
            <w:pPr>
              <w:spacing w:line="360" w:lineRule="auto"/>
              <w:ind w:firstLine="480" w:firstLineChars="200"/>
              <w:rPr>
                <w:rFonts w:hint="default" w:ascii="Times New Roman" w:hAnsi="Times New Roman" w:eastAsia="宋体" w:cs="Times New Roman"/>
                <w:color w:val="auto"/>
                <w:sz w:val="24"/>
                <w:szCs w:val="24"/>
              </w:rPr>
            </w:pPr>
          </w:p>
        </w:tc>
      </w:tr>
    </w:tbl>
    <w:p>
      <w:pPr>
        <w:spacing w:line="360" w:lineRule="auto"/>
        <w:rPr>
          <w:rFonts w:hint="default" w:ascii="Times New Roman" w:hAnsi="Times New Roman" w:eastAsia="宋体" w:cs="Times New Roman"/>
          <w:color w:val="auto"/>
          <w:sz w:val="24"/>
          <w:szCs w:val="24"/>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hint="default" w:ascii="Times New Roman" w:hAnsi="Times New Roman" w:eastAsia="宋体" w:cs="Times New Roman"/>
          <w:b/>
          <w:color w:val="auto"/>
          <w:sz w:val="28"/>
          <w:szCs w:val="20"/>
        </w:rPr>
      </w:pPr>
      <w:r>
        <w:rPr>
          <w:rFonts w:hint="default" w:ascii="Times New Roman" w:hAnsi="Times New Roman" w:eastAsia="宋体" w:cs="Times New Roman"/>
          <w:b/>
          <w:color w:val="auto"/>
          <w:sz w:val="28"/>
          <w:szCs w:val="20"/>
        </w:rPr>
        <w:t>附表</w:t>
      </w:r>
    </w:p>
    <w:p>
      <w:pPr>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建设项目污染物排放量汇总表</w:t>
      </w:r>
    </w:p>
    <w:tbl>
      <w:tblPr>
        <w:tblStyle w:val="2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项目</w:t>
            </w:r>
          </w:p>
          <w:p>
            <w:pPr>
              <w:spacing w:line="360" w:lineRule="exact"/>
              <w:jc w:val="left"/>
              <w:rPr>
                <w:rFonts w:hint="default" w:ascii="Times New Roman" w:hAnsi="Times New Roman" w:eastAsia="宋体" w:cs="Times New Roman"/>
                <w:color w:val="auto"/>
              </w:rPr>
            </w:pPr>
            <w:r>
              <w:rPr>
                <w:rFonts w:hint="default" w:ascii="Times New Roman" w:hAnsi="Times New Roman" w:eastAsia="宋体" w:cs="Times New Roman"/>
                <w:color w:val="auto"/>
              </w:rPr>
              <w:t>分类</w:t>
            </w:r>
          </w:p>
        </w:tc>
        <w:tc>
          <w:tcPr>
            <w:tcW w:w="2126"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污染物名称</w:t>
            </w:r>
          </w:p>
        </w:tc>
        <w:tc>
          <w:tcPr>
            <w:tcW w:w="1559"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现有工程排放量（固体废物产生量）①</w:t>
            </w:r>
          </w:p>
        </w:tc>
        <w:tc>
          <w:tcPr>
            <w:tcW w:w="1276"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现有工程许可排放量②</w:t>
            </w:r>
          </w:p>
        </w:tc>
        <w:tc>
          <w:tcPr>
            <w:tcW w:w="1701"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在建工程排放量（固体废物产生量）③</w:t>
            </w:r>
          </w:p>
        </w:tc>
        <w:tc>
          <w:tcPr>
            <w:tcW w:w="1828"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本项目排放量（固体废物产生量）④</w:t>
            </w:r>
          </w:p>
        </w:tc>
        <w:tc>
          <w:tcPr>
            <w:tcW w:w="1575"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以新带老削减量（新建项目不填）⑤</w:t>
            </w:r>
          </w:p>
        </w:tc>
        <w:tc>
          <w:tcPr>
            <w:tcW w:w="1842"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本项目建成后全厂排放量（固体废物产生量）⑥</w:t>
            </w:r>
          </w:p>
        </w:tc>
        <w:tc>
          <w:tcPr>
            <w:tcW w:w="1308" w:type="dxa"/>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变化量⑦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非甲烷总烃</w:t>
            </w:r>
            <w:r>
              <w:rPr>
                <w:rFonts w:hint="default" w:ascii="Times New Roman" w:hAnsi="Times New Roman" w:eastAsia="宋体" w:cs="Times New Roman"/>
                <w:color w:val="auto"/>
                <w:szCs w:val="21"/>
              </w:rPr>
              <w:t>（有组织）</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0.057</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0.057</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0.057</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非甲烷总烃</w:t>
            </w:r>
            <w:r>
              <w:rPr>
                <w:rFonts w:hint="default" w:ascii="Times New Roman" w:hAnsi="Times New Roman" w:eastAsia="宋体" w:cs="Times New Roman"/>
                <w:color w:val="auto"/>
                <w:szCs w:val="21"/>
              </w:rPr>
              <w:t>（无组织）</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0.191</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0.191</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0.191</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颗粒物（无组织）</w:t>
            </w:r>
          </w:p>
        </w:tc>
        <w:tc>
          <w:tcPr>
            <w:tcW w:w="1559"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0.001</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0.001</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0.001</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废水</w:t>
            </w: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废水量</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1558.27m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1558.27m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1558.27m</w:t>
            </w:r>
            <w:r>
              <w:rPr>
                <w:rFonts w:hint="default" w:ascii="Times New Roman" w:hAnsi="Times New Roman" w:cs="Times New Roman"/>
                <w:color w:val="auto"/>
                <w:szCs w:val="21"/>
                <w:vertAlign w:val="superscript"/>
                <w:lang w:val="en-US" w:eastAsia="zh-CN"/>
              </w:rPr>
              <w:t>3</w:t>
            </w:r>
            <w:r>
              <w:rPr>
                <w:rFonts w:hint="default" w:ascii="Times New Roman" w:hAnsi="Times New Roman" w:cs="Times New Roman"/>
                <w:color w:val="auto"/>
                <w:szCs w:val="21"/>
                <w:lang w:val="en-US" w:eastAsia="zh-CN"/>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pH</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CODcr</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0.53</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0.53</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0.53</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0.35</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0.35</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0.35</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NH</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-N</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rPr>
            </w:pPr>
            <w:r>
              <w:rPr>
                <w:rFonts w:hint="default" w:ascii="Times New Roman" w:hAnsi="Times New Roman" w:cs="Times New Roman"/>
                <w:color w:val="auto"/>
                <w:szCs w:val="21"/>
                <w:lang w:val="en-US" w:eastAsia="zh-CN"/>
              </w:rPr>
              <w:t>0.07</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0.07</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0.07</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总磷</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0.01</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0.01</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0.01</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悬浮物</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0.55</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0.55</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0.55</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总氮</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0.06</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0.06</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0.06</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阴离子表面活性剂</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0.02</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0.02</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0.02</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eastAsia="宋体" w:cs="Times New Roman"/>
                <w:color w:val="auto"/>
              </w:rPr>
            </w:pPr>
          </w:p>
        </w:tc>
        <w:tc>
          <w:tcPr>
            <w:tcW w:w="2126" w:type="dxa"/>
            <w:vAlign w:val="center"/>
          </w:tcPr>
          <w:p>
            <w:pPr>
              <w:pStyle w:val="45"/>
              <w:spacing w:line="360" w:lineRule="exac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动植物油</w:t>
            </w:r>
          </w:p>
        </w:tc>
        <w:tc>
          <w:tcPr>
            <w:tcW w:w="1559"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0.06</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0.06</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0.06</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一般工业固废</w:t>
            </w: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废包装材料</w:t>
            </w:r>
            <w:r>
              <w:rPr>
                <w:rFonts w:hint="default" w:ascii="Times New Roman" w:hAnsi="Times New Roman" w:eastAsia="宋体" w:cs="Times New Roman"/>
                <w:color w:val="auto"/>
                <w:szCs w:val="21"/>
                <w:lang w:eastAsia="zh-CN"/>
              </w:rPr>
              <w:t>、边角料、不合格产品</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2.5</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val="en-US" w:eastAsia="zh-CN"/>
              </w:rPr>
              <w:t>2.5</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2.5</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实验固废（废培养基、废玻璃器皿）</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0.4</w:t>
            </w:r>
            <w:r>
              <w:rPr>
                <w:rFonts w:hint="default" w:ascii="Times New Roman" w:hAnsi="Times New Roman" w:eastAsia="宋体" w:cs="Times New Roman"/>
                <w:color w:val="auto"/>
                <w:szCs w:val="21"/>
              </w:rPr>
              <w:t>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val="en-US" w:eastAsia="zh-CN"/>
              </w:rPr>
              <w:t>0.4</w:t>
            </w:r>
            <w:r>
              <w:rPr>
                <w:rFonts w:hint="default" w:ascii="Times New Roman" w:hAnsi="Times New Roman" w:eastAsia="宋体" w:cs="Times New Roman"/>
                <w:color w:val="auto"/>
                <w:szCs w:val="21"/>
              </w:rPr>
              <w:t>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0.4</w:t>
            </w:r>
            <w:r>
              <w:rPr>
                <w:rFonts w:hint="default" w:ascii="Times New Roman" w:hAnsi="Times New Roman" w:eastAsia="宋体" w:cs="Times New Roman"/>
                <w:color w:val="auto"/>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纯水制备固废（废树脂、废石英砂）</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0.05t</w:t>
            </w:r>
            <w:r>
              <w:rPr>
                <w:rFonts w:hint="default" w:ascii="Times New Roman" w:hAnsi="Times New Roman" w:eastAsia="宋体" w:cs="Times New Roman"/>
                <w:color w:val="auto"/>
                <w:szCs w:val="21"/>
              </w:rPr>
              <w: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Cs w:val="21"/>
                <w:lang w:val="en-US" w:eastAsia="zh-CN"/>
              </w:rPr>
              <w:t>0.05t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0.05t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棉絮</w:t>
            </w:r>
          </w:p>
        </w:tc>
        <w:tc>
          <w:tcPr>
            <w:tcW w:w="1559"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0.001t</w:t>
            </w:r>
            <w:r>
              <w:rPr>
                <w:rFonts w:hint="default" w:ascii="Times New Roman" w:hAnsi="Times New Roman" w:eastAsia="宋体" w:cs="Times New Roman"/>
                <w:color w:val="auto"/>
                <w:szCs w:val="21"/>
              </w:rPr>
              <w:t>/a</w:t>
            </w:r>
          </w:p>
        </w:tc>
        <w:tc>
          <w:tcPr>
            <w:tcW w:w="15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Cs w:val="21"/>
                <w:lang w:val="en-US" w:eastAsia="zh-CN"/>
              </w:rPr>
              <w:t>0.001t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0.001t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 w:val="21"/>
                <w:szCs w:val="21"/>
              </w:rPr>
              <w:t>生活垃圾</w:t>
            </w:r>
          </w:p>
        </w:tc>
        <w:tc>
          <w:tcPr>
            <w:tcW w:w="1559"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10.5</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5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10.5</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10.5</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Cs w:val="21"/>
                <w:lang w:eastAsia="zh-CN"/>
              </w:rPr>
            </w:pPr>
            <w:r>
              <w:rPr>
                <w:rFonts w:hint="default" w:ascii="Times New Roman" w:hAnsi="Times New Roman" w:eastAsia="宋体" w:cs="Times New Roman"/>
                <w:b w:val="0"/>
                <w:bCs/>
                <w:color w:val="auto"/>
                <w:sz w:val="21"/>
                <w:szCs w:val="21"/>
              </w:rPr>
              <w:t>餐厨废物</w:t>
            </w:r>
            <w:r>
              <w:rPr>
                <w:rFonts w:hint="default" w:ascii="Times New Roman" w:hAnsi="Times New Roman" w:eastAsia="宋体" w:cs="Times New Roman"/>
                <w:b w:val="0"/>
                <w:bCs/>
                <w:color w:val="auto"/>
                <w:sz w:val="21"/>
                <w:szCs w:val="21"/>
                <w:lang w:eastAsia="zh-CN"/>
              </w:rPr>
              <w:t>（泔水）</w:t>
            </w:r>
          </w:p>
        </w:tc>
        <w:tc>
          <w:tcPr>
            <w:tcW w:w="1559"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4.05</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5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4.05</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4.05</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Cs w:val="21"/>
                <w:lang w:eastAsia="zh-CN"/>
              </w:rPr>
            </w:pPr>
            <w:r>
              <w:rPr>
                <w:rFonts w:hint="default" w:ascii="Times New Roman" w:hAnsi="Times New Roman" w:eastAsia="宋体" w:cs="Times New Roman"/>
                <w:b w:val="0"/>
                <w:bCs/>
                <w:color w:val="auto"/>
                <w:sz w:val="21"/>
                <w:szCs w:val="21"/>
              </w:rPr>
              <w:t>隔油池浮油</w:t>
            </w:r>
          </w:p>
        </w:tc>
        <w:tc>
          <w:tcPr>
            <w:tcW w:w="1559"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0.08</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5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0.08</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0.08</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Cs w:val="21"/>
                <w:lang w:eastAsia="zh-CN"/>
              </w:rPr>
            </w:pPr>
            <w:r>
              <w:rPr>
                <w:rFonts w:hint="default" w:ascii="Times New Roman" w:hAnsi="Times New Roman" w:eastAsia="宋体" w:cs="Times New Roman"/>
                <w:b w:val="0"/>
                <w:bCs/>
                <w:color w:val="auto"/>
                <w:sz w:val="21"/>
                <w:szCs w:val="21"/>
              </w:rPr>
              <w:t>污水处理设施污泥</w:t>
            </w:r>
          </w:p>
        </w:tc>
        <w:tc>
          <w:tcPr>
            <w:tcW w:w="1559"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w:t>
            </w:r>
          </w:p>
        </w:tc>
        <w:tc>
          <w:tcPr>
            <w:tcW w:w="1828" w:type="dxa"/>
            <w:vAlign w:val="center"/>
          </w:tcPr>
          <w:p>
            <w:pPr>
              <w:pStyle w:val="45"/>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1.04</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575" w:type="dxa"/>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1.04</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c>
          <w:tcPr>
            <w:tcW w:w="1308" w:type="dxa"/>
            <w:vAlign w:val="center"/>
          </w:tcPr>
          <w:p>
            <w:pPr>
              <w:pStyle w:val="45"/>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1.04</w:t>
            </w:r>
            <w:r>
              <w:rPr>
                <w:rFonts w:hint="default" w:ascii="Times New Roman" w:hAnsi="Times New Roman" w:eastAsia="宋体" w:cs="Times New Roman"/>
                <w:color w:val="auto"/>
                <w:szCs w:val="21"/>
                <w:lang w:val="en-US" w:eastAsia="zh-CN"/>
              </w:rPr>
              <w:t>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危险废物</w:t>
            </w:r>
          </w:p>
        </w:tc>
        <w:tc>
          <w:tcPr>
            <w:tcW w:w="2126"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实验废液及实验器皿初次清洗高浓度废水</w:t>
            </w:r>
          </w:p>
        </w:tc>
        <w:tc>
          <w:tcPr>
            <w:tcW w:w="1559"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276"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701"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2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0.13t</w:t>
            </w:r>
            <w:r>
              <w:rPr>
                <w:rFonts w:hint="default" w:ascii="Times New Roman" w:hAnsi="Times New Roman" w:eastAsia="宋体" w:cs="Times New Roman"/>
                <w:color w:val="auto"/>
                <w:szCs w:val="21"/>
              </w:rPr>
              <w:t>/a</w:t>
            </w:r>
          </w:p>
        </w:tc>
        <w:tc>
          <w:tcPr>
            <w:tcW w:w="1575"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0.13t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0.13t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环氧乙烷吸收废液</w:t>
            </w:r>
          </w:p>
        </w:tc>
        <w:tc>
          <w:tcPr>
            <w:tcW w:w="1559"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4.19t</w:t>
            </w:r>
            <w:r>
              <w:rPr>
                <w:rFonts w:hint="default" w:ascii="Times New Roman" w:hAnsi="Times New Roman" w:eastAsia="宋体" w:cs="Times New Roman"/>
                <w:color w:val="auto"/>
                <w:szCs w:val="21"/>
              </w:rPr>
              <w:t>/a</w:t>
            </w:r>
          </w:p>
        </w:tc>
        <w:tc>
          <w:tcPr>
            <w:tcW w:w="15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4.19t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4.19t</w:t>
            </w:r>
            <w:r>
              <w:rPr>
                <w:rFonts w:hint="default" w:ascii="Times New Roman" w:hAnsi="Times New Roman" w:eastAsia="宋体" w:cs="Times New Roman"/>
                <w:color w:val="auto"/>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45"/>
              <w:spacing w:line="360" w:lineRule="exact"/>
              <w:rPr>
                <w:rFonts w:hint="default" w:ascii="Times New Roman" w:hAnsi="Times New Roman" w:eastAsia="宋体" w:cs="Times New Roman"/>
                <w:color w:val="auto"/>
                <w:szCs w:val="21"/>
              </w:rPr>
            </w:pPr>
          </w:p>
        </w:tc>
        <w:tc>
          <w:tcPr>
            <w:tcW w:w="2126" w:type="dxa"/>
            <w:vAlign w:val="center"/>
          </w:tcPr>
          <w:p>
            <w:pPr>
              <w:pStyle w:val="45"/>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废活性炭</w:t>
            </w:r>
          </w:p>
        </w:tc>
        <w:tc>
          <w:tcPr>
            <w:tcW w:w="1559"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276"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701"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28"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0.105t</w:t>
            </w:r>
            <w:r>
              <w:rPr>
                <w:rFonts w:hint="default" w:ascii="Times New Roman" w:hAnsi="Times New Roman" w:eastAsia="宋体" w:cs="Times New Roman"/>
                <w:color w:val="auto"/>
                <w:szCs w:val="21"/>
              </w:rPr>
              <w:t>/a</w:t>
            </w:r>
          </w:p>
        </w:tc>
        <w:tc>
          <w:tcPr>
            <w:tcW w:w="1575" w:type="dxa"/>
            <w:vAlign w:val="center"/>
          </w:tcPr>
          <w:p>
            <w:pPr>
              <w:pStyle w:val="45"/>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p>
        </w:tc>
        <w:tc>
          <w:tcPr>
            <w:tcW w:w="1842"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0.105t</w:t>
            </w:r>
            <w:r>
              <w:rPr>
                <w:rFonts w:hint="default" w:ascii="Times New Roman" w:hAnsi="Times New Roman" w:eastAsia="宋体" w:cs="Times New Roman"/>
                <w:color w:val="auto"/>
                <w:szCs w:val="21"/>
              </w:rPr>
              <w:t>/a</w:t>
            </w:r>
          </w:p>
        </w:tc>
        <w:tc>
          <w:tcPr>
            <w:tcW w:w="1308" w:type="dxa"/>
            <w:vAlign w:val="center"/>
          </w:tcPr>
          <w:p>
            <w:pPr>
              <w:pStyle w:val="45"/>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0.105t</w:t>
            </w:r>
            <w:r>
              <w:rPr>
                <w:rFonts w:hint="default" w:ascii="Times New Roman" w:hAnsi="Times New Roman" w:eastAsia="宋体" w:cs="Times New Roman"/>
                <w:color w:val="auto"/>
                <w:szCs w:val="21"/>
              </w:rPr>
              <w:t>/a</w:t>
            </w:r>
          </w:p>
        </w:tc>
      </w:tr>
    </w:tbl>
    <w:p>
      <w:pPr>
        <w:ind w:firstLine="422" w:firstLineChars="200"/>
        <w:jc w:val="left"/>
        <w:rPr>
          <w:rFonts w:hint="default" w:ascii="Times New Roman" w:hAnsi="Times New Roman" w:eastAsia="宋体" w:cs="Times New Roman"/>
          <w:b/>
          <w:color w:val="auto"/>
        </w:rPr>
      </w:pPr>
      <w:r>
        <w:rPr>
          <w:rFonts w:hint="default" w:ascii="Times New Roman" w:hAnsi="Times New Roman" w:eastAsia="宋体" w:cs="Times New Roman"/>
          <w:b/>
          <w:color w:val="auto"/>
        </w:rPr>
        <w:t>注：⑥=①+③+④-⑤；⑦=⑥-①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ikeFont_layou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60</w:t>
    </w:r>
    <w:r>
      <w:rPr>
        <w:rFonts w:ascii="Times New Roman" w:hAnsi="Times New Roman" w:cs="Times New Roman"/>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34EC1"/>
    <w:multiLevelType w:val="singleLevel"/>
    <w:tmpl w:val="10234EC1"/>
    <w:lvl w:ilvl="0" w:tentative="0">
      <w:start w:val="1"/>
      <w:numFmt w:val="decimal"/>
      <w:suff w:val="nothing"/>
      <w:lvlText w:val="%1）"/>
      <w:lvlJc w:val="left"/>
    </w:lvl>
  </w:abstractNum>
  <w:abstractNum w:abstractNumId="1">
    <w:nsid w:val="132D47FD"/>
    <w:multiLevelType w:val="singleLevel"/>
    <w:tmpl w:val="132D47F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1" w:cryptProviderType="rsaFull" w:cryptAlgorithmClass="hash" w:cryptAlgorithmType="typeAny" w:cryptAlgorithmSid="4" w:cryptSpinCount="0" w:hash="4gkL2ZYZYXFTik8rTBxK7e8D2+0=" w:salt="hAhsSKnz290aJmW3Q2FYk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NTY4MzJlOWEwZDIyZDhmZjIyMGUxMmQ0MTAyNTMifQ=="/>
  </w:docVars>
  <w:rsids>
    <w:rsidRoot w:val="0062045F"/>
    <w:rsid w:val="0000037C"/>
    <w:rsid w:val="00001460"/>
    <w:rsid w:val="00001C9A"/>
    <w:rsid w:val="000045FA"/>
    <w:rsid w:val="00010518"/>
    <w:rsid w:val="0001072D"/>
    <w:rsid w:val="00010A49"/>
    <w:rsid w:val="00010CB7"/>
    <w:rsid w:val="00010E27"/>
    <w:rsid w:val="00012C80"/>
    <w:rsid w:val="00013833"/>
    <w:rsid w:val="00020BF9"/>
    <w:rsid w:val="00021721"/>
    <w:rsid w:val="0002285A"/>
    <w:rsid w:val="00031A59"/>
    <w:rsid w:val="00031CBF"/>
    <w:rsid w:val="00032B08"/>
    <w:rsid w:val="000344EF"/>
    <w:rsid w:val="00034809"/>
    <w:rsid w:val="00034BCB"/>
    <w:rsid w:val="00035576"/>
    <w:rsid w:val="00035E53"/>
    <w:rsid w:val="0003626F"/>
    <w:rsid w:val="00040A28"/>
    <w:rsid w:val="00040D99"/>
    <w:rsid w:val="00041527"/>
    <w:rsid w:val="00041801"/>
    <w:rsid w:val="00042762"/>
    <w:rsid w:val="00044769"/>
    <w:rsid w:val="000464AC"/>
    <w:rsid w:val="00046D9B"/>
    <w:rsid w:val="00050973"/>
    <w:rsid w:val="00050E55"/>
    <w:rsid w:val="00052782"/>
    <w:rsid w:val="00052BD5"/>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47CC"/>
    <w:rsid w:val="000874EA"/>
    <w:rsid w:val="000937C3"/>
    <w:rsid w:val="00094A5C"/>
    <w:rsid w:val="000954A9"/>
    <w:rsid w:val="00096181"/>
    <w:rsid w:val="000A300A"/>
    <w:rsid w:val="000A68EF"/>
    <w:rsid w:val="000A6EFE"/>
    <w:rsid w:val="000B04E4"/>
    <w:rsid w:val="000B0C56"/>
    <w:rsid w:val="000B1397"/>
    <w:rsid w:val="000B35C4"/>
    <w:rsid w:val="000B4D8C"/>
    <w:rsid w:val="000B5F10"/>
    <w:rsid w:val="000B6EE8"/>
    <w:rsid w:val="000B7436"/>
    <w:rsid w:val="000B7547"/>
    <w:rsid w:val="000C1A95"/>
    <w:rsid w:val="000C3E43"/>
    <w:rsid w:val="000C536C"/>
    <w:rsid w:val="000D0841"/>
    <w:rsid w:val="000D1B94"/>
    <w:rsid w:val="000D3EE2"/>
    <w:rsid w:val="000D4915"/>
    <w:rsid w:val="000D4A13"/>
    <w:rsid w:val="000D4A25"/>
    <w:rsid w:val="000D4D91"/>
    <w:rsid w:val="000D6CBC"/>
    <w:rsid w:val="000E2BC7"/>
    <w:rsid w:val="000E500A"/>
    <w:rsid w:val="000E6F05"/>
    <w:rsid w:val="000F2BCA"/>
    <w:rsid w:val="000F5394"/>
    <w:rsid w:val="000F5DE9"/>
    <w:rsid w:val="000F6FB2"/>
    <w:rsid w:val="0010241D"/>
    <w:rsid w:val="00103773"/>
    <w:rsid w:val="00106BF5"/>
    <w:rsid w:val="00111F14"/>
    <w:rsid w:val="00113083"/>
    <w:rsid w:val="0011371B"/>
    <w:rsid w:val="00116200"/>
    <w:rsid w:val="00121AAE"/>
    <w:rsid w:val="00122036"/>
    <w:rsid w:val="001250CA"/>
    <w:rsid w:val="00125B5D"/>
    <w:rsid w:val="00126836"/>
    <w:rsid w:val="00127411"/>
    <w:rsid w:val="00127ECB"/>
    <w:rsid w:val="001307E7"/>
    <w:rsid w:val="00134859"/>
    <w:rsid w:val="00135F33"/>
    <w:rsid w:val="00137165"/>
    <w:rsid w:val="00141A1D"/>
    <w:rsid w:val="00146195"/>
    <w:rsid w:val="001463C7"/>
    <w:rsid w:val="00153C72"/>
    <w:rsid w:val="0015464F"/>
    <w:rsid w:val="001603DF"/>
    <w:rsid w:val="001634F6"/>
    <w:rsid w:val="00164D60"/>
    <w:rsid w:val="00167C06"/>
    <w:rsid w:val="0017180C"/>
    <w:rsid w:val="001719D1"/>
    <w:rsid w:val="00171AF4"/>
    <w:rsid w:val="00172750"/>
    <w:rsid w:val="00172D3E"/>
    <w:rsid w:val="001731F9"/>
    <w:rsid w:val="001741B2"/>
    <w:rsid w:val="00174576"/>
    <w:rsid w:val="001750E1"/>
    <w:rsid w:val="00175408"/>
    <w:rsid w:val="001755BC"/>
    <w:rsid w:val="0017574F"/>
    <w:rsid w:val="0017654F"/>
    <w:rsid w:val="00177B07"/>
    <w:rsid w:val="0018006A"/>
    <w:rsid w:val="001801DD"/>
    <w:rsid w:val="0018089D"/>
    <w:rsid w:val="00180DE8"/>
    <w:rsid w:val="00182D5B"/>
    <w:rsid w:val="00182E34"/>
    <w:rsid w:val="00183565"/>
    <w:rsid w:val="00183AD8"/>
    <w:rsid w:val="001864CE"/>
    <w:rsid w:val="00187B44"/>
    <w:rsid w:val="00187D74"/>
    <w:rsid w:val="00193B95"/>
    <w:rsid w:val="00197070"/>
    <w:rsid w:val="001977B7"/>
    <w:rsid w:val="00197A97"/>
    <w:rsid w:val="00197C78"/>
    <w:rsid w:val="001A023F"/>
    <w:rsid w:val="001A0E3E"/>
    <w:rsid w:val="001A6330"/>
    <w:rsid w:val="001A70EF"/>
    <w:rsid w:val="001B071C"/>
    <w:rsid w:val="001B0D06"/>
    <w:rsid w:val="001B0D8D"/>
    <w:rsid w:val="001B3113"/>
    <w:rsid w:val="001B3F75"/>
    <w:rsid w:val="001B4D27"/>
    <w:rsid w:val="001B4F20"/>
    <w:rsid w:val="001C04D4"/>
    <w:rsid w:val="001C0A81"/>
    <w:rsid w:val="001C3FC6"/>
    <w:rsid w:val="001D1DBF"/>
    <w:rsid w:val="001D29FB"/>
    <w:rsid w:val="001D36CB"/>
    <w:rsid w:val="001D3CCB"/>
    <w:rsid w:val="001D49CF"/>
    <w:rsid w:val="001D510D"/>
    <w:rsid w:val="001D7058"/>
    <w:rsid w:val="001E143D"/>
    <w:rsid w:val="001E1551"/>
    <w:rsid w:val="001E1C96"/>
    <w:rsid w:val="001E1D94"/>
    <w:rsid w:val="001E35E6"/>
    <w:rsid w:val="001E5F00"/>
    <w:rsid w:val="001E68D7"/>
    <w:rsid w:val="001E6DE2"/>
    <w:rsid w:val="001E6F65"/>
    <w:rsid w:val="001F03FE"/>
    <w:rsid w:val="001F0A05"/>
    <w:rsid w:val="001F1BDD"/>
    <w:rsid w:val="001F2DED"/>
    <w:rsid w:val="001F348B"/>
    <w:rsid w:val="001F522D"/>
    <w:rsid w:val="001F6029"/>
    <w:rsid w:val="00203A93"/>
    <w:rsid w:val="00203E7C"/>
    <w:rsid w:val="00204DBF"/>
    <w:rsid w:val="0020658A"/>
    <w:rsid w:val="0021020E"/>
    <w:rsid w:val="00220E95"/>
    <w:rsid w:val="002210A0"/>
    <w:rsid w:val="00224AFE"/>
    <w:rsid w:val="002260D6"/>
    <w:rsid w:val="00231750"/>
    <w:rsid w:val="0024363B"/>
    <w:rsid w:val="002449EE"/>
    <w:rsid w:val="00245CA3"/>
    <w:rsid w:val="0024786E"/>
    <w:rsid w:val="00251CD3"/>
    <w:rsid w:val="00252D41"/>
    <w:rsid w:val="00257C11"/>
    <w:rsid w:val="00262006"/>
    <w:rsid w:val="00262823"/>
    <w:rsid w:val="00264DB3"/>
    <w:rsid w:val="002666BE"/>
    <w:rsid w:val="00271EF2"/>
    <w:rsid w:val="002735A4"/>
    <w:rsid w:val="0027451F"/>
    <w:rsid w:val="00275976"/>
    <w:rsid w:val="00275C0C"/>
    <w:rsid w:val="00275CD2"/>
    <w:rsid w:val="00277862"/>
    <w:rsid w:val="002811F7"/>
    <w:rsid w:val="00281AA2"/>
    <w:rsid w:val="00282347"/>
    <w:rsid w:val="00283425"/>
    <w:rsid w:val="00283568"/>
    <w:rsid w:val="00283E7B"/>
    <w:rsid w:val="00287E3E"/>
    <w:rsid w:val="0029185D"/>
    <w:rsid w:val="002931E6"/>
    <w:rsid w:val="002963A7"/>
    <w:rsid w:val="00296512"/>
    <w:rsid w:val="002A1028"/>
    <w:rsid w:val="002A17DA"/>
    <w:rsid w:val="002A1BFA"/>
    <w:rsid w:val="002A1DB1"/>
    <w:rsid w:val="002A1EAA"/>
    <w:rsid w:val="002A736A"/>
    <w:rsid w:val="002A7A00"/>
    <w:rsid w:val="002B2BE4"/>
    <w:rsid w:val="002B40E5"/>
    <w:rsid w:val="002B4C32"/>
    <w:rsid w:val="002B4C95"/>
    <w:rsid w:val="002B5B05"/>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6072"/>
    <w:rsid w:val="002E75FC"/>
    <w:rsid w:val="002F37F6"/>
    <w:rsid w:val="003012BB"/>
    <w:rsid w:val="003015F8"/>
    <w:rsid w:val="0030385F"/>
    <w:rsid w:val="00304186"/>
    <w:rsid w:val="003041C9"/>
    <w:rsid w:val="003049A8"/>
    <w:rsid w:val="00307B81"/>
    <w:rsid w:val="0031189D"/>
    <w:rsid w:val="003121BD"/>
    <w:rsid w:val="00314239"/>
    <w:rsid w:val="00317F26"/>
    <w:rsid w:val="00322356"/>
    <w:rsid w:val="00322DCE"/>
    <w:rsid w:val="00322E15"/>
    <w:rsid w:val="00323170"/>
    <w:rsid w:val="00324099"/>
    <w:rsid w:val="003251CD"/>
    <w:rsid w:val="00325224"/>
    <w:rsid w:val="00327766"/>
    <w:rsid w:val="00332BCA"/>
    <w:rsid w:val="00332E06"/>
    <w:rsid w:val="00340DCE"/>
    <w:rsid w:val="0034317D"/>
    <w:rsid w:val="00344B4D"/>
    <w:rsid w:val="00354B52"/>
    <w:rsid w:val="00361CF9"/>
    <w:rsid w:val="0036211A"/>
    <w:rsid w:val="00364580"/>
    <w:rsid w:val="0036783D"/>
    <w:rsid w:val="00371986"/>
    <w:rsid w:val="00371B13"/>
    <w:rsid w:val="00372641"/>
    <w:rsid w:val="00372FF4"/>
    <w:rsid w:val="003734C4"/>
    <w:rsid w:val="00377A08"/>
    <w:rsid w:val="00377C2B"/>
    <w:rsid w:val="00377DC3"/>
    <w:rsid w:val="003852E6"/>
    <w:rsid w:val="00385DE6"/>
    <w:rsid w:val="00387588"/>
    <w:rsid w:val="003879AF"/>
    <w:rsid w:val="00390401"/>
    <w:rsid w:val="00394E91"/>
    <w:rsid w:val="003A1A97"/>
    <w:rsid w:val="003A2C94"/>
    <w:rsid w:val="003A4F39"/>
    <w:rsid w:val="003A533A"/>
    <w:rsid w:val="003A593B"/>
    <w:rsid w:val="003B149E"/>
    <w:rsid w:val="003B45E6"/>
    <w:rsid w:val="003B69D3"/>
    <w:rsid w:val="003B6B9D"/>
    <w:rsid w:val="003C01B9"/>
    <w:rsid w:val="003C4D0F"/>
    <w:rsid w:val="003D03A2"/>
    <w:rsid w:val="003D15BD"/>
    <w:rsid w:val="003D25E7"/>
    <w:rsid w:val="003D4831"/>
    <w:rsid w:val="003D53DC"/>
    <w:rsid w:val="003D587A"/>
    <w:rsid w:val="003D5E7E"/>
    <w:rsid w:val="003D7B53"/>
    <w:rsid w:val="003D7D56"/>
    <w:rsid w:val="003E0E2B"/>
    <w:rsid w:val="003E1314"/>
    <w:rsid w:val="003E1A39"/>
    <w:rsid w:val="003E1A96"/>
    <w:rsid w:val="003E24A1"/>
    <w:rsid w:val="003E2878"/>
    <w:rsid w:val="003E35D9"/>
    <w:rsid w:val="003E4647"/>
    <w:rsid w:val="003F03B7"/>
    <w:rsid w:val="003F0CB4"/>
    <w:rsid w:val="003F3D80"/>
    <w:rsid w:val="003F4B40"/>
    <w:rsid w:val="003F5310"/>
    <w:rsid w:val="003F6BE4"/>
    <w:rsid w:val="00405DB9"/>
    <w:rsid w:val="00407D01"/>
    <w:rsid w:val="00412056"/>
    <w:rsid w:val="00412CB6"/>
    <w:rsid w:val="00415749"/>
    <w:rsid w:val="004179BC"/>
    <w:rsid w:val="0042165D"/>
    <w:rsid w:val="0042483F"/>
    <w:rsid w:val="0043102C"/>
    <w:rsid w:val="0043268F"/>
    <w:rsid w:val="004329BC"/>
    <w:rsid w:val="004369B4"/>
    <w:rsid w:val="00442410"/>
    <w:rsid w:val="004431BA"/>
    <w:rsid w:val="004459AB"/>
    <w:rsid w:val="00445CD5"/>
    <w:rsid w:val="0045006E"/>
    <w:rsid w:val="004521CF"/>
    <w:rsid w:val="00452A57"/>
    <w:rsid w:val="00452F00"/>
    <w:rsid w:val="00465080"/>
    <w:rsid w:val="004662C7"/>
    <w:rsid w:val="004670AB"/>
    <w:rsid w:val="00471AD5"/>
    <w:rsid w:val="004726FA"/>
    <w:rsid w:val="00476210"/>
    <w:rsid w:val="00477A89"/>
    <w:rsid w:val="00481399"/>
    <w:rsid w:val="00482E80"/>
    <w:rsid w:val="004840C4"/>
    <w:rsid w:val="00484777"/>
    <w:rsid w:val="00486250"/>
    <w:rsid w:val="00490019"/>
    <w:rsid w:val="0049065D"/>
    <w:rsid w:val="0049067C"/>
    <w:rsid w:val="00490ECA"/>
    <w:rsid w:val="004922A1"/>
    <w:rsid w:val="004A0E4C"/>
    <w:rsid w:val="004A1EEA"/>
    <w:rsid w:val="004A21DA"/>
    <w:rsid w:val="004A2FFF"/>
    <w:rsid w:val="004A30C2"/>
    <w:rsid w:val="004A37C5"/>
    <w:rsid w:val="004A42B3"/>
    <w:rsid w:val="004A4DD7"/>
    <w:rsid w:val="004A4E36"/>
    <w:rsid w:val="004A5C36"/>
    <w:rsid w:val="004A7486"/>
    <w:rsid w:val="004A78E1"/>
    <w:rsid w:val="004B47E3"/>
    <w:rsid w:val="004C7D2E"/>
    <w:rsid w:val="004D004C"/>
    <w:rsid w:val="004D07B2"/>
    <w:rsid w:val="004D164D"/>
    <w:rsid w:val="004D2751"/>
    <w:rsid w:val="004D3DA8"/>
    <w:rsid w:val="004D5133"/>
    <w:rsid w:val="004E0B6A"/>
    <w:rsid w:val="004E3F42"/>
    <w:rsid w:val="004F046C"/>
    <w:rsid w:val="004F243F"/>
    <w:rsid w:val="004F5E7C"/>
    <w:rsid w:val="004F79F0"/>
    <w:rsid w:val="004F7D4D"/>
    <w:rsid w:val="004F7ED7"/>
    <w:rsid w:val="00505002"/>
    <w:rsid w:val="00511B6E"/>
    <w:rsid w:val="005123D3"/>
    <w:rsid w:val="005164B3"/>
    <w:rsid w:val="00516F69"/>
    <w:rsid w:val="00522BBF"/>
    <w:rsid w:val="0052679C"/>
    <w:rsid w:val="00527BC5"/>
    <w:rsid w:val="00531AD8"/>
    <w:rsid w:val="00531E5D"/>
    <w:rsid w:val="00533467"/>
    <w:rsid w:val="005340F1"/>
    <w:rsid w:val="005342CF"/>
    <w:rsid w:val="005344D8"/>
    <w:rsid w:val="00534E52"/>
    <w:rsid w:val="00534EF3"/>
    <w:rsid w:val="005356B8"/>
    <w:rsid w:val="00535FDC"/>
    <w:rsid w:val="00536875"/>
    <w:rsid w:val="00540530"/>
    <w:rsid w:val="00542078"/>
    <w:rsid w:val="005420E0"/>
    <w:rsid w:val="00543003"/>
    <w:rsid w:val="00543C10"/>
    <w:rsid w:val="00544F28"/>
    <w:rsid w:val="00547C16"/>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133B"/>
    <w:rsid w:val="00593696"/>
    <w:rsid w:val="00595DFB"/>
    <w:rsid w:val="00595DFF"/>
    <w:rsid w:val="005A040B"/>
    <w:rsid w:val="005A0B8C"/>
    <w:rsid w:val="005A390C"/>
    <w:rsid w:val="005A468F"/>
    <w:rsid w:val="005A4F7F"/>
    <w:rsid w:val="005A7816"/>
    <w:rsid w:val="005A7C25"/>
    <w:rsid w:val="005B19F5"/>
    <w:rsid w:val="005B3F90"/>
    <w:rsid w:val="005B5075"/>
    <w:rsid w:val="005B60E2"/>
    <w:rsid w:val="005C270F"/>
    <w:rsid w:val="005C3240"/>
    <w:rsid w:val="005C358A"/>
    <w:rsid w:val="005C38F9"/>
    <w:rsid w:val="005C4D7D"/>
    <w:rsid w:val="005C5209"/>
    <w:rsid w:val="005C6ECF"/>
    <w:rsid w:val="005C780A"/>
    <w:rsid w:val="005D1BB5"/>
    <w:rsid w:val="005D2878"/>
    <w:rsid w:val="005D2DAC"/>
    <w:rsid w:val="005D40A7"/>
    <w:rsid w:val="005D6D94"/>
    <w:rsid w:val="005D7BF5"/>
    <w:rsid w:val="005E43DF"/>
    <w:rsid w:val="005E7578"/>
    <w:rsid w:val="005F1128"/>
    <w:rsid w:val="005F578D"/>
    <w:rsid w:val="006002DA"/>
    <w:rsid w:val="00606ED5"/>
    <w:rsid w:val="00607B6F"/>
    <w:rsid w:val="00611305"/>
    <w:rsid w:val="00613C50"/>
    <w:rsid w:val="00616F4F"/>
    <w:rsid w:val="00617567"/>
    <w:rsid w:val="006179D4"/>
    <w:rsid w:val="00617A01"/>
    <w:rsid w:val="0062045F"/>
    <w:rsid w:val="0062070A"/>
    <w:rsid w:val="00621929"/>
    <w:rsid w:val="006237D0"/>
    <w:rsid w:val="00623A6B"/>
    <w:rsid w:val="006247CC"/>
    <w:rsid w:val="0063094E"/>
    <w:rsid w:val="00634AB7"/>
    <w:rsid w:val="0063583F"/>
    <w:rsid w:val="00636BF7"/>
    <w:rsid w:val="006379C6"/>
    <w:rsid w:val="00642BBC"/>
    <w:rsid w:val="006432C2"/>
    <w:rsid w:val="00645F0B"/>
    <w:rsid w:val="0064649D"/>
    <w:rsid w:val="006476E9"/>
    <w:rsid w:val="00647C5E"/>
    <w:rsid w:val="00661055"/>
    <w:rsid w:val="00663A36"/>
    <w:rsid w:val="00663F4D"/>
    <w:rsid w:val="006641F1"/>
    <w:rsid w:val="006641FE"/>
    <w:rsid w:val="00664387"/>
    <w:rsid w:val="0066506A"/>
    <w:rsid w:val="00667E93"/>
    <w:rsid w:val="00670600"/>
    <w:rsid w:val="00676107"/>
    <w:rsid w:val="006826C3"/>
    <w:rsid w:val="006826DF"/>
    <w:rsid w:val="00685451"/>
    <w:rsid w:val="0068738A"/>
    <w:rsid w:val="00687932"/>
    <w:rsid w:val="00687D0A"/>
    <w:rsid w:val="006931F8"/>
    <w:rsid w:val="006946BA"/>
    <w:rsid w:val="006952FD"/>
    <w:rsid w:val="006956DC"/>
    <w:rsid w:val="00696D19"/>
    <w:rsid w:val="006A0148"/>
    <w:rsid w:val="006A1718"/>
    <w:rsid w:val="006A2739"/>
    <w:rsid w:val="006A310F"/>
    <w:rsid w:val="006A5256"/>
    <w:rsid w:val="006A7586"/>
    <w:rsid w:val="006B0B30"/>
    <w:rsid w:val="006B30E2"/>
    <w:rsid w:val="006B737C"/>
    <w:rsid w:val="006C0272"/>
    <w:rsid w:val="006C0B93"/>
    <w:rsid w:val="006C1364"/>
    <w:rsid w:val="006C1666"/>
    <w:rsid w:val="006C1910"/>
    <w:rsid w:val="006C1D02"/>
    <w:rsid w:val="006C1F44"/>
    <w:rsid w:val="006C52A7"/>
    <w:rsid w:val="006C58DC"/>
    <w:rsid w:val="006C640B"/>
    <w:rsid w:val="006D05F2"/>
    <w:rsid w:val="006D1F47"/>
    <w:rsid w:val="006D27E3"/>
    <w:rsid w:val="006D3098"/>
    <w:rsid w:val="006D449A"/>
    <w:rsid w:val="006D469B"/>
    <w:rsid w:val="006D4CB8"/>
    <w:rsid w:val="006D4F2D"/>
    <w:rsid w:val="006D7038"/>
    <w:rsid w:val="006D705B"/>
    <w:rsid w:val="006E14D5"/>
    <w:rsid w:val="006E20AC"/>
    <w:rsid w:val="006E20DA"/>
    <w:rsid w:val="006E2C47"/>
    <w:rsid w:val="006E3BBE"/>
    <w:rsid w:val="006E4148"/>
    <w:rsid w:val="006E4BE0"/>
    <w:rsid w:val="006E69D9"/>
    <w:rsid w:val="006E711E"/>
    <w:rsid w:val="006E718D"/>
    <w:rsid w:val="006F1154"/>
    <w:rsid w:val="006F2742"/>
    <w:rsid w:val="006F31A9"/>
    <w:rsid w:val="006F404F"/>
    <w:rsid w:val="006F6817"/>
    <w:rsid w:val="00702658"/>
    <w:rsid w:val="00702A5D"/>
    <w:rsid w:val="00710575"/>
    <w:rsid w:val="00712452"/>
    <w:rsid w:val="0071387B"/>
    <w:rsid w:val="00715081"/>
    <w:rsid w:val="00715A25"/>
    <w:rsid w:val="007205B9"/>
    <w:rsid w:val="00720B5F"/>
    <w:rsid w:val="007224A2"/>
    <w:rsid w:val="00734F3E"/>
    <w:rsid w:val="00736B7D"/>
    <w:rsid w:val="00740A4F"/>
    <w:rsid w:val="007411A2"/>
    <w:rsid w:val="00741802"/>
    <w:rsid w:val="007431C8"/>
    <w:rsid w:val="00745C1E"/>
    <w:rsid w:val="00745F8C"/>
    <w:rsid w:val="00746002"/>
    <w:rsid w:val="00751732"/>
    <w:rsid w:val="00751969"/>
    <w:rsid w:val="00755489"/>
    <w:rsid w:val="0075551E"/>
    <w:rsid w:val="00756F3F"/>
    <w:rsid w:val="00760397"/>
    <w:rsid w:val="007620A6"/>
    <w:rsid w:val="0076339E"/>
    <w:rsid w:val="0076589B"/>
    <w:rsid w:val="00766209"/>
    <w:rsid w:val="00766AE0"/>
    <w:rsid w:val="00766D22"/>
    <w:rsid w:val="0077006B"/>
    <w:rsid w:val="00771B0E"/>
    <w:rsid w:val="00771C0E"/>
    <w:rsid w:val="007721B1"/>
    <w:rsid w:val="007752A9"/>
    <w:rsid w:val="00775FC8"/>
    <w:rsid w:val="007809B0"/>
    <w:rsid w:val="007819FF"/>
    <w:rsid w:val="00785FBC"/>
    <w:rsid w:val="00786705"/>
    <w:rsid w:val="00786DA9"/>
    <w:rsid w:val="0079096A"/>
    <w:rsid w:val="007923CD"/>
    <w:rsid w:val="00793033"/>
    <w:rsid w:val="00793C8B"/>
    <w:rsid w:val="00797D3A"/>
    <w:rsid w:val="007A17E9"/>
    <w:rsid w:val="007A1811"/>
    <w:rsid w:val="007A242F"/>
    <w:rsid w:val="007A4B48"/>
    <w:rsid w:val="007A6586"/>
    <w:rsid w:val="007A702C"/>
    <w:rsid w:val="007B0225"/>
    <w:rsid w:val="007B296B"/>
    <w:rsid w:val="007B5DB7"/>
    <w:rsid w:val="007B6A3A"/>
    <w:rsid w:val="007B741C"/>
    <w:rsid w:val="007B74C2"/>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6736"/>
    <w:rsid w:val="007E6906"/>
    <w:rsid w:val="007E7373"/>
    <w:rsid w:val="007E7AAA"/>
    <w:rsid w:val="007F4217"/>
    <w:rsid w:val="007F4C63"/>
    <w:rsid w:val="007F60A3"/>
    <w:rsid w:val="007F7111"/>
    <w:rsid w:val="007F72CF"/>
    <w:rsid w:val="00800713"/>
    <w:rsid w:val="00802F3C"/>
    <w:rsid w:val="0080313A"/>
    <w:rsid w:val="008037FF"/>
    <w:rsid w:val="00804005"/>
    <w:rsid w:val="00804BBD"/>
    <w:rsid w:val="008104AE"/>
    <w:rsid w:val="0081079E"/>
    <w:rsid w:val="00811780"/>
    <w:rsid w:val="008122FD"/>
    <w:rsid w:val="0081398F"/>
    <w:rsid w:val="00813D79"/>
    <w:rsid w:val="00814387"/>
    <w:rsid w:val="00814FD0"/>
    <w:rsid w:val="00820EEF"/>
    <w:rsid w:val="00824EC0"/>
    <w:rsid w:val="008278FC"/>
    <w:rsid w:val="00827D2F"/>
    <w:rsid w:val="0083260C"/>
    <w:rsid w:val="008400C8"/>
    <w:rsid w:val="00840C93"/>
    <w:rsid w:val="00844558"/>
    <w:rsid w:val="008468FB"/>
    <w:rsid w:val="00847A3B"/>
    <w:rsid w:val="00850DAA"/>
    <w:rsid w:val="0085166B"/>
    <w:rsid w:val="00853681"/>
    <w:rsid w:val="00854B7E"/>
    <w:rsid w:val="00856F5E"/>
    <w:rsid w:val="00857DB7"/>
    <w:rsid w:val="00861F57"/>
    <w:rsid w:val="00862A78"/>
    <w:rsid w:val="0086307C"/>
    <w:rsid w:val="008710F5"/>
    <w:rsid w:val="00872FEB"/>
    <w:rsid w:val="0087341F"/>
    <w:rsid w:val="00873D72"/>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4FAE"/>
    <w:rsid w:val="008C50F0"/>
    <w:rsid w:val="008C5D7B"/>
    <w:rsid w:val="008C67BA"/>
    <w:rsid w:val="008C6990"/>
    <w:rsid w:val="008C7652"/>
    <w:rsid w:val="008D15CE"/>
    <w:rsid w:val="008D164F"/>
    <w:rsid w:val="008D1CB6"/>
    <w:rsid w:val="008D35CB"/>
    <w:rsid w:val="008D35FF"/>
    <w:rsid w:val="008D63D5"/>
    <w:rsid w:val="008D71B5"/>
    <w:rsid w:val="008E150B"/>
    <w:rsid w:val="008E1A9D"/>
    <w:rsid w:val="008E27D6"/>
    <w:rsid w:val="008E375A"/>
    <w:rsid w:val="008E56A4"/>
    <w:rsid w:val="008F34F9"/>
    <w:rsid w:val="008F4139"/>
    <w:rsid w:val="008F4CE6"/>
    <w:rsid w:val="008F5F3E"/>
    <w:rsid w:val="008F74C5"/>
    <w:rsid w:val="008F7660"/>
    <w:rsid w:val="008F7AE0"/>
    <w:rsid w:val="009020D0"/>
    <w:rsid w:val="00903A8B"/>
    <w:rsid w:val="009050A1"/>
    <w:rsid w:val="00913BBF"/>
    <w:rsid w:val="00915356"/>
    <w:rsid w:val="009206AC"/>
    <w:rsid w:val="0092276A"/>
    <w:rsid w:val="009252EF"/>
    <w:rsid w:val="00925E63"/>
    <w:rsid w:val="00927433"/>
    <w:rsid w:val="00927C70"/>
    <w:rsid w:val="00931F67"/>
    <w:rsid w:val="00935E07"/>
    <w:rsid w:val="00936AFA"/>
    <w:rsid w:val="009371D8"/>
    <w:rsid w:val="0093737B"/>
    <w:rsid w:val="00937ACA"/>
    <w:rsid w:val="0094383D"/>
    <w:rsid w:val="00943F90"/>
    <w:rsid w:val="00945C5E"/>
    <w:rsid w:val="0095205D"/>
    <w:rsid w:val="00954268"/>
    <w:rsid w:val="009545F8"/>
    <w:rsid w:val="00955FBB"/>
    <w:rsid w:val="00961096"/>
    <w:rsid w:val="00966221"/>
    <w:rsid w:val="0096793E"/>
    <w:rsid w:val="0097078C"/>
    <w:rsid w:val="0097199A"/>
    <w:rsid w:val="00972136"/>
    <w:rsid w:val="00973DC5"/>
    <w:rsid w:val="00974646"/>
    <w:rsid w:val="0097785B"/>
    <w:rsid w:val="009800F5"/>
    <w:rsid w:val="00981D79"/>
    <w:rsid w:val="00984795"/>
    <w:rsid w:val="00985191"/>
    <w:rsid w:val="00986814"/>
    <w:rsid w:val="00987D4A"/>
    <w:rsid w:val="00992423"/>
    <w:rsid w:val="00994933"/>
    <w:rsid w:val="0099505A"/>
    <w:rsid w:val="00997EBB"/>
    <w:rsid w:val="009A28F3"/>
    <w:rsid w:val="009A570D"/>
    <w:rsid w:val="009A5AE9"/>
    <w:rsid w:val="009A6B88"/>
    <w:rsid w:val="009A7332"/>
    <w:rsid w:val="009A76FF"/>
    <w:rsid w:val="009B0AE9"/>
    <w:rsid w:val="009B4A69"/>
    <w:rsid w:val="009B4CB9"/>
    <w:rsid w:val="009B75EA"/>
    <w:rsid w:val="009B7740"/>
    <w:rsid w:val="009C091A"/>
    <w:rsid w:val="009C166B"/>
    <w:rsid w:val="009C5216"/>
    <w:rsid w:val="009D27CC"/>
    <w:rsid w:val="009D3066"/>
    <w:rsid w:val="009D368A"/>
    <w:rsid w:val="009D41A3"/>
    <w:rsid w:val="009D7B57"/>
    <w:rsid w:val="009E0D00"/>
    <w:rsid w:val="009E1F4B"/>
    <w:rsid w:val="009E20A5"/>
    <w:rsid w:val="009E33D7"/>
    <w:rsid w:val="009E461F"/>
    <w:rsid w:val="009E4666"/>
    <w:rsid w:val="009E4817"/>
    <w:rsid w:val="009E5130"/>
    <w:rsid w:val="009E60A4"/>
    <w:rsid w:val="009E69BE"/>
    <w:rsid w:val="009F0187"/>
    <w:rsid w:val="009F11FE"/>
    <w:rsid w:val="009F1793"/>
    <w:rsid w:val="009F2273"/>
    <w:rsid w:val="009F2D07"/>
    <w:rsid w:val="00A0047A"/>
    <w:rsid w:val="00A05998"/>
    <w:rsid w:val="00A06B38"/>
    <w:rsid w:val="00A07CC8"/>
    <w:rsid w:val="00A100F9"/>
    <w:rsid w:val="00A12BC1"/>
    <w:rsid w:val="00A142CD"/>
    <w:rsid w:val="00A14CAB"/>
    <w:rsid w:val="00A158CC"/>
    <w:rsid w:val="00A16490"/>
    <w:rsid w:val="00A2124A"/>
    <w:rsid w:val="00A22965"/>
    <w:rsid w:val="00A23664"/>
    <w:rsid w:val="00A23BE2"/>
    <w:rsid w:val="00A264E8"/>
    <w:rsid w:val="00A268CC"/>
    <w:rsid w:val="00A27475"/>
    <w:rsid w:val="00A3216E"/>
    <w:rsid w:val="00A324B5"/>
    <w:rsid w:val="00A32548"/>
    <w:rsid w:val="00A32C24"/>
    <w:rsid w:val="00A35FB8"/>
    <w:rsid w:val="00A3685D"/>
    <w:rsid w:val="00A36D83"/>
    <w:rsid w:val="00A378E7"/>
    <w:rsid w:val="00A37D8D"/>
    <w:rsid w:val="00A402CD"/>
    <w:rsid w:val="00A40F4A"/>
    <w:rsid w:val="00A4202F"/>
    <w:rsid w:val="00A4354F"/>
    <w:rsid w:val="00A44C6C"/>
    <w:rsid w:val="00A457BA"/>
    <w:rsid w:val="00A4616E"/>
    <w:rsid w:val="00A46859"/>
    <w:rsid w:val="00A46F3A"/>
    <w:rsid w:val="00A475BE"/>
    <w:rsid w:val="00A528BF"/>
    <w:rsid w:val="00A52AFE"/>
    <w:rsid w:val="00A53A9D"/>
    <w:rsid w:val="00A53DFD"/>
    <w:rsid w:val="00A53E67"/>
    <w:rsid w:val="00A6029B"/>
    <w:rsid w:val="00A67B2E"/>
    <w:rsid w:val="00A707E4"/>
    <w:rsid w:val="00A719DE"/>
    <w:rsid w:val="00A74B4A"/>
    <w:rsid w:val="00A77714"/>
    <w:rsid w:val="00A809E1"/>
    <w:rsid w:val="00A80A3E"/>
    <w:rsid w:val="00A80C65"/>
    <w:rsid w:val="00A853F5"/>
    <w:rsid w:val="00A9041D"/>
    <w:rsid w:val="00A923EE"/>
    <w:rsid w:val="00A92F34"/>
    <w:rsid w:val="00A95BA5"/>
    <w:rsid w:val="00A96334"/>
    <w:rsid w:val="00A97D54"/>
    <w:rsid w:val="00AA1BE8"/>
    <w:rsid w:val="00AA1FA5"/>
    <w:rsid w:val="00AA4DC1"/>
    <w:rsid w:val="00AA5A9C"/>
    <w:rsid w:val="00AA5E30"/>
    <w:rsid w:val="00AA7709"/>
    <w:rsid w:val="00AB199B"/>
    <w:rsid w:val="00AB571D"/>
    <w:rsid w:val="00AB662E"/>
    <w:rsid w:val="00AB68A8"/>
    <w:rsid w:val="00AB6D1E"/>
    <w:rsid w:val="00AC07DE"/>
    <w:rsid w:val="00AC3546"/>
    <w:rsid w:val="00AC58E8"/>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1A3B"/>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A7"/>
    <w:rsid w:val="00B21DB0"/>
    <w:rsid w:val="00B25CC2"/>
    <w:rsid w:val="00B26AB9"/>
    <w:rsid w:val="00B3109F"/>
    <w:rsid w:val="00B31882"/>
    <w:rsid w:val="00B32EBF"/>
    <w:rsid w:val="00B33013"/>
    <w:rsid w:val="00B36D8A"/>
    <w:rsid w:val="00B40F11"/>
    <w:rsid w:val="00B41DDC"/>
    <w:rsid w:val="00B42402"/>
    <w:rsid w:val="00B427D3"/>
    <w:rsid w:val="00B44E60"/>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22C1"/>
    <w:rsid w:val="00B828D2"/>
    <w:rsid w:val="00B8415E"/>
    <w:rsid w:val="00B8599C"/>
    <w:rsid w:val="00B863DF"/>
    <w:rsid w:val="00B87833"/>
    <w:rsid w:val="00B9657F"/>
    <w:rsid w:val="00BA39DB"/>
    <w:rsid w:val="00BA4CAA"/>
    <w:rsid w:val="00BA4DC1"/>
    <w:rsid w:val="00BA79D2"/>
    <w:rsid w:val="00BB0CB0"/>
    <w:rsid w:val="00BB1999"/>
    <w:rsid w:val="00BB5F36"/>
    <w:rsid w:val="00BC42B9"/>
    <w:rsid w:val="00BC4C15"/>
    <w:rsid w:val="00BC5093"/>
    <w:rsid w:val="00BC5298"/>
    <w:rsid w:val="00BC545B"/>
    <w:rsid w:val="00BC5C9B"/>
    <w:rsid w:val="00BD0523"/>
    <w:rsid w:val="00BD0FFC"/>
    <w:rsid w:val="00BD317E"/>
    <w:rsid w:val="00BE0032"/>
    <w:rsid w:val="00BE0418"/>
    <w:rsid w:val="00BE2390"/>
    <w:rsid w:val="00BE3F4A"/>
    <w:rsid w:val="00BE4393"/>
    <w:rsid w:val="00BE4399"/>
    <w:rsid w:val="00BE6965"/>
    <w:rsid w:val="00BE716A"/>
    <w:rsid w:val="00BF0309"/>
    <w:rsid w:val="00BF0650"/>
    <w:rsid w:val="00BF0F1B"/>
    <w:rsid w:val="00BF117C"/>
    <w:rsid w:val="00BF35B2"/>
    <w:rsid w:val="00BF5489"/>
    <w:rsid w:val="00BF592F"/>
    <w:rsid w:val="00BF739D"/>
    <w:rsid w:val="00BF7C1F"/>
    <w:rsid w:val="00C011F2"/>
    <w:rsid w:val="00C01A74"/>
    <w:rsid w:val="00C023BF"/>
    <w:rsid w:val="00C03D99"/>
    <w:rsid w:val="00C104B9"/>
    <w:rsid w:val="00C10DAC"/>
    <w:rsid w:val="00C11EC6"/>
    <w:rsid w:val="00C15E0E"/>
    <w:rsid w:val="00C20A2D"/>
    <w:rsid w:val="00C21282"/>
    <w:rsid w:val="00C23A0D"/>
    <w:rsid w:val="00C23DA0"/>
    <w:rsid w:val="00C2445F"/>
    <w:rsid w:val="00C26CE7"/>
    <w:rsid w:val="00C26DD8"/>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BD4"/>
    <w:rsid w:val="00C5703D"/>
    <w:rsid w:val="00C5732C"/>
    <w:rsid w:val="00C57A7F"/>
    <w:rsid w:val="00C60732"/>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649"/>
    <w:rsid w:val="00C77C13"/>
    <w:rsid w:val="00C859C4"/>
    <w:rsid w:val="00C85CB3"/>
    <w:rsid w:val="00C87811"/>
    <w:rsid w:val="00C92CDF"/>
    <w:rsid w:val="00C9314B"/>
    <w:rsid w:val="00C959F8"/>
    <w:rsid w:val="00C9674D"/>
    <w:rsid w:val="00CA1213"/>
    <w:rsid w:val="00CA2ECA"/>
    <w:rsid w:val="00CA4BB4"/>
    <w:rsid w:val="00CA4DD5"/>
    <w:rsid w:val="00CA6CE9"/>
    <w:rsid w:val="00CA703D"/>
    <w:rsid w:val="00CB0CAB"/>
    <w:rsid w:val="00CB20C7"/>
    <w:rsid w:val="00CB2297"/>
    <w:rsid w:val="00CB2F29"/>
    <w:rsid w:val="00CB4CB0"/>
    <w:rsid w:val="00CB6B6A"/>
    <w:rsid w:val="00CB7739"/>
    <w:rsid w:val="00CC0641"/>
    <w:rsid w:val="00CC2BD0"/>
    <w:rsid w:val="00CC3974"/>
    <w:rsid w:val="00CC5962"/>
    <w:rsid w:val="00CC600C"/>
    <w:rsid w:val="00CD0C29"/>
    <w:rsid w:val="00CD10E5"/>
    <w:rsid w:val="00CD1F33"/>
    <w:rsid w:val="00CD2954"/>
    <w:rsid w:val="00CD42BA"/>
    <w:rsid w:val="00CD485D"/>
    <w:rsid w:val="00CD511C"/>
    <w:rsid w:val="00CE2306"/>
    <w:rsid w:val="00CE3245"/>
    <w:rsid w:val="00CE32C0"/>
    <w:rsid w:val="00CE3876"/>
    <w:rsid w:val="00CE4D56"/>
    <w:rsid w:val="00CE7FCE"/>
    <w:rsid w:val="00CF2AC6"/>
    <w:rsid w:val="00CF31B0"/>
    <w:rsid w:val="00CF3D6D"/>
    <w:rsid w:val="00CF5DE2"/>
    <w:rsid w:val="00CF64FE"/>
    <w:rsid w:val="00CF7FB1"/>
    <w:rsid w:val="00D02159"/>
    <w:rsid w:val="00D04760"/>
    <w:rsid w:val="00D054A8"/>
    <w:rsid w:val="00D07345"/>
    <w:rsid w:val="00D11373"/>
    <w:rsid w:val="00D11CB4"/>
    <w:rsid w:val="00D11EC0"/>
    <w:rsid w:val="00D13852"/>
    <w:rsid w:val="00D13EA8"/>
    <w:rsid w:val="00D1449F"/>
    <w:rsid w:val="00D14861"/>
    <w:rsid w:val="00D2157C"/>
    <w:rsid w:val="00D21A6D"/>
    <w:rsid w:val="00D21E22"/>
    <w:rsid w:val="00D2370F"/>
    <w:rsid w:val="00D23738"/>
    <w:rsid w:val="00D2536F"/>
    <w:rsid w:val="00D27F81"/>
    <w:rsid w:val="00D329B3"/>
    <w:rsid w:val="00D33433"/>
    <w:rsid w:val="00D33CC5"/>
    <w:rsid w:val="00D33F3C"/>
    <w:rsid w:val="00D426F0"/>
    <w:rsid w:val="00D428EC"/>
    <w:rsid w:val="00D4409A"/>
    <w:rsid w:val="00D47800"/>
    <w:rsid w:val="00D517AE"/>
    <w:rsid w:val="00D51EA8"/>
    <w:rsid w:val="00D52226"/>
    <w:rsid w:val="00D54364"/>
    <w:rsid w:val="00D554CF"/>
    <w:rsid w:val="00D56234"/>
    <w:rsid w:val="00D62262"/>
    <w:rsid w:val="00D63143"/>
    <w:rsid w:val="00D66B7D"/>
    <w:rsid w:val="00D707F7"/>
    <w:rsid w:val="00D708CF"/>
    <w:rsid w:val="00D71E9C"/>
    <w:rsid w:val="00D72434"/>
    <w:rsid w:val="00D731D2"/>
    <w:rsid w:val="00D73B45"/>
    <w:rsid w:val="00D75648"/>
    <w:rsid w:val="00D83485"/>
    <w:rsid w:val="00D84A5C"/>
    <w:rsid w:val="00D86B2B"/>
    <w:rsid w:val="00D87F06"/>
    <w:rsid w:val="00D911B2"/>
    <w:rsid w:val="00D965D5"/>
    <w:rsid w:val="00D97FE5"/>
    <w:rsid w:val="00DA1769"/>
    <w:rsid w:val="00DA2FBA"/>
    <w:rsid w:val="00DA4341"/>
    <w:rsid w:val="00DA4F63"/>
    <w:rsid w:val="00DA6C99"/>
    <w:rsid w:val="00DA707D"/>
    <w:rsid w:val="00DB0213"/>
    <w:rsid w:val="00DB378E"/>
    <w:rsid w:val="00DB3A0F"/>
    <w:rsid w:val="00DB3F8F"/>
    <w:rsid w:val="00DB4D9A"/>
    <w:rsid w:val="00DB6353"/>
    <w:rsid w:val="00DB680A"/>
    <w:rsid w:val="00DC06F8"/>
    <w:rsid w:val="00DC1D24"/>
    <w:rsid w:val="00DC20B6"/>
    <w:rsid w:val="00DC2EEA"/>
    <w:rsid w:val="00DC2F9F"/>
    <w:rsid w:val="00DC32E7"/>
    <w:rsid w:val="00DC671C"/>
    <w:rsid w:val="00DC67B5"/>
    <w:rsid w:val="00DC7961"/>
    <w:rsid w:val="00DD0426"/>
    <w:rsid w:val="00DD2265"/>
    <w:rsid w:val="00DD2721"/>
    <w:rsid w:val="00DD3936"/>
    <w:rsid w:val="00DD7A9F"/>
    <w:rsid w:val="00DE4B23"/>
    <w:rsid w:val="00DE5DE4"/>
    <w:rsid w:val="00DF112C"/>
    <w:rsid w:val="00DF31E2"/>
    <w:rsid w:val="00DF42B8"/>
    <w:rsid w:val="00DF57A2"/>
    <w:rsid w:val="00DF5A36"/>
    <w:rsid w:val="00DF7764"/>
    <w:rsid w:val="00E01BE9"/>
    <w:rsid w:val="00E01CDE"/>
    <w:rsid w:val="00E07F6C"/>
    <w:rsid w:val="00E1063F"/>
    <w:rsid w:val="00E16C03"/>
    <w:rsid w:val="00E2185D"/>
    <w:rsid w:val="00E25E37"/>
    <w:rsid w:val="00E271A7"/>
    <w:rsid w:val="00E27815"/>
    <w:rsid w:val="00E303D4"/>
    <w:rsid w:val="00E30FB6"/>
    <w:rsid w:val="00E31ACF"/>
    <w:rsid w:val="00E35AAF"/>
    <w:rsid w:val="00E41921"/>
    <w:rsid w:val="00E42FBC"/>
    <w:rsid w:val="00E43982"/>
    <w:rsid w:val="00E463B2"/>
    <w:rsid w:val="00E47D8B"/>
    <w:rsid w:val="00E47DD5"/>
    <w:rsid w:val="00E519CE"/>
    <w:rsid w:val="00E51BFD"/>
    <w:rsid w:val="00E536F0"/>
    <w:rsid w:val="00E53D2E"/>
    <w:rsid w:val="00E60D48"/>
    <w:rsid w:val="00E6291D"/>
    <w:rsid w:val="00E63B58"/>
    <w:rsid w:val="00E661F8"/>
    <w:rsid w:val="00E66A27"/>
    <w:rsid w:val="00E66D1F"/>
    <w:rsid w:val="00E6708D"/>
    <w:rsid w:val="00E67620"/>
    <w:rsid w:val="00E73632"/>
    <w:rsid w:val="00E73C73"/>
    <w:rsid w:val="00E7474A"/>
    <w:rsid w:val="00E75E2F"/>
    <w:rsid w:val="00E7642A"/>
    <w:rsid w:val="00E8453C"/>
    <w:rsid w:val="00E87BC1"/>
    <w:rsid w:val="00E914AF"/>
    <w:rsid w:val="00E9156B"/>
    <w:rsid w:val="00E91729"/>
    <w:rsid w:val="00E91797"/>
    <w:rsid w:val="00E92C24"/>
    <w:rsid w:val="00E964EA"/>
    <w:rsid w:val="00E9735A"/>
    <w:rsid w:val="00EA0CF8"/>
    <w:rsid w:val="00EA3639"/>
    <w:rsid w:val="00EA3913"/>
    <w:rsid w:val="00EA5A64"/>
    <w:rsid w:val="00EA5BB4"/>
    <w:rsid w:val="00EA7D37"/>
    <w:rsid w:val="00EB0788"/>
    <w:rsid w:val="00EB0DD5"/>
    <w:rsid w:val="00EB0E32"/>
    <w:rsid w:val="00EB160B"/>
    <w:rsid w:val="00EB1CB2"/>
    <w:rsid w:val="00EB297D"/>
    <w:rsid w:val="00EB2C43"/>
    <w:rsid w:val="00EB37C5"/>
    <w:rsid w:val="00EB681D"/>
    <w:rsid w:val="00EB6CFB"/>
    <w:rsid w:val="00EC0172"/>
    <w:rsid w:val="00EC0446"/>
    <w:rsid w:val="00EC04E3"/>
    <w:rsid w:val="00EC4FEC"/>
    <w:rsid w:val="00ED1DD8"/>
    <w:rsid w:val="00ED2EC4"/>
    <w:rsid w:val="00ED35F4"/>
    <w:rsid w:val="00ED3A56"/>
    <w:rsid w:val="00ED71D0"/>
    <w:rsid w:val="00EE14D0"/>
    <w:rsid w:val="00EE44A3"/>
    <w:rsid w:val="00EE65E6"/>
    <w:rsid w:val="00EE66D1"/>
    <w:rsid w:val="00EF36F5"/>
    <w:rsid w:val="00EF3C0E"/>
    <w:rsid w:val="00EF4749"/>
    <w:rsid w:val="00EF62C3"/>
    <w:rsid w:val="00F003D2"/>
    <w:rsid w:val="00F020A5"/>
    <w:rsid w:val="00F02D22"/>
    <w:rsid w:val="00F046DA"/>
    <w:rsid w:val="00F0500F"/>
    <w:rsid w:val="00F05651"/>
    <w:rsid w:val="00F05B9B"/>
    <w:rsid w:val="00F05E66"/>
    <w:rsid w:val="00F07E2C"/>
    <w:rsid w:val="00F12E9C"/>
    <w:rsid w:val="00F1433A"/>
    <w:rsid w:val="00F153FF"/>
    <w:rsid w:val="00F21C50"/>
    <w:rsid w:val="00F234D9"/>
    <w:rsid w:val="00F249CA"/>
    <w:rsid w:val="00F2526D"/>
    <w:rsid w:val="00F25EA1"/>
    <w:rsid w:val="00F30A5F"/>
    <w:rsid w:val="00F31064"/>
    <w:rsid w:val="00F32629"/>
    <w:rsid w:val="00F33608"/>
    <w:rsid w:val="00F343A0"/>
    <w:rsid w:val="00F344C5"/>
    <w:rsid w:val="00F34579"/>
    <w:rsid w:val="00F35DF9"/>
    <w:rsid w:val="00F41EA4"/>
    <w:rsid w:val="00F500E4"/>
    <w:rsid w:val="00F53A6F"/>
    <w:rsid w:val="00F55261"/>
    <w:rsid w:val="00F600C0"/>
    <w:rsid w:val="00F60F88"/>
    <w:rsid w:val="00F615CE"/>
    <w:rsid w:val="00F6192B"/>
    <w:rsid w:val="00F624A7"/>
    <w:rsid w:val="00F63B25"/>
    <w:rsid w:val="00F66265"/>
    <w:rsid w:val="00F66966"/>
    <w:rsid w:val="00F70C7C"/>
    <w:rsid w:val="00F744F4"/>
    <w:rsid w:val="00F754CE"/>
    <w:rsid w:val="00F772AB"/>
    <w:rsid w:val="00F80C21"/>
    <w:rsid w:val="00F81460"/>
    <w:rsid w:val="00F82262"/>
    <w:rsid w:val="00F827AD"/>
    <w:rsid w:val="00F82C79"/>
    <w:rsid w:val="00F83B32"/>
    <w:rsid w:val="00F83F93"/>
    <w:rsid w:val="00F87FFA"/>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65E3"/>
    <w:rsid w:val="00FB7E10"/>
    <w:rsid w:val="00FC09F8"/>
    <w:rsid w:val="00FC2110"/>
    <w:rsid w:val="00FC3E3A"/>
    <w:rsid w:val="00FC5C61"/>
    <w:rsid w:val="00FD2BFA"/>
    <w:rsid w:val="00FD675C"/>
    <w:rsid w:val="00FD7052"/>
    <w:rsid w:val="00FE1A1E"/>
    <w:rsid w:val="00FE27FD"/>
    <w:rsid w:val="00FE296B"/>
    <w:rsid w:val="00FE2E68"/>
    <w:rsid w:val="00FE4015"/>
    <w:rsid w:val="00FE596E"/>
    <w:rsid w:val="00FF3D00"/>
    <w:rsid w:val="00FF5C9B"/>
    <w:rsid w:val="00FF6DC3"/>
    <w:rsid w:val="00FF727E"/>
    <w:rsid w:val="021F2684"/>
    <w:rsid w:val="0256277A"/>
    <w:rsid w:val="0266008A"/>
    <w:rsid w:val="02790707"/>
    <w:rsid w:val="0350074D"/>
    <w:rsid w:val="04623A8D"/>
    <w:rsid w:val="06C53B6B"/>
    <w:rsid w:val="07F7052E"/>
    <w:rsid w:val="096A7AD8"/>
    <w:rsid w:val="0B957510"/>
    <w:rsid w:val="0E2C4FE1"/>
    <w:rsid w:val="0F3C700C"/>
    <w:rsid w:val="0FCC16A8"/>
    <w:rsid w:val="10BA04EB"/>
    <w:rsid w:val="10DC67D6"/>
    <w:rsid w:val="10E3631D"/>
    <w:rsid w:val="13B710D0"/>
    <w:rsid w:val="15176AE8"/>
    <w:rsid w:val="16ED209B"/>
    <w:rsid w:val="1A5E60AD"/>
    <w:rsid w:val="1FE854F9"/>
    <w:rsid w:val="25A025BB"/>
    <w:rsid w:val="26B4057B"/>
    <w:rsid w:val="273A5BE7"/>
    <w:rsid w:val="27D17500"/>
    <w:rsid w:val="292F0982"/>
    <w:rsid w:val="2D804879"/>
    <w:rsid w:val="2E19140A"/>
    <w:rsid w:val="2E81758A"/>
    <w:rsid w:val="2F413AE9"/>
    <w:rsid w:val="2F9B353F"/>
    <w:rsid w:val="302D2D04"/>
    <w:rsid w:val="311B5F81"/>
    <w:rsid w:val="31C16E62"/>
    <w:rsid w:val="33893EA6"/>
    <w:rsid w:val="33E1419C"/>
    <w:rsid w:val="33EC6319"/>
    <w:rsid w:val="348175C6"/>
    <w:rsid w:val="35F955BD"/>
    <w:rsid w:val="367E755E"/>
    <w:rsid w:val="37E71E56"/>
    <w:rsid w:val="38D57EF6"/>
    <w:rsid w:val="3A201815"/>
    <w:rsid w:val="3AD73E74"/>
    <w:rsid w:val="3B9D79CE"/>
    <w:rsid w:val="3D835C06"/>
    <w:rsid w:val="3DAA1BC0"/>
    <w:rsid w:val="3F8E7D59"/>
    <w:rsid w:val="3FA4594B"/>
    <w:rsid w:val="3FFB2F15"/>
    <w:rsid w:val="42950F75"/>
    <w:rsid w:val="43A0005B"/>
    <w:rsid w:val="43DB0D38"/>
    <w:rsid w:val="44481DAB"/>
    <w:rsid w:val="46392A93"/>
    <w:rsid w:val="48A32FB3"/>
    <w:rsid w:val="496C429C"/>
    <w:rsid w:val="49864822"/>
    <w:rsid w:val="49C40F8B"/>
    <w:rsid w:val="4AE863C7"/>
    <w:rsid w:val="4BD95BFC"/>
    <w:rsid w:val="4BEE274A"/>
    <w:rsid w:val="4CEB0465"/>
    <w:rsid w:val="4DD61C86"/>
    <w:rsid w:val="4E2D7BA8"/>
    <w:rsid w:val="502D51DF"/>
    <w:rsid w:val="50D508B8"/>
    <w:rsid w:val="517956DA"/>
    <w:rsid w:val="5275724E"/>
    <w:rsid w:val="527C4568"/>
    <w:rsid w:val="55A439DB"/>
    <w:rsid w:val="55F66200"/>
    <w:rsid w:val="5676656F"/>
    <w:rsid w:val="580D0085"/>
    <w:rsid w:val="5B4731E4"/>
    <w:rsid w:val="5B8E7CC9"/>
    <w:rsid w:val="5CD07BD9"/>
    <w:rsid w:val="61D33F96"/>
    <w:rsid w:val="63F70AB2"/>
    <w:rsid w:val="641F3ACB"/>
    <w:rsid w:val="642D64A4"/>
    <w:rsid w:val="64D31B3E"/>
    <w:rsid w:val="664F5C3B"/>
    <w:rsid w:val="67245E27"/>
    <w:rsid w:val="678B4557"/>
    <w:rsid w:val="680B5B26"/>
    <w:rsid w:val="6A0F107D"/>
    <w:rsid w:val="6B60619E"/>
    <w:rsid w:val="6BC404DB"/>
    <w:rsid w:val="6DD20426"/>
    <w:rsid w:val="6E533D98"/>
    <w:rsid w:val="70304851"/>
    <w:rsid w:val="71B85207"/>
    <w:rsid w:val="72845167"/>
    <w:rsid w:val="72902E30"/>
    <w:rsid w:val="733655C7"/>
    <w:rsid w:val="77ED700C"/>
    <w:rsid w:val="7BDF3A40"/>
    <w:rsid w:val="7C347E90"/>
    <w:rsid w:val="7C472C54"/>
    <w:rsid w:val="7C756957"/>
    <w:rsid w:val="7CB32D6E"/>
    <w:rsid w:val="7E6F47AF"/>
    <w:rsid w:val="7EA02E2E"/>
    <w:rsid w:val="7F303ABB"/>
    <w:rsid w:val="7F42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7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14:textFill>
        <w14:solidFill>
          <w14:schemeClr w14:val="tx1"/>
        </w14:solidFill>
      </w14:textFill>
    </w:rPr>
  </w:style>
  <w:style w:type="paragraph" w:styleId="4">
    <w:name w:val="heading 3"/>
    <w:basedOn w:val="1"/>
    <w:next w:val="1"/>
    <w:link w:val="61"/>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6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5"/>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42"/>
    <w:unhideWhenUsed/>
    <w:qFormat/>
    <w:uiPriority w:val="0"/>
    <w:rPr>
      <w:rFonts w:ascii="宋体" w:eastAsia="宋体"/>
      <w:sz w:val="20"/>
      <w:szCs w:val="18"/>
    </w:rPr>
  </w:style>
  <w:style w:type="paragraph" w:styleId="8">
    <w:name w:val="annotation text"/>
    <w:basedOn w:val="1"/>
    <w:link w:val="49"/>
    <w:semiHidden/>
    <w:unhideWhenUsed/>
    <w:qFormat/>
    <w:uiPriority w:val="99"/>
    <w:pPr>
      <w:jc w:val="left"/>
    </w:pPr>
  </w:style>
  <w:style w:type="paragraph" w:styleId="9">
    <w:name w:val="Salutation"/>
    <w:basedOn w:val="1"/>
    <w:next w:val="1"/>
    <w:link w:val="71"/>
    <w:semiHidden/>
    <w:unhideWhenUsed/>
    <w:qFormat/>
    <w:uiPriority w:val="99"/>
  </w:style>
  <w:style w:type="paragraph" w:styleId="10">
    <w:name w:val="Body Text"/>
    <w:basedOn w:val="1"/>
    <w:next w:val="1"/>
    <w:link w:val="58"/>
    <w:semiHidden/>
    <w:unhideWhenUsed/>
    <w:qFormat/>
    <w:uiPriority w:val="99"/>
    <w:pPr>
      <w:spacing w:after="120"/>
    </w:pPr>
  </w:style>
  <w:style w:type="paragraph" w:styleId="11">
    <w:name w:val="Body Text Indent"/>
    <w:basedOn w:val="1"/>
    <w:next w:val="12"/>
    <w:link w:val="80"/>
    <w:qFormat/>
    <w:uiPriority w:val="0"/>
    <w:pPr>
      <w:spacing w:after="120"/>
      <w:ind w:left="420" w:leftChars="200"/>
    </w:pPr>
    <w:rPr>
      <w:rFonts w:ascii="Times New Roman" w:hAnsi="Times New Roman" w:eastAsia="宋体" w:cs="Times New Roman"/>
      <w:szCs w:val="24"/>
    </w:rPr>
  </w:style>
  <w:style w:type="paragraph" w:customStyle="1" w:styleId="12">
    <w:name w:val="样式 正文文本缩进 + 行距: 1.5 倍行距"/>
    <w:basedOn w:val="13"/>
    <w:next w:val="14"/>
    <w:qFormat/>
    <w:uiPriority w:val="0"/>
    <w:pPr>
      <w:spacing w:line="360" w:lineRule="auto"/>
      <w:ind w:left="0" w:leftChars="0" w:firstLine="560" w:firstLineChars="200"/>
    </w:pPr>
    <w:rPr>
      <w:rFonts w:cs="宋体"/>
      <w:b/>
      <w:bCs/>
      <w:sz w:val="28"/>
    </w:rPr>
  </w:style>
  <w:style w:type="paragraph" w:customStyle="1" w:styleId="13">
    <w:name w:val="正文文本缩进1"/>
    <w:basedOn w:val="1"/>
    <w:next w:val="12"/>
    <w:qFormat/>
    <w:uiPriority w:val="0"/>
    <w:pPr>
      <w:spacing w:afterLines="0"/>
      <w:ind w:left="420" w:leftChars="200"/>
    </w:pPr>
  </w:style>
  <w:style w:type="paragraph" w:styleId="14">
    <w:name w:val="header"/>
    <w:basedOn w:val="1"/>
    <w:next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Plain Text"/>
    <w:basedOn w:val="1"/>
    <w:next w:val="1"/>
    <w:link w:val="69"/>
    <w:qFormat/>
    <w:uiPriority w:val="5"/>
    <w:pPr>
      <w:spacing w:line="360" w:lineRule="exact"/>
    </w:pPr>
    <w:rPr>
      <w:rFonts w:ascii="宋体" w:hAnsi="Courier New" w:eastAsia="宋体" w:cs="Times New Roman"/>
      <w:szCs w:val="20"/>
    </w:rPr>
  </w:style>
  <w:style w:type="paragraph" w:styleId="16">
    <w:name w:val="Balloon Text"/>
    <w:basedOn w:val="1"/>
    <w:link w:val="41"/>
    <w:unhideWhenUsed/>
    <w:qFormat/>
    <w:uiPriority w:val="99"/>
    <w:rPr>
      <w:sz w:val="18"/>
      <w:szCs w:val="18"/>
    </w:rPr>
  </w:style>
  <w:style w:type="paragraph" w:styleId="17">
    <w:name w:val="footer"/>
    <w:basedOn w:val="1"/>
    <w:link w:val="44"/>
    <w:semiHidden/>
    <w:unhideWhenUsed/>
    <w:qFormat/>
    <w:uiPriority w:val="99"/>
    <w:pPr>
      <w:tabs>
        <w:tab w:val="center" w:pos="4153"/>
        <w:tab w:val="right" w:pos="8306"/>
      </w:tabs>
      <w:snapToGrid w:val="0"/>
      <w:jc w:val="left"/>
    </w:pPr>
    <w:rPr>
      <w:sz w:val="18"/>
      <w:szCs w:val="18"/>
    </w:rPr>
  </w:style>
  <w:style w:type="paragraph" w:styleId="18">
    <w:name w:val="Body Text Indent 3"/>
    <w:basedOn w:val="1"/>
    <w:link w:val="46"/>
    <w:qFormat/>
    <w:uiPriority w:val="0"/>
    <w:pPr>
      <w:spacing w:after="120"/>
      <w:ind w:left="420" w:leftChars="200"/>
    </w:pPr>
    <w:rPr>
      <w:rFonts w:ascii="Times New Roman" w:hAnsi="Times New Roman" w:eastAsia="宋体" w:cs="Times New Roman"/>
      <w:sz w:val="16"/>
      <w:szCs w:val="16"/>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index 1"/>
    <w:basedOn w:val="1"/>
    <w:next w:val="1"/>
    <w:qFormat/>
    <w:uiPriority w:val="0"/>
    <w:pPr>
      <w:ind w:left="560" w:hanging="560"/>
    </w:pPr>
    <w:rPr>
      <w:rFonts w:ascii="Times New Roman" w:hAnsi="宋体" w:eastAsia="宋体" w:cs="Times New Roman"/>
      <w:spacing w:val="10"/>
      <w:szCs w:val="24"/>
    </w:rPr>
  </w:style>
  <w:style w:type="paragraph" w:styleId="21">
    <w:name w:val="Title"/>
    <w:basedOn w:val="1"/>
    <w:next w:val="1"/>
    <w:link w:val="83"/>
    <w:qFormat/>
    <w:uiPriority w:val="0"/>
    <w:pPr>
      <w:spacing w:before="240" w:after="60"/>
      <w:jc w:val="left"/>
      <w:outlineLvl w:val="0"/>
    </w:pPr>
    <w:rPr>
      <w:rFonts w:ascii="Cambria" w:hAnsi="Cambria" w:eastAsia="宋体" w:cs="Times New Roman"/>
      <w:b/>
      <w:bCs/>
      <w:sz w:val="32"/>
      <w:szCs w:val="32"/>
    </w:rPr>
  </w:style>
  <w:style w:type="paragraph" w:styleId="22">
    <w:name w:val="annotation subject"/>
    <w:basedOn w:val="8"/>
    <w:next w:val="8"/>
    <w:link w:val="50"/>
    <w:semiHidden/>
    <w:unhideWhenUsed/>
    <w:qFormat/>
    <w:uiPriority w:val="99"/>
    <w:rPr>
      <w:b/>
      <w:bCs/>
    </w:rPr>
  </w:style>
  <w:style w:type="paragraph" w:styleId="23">
    <w:name w:val="Body Text First Indent"/>
    <w:basedOn w:val="10"/>
    <w:next w:val="1"/>
    <w:unhideWhenUsed/>
    <w:qFormat/>
    <w:uiPriority w:val="0"/>
    <w:pPr>
      <w:ind w:firstLine="420" w:firstLineChars="100"/>
    </w:pPr>
    <w:rPr>
      <w:sz w:val="21"/>
      <w:szCs w:val="24"/>
    </w:rPr>
  </w:style>
  <w:style w:type="paragraph" w:styleId="24">
    <w:name w:val="Body Text First Indent 2"/>
    <w:basedOn w:val="11"/>
    <w:next w:val="1"/>
    <w:qFormat/>
    <w:uiPriority w:val="0"/>
    <w:pPr>
      <w:spacing w:after="120" w:afterLines="0"/>
      <w:ind w:left="420" w:leftChars="200" w:firstLine="420"/>
    </w:pPr>
    <w:rPr>
      <w:sz w:val="21"/>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4007A2"/>
      <w:u w:val="singl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Variable"/>
    <w:basedOn w:val="27"/>
    <w:semiHidden/>
    <w:unhideWhenUsed/>
    <w:qFormat/>
    <w:uiPriority w:val="99"/>
    <w:rPr>
      <w:rFonts w:hint="default" w:ascii="baikeFont_layout" w:hAnsi="baikeFont_layout" w:eastAsia="baikeFont_layout" w:cs="baikeFont_layout"/>
    </w:rPr>
  </w:style>
  <w:style w:type="character" w:styleId="34">
    <w:name w:val="Hyperlink"/>
    <w:basedOn w:val="27"/>
    <w:semiHidden/>
    <w:unhideWhenUsed/>
    <w:qFormat/>
    <w:uiPriority w:val="99"/>
    <w:rPr>
      <w:color w:val="0000FF"/>
      <w:u w:val="single"/>
    </w:rPr>
  </w:style>
  <w:style w:type="character" w:styleId="35">
    <w:name w:val="HTML Code"/>
    <w:basedOn w:val="27"/>
    <w:semiHidden/>
    <w:unhideWhenUsed/>
    <w:qFormat/>
    <w:uiPriority w:val="99"/>
    <w:rPr>
      <w:rFonts w:hint="default" w:ascii="serif" w:hAnsi="serif" w:eastAsia="serif" w:cs="serif"/>
      <w:sz w:val="21"/>
      <w:szCs w:val="21"/>
    </w:rPr>
  </w:style>
  <w:style w:type="character" w:styleId="36">
    <w:name w:val="annotation reference"/>
    <w:basedOn w:val="27"/>
    <w:semiHidden/>
    <w:unhideWhenUsed/>
    <w:qFormat/>
    <w:uiPriority w:val="99"/>
    <w:rPr>
      <w:sz w:val="21"/>
      <w:szCs w:val="21"/>
    </w:rPr>
  </w:style>
  <w:style w:type="character" w:styleId="37">
    <w:name w:val="HTML Cite"/>
    <w:basedOn w:val="27"/>
    <w:semiHidden/>
    <w:unhideWhenUsed/>
    <w:qFormat/>
    <w:uiPriority w:val="99"/>
    <w:rPr>
      <w:color w:val="006D21"/>
      <w:bdr w:val="single" w:color="E5E5E5" w:sz="6" w:space="0"/>
      <w:shd w:val="clear" w:fill="FFFFFF"/>
    </w:rPr>
  </w:style>
  <w:style w:type="character" w:styleId="38">
    <w:name w:val="HTML Keyboard"/>
    <w:basedOn w:val="27"/>
    <w:semiHidden/>
    <w:unhideWhenUsed/>
    <w:qFormat/>
    <w:uiPriority w:val="99"/>
    <w:rPr>
      <w:rFonts w:hint="default" w:ascii="serif" w:hAnsi="serif" w:eastAsia="serif" w:cs="serif"/>
      <w:sz w:val="21"/>
      <w:szCs w:val="21"/>
    </w:rPr>
  </w:style>
  <w:style w:type="character" w:styleId="39">
    <w:name w:val="HTML Sample"/>
    <w:basedOn w:val="27"/>
    <w:unhideWhenUsed/>
    <w:qFormat/>
    <w:uiPriority w:val="99"/>
    <w:rPr>
      <w:rFonts w:ascii="serif" w:hAnsi="serif" w:eastAsia="serif" w:cs="serif"/>
      <w:sz w:val="21"/>
      <w:szCs w:val="21"/>
    </w:rPr>
  </w:style>
  <w:style w:type="paragraph" w:customStyle="1" w:styleId="4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批注框文本 Char"/>
    <w:basedOn w:val="27"/>
    <w:link w:val="16"/>
    <w:qFormat/>
    <w:uiPriority w:val="99"/>
    <w:rPr>
      <w:sz w:val="18"/>
      <w:szCs w:val="18"/>
    </w:rPr>
  </w:style>
  <w:style w:type="character" w:customStyle="1" w:styleId="42">
    <w:name w:val="文档结构图 Char"/>
    <w:basedOn w:val="27"/>
    <w:link w:val="7"/>
    <w:qFormat/>
    <w:uiPriority w:val="0"/>
    <w:rPr>
      <w:rFonts w:ascii="宋体" w:eastAsia="宋体"/>
      <w:sz w:val="20"/>
      <w:szCs w:val="18"/>
    </w:rPr>
  </w:style>
  <w:style w:type="character" w:customStyle="1" w:styleId="43">
    <w:name w:val="页眉 Char"/>
    <w:basedOn w:val="27"/>
    <w:link w:val="14"/>
    <w:qFormat/>
    <w:uiPriority w:val="0"/>
    <w:rPr>
      <w:sz w:val="18"/>
      <w:szCs w:val="18"/>
    </w:rPr>
  </w:style>
  <w:style w:type="character" w:customStyle="1" w:styleId="44">
    <w:name w:val="页脚 Char"/>
    <w:basedOn w:val="27"/>
    <w:link w:val="17"/>
    <w:semiHidden/>
    <w:qFormat/>
    <w:uiPriority w:val="99"/>
    <w:rPr>
      <w:sz w:val="18"/>
      <w:szCs w:val="18"/>
    </w:rPr>
  </w:style>
  <w:style w:type="paragraph" w:customStyle="1" w:styleId="45">
    <w:name w:val="表体"/>
    <w:basedOn w:val="1"/>
    <w:link w:val="57"/>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46">
    <w:name w:val="正文文本缩进 3 Char"/>
    <w:basedOn w:val="27"/>
    <w:link w:val="18"/>
    <w:qFormat/>
    <w:uiPriority w:val="0"/>
    <w:rPr>
      <w:rFonts w:ascii="Times New Roman" w:hAnsi="Times New Roman" w:eastAsia="宋体" w:cs="Times New Roman"/>
      <w:sz w:val="16"/>
      <w:szCs w:val="16"/>
    </w:rPr>
  </w:style>
  <w:style w:type="paragraph" w:customStyle="1" w:styleId="47">
    <w:name w:val="表头"/>
    <w:basedOn w:val="1"/>
    <w:link w:val="48"/>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48">
    <w:name w:val="表头 Char Char"/>
    <w:link w:val="47"/>
    <w:qFormat/>
    <w:uiPriority w:val="0"/>
    <w:rPr>
      <w:rFonts w:ascii="Times New Roman" w:hAnsi="宋体" w:eastAsia="FangSong_GB2312" w:cs="Times New Roman"/>
      <w:b/>
      <w:kern w:val="0"/>
      <w:sz w:val="28"/>
      <w:szCs w:val="28"/>
    </w:rPr>
  </w:style>
  <w:style w:type="character" w:customStyle="1" w:styleId="49">
    <w:name w:val="批注文字 Char"/>
    <w:basedOn w:val="27"/>
    <w:link w:val="8"/>
    <w:semiHidden/>
    <w:qFormat/>
    <w:uiPriority w:val="99"/>
  </w:style>
  <w:style w:type="character" w:customStyle="1" w:styleId="50">
    <w:name w:val="批注主题 Char"/>
    <w:basedOn w:val="49"/>
    <w:link w:val="22"/>
    <w:semiHidden/>
    <w:qFormat/>
    <w:uiPriority w:val="99"/>
    <w:rPr>
      <w:b/>
      <w:bCs/>
    </w:rPr>
  </w:style>
  <w:style w:type="character" w:customStyle="1" w:styleId="51">
    <w:name w:val="题注1 Char"/>
    <w:link w:val="52"/>
    <w:qFormat/>
    <w:uiPriority w:val="0"/>
    <w:rPr>
      <w:rFonts w:cs="宋体"/>
      <w:b/>
      <w:bCs/>
      <w:spacing w:val="10"/>
      <w:szCs w:val="24"/>
    </w:rPr>
  </w:style>
  <w:style w:type="paragraph" w:customStyle="1" w:styleId="52">
    <w:name w:val="题注1"/>
    <w:basedOn w:val="1"/>
    <w:link w:val="51"/>
    <w:qFormat/>
    <w:uiPriority w:val="0"/>
    <w:pPr>
      <w:spacing w:beforeLines="20" w:afterLines="20"/>
      <w:jc w:val="center"/>
    </w:pPr>
    <w:rPr>
      <w:rFonts w:cs="宋体"/>
      <w:b/>
      <w:bCs/>
      <w:spacing w:val="10"/>
      <w:szCs w:val="24"/>
    </w:rPr>
  </w:style>
  <w:style w:type="paragraph" w:customStyle="1" w:styleId="53">
    <w:name w:val="赵"/>
    <w:basedOn w:val="1"/>
    <w:link w:val="54"/>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54">
    <w:name w:val="赵 Char"/>
    <w:basedOn w:val="27"/>
    <w:link w:val="53"/>
    <w:qFormat/>
    <w:uiPriority w:val="0"/>
    <w:rPr>
      <w:rFonts w:ascii="Times New Roman" w:hAnsi="Times New Roman" w:eastAsia="宋体" w:cs="Times New Roman"/>
      <w:sz w:val="24"/>
      <w:szCs w:val="30"/>
    </w:rPr>
  </w:style>
  <w:style w:type="paragraph" w:customStyle="1" w:styleId="55">
    <w:name w:val="【表头】"/>
    <w:basedOn w:val="1"/>
    <w:link w:val="56"/>
    <w:qFormat/>
    <w:uiPriority w:val="0"/>
    <w:pPr>
      <w:jc w:val="center"/>
    </w:pPr>
    <w:rPr>
      <w:rFonts w:ascii="Times New Roman" w:hAnsi="Times New Roman" w:eastAsia="宋体" w:cs="Times New Roman"/>
      <w:b/>
      <w:szCs w:val="24"/>
    </w:rPr>
  </w:style>
  <w:style w:type="character" w:customStyle="1" w:styleId="56">
    <w:name w:val="【表头】 Char"/>
    <w:link w:val="55"/>
    <w:qFormat/>
    <w:uiPriority w:val="0"/>
    <w:rPr>
      <w:rFonts w:ascii="Times New Roman" w:hAnsi="Times New Roman" w:eastAsia="宋体" w:cs="Times New Roman"/>
      <w:b/>
      <w:szCs w:val="24"/>
    </w:rPr>
  </w:style>
  <w:style w:type="character" w:customStyle="1" w:styleId="57">
    <w:name w:val="表体 Char Char"/>
    <w:link w:val="45"/>
    <w:qFormat/>
    <w:locked/>
    <w:uiPriority w:val="0"/>
    <w:rPr>
      <w:rFonts w:ascii="Times New Roman" w:hAnsi="Times New Roman" w:eastAsia="宋体" w:cs="Times New Roman"/>
      <w:bCs/>
      <w:snapToGrid w:val="0"/>
      <w:color w:val="000000"/>
      <w:kern w:val="32"/>
      <w:szCs w:val="20"/>
      <w:lang w:val="zh-CN"/>
    </w:rPr>
  </w:style>
  <w:style w:type="character" w:customStyle="1" w:styleId="58">
    <w:name w:val="正文文本 Char"/>
    <w:basedOn w:val="27"/>
    <w:link w:val="10"/>
    <w:semiHidden/>
    <w:qFormat/>
    <w:uiPriority w:val="99"/>
  </w:style>
  <w:style w:type="character" w:customStyle="1" w:styleId="59">
    <w:name w:val="标题 2 Char"/>
    <w:basedOn w:val="27"/>
    <w:link w:val="3"/>
    <w:qFormat/>
    <w:uiPriority w:val="0"/>
    <w:rPr>
      <w:rFonts w:ascii="Times New Roman" w:hAnsi="Times New Roman" w:eastAsia="黑体" w:cs="Times New Roman"/>
      <w:color w:val="000000" w:themeColor="text1"/>
      <w:sz w:val="30"/>
      <w:szCs w:val="24"/>
      <w14:textFill>
        <w14:solidFill>
          <w14:schemeClr w14:val="tx1"/>
        </w14:solidFill>
      </w14:textFill>
    </w:rPr>
  </w:style>
  <w:style w:type="character" w:customStyle="1" w:styleId="60">
    <w:name w:val="表头 Char1"/>
    <w:basedOn w:val="27"/>
    <w:qFormat/>
    <w:uiPriority w:val="0"/>
    <w:rPr>
      <w:rFonts w:ascii="Times New Roman" w:hAnsi="Times New Roman" w:eastAsia="宋体" w:cs="Times New Roman"/>
      <w:b/>
      <w:bCs/>
      <w:kern w:val="0"/>
      <w:szCs w:val="28"/>
    </w:rPr>
  </w:style>
  <w:style w:type="character" w:customStyle="1" w:styleId="61">
    <w:name w:val="标题 3 Char"/>
    <w:basedOn w:val="27"/>
    <w:link w:val="4"/>
    <w:semiHidden/>
    <w:qFormat/>
    <w:uiPriority w:val="9"/>
    <w:rPr>
      <w:b/>
      <w:bCs/>
      <w:sz w:val="32"/>
      <w:szCs w:val="32"/>
    </w:rPr>
  </w:style>
  <w:style w:type="table" w:customStyle="1" w:styleId="62">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63">
    <w:name w:val="标题 8 Char"/>
    <w:basedOn w:val="27"/>
    <w:link w:val="5"/>
    <w:qFormat/>
    <w:uiPriority w:val="99"/>
    <w:rPr>
      <w:rFonts w:asciiTheme="majorHAnsi" w:hAnsiTheme="majorHAnsi" w:eastAsiaTheme="majorEastAsia" w:cstheme="majorBidi"/>
      <w:sz w:val="24"/>
      <w:szCs w:val="24"/>
    </w:rPr>
  </w:style>
  <w:style w:type="paragraph" w:customStyle="1" w:styleId="64">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65">
    <w:name w:val="正文缩进 Char1"/>
    <w:link w:val="6"/>
    <w:qFormat/>
    <w:uiPriority w:val="99"/>
    <w:rPr>
      <w:rFonts w:ascii="Calibri" w:hAnsi="Calibri" w:eastAsia="宋体" w:cs="Times New Roman"/>
      <w:sz w:val="28"/>
      <w:szCs w:val="20"/>
    </w:rPr>
  </w:style>
  <w:style w:type="paragraph" w:customStyle="1" w:styleId="66">
    <w:name w:val="样式1"/>
    <w:basedOn w:val="1"/>
    <w:link w:val="67"/>
    <w:qFormat/>
    <w:uiPriority w:val="0"/>
    <w:pPr>
      <w:spacing w:line="360" w:lineRule="auto"/>
      <w:ind w:firstLine="510"/>
    </w:pPr>
    <w:rPr>
      <w:rFonts w:ascii="Times New Roman" w:hAnsi="Times New Roman" w:eastAsia="宋体" w:cs="Times New Roman"/>
      <w:sz w:val="24"/>
      <w:szCs w:val="20"/>
    </w:rPr>
  </w:style>
  <w:style w:type="character" w:customStyle="1" w:styleId="67">
    <w:name w:val="样式1 Char"/>
    <w:link w:val="66"/>
    <w:qFormat/>
    <w:locked/>
    <w:uiPriority w:val="0"/>
    <w:rPr>
      <w:rFonts w:ascii="Times New Roman" w:hAnsi="Times New Roman" w:eastAsia="宋体" w:cs="Times New Roman"/>
      <w:sz w:val="24"/>
      <w:szCs w:val="20"/>
    </w:rPr>
  </w:style>
  <w:style w:type="paragraph" w:customStyle="1" w:styleId="6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69">
    <w:name w:val="纯文本 Char"/>
    <w:basedOn w:val="27"/>
    <w:link w:val="15"/>
    <w:qFormat/>
    <w:uiPriority w:val="5"/>
    <w:rPr>
      <w:rFonts w:ascii="宋体" w:hAnsi="Courier New" w:eastAsia="宋体" w:cs="Times New Roman"/>
      <w:szCs w:val="20"/>
    </w:rPr>
  </w:style>
  <w:style w:type="character" w:customStyle="1" w:styleId="70">
    <w:name w:val="15"/>
    <w:qFormat/>
    <w:uiPriority w:val="0"/>
    <w:rPr>
      <w:rFonts w:hint="default" w:ascii="Calibri" w:hAnsi="Calibri"/>
      <w:sz w:val="21"/>
      <w:szCs w:val="21"/>
    </w:rPr>
  </w:style>
  <w:style w:type="character" w:customStyle="1" w:styleId="71">
    <w:name w:val="称呼 Char"/>
    <w:basedOn w:val="27"/>
    <w:link w:val="9"/>
    <w:semiHidden/>
    <w:qFormat/>
    <w:uiPriority w:val="99"/>
  </w:style>
  <w:style w:type="paragraph" w:customStyle="1" w:styleId="72">
    <w:name w:val="Default"/>
    <w:link w:val="82"/>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73">
    <w:name w:val="正文1"/>
    <w:basedOn w:val="1"/>
    <w:qFormat/>
    <w:uiPriority w:val="0"/>
    <w:pPr>
      <w:widowControl/>
    </w:pPr>
    <w:rPr>
      <w:rFonts w:ascii="Calibri" w:hAnsi="Calibri" w:eastAsia="宋体" w:cs="宋体"/>
    </w:rPr>
  </w:style>
  <w:style w:type="paragraph" w:customStyle="1" w:styleId="74">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75">
    <w:name w:val="表格文字 Char"/>
    <w:basedOn w:val="27"/>
    <w:link w:val="76"/>
    <w:qFormat/>
    <w:uiPriority w:val="0"/>
    <w:rPr>
      <w:rFonts w:eastAsia="宋体"/>
      <w:kern w:val="24"/>
      <w:sz w:val="24"/>
    </w:rPr>
  </w:style>
  <w:style w:type="paragraph" w:customStyle="1" w:styleId="76">
    <w:name w:val="表格文字"/>
    <w:basedOn w:val="1"/>
    <w:link w:val="75"/>
    <w:qFormat/>
    <w:uiPriority w:val="0"/>
    <w:pPr>
      <w:adjustRightInd w:val="0"/>
      <w:spacing w:line="400" w:lineRule="atLeast"/>
      <w:jc w:val="center"/>
    </w:pPr>
    <w:rPr>
      <w:rFonts w:eastAsia="宋体"/>
      <w:kern w:val="24"/>
      <w:sz w:val="24"/>
    </w:rPr>
  </w:style>
  <w:style w:type="character" w:customStyle="1" w:styleId="77">
    <w:name w:val="表格 Char Char"/>
    <w:basedOn w:val="27"/>
    <w:qFormat/>
    <w:uiPriority w:val="0"/>
    <w:rPr>
      <w:sz w:val="21"/>
      <w:szCs w:val="21"/>
      <w:lang w:bidi="ar-SA"/>
    </w:rPr>
  </w:style>
  <w:style w:type="paragraph" w:customStyle="1" w:styleId="78">
    <w:name w:val="_Style 17"/>
    <w:basedOn w:val="1"/>
    <w:qFormat/>
    <w:uiPriority w:val="0"/>
    <w:rPr>
      <w:rFonts w:ascii="Times New Roman" w:hAnsi="Times New Roman" w:eastAsia="宋体" w:cs="Times New Roman"/>
      <w:szCs w:val="24"/>
    </w:rPr>
  </w:style>
  <w:style w:type="character" w:customStyle="1" w:styleId="79">
    <w:name w:val="标题 1 Char"/>
    <w:basedOn w:val="27"/>
    <w:link w:val="2"/>
    <w:qFormat/>
    <w:uiPriority w:val="9"/>
    <w:rPr>
      <w:b/>
      <w:bCs/>
      <w:kern w:val="44"/>
      <w:sz w:val="44"/>
      <w:szCs w:val="44"/>
    </w:rPr>
  </w:style>
  <w:style w:type="character" w:customStyle="1" w:styleId="80">
    <w:name w:val="正文文本缩进 Char"/>
    <w:basedOn w:val="27"/>
    <w:link w:val="11"/>
    <w:qFormat/>
    <w:uiPriority w:val="0"/>
    <w:rPr>
      <w:rFonts w:ascii="Times New Roman" w:hAnsi="Times New Roman" w:eastAsia="宋体" w:cs="Times New Roman"/>
      <w:szCs w:val="24"/>
    </w:rPr>
  </w:style>
  <w:style w:type="paragraph" w:styleId="81">
    <w:name w:val="List Paragraph"/>
    <w:basedOn w:val="1"/>
    <w:qFormat/>
    <w:uiPriority w:val="34"/>
    <w:pPr>
      <w:ind w:firstLine="420" w:firstLineChars="200"/>
    </w:pPr>
    <w:rPr>
      <w:rFonts w:ascii="Times New Roman" w:hAnsi="Times New Roman" w:eastAsia="宋体" w:cs="Times New Roman"/>
      <w:szCs w:val="24"/>
    </w:rPr>
  </w:style>
  <w:style w:type="character" w:customStyle="1" w:styleId="82">
    <w:name w:val="Default Char Char"/>
    <w:link w:val="72"/>
    <w:qFormat/>
    <w:uiPriority w:val="0"/>
    <w:rPr>
      <w:rFonts w:ascii="Arial Unicode MS" w:eastAsia="Arial Unicode MS" w:cs="Arial Unicode MS"/>
      <w:color w:val="000000"/>
      <w:kern w:val="0"/>
      <w:sz w:val="24"/>
      <w:szCs w:val="24"/>
    </w:rPr>
  </w:style>
  <w:style w:type="character" w:customStyle="1" w:styleId="83">
    <w:name w:val="标题 Char"/>
    <w:basedOn w:val="27"/>
    <w:link w:val="21"/>
    <w:qFormat/>
    <w:uiPriority w:val="0"/>
    <w:rPr>
      <w:rFonts w:ascii="Cambria" w:hAnsi="Cambria" w:eastAsia="宋体" w:cs="Times New Roman"/>
      <w:b/>
      <w:bCs/>
      <w:sz w:val="32"/>
      <w:szCs w:val="32"/>
    </w:rPr>
  </w:style>
  <w:style w:type="character" w:customStyle="1" w:styleId="84">
    <w:name w:val="one-lines"/>
    <w:basedOn w:val="27"/>
    <w:qFormat/>
    <w:uiPriority w:val="0"/>
  </w:style>
  <w:style w:type="character" w:customStyle="1" w:styleId="85">
    <w:name w:val="trumbowyg-msg-error"/>
    <w:basedOn w:val="27"/>
    <w:qFormat/>
    <w:uiPriority w:val="0"/>
    <w:rPr>
      <w:color w:val="E74C3C"/>
    </w:rPr>
  </w:style>
  <w:style w:type="character" w:customStyle="1" w:styleId="86">
    <w:name w:val="trumbowyg-msg-error1"/>
    <w:basedOn w:val="27"/>
    <w:qFormat/>
    <w:uiPriority w:val="0"/>
    <w:rPr>
      <w:color w:val="E74C3C"/>
    </w:rPr>
  </w:style>
  <w:style w:type="character" w:customStyle="1" w:styleId="87">
    <w:name w:val="two-lines"/>
    <w:basedOn w:val="27"/>
    <w:qFormat/>
    <w:uiPriority w:val="0"/>
  </w:style>
  <w:style w:type="character" w:customStyle="1" w:styleId="88">
    <w:name w:val="hidden4"/>
    <w:basedOn w:val="27"/>
    <w:qFormat/>
    <w:uiPriority w:val="0"/>
    <w:rPr>
      <w:vanish/>
    </w:rPr>
  </w:style>
  <w:style w:type="character" w:customStyle="1" w:styleId="89">
    <w:name w:val="nth-child(1)"/>
    <w:basedOn w:val="27"/>
    <w:qFormat/>
    <w:uiPriority w:val="0"/>
  </w:style>
  <w:style w:type="character" w:customStyle="1" w:styleId="90">
    <w:name w:val="nth-child(1)1"/>
    <w:basedOn w:val="27"/>
    <w:qFormat/>
    <w:uiPriority w:val="0"/>
  </w:style>
  <w:style w:type="character" w:customStyle="1" w:styleId="9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9.emf"/><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8.emf"/><Relationship Id="rId33" Type="http://schemas.openxmlformats.org/officeDocument/2006/relationships/oleObject" Target="embeddings/oleObject12.bin"/><Relationship Id="rId32" Type="http://schemas.openxmlformats.org/officeDocument/2006/relationships/image" Target="media/image17.emf"/><Relationship Id="rId31" Type="http://schemas.openxmlformats.org/officeDocument/2006/relationships/oleObject" Target="embeddings/oleObject11.bin"/><Relationship Id="rId30" Type="http://schemas.openxmlformats.org/officeDocument/2006/relationships/image" Target="media/image16.e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5.emf"/><Relationship Id="rId27" Type="http://schemas.openxmlformats.org/officeDocument/2006/relationships/oleObject" Target="embeddings/oleObject9.bin"/><Relationship Id="rId26" Type="http://schemas.openxmlformats.org/officeDocument/2006/relationships/image" Target="media/image14.emf"/><Relationship Id="rId25" Type="http://schemas.openxmlformats.org/officeDocument/2006/relationships/oleObject" Target="embeddings/oleObject8.bin"/><Relationship Id="rId24" Type="http://schemas.openxmlformats.org/officeDocument/2006/relationships/image" Target="media/image13.emf"/><Relationship Id="rId23" Type="http://schemas.openxmlformats.org/officeDocument/2006/relationships/oleObject" Target="embeddings/oleObject7.bin"/><Relationship Id="rId22" Type="http://schemas.openxmlformats.org/officeDocument/2006/relationships/image" Target="media/image12.emf"/><Relationship Id="rId21" Type="http://schemas.openxmlformats.org/officeDocument/2006/relationships/oleObject" Target="embeddings/oleObject6.bin"/><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emf"/><Relationship Id="rId17" Type="http://schemas.openxmlformats.org/officeDocument/2006/relationships/oleObject" Target="embeddings/oleObject4.bin"/><Relationship Id="rId16" Type="http://schemas.openxmlformats.org/officeDocument/2006/relationships/image" Target="media/image9.emf"/><Relationship Id="rId15" Type="http://schemas.openxmlformats.org/officeDocument/2006/relationships/oleObject" Target="embeddings/oleObject3.bin"/><Relationship Id="rId14" Type="http://schemas.openxmlformats.org/officeDocument/2006/relationships/image" Target="media/image8.emf"/><Relationship Id="rId13" Type="http://schemas.openxmlformats.org/officeDocument/2006/relationships/oleObject" Target="embeddings/oleObject2.bin"/><Relationship Id="rId12" Type="http://schemas.openxmlformats.org/officeDocument/2006/relationships/image" Target="media/image7.emf"/><Relationship Id="rId11" Type="http://schemas.openxmlformats.org/officeDocument/2006/relationships/oleObject" Target="embeddings/oleObject1.bin"/><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108</Pages>
  <Words>63234</Words>
  <Characters>73912</Characters>
  <Lines>332</Lines>
  <Paragraphs>93</Paragraphs>
  <TotalTime>9</TotalTime>
  <ScaleCrop>false</ScaleCrop>
  <LinksUpToDate>false</LinksUpToDate>
  <CharactersWithSpaces>74399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周律</cp:lastModifiedBy>
  <cp:lastPrinted>2021-08-10T03:45:00Z</cp:lastPrinted>
  <dcterms:modified xsi:type="dcterms:W3CDTF">2023-12-29T02:28:19Z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4122E853AAD347A0B0A4BBFB006E4164_13</vt:lpwstr>
  </property>
</Properties>
</file>