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color w:val="auto"/>
          <w:sz w:val="36"/>
          <w:szCs w:val="36"/>
        </w:rPr>
      </w:pPr>
      <w:bookmarkStart w:id="9" w:name="_GoBack"/>
      <w:bookmarkEnd w:id="9"/>
      <w:r>
        <w:rPr>
          <w:rFonts w:hint="eastAsia" w:eastAsia="仿宋_GB2312"/>
          <w:color w:val="auto"/>
          <w:sz w:val="36"/>
          <w:szCs w:val="36"/>
        </w:rPr>
        <w:t xml:space="preserve">                                                                                                                                                                                                                                                                                                                                                                                                                                                                                                                                                                                                                                                                                          </w:t>
      </w:r>
    </w:p>
    <w:p>
      <w:pPr>
        <w:rPr>
          <w:rFonts w:eastAsia="仿宋_GB2312"/>
          <w:color w:val="auto"/>
          <w:sz w:val="36"/>
          <w:szCs w:val="36"/>
        </w:rPr>
      </w:pPr>
    </w:p>
    <w:p>
      <w:pPr>
        <w:pStyle w:val="24"/>
        <w:ind w:firstLine="210"/>
        <w:rPr>
          <w:color w:val="auto"/>
        </w:rPr>
      </w:pPr>
    </w:p>
    <w:p>
      <w:pPr>
        <w:adjustRightInd w:val="0"/>
        <w:snapToGrid w:val="0"/>
        <w:jc w:val="center"/>
        <w:outlineLvl w:val="0"/>
        <w:rPr>
          <w:rFonts w:eastAsia="方正小标宋_GBK"/>
          <w:bCs/>
          <w:color w:val="auto"/>
          <w:sz w:val="72"/>
          <w:szCs w:val="72"/>
        </w:rPr>
      </w:pPr>
      <w:bookmarkStart w:id="0" w:name="_Toc23051"/>
      <w:r>
        <w:rPr>
          <w:rFonts w:eastAsia="方正小标宋_GBK"/>
          <w:bCs/>
          <w:color w:val="auto"/>
          <w:sz w:val="72"/>
          <w:szCs w:val="72"/>
        </w:rPr>
        <w:t>建设项目环境影响报告表</w:t>
      </w:r>
      <w:bookmarkEnd w:id="0"/>
    </w:p>
    <w:p>
      <w:pPr>
        <w:adjustRightInd w:val="0"/>
        <w:snapToGrid w:val="0"/>
        <w:spacing w:before="192" w:beforeLines="80"/>
        <w:jc w:val="center"/>
        <w:rPr>
          <w:rFonts w:eastAsia="楷体_GB2312"/>
          <w:b/>
          <w:bCs w:val="0"/>
          <w:color w:val="auto"/>
          <w:sz w:val="48"/>
          <w:szCs w:val="48"/>
        </w:rPr>
      </w:pPr>
      <w:r>
        <w:rPr>
          <w:rFonts w:eastAsia="楷体_GB2312"/>
          <w:b/>
          <w:bCs w:val="0"/>
          <w:color w:val="auto"/>
          <w:sz w:val="48"/>
          <w:szCs w:val="48"/>
        </w:rPr>
        <w:t>（污染影响类）</w:t>
      </w:r>
    </w:p>
    <w:p>
      <w:pPr>
        <w:rPr>
          <w:b/>
          <w:bCs w:val="0"/>
          <w:color w:val="auto"/>
        </w:rPr>
      </w:pPr>
    </w:p>
    <w:p>
      <w:pPr>
        <w:jc w:val="center"/>
        <w:rPr>
          <w:rFonts w:hint="eastAsia" w:eastAsia="仿宋"/>
          <w:b/>
          <w:bCs w:val="0"/>
          <w:color w:val="auto"/>
          <w:sz w:val="52"/>
          <w:szCs w:val="52"/>
          <w:lang w:eastAsia="zh-CN"/>
        </w:rPr>
      </w:pPr>
      <w:r>
        <w:rPr>
          <w:rFonts w:hint="eastAsia" w:eastAsia="仿宋"/>
          <w:b/>
          <w:bCs w:val="0"/>
          <w:color w:val="auto"/>
          <w:sz w:val="52"/>
          <w:szCs w:val="52"/>
          <w:lang w:eastAsia="zh-CN"/>
        </w:rPr>
        <w:t>报批稿</w:t>
      </w:r>
    </w:p>
    <w:p>
      <w:pPr>
        <w:ind w:firstLine="1040"/>
        <w:rPr>
          <w:rFonts w:eastAsia="仿宋"/>
          <w:b/>
          <w:bCs w:val="0"/>
          <w:color w:val="auto"/>
          <w:sz w:val="44"/>
          <w:szCs w:val="44"/>
        </w:rPr>
      </w:pPr>
      <w:r>
        <w:rPr>
          <w:rFonts w:hint="eastAsia" w:eastAsia="仿宋"/>
          <w:b/>
          <w:bCs w:val="0"/>
          <w:color w:val="auto"/>
          <w:sz w:val="44"/>
          <w:szCs w:val="44"/>
        </w:rPr>
        <w:t xml:space="preserve">                                                                                                                                                                                                                                                    </w:t>
      </w:r>
    </w:p>
    <w:p>
      <w:pPr>
        <w:ind w:firstLine="1040"/>
        <w:rPr>
          <w:rFonts w:eastAsia="仿宋"/>
          <w:b/>
          <w:bCs w:val="0"/>
          <w:color w:val="auto"/>
          <w:sz w:val="44"/>
          <w:szCs w:val="44"/>
        </w:rPr>
      </w:pPr>
      <w:r>
        <w:rPr>
          <w:rFonts w:hint="eastAsia" w:eastAsia="仿宋"/>
          <w:b/>
          <w:bCs w:val="0"/>
          <w:color w:val="auto"/>
          <w:sz w:val="44"/>
          <w:szCs w:val="44"/>
        </w:rPr>
        <w:t xml:space="preserve">                                                       </w:t>
      </w:r>
    </w:p>
    <w:p>
      <w:pPr>
        <w:ind w:firstLine="1040"/>
        <w:rPr>
          <w:b/>
          <w:bCs w:val="0"/>
          <w:color w:val="auto"/>
        </w:rPr>
      </w:pPr>
    </w:p>
    <w:p>
      <w:pPr>
        <w:pStyle w:val="7"/>
        <w:rPr>
          <w:rFonts w:ascii="Times New Roman" w:hAnsi="Times New Roman" w:cs="Times New Roman"/>
          <w:b/>
          <w:bCs w:val="0"/>
          <w:color w:val="auto"/>
        </w:rPr>
      </w:pPr>
    </w:p>
    <w:p>
      <w:pPr>
        <w:ind w:firstLine="1040"/>
        <w:rPr>
          <w:rFonts w:eastAsia="仿宋"/>
          <w:b/>
          <w:bCs w:val="0"/>
          <w:color w:val="auto"/>
          <w:sz w:val="48"/>
          <w:szCs w:val="48"/>
        </w:rPr>
      </w:pPr>
    </w:p>
    <w:p>
      <w:pPr>
        <w:pStyle w:val="21"/>
        <w:rPr>
          <w:color w:val="auto"/>
        </w:rPr>
      </w:pPr>
    </w:p>
    <w:p>
      <w:pPr>
        <w:pStyle w:val="24"/>
        <w:ind w:firstLine="480"/>
        <w:rPr>
          <w:rFonts w:eastAsia="仿宋"/>
          <w:b/>
          <w:bCs w:val="0"/>
          <w:color w:val="auto"/>
          <w:sz w:val="48"/>
          <w:szCs w:val="48"/>
        </w:rPr>
      </w:pPr>
    </w:p>
    <w:p>
      <w:pPr>
        <w:pStyle w:val="21"/>
        <w:rPr>
          <w:rFonts w:eastAsia="仿宋"/>
          <w:b/>
          <w:bCs w:val="0"/>
          <w:color w:val="auto"/>
          <w:sz w:val="48"/>
          <w:szCs w:val="48"/>
        </w:rPr>
      </w:pPr>
    </w:p>
    <w:p>
      <w:pPr>
        <w:rPr>
          <w:rFonts w:eastAsia="仿宋"/>
          <w:b/>
          <w:bCs w:val="0"/>
          <w:color w:val="auto"/>
          <w:sz w:val="48"/>
          <w:szCs w:val="48"/>
        </w:rPr>
      </w:pPr>
    </w:p>
    <w:p>
      <w:pPr>
        <w:pStyle w:val="21"/>
        <w:rPr>
          <w:color w:val="auto"/>
        </w:rPr>
      </w:pPr>
    </w:p>
    <w:p>
      <w:pPr>
        <w:rPr>
          <w:b/>
          <w:bCs w:val="0"/>
          <w:color w:val="auto"/>
        </w:rPr>
      </w:pPr>
    </w:p>
    <w:p>
      <w:pPr>
        <w:adjustRightInd w:val="0"/>
        <w:snapToGrid w:val="0"/>
        <w:spacing w:line="360" w:lineRule="auto"/>
        <w:ind w:firstLine="643" w:firstLineChars="200"/>
        <w:jc w:val="center"/>
        <w:rPr>
          <w:rFonts w:eastAsia="仿宋_GB2312"/>
          <w:b/>
          <w:bCs w:val="0"/>
          <w:color w:val="auto"/>
          <w:sz w:val="32"/>
          <w:szCs w:val="32"/>
        </w:rPr>
      </w:pPr>
      <w:r>
        <w:rPr>
          <w:rFonts w:eastAsia="仿宋_GB2312"/>
          <w:b/>
          <w:bCs w:val="0"/>
          <w:color w:val="auto"/>
          <w:sz w:val="32"/>
          <w:szCs w:val="32"/>
        </w:rPr>
        <w:t>项目名称：</w:t>
      </w:r>
      <w:r>
        <w:rPr>
          <w:rFonts w:hint="eastAsia" w:eastAsia="仿宋_GB2312"/>
          <w:b/>
          <w:bCs w:val="0"/>
          <w:color w:val="auto"/>
          <w:sz w:val="32"/>
          <w:szCs w:val="32"/>
          <w:u w:val="single"/>
        </w:rPr>
        <w:t>昆明市东川区精神病院整体迁建建设项目</w:t>
      </w:r>
    </w:p>
    <w:p>
      <w:pPr>
        <w:adjustRightInd w:val="0"/>
        <w:snapToGrid w:val="0"/>
        <w:spacing w:line="360" w:lineRule="auto"/>
        <w:ind w:firstLine="643" w:firstLineChars="200"/>
        <w:jc w:val="center"/>
        <w:rPr>
          <w:rFonts w:hint="eastAsia" w:eastAsia="仿宋_GB2312"/>
          <w:b/>
          <w:bCs w:val="0"/>
          <w:color w:val="auto"/>
          <w:sz w:val="32"/>
          <w:szCs w:val="32"/>
          <w:u w:val="single"/>
        </w:rPr>
      </w:pPr>
      <w:r>
        <w:rPr>
          <w:rFonts w:eastAsia="仿宋_GB2312"/>
          <w:b/>
          <w:bCs w:val="0"/>
          <w:color w:val="auto"/>
          <w:sz w:val="32"/>
          <w:szCs w:val="32"/>
        </w:rPr>
        <w:t>建设单位（盖章）：</w:t>
      </w:r>
      <w:r>
        <w:rPr>
          <w:rFonts w:hint="eastAsia" w:eastAsia="仿宋_GB2312"/>
          <w:b/>
          <w:bCs w:val="0"/>
          <w:color w:val="auto"/>
          <w:sz w:val="32"/>
          <w:szCs w:val="32"/>
          <w:u w:val="single"/>
        </w:rPr>
        <w:t>昆明市东川区精神病院</w:t>
      </w:r>
    </w:p>
    <w:p>
      <w:pPr>
        <w:adjustRightInd w:val="0"/>
        <w:snapToGrid w:val="0"/>
        <w:spacing w:line="360" w:lineRule="auto"/>
        <w:ind w:firstLine="643" w:firstLineChars="200"/>
        <w:jc w:val="center"/>
        <w:rPr>
          <w:rFonts w:eastAsia="仿宋_GB2312"/>
          <w:b/>
          <w:bCs w:val="0"/>
          <w:color w:val="auto"/>
          <w:sz w:val="32"/>
          <w:szCs w:val="32"/>
          <w:u w:val="single"/>
        </w:rPr>
      </w:pPr>
      <w:r>
        <w:rPr>
          <w:rFonts w:eastAsia="仿宋_GB2312"/>
          <w:b/>
          <w:bCs w:val="0"/>
          <w:color w:val="auto"/>
          <w:sz w:val="32"/>
          <w:szCs w:val="32"/>
        </w:rPr>
        <w:t>编制日期：</w:t>
      </w:r>
      <w:r>
        <w:rPr>
          <w:rFonts w:eastAsia="仿宋_GB2312"/>
          <w:b/>
          <w:bCs w:val="0"/>
          <w:color w:val="auto"/>
          <w:sz w:val="32"/>
          <w:szCs w:val="32"/>
          <w:u w:val="single"/>
        </w:rPr>
        <w:t xml:space="preserve"> 2023年</w:t>
      </w:r>
      <w:r>
        <w:rPr>
          <w:rFonts w:hint="default" w:eastAsia="仿宋_GB2312"/>
          <w:b/>
          <w:bCs w:val="0"/>
          <w:color w:val="auto"/>
          <w:sz w:val="32"/>
          <w:szCs w:val="32"/>
          <w:u w:val="single"/>
          <w:lang w:val="en-US"/>
        </w:rPr>
        <w:t>12</w:t>
      </w:r>
      <w:r>
        <w:rPr>
          <w:rFonts w:eastAsia="仿宋_GB2312"/>
          <w:b/>
          <w:bCs w:val="0"/>
          <w:color w:val="auto"/>
          <w:sz w:val="32"/>
          <w:szCs w:val="32"/>
          <w:u w:val="single"/>
        </w:rPr>
        <w:t>月</w:t>
      </w:r>
    </w:p>
    <w:p>
      <w:pPr>
        <w:adjustRightInd w:val="0"/>
        <w:snapToGrid w:val="0"/>
        <w:spacing w:line="288" w:lineRule="auto"/>
        <w:ind w:firstLine="1040"/>
        <w:rPr>
          <w:rFonts w:eastAsia="仿宋_GB2312"/>
          <w:color w:val="auto"/>
          <w:sz w:val="36"/>
          <w:szCs w:val="36"/>
        </w:rPr>
        <w:sectPr>
          <w:footerReference r:id="rId3" w:type="default"/>
          <w:footerReference r:id="rId4" w:type="even"/>
          <w:pgSz w:w="11906" w:h="16838"/>
          <w:pgMar w:top="1701" w:right="1531" w:bottom="1701" w:left="1531" w:header="851" w:footer="1077" w:gutter="0"/>
          <w:pgNumType w:start="3"/>
          <w:cols w:space="720" w:num="1"/>
          <w:docGrid w:linePitch="312" w:charSpace="0"/>
        </w:sectPr>
      </w:pPr>
    </w:p>
    <w:tbl>
      <w:tblPr>
        <w:tblStyle w:val="26"/>
        <w:tblpPr w:leftFromText="180" w:rightFromText="180" w:vertAnchor="page" w:horzAnchor="page" w:tblpX="1800" w:tblpY="19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suppressLineNumbers w:val="0"/>
              <w:spacing w:before="0" w:beforeAutospacing="0" w:after="0" w:afterAutospacing="0"/>
              <w:ind w:left="0" w:right="0"/>
              <w:jc w:val="center"/>
              <w:rPr>
                <w:rFonts w:hint="default" w:ascii="Calibri" w:hAnsi="Calibri" w:cs="Times New Roman"/>
                <w:color w:val="auto"/>
              </w:rPr>
            </w:pPr>
            <w:r>
              <w:rPr>
                <w:rFonts w:hint="default"/>
                <w:color w:val="auto"/>
                <w:sz w:val="32"/>
                <w:szCs w:val="20"/>
              </w:rPr>
              <mc:AlternateContent>
                <mc:Choice Requires="wps">
                  <w:drawing>
                    <wp:anchor distT="0" distB="0" distL="114300" distR="114300" simplePos="0" relativeHeight="251660288" behindDoc="0" locked="0" layoutInCell="1" allowOverlap="1">
                      <wp:simplePos x="0" y="0"/>
                      <wp:positionH relativeFrom="column">
                        <wp:posOffset>1267460</wp:posOffset>
                      </wp:positionH>
                      <wp:positionV relativeFrom="paragraph">
                        <wp:posOffset>1167765</wp:posOffset>
                      </wp:positionV>
                      <wp:extent cx="1275715" cy="248285"/>
                      <wp:effectExtent l="4445" t="4445" r="15240" b="13970"/>
                      <wp:wrapNone/>
                      <wp:docPr id="10" name="文本框 10"/>
                      <wp:cNvGraphicFramePr/>
                      <a:graphic xmlns:a="http://schemas.openxmlformats.org/drawingml/2006/main">
                        <a:graphicData uri="http://schemas.microsoft.com/office/word/2010/wordprocessingShape">
                          <wps:wsp>
                            <wps:cNvSpPr txBox="1"/>
                            <wps:spPr>
                              <a:xfrm>
                                <a:off x="0" y="0"/>
                                <a:ext cx="1275715" cy="24828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eastAsia="宋体"/>
                                      <w:color w:val="F79646" w:themeColor="accent6"/>
                                      <w:sz w:val="21"/>
                                      <w:szCs w:val="15"/>
                                      <w:lang w:val="en-US" w:eastAsia="zh-CN"/>
                                      <w14:textFill>
                                        <w14:solidFill>
                                          <w14:schemeClr w14:val="accent6"/>
                                        </w14:solidFill>
                                      </w14:textFill>
                                    </w:rPr>
                                  </w:pPr>
                                  <w:r>
                                    <w:rPr>
                                      <w:rFonts w:hint="default"/>
                                      <w:color w:val="F79646" w:themeColor="accent6"/>
                                      <w:sz w:val="21"/>
                                      <w:szCs w:val="15"/>
                                      <w:lang w:val="en-US"/>
                                      <w14:textFill>
                                        <w14:solidFill>
                                          <w14:schemeClr w14:val="accent6"/>
                                        </w14:solidFill>
                                      </w14:textFill>
                                    </w:rPr>
                                    <w:t>2023</w:t>
                                  </w:r>
                                  <w:r>
                                    <w:rPr>
                                      <w:rFonts w:hint="eastAsia"/>
                                      <w:color w:val="F79646" w:themeColor="accent6"/>
                                      <w:sz w:val="21"/>
                                      <w:szCs w:val="15"/>
                                      <w:lang w:val="en-US" w:eastAsia="zh-CN"/>
                                      <w14:textFill>
                                        <w14:solidFill>
                                          <w14:schemeClr w14:val="accent6"/>
                                        </w14:solidFill>
                                      </w14:textFill>
                                    </w:rPr>
                                    <w:t>年</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月</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8pt;margin-top:91.95pt;height:19.55pt;width:100.45pt;z-index:251660288;mso-width-relative:page;mso-height-relative:page;" filled="f" stroked="t" coordsize="21600,21600" o:gfxdata="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SiHWzbAAAACwEA&#10;AA8AAAAAAAAAAQAgAAAAIgAAAGRycy9kb3ducmV2LnhtbFBLAQIUABQAAAAIAIdO4kBUjV3pUAIA&#10;AJAEAAAOAAAAAAAAAAEAIAAAACoBAABkcnMvZTJvRG9jLnhtbFBLBQYAAAAABgAGAFkBAADsBQAA&#10;A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eastAsia="宋体"/>
                                <w:color w:val="F79646" w:themeColor="accent6"/>
                                <w:sz w:val="21"/>
                                <w:szCs w:val="15"/>
                                <w:lang w:val="en-US" w:eastAsia="zh-CN"/>
                                <w14:textFill>
                                  <w14:solidFill>
                                    <w14:schemeClr w14:val="accent6"/>
                                  </w14:solidFill>
                                </w14:textFill>
                              </w:rPr>
                            </w:pPr>
                            <w:r>
                              <w:rPr>
                                <w:rFonts w:hint="default"/>
                                <w:color w:val="F79646" w:themeColor="accent6"/>
                                <w:sz w:val="21"/>
                                <w:szCs w:val="15"/>
                                <w:lang w:val="en-US"/>
                                <w14:textFill>
                                  <w14:solidFill>
                                    <w14:schemeClr w14:val="accent6"/>
                                  </w14:solidFill>
                                </w14:textFill>
                              </w:rPr>
                              <w:t>2023</w:t>
                            </w:r>
                            <w:r>
                              <w:rPr>
                                <w:rFonts w:hint="eastAsia"/>
                                <w:color w:val="F79646" w:themeColor="accent6"/>
                                <w:sz w:val="21"/>
                                <w:szCs w:val="15"/>
                                <w:lang w:val="en-US" w:eastAsia="zh-CN"/>
                                <w14:textFill>
                                  <w14:solidFill>
                                    <w14:schemeClr w14:val="accent6"/>
                                  </w14:solidFill>
                                </w14:textFill>
                              </w:rPr>
                              <w:t>年</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月</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日</w:t>
                            </w:r>
                          </w:p>
                        </w:txbxContent>
                      </v:textbox>
                    </v:shape>
                  </w:pict>
                </mc:Fallback>
              </mc:AlternateContent>
            </w:r>
            <w:r>
              <w:rPr>
                <w:rFonts w:hint="default" w:ascii="Calibri" w:hAnsi="Calibri" w:cs="Times New Roman"/>
                <w:color w:val="auto"/>
              </w:rPr>
              <w:drawing>
                <wp:inline distT="0" distB="0" distL="114300" distR="114300">
                  <wp:extent cx="2521585" cy="1417955"/>
                  <wp:effectExtent l="0" t="0" r="12065" b="10795"/>
                  <wp:docPr id="2" name="图片 1" descr="精神病院现场照片IMG_20230228_10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精神病院现场照片IMG_20230228_101453"/>
                          <pic:cNvPicPr>
                            <a:picLocks noChangeAspect="1"/>
                          </pic:cNvPicPr>
                        </pic:nvPicPr>
                        <pic:blipFill>
                          <a:blip r:embed="rId9"/>
                          <a:stretch>
                            <a:fillRect/>
                          </a:stretch>
                        </pic:blipFill>
                        <pic:spPr>
                          <a:xfrm>
                            <a:off x="0" y="0"/>
                            <a:ext cx="2521585" cy="1417955"/>
                          </a:xfrm>
                          <a:prstGeom prst="rect">
                            <a:avLst/>
                          </a:prstGeom>
                          <a:noFill/>
                          <a:ln>
                            <a:noFill/>
                          </a:ln>
                        </pic:spPr>
                      </pic:pic>
                    </a:graphicData>
                  </a:graphic>
                </wp:inline>
              </w:drawing>
            </w:r>
          </w:p>
        </w:tc>
        <w:tc>
          <w:tcPr>
            <w:tcW w:w="4261" w:type="dxa"/>
            <w:noWrap w:val="0"/>
            <w:vAlign w:val="center"/>
          </w:tcPr>
          <w:p>
            <w:pPr>
              <w:keepNext w:val="0"/>
              <w:keepLines w:val="0"/>
              <w:suppressLineNumbers w:val="0"/>
              <w:spacing w:before="0" w:beforeAutospacing="0" w:after="0" w:afterAutospacing="0"/>
              <w:ind w:left="0" w:right="0"/>
              <w:jc w:val="center"/>
              <w:rPr>
                <w:rFonts w:hint="default" w:ascii="Calibri" w:hAnsi="Calibri" w:cs="Times New Roman"/>
                <w:color w:val="auto"/>
              </w:rPr>
            </w:pPr>
            <w:r>
              <w:rPr>
                <w:rFonts w:hint="default"/>
                <w:color w:val="auto"/>
                <w:sz w:val="32"/>
                <w:szCs w:val="20"/>
              </w:rPr>
              <mc:AlternateContent>
                <mc:Choice Requires="wps">
                  <w:drawing>
                    <wp:anchor distT="0" distB="0" distL="114300" distR="114300" simplePos="0" relativeHeight="251661312" behindDoc="0" locked="0" layoutInCell="1" allowOverlap="1">
                      <wp:simplePos x="0" y="0"/>
                      <wp:positionH relativeFrom="column">
                        <wp:posOffset>1238250</wp:posOffset>
                      </wp:positionH>
                      <wp:positionV relativeFrom="paragraph">
                        <wp:posOffset>1139190</wp:posOffset>
                      </wp:positionV>
                      <wp:extent cx="1275715" cy="248285"/>
                      <wp:effectExtent l="4445" t="4445" r="15240" b="13970"/>
                      <wp:wrapNone/>
                      <wp:docPr id="12" name="文本框 12"/>
                      <wp:cNvGraphicFramePr/>
                      <a:graphic xmlns:a="http://schemas.openxmlformats.org/drawingml/2006/main">
                        <a:graphicData uri="http://schemas.microsoft.com/office/word/2010/wordprocessingShape">
                          <wps:wsp>
                            <wps:cNvSpPr txBox="1"/>
                            <wps:spPr>
                              <a:xfrm>
                                <a:off x="0" y="0"/>
                                <a:ext cx="1275715" cy="24828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eastAsia="宋体"/>
                                      <w:color w:val="F79646" w:themeColor="accent6"/>
                                      <w:sz w:val="21"/>
                                      <w:szCs w:val="15"/>
                                      <w:lang w:val="en-US" w:eastAsia="zh-CN"/>
                                      <w14:textFill>
                                        <w14:solidFill>
                                          <w14:schemeClr w14:val="accent6"/>
                                        </w14:solidFill>
                                      </w14:textFill>
                                    </w:rPr>
                                  </w:pPr>
                                  <w:r>
                                    <w:rPr>
                                      <w:rFonts w:hint="default"/>
                                      <w:color w:val="F79646" w:themeColor="accent6"/>
                                      <w:sz w:val="21"/>
                                      <w:szCs w:val="15"/>
                                      <w:lang w:val="en-US"/>
                                      <w14:textFill>
                                        <w14:solidFill>
                                          <w14:schemeClr w14:val="accent6"/>
                                        </w14:solidFill>
                                      </w14:textFill>
                                    </w:rPr>
                                    <w:t>2023</w:t>
                                  </w:r>
                                  <w:r>
                                    <w:rPr>
                                      <w:rFonts w:hint="eastAsia"/>
                                      <w:color w:val="F79646" w:themeColor="accent6"/>
                                      <w:sz w:val="21"/>
                                      <w:szCs w:val="15"/>
                                      <w:lang w:val="en-US" w:eastAsia="zh-CN"/>
                                      <w14:textFill>
                                        <w14:solidFill>
                                          <w14:schemeClr w14:val="accent6"/>
                                        </w14:solidFill>
                                      </w14:textFill>
                                    </w:rPr>
                                    <w:t>年</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月</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5pt;margin-top:89.7pt;height:19.55pt;width:100.45pt;z-index:251661312;mso-width-relative:page;mso-height-relative:page;" filled="f" stroked="t" coordsize="21600,21600" o:gfxdata="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OXSE+2wAAAAsB&#10;AAAPAAAAAAAAAAEAIAAAACIAAABkcnMvZG93bnJldi54bWxQSwECFAAUAAAACACHTuJAVbHpeFEC&#10;AACQBAAADgAAAAAAAAABACAAAAAqAQAAZHJzL2Uyb0RvYy54bWxQSwUGAAAAAAYABgBZAQAA7QUA&#10;AA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eastAsia="宋体"/>
                                <w:color w:val="F79646" w:themeColor="accent6"/>
                                <w:sz w:val="21"/>
                                <w:szCs w:val="15"/>
                                <w:lang w:val="en-US" w:eastAsia="zh-CN"/>
                                <w14:textFill>
                                  <w14:solidFill>
                                    <w14:schemeClr w14:val="accent6"/>
                                  </w14:solidFill>
                                </w14:textFill>
                              </w:rPr>
                            </w:pPr>
                            <w:r>
                              <w:rPr>
                                <w:rFonts w:hint="default"/>
                                <w:color w:val="F79646" w:themeColor="accent6"/>
                                <w:sz w:val="21"/>
                                <w:szCs w:val="15"/>
                                <w:lang w:val="en-US"/>
                                <w14:textFill>
                                  <w14:solidFill>
                                    <w14:schemeClr w14:val="accent6"/>
                                  </w14:solidFill>
                                </w14:textFill>
                              </w:rPr>
                              <w:t>2023</w:t>
                            </w:r>
                            <w:r>
                              <w:rPr>
                                <w:rFonts w:hint="eastAsia"/>
                                <w:color w:val="F79646" w:themeColor="accent6"/>
                                <w:sz w:val="21"/>
                                <w:szCs w:val="15"/>
                                <w:lang w:val="en-US" w:eastAsia="zh-CN"/>
                                <w14:textFill>
                                  <w14:solidFill>
                                    <w14:schemeClr w14:val="accent6"/>
                                  </w14:solidFill>
                                </w14:textFill>
                              </w:rPr>
                              <w:t>年</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月</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日</w:t>
                            </w:r>
                          </w:p>
                        </w:txbxContent>
                      </v:textbox>
                    </v:shape>
                  </w:pict>
                </mc:Fallback>
              </mc:AlternateContent>
            </w:r>
            <w:r>
              <w:rPr>
                <w:rFonts w:hint="default" w:ascii="Calibri" w:hAnsi="Calibri" w:cs="Times New Roman"/>
                <w:color w:val="auto"/>
              </w:rPr>
              <w:drawing>
                <wp:inline distT="0" distB="0" distL="114300" distR="114300">
                  <wp:extent cx="2521585" cy="1417955"/>
                  <wp:effectExtent l="0" t="0" r="12065" b="10795"/>
                  <wp:docPr id="3" name="图片 2" descr="精神病院现场照片IMG_20230228_102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精神病院现场照片IMG_20230228_102953"/>
                          <pic:cNvPicPr>
                            <a:picLocks noChangeAspect="1"/>
                          </pic:cNvPicPr>
                        </pic:nvPicPr>
                        <pic:blipFill>
                          <a:blip r:embed="rId10"/>
                          <a:stretch>
                            <a:fillRect/>
                          </a:stretch>
                        </pic:blipFill>
                        <pic:spPr>
                          <a:xfrm>
                            <a:off x="0" y="0"/>
                            <a:ext cx="2521585" cy="141795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suppressLineNumbers w:val="0"/>
              <w:spacing w:before="0" w:beforeAutospacing="0" w:after="0" w:afterAutospacing="0"/>
              <w:ind w:left="0" w:right="0"/>
              <w:jc w:val="center"/>
              <w:rPr>
                <w:rFonts w:hint="eastAsia" w:ascii="Calibri" w:hAnsi="Calibri" w:cs="Times New Roman"/>
                <w:color w:val="auto"/>
              </w:rPr>
            </w:pPr>
            <w:r>
              <w:rPr>
                <w:rFonts w:hint="eastAsia" w:ascii="Calibri" w:hAnsi="Calibri" w:cs="Times New Roman"/>
                <w:color w:val="auto"/>
              </w:rPr>
              <w:t>原项目照片</w:t>
            </w:r>
          </w:p>
        </w:tc>
        <w:tc>
          <w:tcPr>
            <w:tcW w:w="4261" w:type="dxa"/>
            <w:noWrap w:val="0"/>
            <w:vAlign w:val="center"/>
          </w:tcPr>
          <w:p>
            <w:pPr>
              <w:keepNext w:val="0"/>
              <w:keepLines w:val="0"/>
              <w:suppressLineNumbers w:val="0"/>
              <w:spacing w:before="0" w:beforeAutospacing="0" w:after="0" w:afterAutospacing="0"/>
              <w:ind w:left="0" w:right="0"/>
              <w:jc w:val="center"/>
              <w:rPr>
                <w:rFonts w:hint="eastAsia" w:ascii="Calibri" w:hAnsi="Calibri" w:cs="Times New Roman"/>
                <w:color w:val="auto"/>
              </w:rPr>
            </w:pPr>
            <w:r>
              <w:rPr>
                <w:rFonts w:hint="eastAsia" w:ascii="Calibri" w:hAnsi="Calibri" w:cs="Times New Roman"/>
                <w:color w:val="auto"/>
              </w:rPr>
              <w:t>场地现状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suppressLineNumbers w:val="0"/>
              <w:spacing w:before="0" w:beforeAutospacing="0" w:after="0" w:afterAutospacing="0"/>
              <w:ind w:left="0" w:right="0"/>
              <w:jc w:val="center"/>
              <w:rPr>
                <w:rFonts w:hint="default" w:ascii="Calibri" w:hAnsi="Calibri" w:cs="Times New Roman"/>
                <w:color w:val="auto"/>
              </w:rPr>
            </w:pPr>
            <w:r>
              <w:rPr>
                <w:rFonts w:hint="default"/>
                <w:color w:val="auto"/>
                <w:sz w:val="32"/>
                <w:szCs w:val="20"/>
              </w:rPr>
              <mc:AlternateContent>
                <mc:Choice Requires="wps">
                  <w:drawing>
                    <wp:anchor distT="0" distB="0" distL="114300" distR="114300" simplePos="0" relativeHeight="251662336" behindDoc="0" locked="0" layoutInCell="1" allowOverlap="1">
                      <wp:simplePos x="0" y="0"/>
                      <wp:positionH relativeFrom="column">
                        <wp:posOffset>1276985</wp:posOffset>
                      </wp:positionH>
                      <wp:positionV relativeFrom="paragraph">
                        <wp:posOffset>1172845</wp:posOffset>
                      </wp:positionV>
                      <wp:extent cx="1275715" cy="248285"/>
                      <wp:effectExtent l="4445" t="4445" r="15240" b="13970"/>
                      <wp:wrapNone/>
                      <wp:docPr id="13" name="文本框 13"/>
                      <wp:cNvGraphicFramePr/>
                      <a:graphic xmlns:a="http://schemas.openxmlformats.org/drawingml/2006/main">
                        <a:graphicData uri="http://schemas.microsoft.com/office/word/2010/wordprocessingShape">
                          <wps:wsp>
                            <wps:cNvSpPr txBox="1"/>
                            <wps:spPr>
                              <a:xfrm>
                                <a:off x="0" y="0"/>
                                <a:ext cx="1275715" cy="24828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eastAsia="宋体"/>
                                      <w:color w:val="F79646" w:themeColor="accent6"/>
                                      <w:sz w:val="21"/>
                                      <w:szCs w:val="15"/>
                                      <w:lang w:val="en-US" w:eastAsia="zh-CN"/>
                                      <w14:textFill>
                                        <w14:solidFill>
                                          <w14:schemeClr w14:val="accent6"/>
                                        </w14:solidFill>
                                      </w14:textFill>
                                    </w:rPr>
                                  </w:pPr>
                                  <w:r>
                                    <w:rPr>
                                      <w:rFonts w:hint="default"/>
                                      <w:color w:val="F79646" w:themeColor="accent6"/>
                                      <w:sz w:val="21"/>
                                      <w:szCs w:val="15"/>
                                      <w:lang w:val="en-US"/>
                                      <w14:textFill>
                                        <w14:solidFill>
                                          <w14:schemeClr w14:val="accent6"/>
                                        </w14:solidFill>
                                      </w14:textFill>
                                    </w:rPr>
                                    <w:t>2023</w:t>
                                  </w:r>
                                  <w:r>
                                    <w:rPr>
                                      <w:rFonts w:hint="eastAsia"/>
                                      <w:color w:val="F79646" w:themeColor="accent6"/>
                                      <w:sz w:val="21"/>
                                      <w:szCs w:val="15"/>
                                      <w:lang w:val="en-US" w:eastAsia="zh-CN"/>
                                      <w14:textFill>
                                        <w14:solidFill>
                                          <w14:schemeClr w14:val="accent6"/>
                                        </w14:solidFill>
                                      </w14:textFill>
                                    </w:rPr>
                                    <w:t>年</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月</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55pt;margin-top:92.35pt;height:19.55pt;width:100.45pt;z-index:251662336;mso-width-relative:page;mso-height-relative:page;" filled="f" stroked="t" coordsize="21600,21600" o:gfxdata="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WUIcwtkAAAALAQAA&#10;DwAAAAAAAAABACAAAAAiAAAAZHJzL2Rvd25yZXYueG1sUEsBAhQAFAAAAAgAh07iQHUsi91RAgAA&#10;kAQAAA4AAAAAAAAAAQAgAAAAKAEAAGRycy9lMm9Eb2MueG1sUEsFBgAAAAAGAAYAWQEAAOsFAAAA&#10;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eastAsia="宋体"/>
                                <w:color w:val="F79646" w:themeColor="accent6"/>
                                <w:sz w:val="21"/>
                                <w:szCs w:val="15"/>
                                <w:lang w:val="en-US" w:eastAsia="zh-CN"/>
                                <w14:textFill>
                                  <w14:solidFill>
                                    <w14:schemeClr w14:val="accent6"/>
                                  </w14:solidFill>
                                </w14:textFill>
                              </w:rPr>
                            </w:pPr>
                            <w:r>
                              <w:rPr>
                                <w:rFonts w:hint="default"/>
                                <w:color w:val="F79646" w:themeColor="accent6"/>
                                <w:sz w:val="21"/>
                                <w:szCs w:val="15"/>
                                <w:lang w:val="en-US"/>
                                <w14:textFill>
                                  <w14:solidFill>
                                    <w14:schemeClr w14:val="accent6"/>
                                  </w14:solidFill>
                                </w14:textFill>
                              </w:rPr>
                              <w:t>2023</w:t>
                            </w:r>
                            <w:r>
                              <w:rPr>
                                <w:rFonts w:hint="eastAsia"/>
                                <w:color w:val="F79646" w:themeColor="accent6"/>
                                <w:sz w:val="21"/>
                                <w:szCs w:val="15"/>
                                <w:lang w:val="en-US" w:eastAsia="zh-CN"/>
                                <w14:textFill>
                                  <w14:solidFill>
                                    <w14:schemeClr w14:val="accent6"/>
                                  </w14:solidFill>
                                </w14:textFill>
                              </w:rPr>
                              <w:t>年</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月</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日</w:t>
                            </w:r>
                          </w:p>
                        </w:txbxContent>
                      </v:textbox>
                    </v:shape>
                  </w:pict>
                </mc:Fallback>
              </mc:AlternateContent>
            </w:r>
            <w:r>
              <w:rPr>
                <w:rFonts w:hint="default" w:ascii="Calibri" w:hAnsi="Calibri" w:cs="Times New Roman"/>
                <w:color w:val="auto"/>
              </w:rPr>
              <w:drawing>
                <wp:inline distT="0" distB="0" distL="114300" distR="114300">
                  <wp:extent cx="2521585" cy="1417955"/>
                  <wp:effectExtent l="0" t="0" r="12065" b="10795"/>
                  <wp:docPr id="4" name="图片 3" descr="精神病院现场照片IMG_20230228_102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精神病院现场照片IMG_20230228_102956"/>
                          <pic:cNvPicPr>
                            <a:picLocks noChangeAspect="1"/>
                          </pic:cNvPicPr>
                        </pic:nvPicPr>
                        <pic:blipFill>
                          <a:blip r:embed="rId11"/>
                          <a:stretch>
                            <a:fillRect/>
                          </a:stretch>
                        </pic:blipFill>
                        <pic:spPr>
                          <a:xfrm>
                            <a:off x="0" y="0"/>
                            <a:ext cx="2521585" cy="1417955"/>
                          </a:xfrm>
                          <a:prstGeom prst="rect">
                            <a:avLst/>
                          </a:prstGeom>
                          <a:noFill/>
                          <a:ln>
                            <a:noFill/>
                          </a:ln>
                        </pic:spPr>
                      </pic:pic>
                    </a:graphicData>
                  </a:graphic>
                </wp:inline>
              </w:drawing>
            </w:r>
          </w:p>
        </w:tc>
        <w:tc>
          <w:tcPr>
            <w:tcW w:w="4261" w:type="dxa"/>
            <w:noWrap w:val="0"/>
            <w:vAlign w:val="center"/>
          </w:tcPr>
          <w:p>
            <w:pPr>
              <w:keepNext w:val="0"/>
              <w:keepLines w:val="0"/>
              <w:suppressLineNumbers w:val="0"/>
              <w:spacing w:before="0" w:beforeAutospacing="0" w:after="0" w:afterAutospacing="0"/>
              <w:ind w:left="0" w:right="0"/>
              <w:jc w:val="center"/>
              <w:rPr>
                <w:rFonts w:hint="default" w:ascii="Calibri" w:hAnsi="Calibri" w:cs="Times New Roman"/>
                <w:color w:val="auto"/>
              </w:rPr>
            </w:pPr>
            <w:r>
              <w:rPr>
                <w:rFonts w:hint="default"/>
                <w:color w:val="auto"/>
                <w:sz w:val="32"/>
                <w:szCs w:val="20"/>
              </w:rPr>
              <mc:AlternateContent>
                <mc:Choice Requires="wps">
                  <w:drawing>
                    <wp:anchor distT="0" distB="0" distL="114300" distR="114300" simplePos="0" relativeHeight="251663360" behindDoc="0" locked="0" layoutInCell="1" allowOverlap="1">
                      <wp:simplePos x="0" y="0"/>
                      <wp:positionH relativeFrom="column">
                        <wp:posOffset>1257300</wp:posOffset>
                      </wp:positionH>
                      <wp:positionV relativeFrom="paragraph">
                        <wp:posOffset>1144270</wp:posOffset>
                      </wp:positionV>
                      <wp:extent cx="1275715" cy="248285"/>
                      <wp:effectExtent l="4445" t="4445" r="15240" b="13970"/>
                      <wp:wrapNone/>
                      <wp:docPr id="14" name="文本框 14"/>
                      <wp:cNvGraphicFramePr/>
                      <a:graphic xmlns:a="http://schemas.openxmlformats.org/drawingml/2006/main">
                        <a:graphicData uri="http://schemas.microsoft.com/office/word/2010/wordprocessingShape">
                          <wps:wsp>
                            <wps:cNvSpPr txBox="1"/>
                            <wps:spPr>
                              <a:xfrm>
                                <a:off x="0" y="0"/>
                                <a:ext cx="1275715" cy="24828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eastAsia="宋体"/>
                                      <w:color w:val="F79646" w:themeColor="accent6"/>
                                      <w:sz w:val="21"/>
                                      <w:szCs w:val="15"/>
                                      <w:lang w:val="en-US" w:eastAsia="zh-CN"/>
                                      <w14:textFill>
                                        <w14:solidFill>
                                          <w14:schemeClr w14:val="accent6"/>
                                        </w14:solidFill>
                                      </w14:textFill>
                                    </w:rPr>
                                  </w:pPr>
                                  <w:r>
                                    <w:rPr>
                                      <w:rFonts w:hint="default"/>
                                      <w:color w:val="F79646" w:themeColor="accent6"/>
                                      <w:sz w:val="21"/>
                                      <w:szCs w:val="15"/>
                                      <w:lang w:val="en-US"/>
                                      <w14:textFill>
                                        <w14:solidFill>
                                          <w14:schemeClr w14:val="accent6"/>
                                        </w14:solidFill>
                                      </w14:textFill>
                                    </w:rPr>
                                    <w:t>2023</w:t>
                                  </w:r>
                                  <w:r>
                                    <w:rPr>
                                      <w:rFonts w:hint="eastAsia"/>
                                      <w:color w:val="F79646" w:themeColor="accent6"/>
                                      <w:sz w:val="21"/>
                                      <w:szCs w:val="15"/>
                                      <w:lang w:val="en-US" w:eastAsia="zh-CN"/>
                                      <w14:textFill>
                                        <w14:solidFill>
                                          <w14:schemeClr w14:val="accent6"/>
                                        </w14:solidFill>
                                      </w14:textFill>
                                    </w:rPr>
                                    <w:t>年</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月</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pt;margin-top:90.1pt;height:19.55pt;width:100.45pt;z-index:251663360;mso-width-relative:page;mso-height-relative:page;" filled="f" stroked="t" coordsize="21600,21600" o:gfxdata="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3ftcT2wAAAAsB&#10;AAAPAAAAAAAAAAEAIAAAACIAAABkcnMvZG93bnJldi54bWxQSwECFAAUAAAACACHTuJAF/NEEVEC&#10;AACQBAAADgAAAAAAAAABACAAAAAqAQAAZHJzL2Uyb0RvYy54bWxQSwUGAAAAAAYABgBZAQAA7QUA&#10;AA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eastAsia="宋体"/>
                                <w:color w:val="F79646" w:themeColor="accent6"/>
                                <w:sz w:val="21"/>
                                <w:szCs w:val="15"/>
                                <w:lang w:val="en-US" w:eastAsia="zh-CN"/>
                                <w14:textFill>
                                  <w14:solidFill>
                                    <w14:schemeClr w14:val="accent6"/>
                                  </w14:solidFill>
                                </w14:textFill>
                              </w:rPr>
                            </w:pPr>
                            <w:r>
                              <w:rPr>
                                <w:rFonts w:hint="default"/>
                                <w:color w:val="F79646" w:themeColor="accent6"/>
                                <w:sz w:val="21"/>
                                <w:szCs w:val="15"/>
                                <w:lang w:val="en-US"/>
                                <w14:textFill>
                                  <w14:solidFill>
                                    <w14:schemeClr w14:val="accent6"/>
                                  </w14:solidFill>
                                </w14:textFill>
                              </w:rPr>
                              <w:t>2023</w:t>
                            </w:r>
                            <w:r>
                              <w:rPr>
                                <w:rFonts w:hint="eastAsia"/>
                                <w:color w:val="F79646" w:themeColor="accent6"/>
                                <w:sz w:val="21"/>
                                <w:szCs w:val="15"/>
                                <w:lang w:val="en-US" w:eastAsia="zh-CN"/>
                                <w14:textFill>
                                  <w14:solidFill>
                                    <w14:schemeClr w14:val="accent6"/>
                                  </w14:solidFill>
                                </w14:textFill>
                              </w:rPr>
                              <w:t>年</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月</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日</w:t>
                            </w:r>
                          </w:p>
                        </w:txbxContent>
                      </v:textbox>
                    </v:shape>
                  </w:pict>
                </mc:Fallback>
              </mc:AlternateContent>
            </w:r>
            <w:r>
              <w:rPr>
                <w:rFonts w:hint="default" w:ascii="Calibri" w:hAnsi="Calibri" w:cs="Times New Roman"/>
                <w:color w:val="auto"/>
              </w:rPr>
              <w:drawing>
                <wp:inline distT="0" distB="0" distL="114300" distR="114300">
                  <wp:extent cx="2521585" cy="1417955"/>
                  <wp:effectExtent l="0" t="0" r="12065" b="10795"/>
                  <wp:docPr id="5" name="图片 4" descr="精神病院现场照片IMG_20230228_103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精神病院现场照片IMG_20230228_103638"/>
                          <pic:cNvPicPr>
                            <a:picLocks noChangeAspect="1"/>
                          </pic:cNvPicPr>
                        </pic:nvPicPr>
                        <pic:blipFill>
                          <a:blip r:embed="rId12"/>
                          <a:stretch>
                            <a:fillRect/>
                          </a:stretch>
                        </pic:blipFill>
                        <pic:spPr>
                          <a:xfrm>
                            <a:off x="0" y="0"/>
                            <a:ext cx="2521585" cy="141795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suppressLineNumbers w:val="0"/>
              <w:spacing w:before="0" w:beforeAutospacing="0" w:after="0" w:afterAutospacing="0"/>
              <w:ind w:left="0" w:right="0"/>
              <w:jc w:val="center"/>
              <w:rPr>
                <w:rFonts w:hint="default" w:ascii="Calibri" w:hAnsi="Calibri" w:cs="Times New Roman"/>
                <w:color w:val="auto"/>
              </w:rPr>
            </w:pPr>
            <w:r>
              <w:rPr>
                <w:rFonts w:hint="eastAsia" w:ascii="Calibri" w:hAnsi="Calibri" w:cs="Times New Roman"/>
                <w:color w:val="auto"/>
              </w:rPr>
              <w:t>场地现状</w:t>
            </w:r>
          </w:p>
        </w:tc>
        <w:tc>
          <w:tcPr>
            <w:tcW w:w="4261" w:type="dxa"/>
            <w:noWrap w:val="0"/>
            <w:vAlign w:val="center"/>
          </w:tcPr>
          <w:p>
            <w:pPr>
              <w:keepNext w:val="0"/>
              <w:keepLines w:val="0"/>
              <w:suppressLineNumbers w:val="0"/>
              <w:spacing w:before="0" w:beforeAutospacing="0" w:after="0" w:afterAutospacing="0"/>
              <w:ind w:left="0" w:right="0"/>
              <w:jc w:val="center"/>
              <w:rPr>
                <w:rFonts w:hint="default" w:ascii="Calibri" w:hAnsi="Calibri" w:cs="Times New Roman"/>
                <w:color w:val="auto"/>
              </w:rPr>
            </w:pPr>
            <w:r>
              <w:rPr>
                <w:rFonts w:hint="eastAsia" w:ascii="Calibri" w:hAnsi="Calibri" w:cs="Times New Roman"/>
                <w:color w:val="auto"/>
              </w:rPr>
              <w:t>场地现状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suppressLineNumbers w:val="0"/>
              <w:spacing w:before="0" w:beforeAutospacing="0" w:after="0" w:afterAutospacing="0"/>
              <w:ind w:left="0" w:right="0"/>
              <w:jc w:val="center"/>
              <w:rPr>
                <w:rFonts w:hint="default" w:ascii="Calibri" w:hAnsi="Calibri" w:cs="Times New Roman"/>
                <w:color w:val="auto"/>
              </w:rPr>
            </w:pPr>
            <w:r>
              <w:rPr>
                <w:rFonts w:hint="default"/>
                <w:color w:val="auto"/>
                <w:sz w:val="32"/>
                <w:szCs w:val="20"/>
              </w:rPr>
              <mc:AlternateContent>
                <mc:Choice Requires="wps">
                  <w:drawing>
                    <wp:anchor distT="0" distB="0" distL="114300" distR="114300" simplePos="0" relativeHeight="251664384" behindDoc="0" locked="0" layoutInCell="1" allowOverlap="1">
                      <wp:simplePos x="0" y="0"/>
                      <wp:positionH relativeFrom="column">
                        <wp:posOffset>1267460</wp:posOffset>
                      </wp:positionH>
                      <wp:positionV relativeFrom="paragraph">
                        <wp:posOffset>1149350</wp:posOffset>
                      </wp:positionV>
                      <wp:extent cx="1275715" cy="248285"/>
                      <wp:effectExtent l="4445" t="4445" r="15240" b="13970"/>
                      <wp:wrapNone/>
                      <wp:docPr id="15" name="文本框 15"/>
                      <wp:cNvGraphicFramePr/>
                      <a:graphic xmlns:a="http://schemas.openxmlformats.org/drawingml/2006/main">
                        <a:graphicData uri="http://schemas.microsoft.com/office/word/2010/wordprocessingShape">
                          <wps:wsp>
                            <wps:cNvSpPr txBox="1"/>
                            <wps:spPr>
                              <a:xfrm>
                                <a:off x="0" y="0"/>
                                <a:ext cx="1275715" cy="24828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eastAsia="宋体"/>
                                      <w:color w:val="F79646" w:themeColor="accent6"/>
                                      <w:sz w:val="21"/>
                                      <w:szCs w:val="15"/>
                                      <w:lang w:val="en-US" w:eastAsia="zh-CN"/>
                                      <w14:textFill>
                                        <w14:solidFill>
                                          <w14:schemeClr w14:val="accent6"/>
                                        </w14:solidFill>
                                      </w14:textFill>
                                    </w:rPr>
                                  </w:pPr>
                                  <w:r>
                                    <w:rPr>
                                      <w:rFonts w:hint="default"/>
                                      <w:color w:val="F79646" w:themeColor="accent6"/>
                                      <w:sz w:val="21"/>
                                      <w:szCs w:val="15"/>
                                      <w:lang w:val="en-US"/>
                                      <w14:textFill>
                                        <w14:solidFill>
                                          <w14:schemeClr w14:val="accent6"/>
                                        </w14:solidFill>
                                      </w14:textFill>
                                    </w:rPr>
                                    <w:t>2023</w:t>
                                  </w:r>
                                  <w:r>
                                    <w:rPr>
                                      <w:rFonts w:hint="eastAsia"/>
                                      <w:color w:val="F79646" w:themeColor="accent6"/>
                                      <w:sz w:val="21"/>
                                      <w:szCs w:val="15"/>
                                      <w:lang w:val="en-US" w:eastAsia="zh-CN"/>
                                      <w14:textFill>
                                        <w14:solidFill>
                                          <w14:schemeClr w14:val="accent6"/>
                                        </w14:solidFill>
                                      </w14:textFill>
                                    </w:rPr>
                                    <w:t>年</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月</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8pt;margin-top:90.5pt;height:19.55pt;width:100.45pt;z-index:251664384;mso-width-relative:page;mso-height-relative:page;" filled="f" stroked="t" coordsize="21600,21600" o:gfxdata="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IoYIjaAAAACwEA&#10;AA8AAAAAAAAAAQAgAAAAIgAAAGRycy9kb3ducmV2LnhtbFBLAQIUABQAAAAIAIdO4kA3bia0UQIA&#10;AJAEAAAOAAAAAAAAAAEAIAAAACkBAABkcnMvZTJvRG9jLnhtbFBLBQYAAAAABgAGAFkBAADsBQAA&#10;A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eastAsia="宋体"/>
                                <w:color w:val="F79646" w:themeColor="accent6"/>
                                <w:sz w:val="21"/>
                                <w:szCs w:val="15"/>
                                <w:lang w:val="en-US" w:eastAsia="zh-CN"/>
                                <w14:textFill>
                                  <w14:solidFill>
                                    <w14:schemeClr w14:val="accent6"/>
                                  </w14:solidFill>
                                </w14:textFill>
                              </w:rPr>
                            </w:pPr>
                            <w:r>
                              <w:rPr>
                                <w:rFonts w:hint="default"/>
                                <w:color w:val="F79646" w:themeColor="accent6"/>
                                <w:sz w:val="21"/>
                                <w:szCs w:val="15"/>
                                <w:lang w:val="en-US"/>
                                <w14:textFill>
                                  <w14:solidFill>
                                    <w14:schemeClr w14:val="accent6"/>
                                  </w14:solidFill>
                                </w14:textFill>
                              </w:rPr>
                              <w:t>2023</w:t>
                            </w:r>
                            <w:r>
                              <w:rPr>
                                <w:rFonts w:hint="eastAsia"/>
                                <w:color w:val="F79646" w:themeColor="accent6"/>
                                <w:sz w:val="21"/>
                                <w:szCs w:val="15"/>
                                <w:lang w:val="en-US" w:eastAsia="zh-CN"/>
                                <w14:textFill>
                                  <w14:solidFill>
                                    <w14:schemeClr w14:val="accent6"/>
                                  </w14:solidFill>
                                </w14:textFill>
                              </w:rPr>
                              <w:t>年</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月</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日</w:t>
                            </w:r>
                          </w:p>
                        </w:txbxContent>
                      </v:textbox>
                    </v:shape>
                  </w:pict>
                </mc:Fallback>
              </mc:AlternateContent>
            </w:r>
            <w:r>
              <w:rPr>
                <w:rFonts w:hint="default" w:ascii="Calibri" w:hAnsi="Calibri" w:cs="Times New Roman"/>
                <w:color w:val="auto"/>
              </w:rPr>
              <w:drawing>
                <wp:inline distT="0" distB="0" distL="114300" distR="114300">
                  <wp:extent cx="2521585" cy="1417955"/>
                  <wp:effectExtent l="0" t="0" r="12065" b="10795"/>
                  <wp:docPr id="6" name="图片 5" descr="精神病院现场照片IMG_20230228_10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精神病院现场照片IMG_20230228_103001"/>
                          <pic:cNvPicPr>
                            <a:picLocks noChangeAspect="1"/>
                          </pic:cNvPicPr>
                        </pic:nvPicPr>
                        <pic:blipFill>
                          <a:blip r:embed="rId13"/>
                          <a:stretch>
                            <a:fillRect/>
                          </a:stretch>
                        </pic:blipFill>
                        <pic:spPr>
                          <a:xfrm>
                            <a:off x="0" y="0"/>
                            <a:ext cx="2521585" cy="1417955"/>
                          </a:xfrm>
                          <a:prstGeom prst="rect">
                            <a:avLst/>
                          </a:prstGeom>
                          <a:noFill/>
                          <a:ln>
                            <a:noFill/>
                          </a:ln>
                        </pic:spPr>
                      </pic:pic>
                    </a:graphicData>
                  </a:graphic>
                </wp:inline>
              </w:drawing>
            </w:r>
          </w:p>
        </w:tc>
        <w:tc>
          <w:tcPr>
            <w:tcW w:w="4261" w:type="dxa"/>
            <w:noWrap w:val="0"/>
            <w:vAlign w:val="center"/>
          </w:tcPr>
          <w:p>
            <w:pPr>
              <w:keepNext w:val="0"/>
              <w:keepLines w:val="0"/>
              <w:suppressLineNumbers w:val="0"/>
              <w:spacing w:before="0" w:beforeAutospacing="0" w:after="0" w:afterAutospacing="0"/>
              <w:ind w:left="0" w:right="0"/>
              <w:jc w:val="center"/>
              <w:rPr>
                <w:rFonts w:hint="default" w:ascii="Calibri" w:hAnsi="Calibri" w:cs="Times New Roman"/>
                <w:color w:val="auto"/>
              </w:rPr>
            </w:pPr>
            <w:r>
              <w:rPr>
                <w:rFonts w:hint="default"/>
                <w:color w:val="auto"/>
                <w:sz w:val="32"/>
                <w:szCs w:val="20"/>
              </w:rPr>
              <mc:AlternateContent>
                <mc:Choice Requires="wps">
                  <w:drawing>
                    <wp:anchor distT="0" distB="0" distL="114300" distR="114300" simplePos="0" relativeHeight="251665408" behindDoc="0" locked="0" layoutInCell="1" allowOverlap="1">
                      <wp:simplePos x="0" y="0"/>
                      <wp:positionH relativeFrom="column">
                        <wp:posOffset>1257300</wp:posOffset>
                      </wp:positionH>
                      <wp:positionV relativeFrom="paragraph">
                        <wp:posOffset>1149350</wp:posOffset>
                      </wp:positionV>
                      <wp:extent cx="1275715" cy="248285"/>
                      <wp:effectExtent l="4445" t="4445" r="15240" b="13970"/>
                      <wp:wrapNone/>
                      <wp:docPr id="16" name="文本框 16"/>
                      <wp:cNvGraphicFramePr/>
                      <a:graphic xmlns:a="http://schemas.openxmlformats.org/drawingml/2006/main">
                        <a:graphicData uri="http://schemas.microsoft.com/office/word/2010/wordprocessingShape">
                          <wps:wsp>
                            <wps:cNvSpPr txBox="1"/>
                            <wps:spPr>
                              <a:xfrm>
                                <a:off x="0" y="0"/>
                                <a:ext cx="1275715" cy="24828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eastAsia="宋体"/>
                                      <w:color w:val="F79646" w:themeColor="accent6"/>
                                      <w:sz w:val="21"/>
                                      <w:szCs w:val="15"/>
                                      <w:lang w:val="en-US" w:eastAsia="zh-CN"/>
                                      <w14:textFill>
                                        <w14:solidFill>
                                          <w14:schemeClr w14:val="accent6"/>
                                        </w14:solidFill>
                                      </w14:textFill>
                                    </w:rPr>
                                  </w:pPr>
                                  <w:r>
                                    <w:rPr>
                                      <w:rFonts w:hint="default"/>
                                      <w:color w:val="F79646" w:themeColor="accent6"/>
                                      <w:sz w:val="21"/>
                                      <w:szCs w:val="15"/>
                                      <w:lang w:val="en-US"/>
                                      <w14:textFill>
                                        <w14:solidFill>
                                          <w14:schemeClr w14:val="accent6"/>
                                        </w14:solidFill>
                                      </w14:textFill>
                                    </w:rPr>
                                    <w:t>2023</w:t>
                                  </w:r>
                                  <w:r>
                                    <w:rPr>
                                      <w:rFonts w:hint="eastAsia"/>
                                      <w:color w:val="F79646" w:themeColor="accent6"/>
                                      <w:sz w:val="21"/>
                                      <w:szCs w:val="15"/>
                                      <w:lang w:val="en-US" w:eastAsia="zh-CN"/>
                                      <w14:textFill>
                                        <w14:solidFill>
                                          <w14:schemeClr w14:val="accent6"/>
                                        </w14:solidFill>
                                      </w14:textFill>
                                    </w:rPr>
                                    <w:t>年</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月</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pt;margin-top:90.5pt;height:19.55pt;width:100.45pt;z-index:251665408;mso-width-relative:page;mso-height-relative:page;" filled="f" stroked="t" coordsize="21600,21600" o:gfxdata="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EzC2LPaAAAACwEA&#10;AA8AAAAAAAAAAQAgAAAAIgAAAGRycy9kb3ducmV2LnhtbFBLAQIUABQAAAAIAIdO4kAWz/CAUQIA&#10;AJAEAAAOAAAAAAAAAAEAIAAAACkBAABkcnMvZTJvRG9jLnhtbFBLBQYAAAAABgAGAFkBAADsBQAA&#10;A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eastAsia="宋体"/>
                                <w:color w:val="F79646" w:themeColor="accent6"/>
                                <w:sz w:val="21"/>
                                <w:szCs w:val="15"/>
                                <w:lang w:val="en-US" w:eastAsia="zh-CN"/>
                                <w14:textFill>
                                  <w14:solidFill>
                                    <w14:schemeClr w14:val="accent6"/>
                                  </w14:solidFill>
                                </w14:textFill>
                              </w:rPr>
                            </w:pPr>
                            <w:r>
                              <w:rPr>
                                <w:rFonts w:hint="default"/>
                                <w:color w:val="F79646" w:themeColor="accent6"/>
                                <w:sz w:val="21"/>
                                <w:szCs w:val="15"/>
                                <w:lang w:val="en-US"/>
                                <w14:textFill>
                                  <w14:solidFill>
                                    <w14:schemeClr w14:val="accent6"/>
                                  </w14:solidFill>
                                </w14:textFill>
                              </w:rPr>
                              <w:t>2023</w:t>
                            </w:r>
                            <w:r>
                              <w:rPr>
                                <w:rFonts w:hint="eastAsia"/>
                                <w:color w:val="F79646" w:themeColor="accent6"/>
                                <w:sz w:val="21"/>
                                <w:szCs w:val="15"/>
                                <w:lang w:val="en-US" w:eastAsia="zh-CN"/>
                                <w14:textFill>
                                  <w14:solidFill>
                                    <w14:schemeClr w14:val="accent6"/>
                                  </w14:solidFill>
                                </w14:textFill>
                              </w:rPr>
                              <w:t>年</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月</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日</w:t>
                            </w:r>
                          </w:p>
                        </w:txbxContent>
                      </v:textbox>
                    </v:shape>
                  </w:pict>
                </mc:Fallback>
              </mc:AlternateContent>
            </w:r>
            <w:r>
              <w:rPr>
                <w:rFonts w:hint="default" w:ascii="Calibri" w:hAnsi="Calibri" w:cs="Times New Roman"/>
                <w:color w:val="auto"/>
              </w:rPr>
              <w:drawing>
                <wp:inline distT="0" distB="0" distL="114300" distR="114300">
                  <wp:extent cx="2521585" cy="1417955"/>
                  <wp:effectExtent l="0" t="0" r="12065" b="10795"/>
                  <wp:docPr id="7" name="图片 6" descr="精神病院现场照片IMG_20230228_104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精神病院现场照片IMG_20230228_104352"/>
                          <pic:cNvPicPr>
                            <a:picLocks noChangeAspect="1"/>
                          </pic:cNvPicPr>
                        </pic:nvPicPr>
                        <pic:blipFill>
                          <a:blip r:embed="rId14"/>
                          <a:stretch>
                            <a:fillRect/>
                          </a:stretch>
                        </pic:blipFill>
                        <pic:spPr>
                          <a:xfrm>
                            <a:off x="0" y="0"/>
                            <a:ext cx="2521585" cy="141795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suppressLineNumbers w:val="0"/>
              <w:spacing w:before="0" w:beforeAutospacing="0" w:after="0" w:afterAutospacing="0"/>
              <w:ind w:left="0" w:right="0"/>
              <w:jc w:val="center"/>
              <w:rPr>
                <w:rFonts w:hint="default" w:ascii="Calibri" w:hAnsi="Calibri" w:cs="Times New Roman"/>
                <w:color w:val="auto"/>
              </w:rPr>
            </w:pPr>
            <w:r>
              <w:rPr>
                <w:rFonts w:hint="eastAsia" w:ascii="Calibri" w:hAnsi="Calibri" w:cs="Times New Roman"/>
                <w:color w:val="auto"/>
              </w:rPr>
              <w:t>场地现状</w:t>
            </w:r>
          </w:p>
        </w:tc>
        <w:tc>
          <w:tcPr>
            <w:tcW w:w="4261" w:type="dxa"/>
            <w:noWrap w:val="0"/>
            <w:vAlign w:val="center"/>
          </w:tcPr>
          <w:p>
            <w:pPr>
              <w:keepNext w:val="0"/>
              <w:keepLines w:val="0"/>
              <w:suppressLineNumbers w:val="0"/>
              <w:spacing w:before="0" w:beforeAutospacing="0" w:after="0" w:afterAutospacing="0"/>
              <w:ind w:left="0" w:right="0"/>
              <w:jc w:val="center"/>
              <w:rPr>
                <w:rFonts w:hint="default" w:ascii="Calibri" w:hAnsi="Calibri" w:cs="Times New Roman"/>
                <w:color w:val="auto"/>
              </w:rPr>
            </w:pPr>
            <w:r>
              <w:rPr>
                <w:rFonts w:hint="eastAsia" w:ascii="Calibri" w:hAnsi="Calibri" w:cs="Times New Roman"/>
                <w:color w:val="auto"/>
              </w:rPr>
              <w:t>场地现状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suppressLineNumbers w:val="0"/>
              <w:spacing w:before="0" w:beforeAutospacing="0" w:after="0" w:afterAutospacing="0"/>
              <w:ind w:left="0" w:right="0"/>
              <w:jc w:val="center"/>
              <w:rPr>
                <w:rFonts w:hint="default" w:ascii="Calibri" w:hAnsi="Calibri" w:cs="Times New Roman"/>
                <w:color w:val="auto"/>
              </w:rPr>
            </w:pPr>
            <w:r>
              <w:rPr>
                <w:rFonts w:hint="default"/>
                <w:color w:val="auto"/>
                <w:sz w:val="32"/>
                <w:szCs w:val="20"/>
              </w:rPr>
              <mc:AlternateContent>
                <mc:Choice Requires="wps">
                  <w:drawing>
                    <wp:anchor distT="0" distB="0" distL="114300" distR="114300" simplePos="0" relativeHeight="251666432" behindDoc="0" locked="0" layoutInCell="1" allowOverlap="1">
                      <wp:simplePos x="0" y="0"/>
                      <wp:positionH relativeFrom="column">
                        <wp:posOffset>1210310</wp:posOffset>
                      </wp:positionH>
                      <wp:positionV relativeFrom="paragraph">
                        <wp:posOffset>1134745</wp:posOffset>
                      </wp:positionV>
                      <wp:extent cx="1275715" cy="248285"/>
                      <wp:effectExtent l="4445" t="4445" r="15240" b="13970"/>
                      <wp:wrapNone/>
                      <wp:docPr id="17" name="文本框 17"/>
                      <wp:cNvGraphicFramePr/>
                      <a:graphic xmlns:a="http://schemas.openxmlformats.org/drawingml/2006/main">
                        <a:graphicData uri="http://schemas.microsoft.com/office/word/2010/wordprocessingShape">
                          <wps:wsp>
                            <wps:cNvSpPr txBox="1"/>
                            <wps:spPr>
                              <a:xfrm>
                                <a:off x="0" y="0"/>
                                <a:ext cx="1275715" cy="24828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eastAsia="宋体"/>
                                      <w:color w:val="F79646" w:themeColor="accent6"/>
                                      <w:sz w:val="21"/>
                                      <w:szCs w:val="15"/>
                                      <w:lang w:val="en-US" w:eastAsia="zh-CN"/>
                                      <w14:textFill>
                                        <w14:solidFill>
                                          <w14:schemeClr w14:val="accent6"/>
                                        </w14:solidFill>
                                      </w14:textFill>
                                    </w:rPr>
                                  </w:pPr>
                                  <w:r>
                                    <w:rPr>
                                      <w:rFonts w:hint="default"/>
                                      <w:color w:val="F79646" w:themeColor="accent6"/>
                                      <w:sz w:val="21"/>
                                      <w:szCs w:val="15"/>
                                      <w:lang w:val="en-US"/>
                                      <w14:textFill>
                                        <w14:solidFill>
                                          <w14:schemeClr w14:val="accent6"/>
                                        </w14:solidFill>
                                      </w14:textFill>
                                    </w:rPr>
                                    <w:t>2023</w:t>
                                  </w:r>
                                  <w:r>
                                    <w:rPr>
                                      <w:rFonts w:hint="eastAsia"/>
                                      <w:color w:val="F79646" w:themeColor="accent6"/>
                                      <w:sz w:val="21"/>
                                      <w:szCs w:val="15"/>
                                      <w:lang w:val="en-US" w:eastAsia="zh-CN"/>
                                      <w14:textFill>
                                        <w14:solidFill>
                                          <w14:schemeClr w14:val="accent6"/>
                                        </w14:solidFill>
                                      </w14:textFill>
                                    </w:rPr>
                                    <w:t>年</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月</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3pt;margin-top:89.35pt;height:19.55pt;width:100.45pt;z-index:251666432;mso-width-relative:page;mso-height-relative:page;" filled="f" stroked="t" coordsize="21600,21600" o:gfxdata="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ER+QjLaAAAACwEA&#10;AA8AAAAAAAAAAQAgAAAAIgAAAGRycy9kb3ducmV2LnhtbFBLAQIUABQAAAAIAIdO4kA2UpIlUQIA&#10;AJAEAAAOAAAAAAAAAAEAIAAAACkBAABkcnMvZTJvRG9jLnhtbFBLBQYAAAAABgAGAFkBAADsBQAA&#10;A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eastAsia="宋体"/>
                                <w:color w:val="F79646" w:themeColor="accent6"/>
                                <w:sz w:val="21"/>
                                <w:szCs w:val="15"/>
                                <w:lang w:val="en-US" w:eastAsia="zh-CN"/>
                                <w14:textFill>
                                  <w14:solidFill>
                                    <w14:schemeClr w14:val="accent6"/>
                                  </w14:solidFill>
                                </w14:textFill>
                              </w:rPr>
                            </w:pPr>
                            <w:r>
                              <w:rPr>
                                <w:rFonts w:hint="default"/>
                                <w:color w:val="F79646" w:themeColor="accent6"/>
                                <w:sz w:val="21"/>
                                <w:szCs w:val="15"/>
                                <w:lang w:val="en-US"/>
                                <w14:textFill>
                                  <w14:solidFill>
                                    <w14:schemeClr w14:val="accent6"/>
                                  </w14:solidFill>
                                </w14:textFill>
                              </w:rPr>
                              <w:t>2023</w:t>
                            </w:r>
                            <w:r>
                              <w:rPr>
                                <w:rFonts w:hint="eastAsia"/>
                                <w:color w:val="F79646" w:themeColor="accent6"/>
                                <w:sz w:val="21"/>
                                <w:szCs w:val="15"/>
                                <w:lang w:val="en-US" w:eastAsia="zh-CN"/>
                                <w14:textFill>
                                  <w14:solidFill>
                                    <w14:schemeClr w14:val="accent6"/>
                                  </w14:solidFill>
                                </w14:textFill>
                              </w:rPr>
                              <w:t>年</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月</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日</w:t>
                            </w:r>
                          </w:p>
                        </w:txbxContent>
                      </v:textbox>
                    </v:shape>
                  </w:pict>
                </mc:Fallback>
              </mc:AlternateContent>
            </w:r>
            <w:r>
              <w:rPr>
                <w:rFonts w:hint="default" w:ascii="Calibri" w:hAnsi="Calibri" w:cs="Times New Roman"/>
                <w:color w:val="auto"/>
              </w:rPr>
              <w:drawing>
                <wp:inline distT="0" distB="0" distL="114300" distR="114300">
                  <wp:extent cx="2521585" cy="1417955"/>
                  <wp:effectExtent l="0" t="0" r="12065" b="10795"/>
                  <wp:docPr id="8" name="图片 7" descr="精神病院现场照片IMG_20230228_103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精神病院现场照片IMG_20230228_103740"/>
                          <pic:cNvPicPr>
                            <a:picLocks noChangeAspect="1"/>
                          </pic:cNvPicPr>
                        </pic:nvPicPr>
                        <pic:blipFill>
                          <a:blip r:embed="rId15"/>
                          <a:stretch>
                            <a:fillRect/>
                          </a:stretch>
                        </pic:blipFill>
                        <pic:spPr>
                          <a:xfrm>
                            <a:off x="0" y="0"/>
                            <a:ext cx="2521585" cy="1417955"/>
                          </a:xfrm>
                          <a:prstGeom prst="rect">
                            <a:avLst/>
                          </a:prstGeom>
                          <a:noFill/>
                          <a:ln>
                            <a:noFill/>
                          </a:ln>
                        </pic:spPr>
                      </pic:pic>
                    </a:graphicData>
                  </a:graphic>
                </wp:inline>
              </w:drawing>
            </w:r>
          </w:p>
        </w:tc>
        <w:tc>
          <w:tcPr>
            <w:tcW w:w="4261" w:type="dxa"/>
            <w:noWrap w:val="0"/>
            <w:vAlign w:val="center"/>
          </w:tcPr>
          <w:p>
            <w:pPr>
              <w:keepNext w:val="0"/>
              <w:keepLines w:val="0"/>
              <w:suppressLineNumbers w:val="0"/>
              <w:spacing w:before="0" w:beforeAutospacing="0" w:after="0" w:afterAutospacing="0"/>
              <w:ind w:left="0" w:right="0"/>
              <w:jc w:val="center"/>
              <w:rPr>
                <w:rFonts w:hint="default" w:ascii="Calibri" w:hAnsi="Calibri" w:cs="Times New Roman"/>
                <w:color w:val="auto"/>
              </w:rPr>
            </w:pPr>
            <w:r>
              <w:rPr>
                <w:rFonts w:hint="default"/>
                <w:color w:val="auto"/>
                <w:sz w:val="32"/>
                <w:szCs w:val="20"/>
              </w:rPr>
              <mc:AlternateContent>
                <mc:Choice Requires="wps">
                  <w:drawing>
                    <wp:anchor distT="0" distB="0" distL="114300" distR="114300" simplePos="0" relativeHeight="251667456" behindDoc="0" locked="0" layoutInCell="1" allowOverlap="1">
                      <wp:simplePos x="0" y="0"/>
                      <wp:positionH relativeFrom="column">
                        <wp:posOffset>1276350</wp:posOffset>
                      </wp:positionH>
                      <wp:positionV relativeFrom="paragraph">
                        <wp:posOffset>1163320</wp:posOffset>
                      </wp:positionV>
                      <wp:extent cx="1275715" cy="248285"/>
                      <wp:effectExtent l="4445" t="4445" r="15240" b="13970"/>
                      <wp:wrapNone/>
                      <wp:docPr id="18" name="文本框 18"/>
                      <wp:cNvGraphicFramePr/>
                      <a:graphic xmlns:a="http://schemas.openxmlformats.org/drawingml/2006/main">
                        <a:graphicData uri="http://schemas.microsoft.com/office/word/2010/wordprocessingShape">
                          <wps:wsp>
                            <wps:cNvSpPr txBox="1"/>
                            <wps:spPr>
                              <a:xfrm>
                                <a:off x="0" y="0"/>
                                <a:ext cx="1275715" cy="24828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eastAsia="宋体"/>
                                      <w:color w:val="F79646" w:themeColor="accent6"/>
                                      <w:sz w:val="21"/>
                                      <w:szCs w:val="15"/>
                                      <w:lang w:val="en-US" w:eastAsia="zh-CN"/>
                                      <w14:textFill>
                                        <w14:solidFill>
                                          <w14:schemeClr w14:val="accent6"/>
                                        </w14:solidFill>
                                      </w14:textFill>
                                    </w:rPr>
                                  </w:pPr>
                                  <w:r>
                                    <w:rPr>
                                      <w:rFonts w:hint="default"/>
                                      <w:color w:val="F79646" w:themeColor="accent6"/>
                                      <w:sz w:val="21"/>
                                      <w:szCs w:val="15"/>
                                      <w:lang w:val="en-US"/>
                                      <w14:textFill>
                                        <w14:solidFill>
                                          <w14:schemeClr w14:val="accent6"/>
                                        </w14:solidFill>
                                      </w14:textFill>
                                    </w:rPr>
                                    <w:t>2023</w:t>
                                  </w:r>
                                  <w:r>
                                    <w:rPr>
                                      <w:rFonts w:hint="eastAsia"/>
                                      <w:color w:val="F79646" w:themeColor="accent6"/>
                                      <w:sz w:val="21"/>
                                      <w:szCs w:val="15"/>
                                      <w:lang w:val="en-US" w:eastAsia="zh-CN"/>
                                      <w14:textFill>
                                        <w14:solidFill>
                                          <w14:schemeClr w14:val="accent6"/>
                                        </w14:solidFill>
                                      </w14:textFill>
                                    </w:rPr>
                                    <w:t>年</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月</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5pt;margin-top:91.6pt;height:19.55pt;width:100.45pt;z-index:251667456;mso-width-relative:page;mso-height-relative:page;" filled="f" stroked="t" coordsize="21600,21600" o:gfxdata="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7rCPaAAAACwEA&#10;AA8AAAAAAAAAAQAgAAAAIgAAAGRycy9kb3ducmV2LnhtbFBLAQIUABQAAAAIAIdO4kCTdx7CUQIA&#10;AJAEAAAOAAAAAAAAAAEAIAAAACkBAABkcnMvZTJvRG9jLnhtbFBLBQYAAAAABgAGAFkBAADsBQAA&#10;A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eastAsia="宋体"/>
                                <w:color w:val="F79646" w:themeColor="accent6"/>
                                <w:sz w:val="21"/>
                                <w:szCs w:val="15"/>
                                <w:lang w:val="en-US" w:eastAsia="zh-CN"/>
                                <w14:textFill>
                                  <w14:solidFill>
                                    <w14:schemeClr w14:val="accent6"/>
                                  </w14:solidFill>
                                </w14:textFill>
                              </w:rPr>
                            </w:pPr>
                            <w:r>
                              <w:rPr>
                                <w:rFonts w:hint="default"/>
                                <w:color w:val="F79646" w:themeColor="accent6"/>
                                <w:sz w:val="21"/>
                                <w:szCs w:val="15"/>
                                <w:lang w:val="en-US"/>
                                <w14:textFill>
                                  <w14:solidFill>
                                    <w14:schemeClr w14:val="accent6"/>
                                  </w14:solidFill>
                                </w14:textFill>
                              </w:rPr>
                              <w:t>2023</w:t>
                            </w:r>
                            <w:r>
                              <w:rPr>
                                <w:rFonts w:hint="eastAsia"/>
                                <w:color w:val="F79646" w:themeColor="accent6"/>
                                <w:sz w:val="21"/>
                                <w:szCs w:val="15"/>
                                <w:lang w:val="en-US" w:eastAsia="zh-CN"/>
                                <w14:textFill>
                                  <w14:solidFill>
                                    <w14:schemeClr w14:val="accent6"/>
                                  </w14:solidFill>
                                </w14:textFill>
                              </w:rPr>
                              <w:t>年</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月</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日</w:t>
                            </w:r>
                          </w:p>
                        </w:txbxContent>
                      </v:textbox>
                    </v:shape>
                  </w:pict>
                </mc:Fallback>
              </mc:AlternateContent>
            </w:r>
            <w:r>
              <w:rPr>
                <w:rFonts w:hint="default" w:ascii="Calibri" w:hAnsi="Calibri" w:cs="Times New Roman"/>
                <w:color w:val="auto"/>
              </w:rPr>
              <w:drawing>
                <wp:inline distT="0" distB="0" distL="114300" distR="114300">
                  <wp:extent cx="2548890" cy="1433830"/>
                  <wp:effectExtent l="0" t="0" r="3810" b="13970"/>
                  <wp:docPr id="9" name="图片 8" descr="精神病院现场照片IMG_20230228_103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精神病院现场照片IMG_20230228_103825"/>
                          <pic:cNvPicPr>
                            <a:picLocks noChangeAspect="1"/>
                          </pic:cNvPicPr>
                        </pic:nvPicPr>
                        <pic:blipFill>
                          <a:blip r:embed="rId16"/>
                          <a:stretch>
                            <a:fillRect/>
                          </a:stretch>
                        </pic:blipFill>
                        <pic:spPr>
                          <a:xfrm>
                            <a:off x="0" y="0"/>
                            <a:ext cx="2548890" cy="143383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suppressLineNumbers w:val="0"/>
              <w:spacing w:before="0" w:beforeAutospacing="0" w:after="0" w:afterAutospacing="0"/>
              <w:ind w:left="0" w:right="0"/>
              <w:jc w:val="center"/>
              <w:rPr>
                <w:rFonts w:hint="default" w:ascii="Calibri" w:hAnsi="Calibri" w:cs="Times New Roman"/>
                <w:color w:val="auto"/>
              </w:rPr>
            </w:pPr>
            <w:r>
              <w:rPr>
                <w:rFonts w:hint="eastAsia" w:ascii="Calibri" w:hAnsi="Calibri" w:cs="Times New Roman"/>
                <w:color w:val="auto"/>
              </w:rPr>
              <w:t>场地现状</w:t>
            </w:r>
          </w:p>
        </w:tc>
        <w:tc>
          <w:tcPr>
            <w:tcW w:w="4261" w:type="dxa"/>
            <w:noWrap w:val="0"/>
            <w:vAlign w:val="center"/>
          </w:tcPr>
          <w:p>
            <w:pPr>
              <w:keepNext w:val="0"/>
              <w:keepLines w:val="0"/>
              <w:suppressLineNumbers w:val="0"/>
              <w:spacing w:before="0" w:beforeAutospacing="0" w:after="0" w:afterAutospacing="0"/>
              <w:ind w:left="0" w:right="0"/>
              <w:jc w:val="center"/>
              <w:rPr>
                <w:rFonts w:hint="default" w:ascii="Calibri" w:hAnsi="Calibri" w:cs="Times New Roman"/>
                <w:color w:val="auto"/>
              </w:rPr>
            </w:pPr>
            <w:r>
              <w:rPr>
                <w:rFonts w:hint="eastAsia" w:ascii="Calibri" w:hAnsi="Calibri" w:cs="Times New Roman"/>
                <w:color w:val="auto"/>
              </w:rPr>
              <w:t>场地现状</w:t>
            </w:r>
          </w:p>
        </w:tc>
      </w:tr>
    </w:tbl>
    <w:p>
      <w:pPr>
        <w:jc w:val="center"/>
        <w:rPr>
          <w:rFonts w:hint="eastAsia" w:ascii="宋体" w:hAnsi="宋体" w:cs="宋体"/>
          <w:color w:val="auto"/>
          <w:sz w:val="24"/>
          <w:szCs w:val="24"/>
        </w:rPr>
      </w:pPr>
      <w:r>
        <w:rPr>
          <w:rFonts w:hint="eastAsia" w:ascii="宋体" w:hAnsi="宋体" w:cs="宋体"/>
          <w:color w:val="auto"/>
          <w:sz w:val="24"/>
          <w:szCs w:val="24"/>
        </w:rPr>
        <w:t>现场照片</w:t>
      </w:r>
    </w:p>
    <w:p>
      <w:pPr>
        <w:adjustRightInd w:val="0"/>
        <w:snapToGrid w:val="0"/>
        <w:spacing w:line="288" w:lineRule="auto"/>
        <w:jc w:val="center"/>
        <w:rPr>
          <w:rFonts w:eastAsia="仿宋_GB2312"/>
          <w:b/>
          <w:bCs/>
          <w:color w:val="auto"/>
          <w:sz w:val="36"/>
          <w:szCs w:val="36"/>
        </w:rPr>
      </w:pPr>
      <w:r>
        <w:rPr>
          <w:rFonts w:eastAsia="仿宋_GB2312"/>
          <w:b/>
          <w:bCs/>
          <w:color w:val="auto"/>
          <w:sz w:val="36"/>
          <w:szCs w:val="36"/>
        </w:rPr>
        <w:br w:type="page"/>
      </w:r>
      <w:r>
        <w:rPr>
          <w:rFonts w:eastAsia="仿宋_GB2312"/>
          <w:b/>
          <w:bCs/>
          <w:color w:val="auto"/>
          <w:sz w:val="36"/>
          <w:szCs w:val="36"/>
        </w:rPr>
        <w:t>目   录</w:t>
      </w:r>
    </w:p>
    <w:p>
      <w:pPr>
        <w:pStyle w:val="14"/>
        <w:tabs>
          <w:tab w:val="right" w:leader="dot" w:pos="8844"/>
        </w:tabs>
        <w:spacing w:line="360" w:lineRule="auto"/>
        <w:rPr>
          <w:b/>
          <w:bCs/>
          <w:color w:val="auto"/>
          <w:sz w:val="24"/>
          <w:szCs w:val="24"/>
        </w:rPr>
      </w:pPr>
      <w:r>
        <w:rPr>
          <w:b/>
          <w:bCs/>
          <w:color w:val="auto"/>
          <w:sz w:val="24"/>
          <w:szCs w:val="24"/>
        </w:rPr>
        <w:fldChar w:fldCharType="begin"/>
      </w:r>
      <w:r>
        <w:rPr>
          <w:b/>
          <w:bCs/>
          <w:color w:val="auto"/>
          <w:sz w:val="24"/>
          <w:szCs w:val="24"/>
        </w:rPr>
        <w:instrText xml:space="preserve">TOC \o "1-1" \h \u </w:instrText>
      </w:r>
      <w:r>
        <w:rPr>
          <w:b/>
          <w:bCs/>
          <w:color w:val="auto"/>
          <w:sz w:val="24"/>
          <w:szCs w:val="24"/>
        </w:rPr>
        <w:fldChar w:fldCharType="separate"/>
      </w:r>
      <w:r>
        <w:rPr>
          <w:b/>
          <w:bCs/>
          <w:color w:val="auto"/>
          <w:sz w:val="24"/>
          <w:szCs w:val="24"/>
        </w:rPr>
        <w:fldChar w:fldCharType="begin"/>
      </w:r>
      <w:r>
        <w:rPr>
          <w:b/>
          <w:bCs/>
          <w:color w:val="auto"/>
          <w:sz w:val="24"/>
          <w:szCs w:val="24"/>
        </w:rPr>
        <w:instrText xml:space="preserve"> HYPERLINK \l _Toc14128 </w:instrText>
      </w:r>
      <w:r>
        <w:rPr>
          <w:b/>
          <w:bCs/>
          <w:color w:val="auto"/>
          <w:sz w:val="24"/>
          <w:szCs w:val="24"/>
        </w:rPr>
        <w:fldChar w:fldCharType="separate"/>
      </w:r>
      <w:r>
        <w:rPr>
          <w:b/>
          <w:bCs/>
          <w:snapToGrid w:val="0"/>
          <w:color w:val="auto"/>
          <w:sz w:val="24"/>
          <w:szCs w:val="24"/>
        </w:rPr>
        <w:t>一、建设项目基本情况</w:t>
      </w:r>
      <w:r>
        <w:rPr>
          <w:b/>
          <w:bCs/>
          <w:color w:val="auto"/>
          <w:sz w:val="24"/>
          <w:szCs w:val="24"/>
        </w:rPr>
        <w:tab/>
      </w:r>
      <w:r>
        <w:rPr>
          <w:b/>
          <w:bCs/>
          <w:color w:val="auto"/>
          <w:sz w:val="24"/>
          <w:szCs w:val="24"/>
        </w:rPr>
        <w:fldChar w:fldCharType="begin"/>
      </w:r>
      <w:r>
        <w:rPr>
          <w:b/>
          <w:bCs/>
          <w:color w:val="auto"/>
          <w:sz w:val="24"/>
          <w:szCs w:val="24"/>
        </w:rPr>
        <w:instrText xml:space="preserve"> PAGEREF _Toc14128 </w:instrText>
      </w:r>
      <w:r>
        <w:rPr>
          <w:b/>
          <w:bCs/>
          <w:color w:val="auto"/>
          <w:sz w:val="24"/>
          <w:szCs w:val="24"/>
        </w:rPr>
        <w:fldChar w:fldCharType="separate"/>
      </w:r>
      <w:r>
        <w:rPr>
          <w:b/>
          <w:bCs/>
          <w:color w:val="auto"/>
          <w:sz w:val="24"/>
          <w:szCs w:val="24"/>
        </w:rPr>
        <w:t>5</w:t>
      </w:r>
      <w:r>
        <w:rPr>
          <w:b/>
          <w:bCs/>
          <w:color w:val="auto"/>
          <w:sz w:val="24"/>
          <w:szCs w:val="24"/>
        </w:rPr>
        <w:fldChar w:fldCharType="end"/>
      </w:r>
      <w:r>
        <w:rPr>
          <w:b/>
          <w:bCs/>
          <w:color w:val="auto"/>
          <w:sz w:val="24"/>
          <w:szCs w:val="24"/>
        </w:rPr>
        <w:fldChar w:fldCharType="end"/>
      </w:r>
    </w:p>
    <w:p>
      <w:pPr>
        <w:pStyle w:val="14"/>
        <w:tabs>
          <w:tab w:val="right" w:leader="dot" w:pos="8844"/>
        </w:tabs>
        <w:spacing w:line="360" w:lineRule="auto"/>
        <w:rPr>
          <w:b/>
          <w:bCs/>
          <w:color w:val="auto"/>
          <w:sz w:val="24"/>
          <w:szCs w:val="24"/>
        </w:rPr>
      </w:pPr>
      <w:r>
        <w:rPr>
          <w:b/>
          <w:bCs/>
          <w:color w:val="auto"/>
          <w:sz w:val="24"/>
          <w:szCs w:val="24"/>
        </w:rPr>
        <w:fldChar w:fldCharType="begin"/>
      </w:r>
      <w:r>
        <w:rPr>
          <w:b/>
          <w:bCs/>
          <w:color w:val="auto"/>
          <w:sz w:val="24"/>
          <w:szCs w:val="24"/>
        </w:rPr>
        <w:instrText xml:space="preserve"> HYPERLINK \l _Toc16928 </w:instrText>
      </w:r>
      <w:r>
        <w:rPr>
          <w:b/>
          <w:bCs/>
          <w:color w:val="auto"/>
          <w:sz w:val="24"/>
          <w:szCs w:val="24"/>
        </w:rPr>
        <w:fldChar w:fldCharType="separate"/>
      </w:r>
      <w:r>
        <w:rPr>
          <w:b/>
          <w:bCs/>
          <w:snapToGrid w:val="0"/>
          <w:color w:val="auto"/>
          <w:sz w:val="24"/>
          <w:szCs w:val="24"/>
        </w:rPr>
        <w:t>二、建设项目工程分析</w:t>
      </w:r>
      <w:r>
        <w:rPr>
          <w:b/>
          <w:bCs/>
          <w:color w:val="auto"/>
          <w:sz w:val="24"/>
          <w:szCs w:val="24"/>
        </w:rPr>
        <w:tab/>
      </w:r>
      <w:r>
        <w:rPr>
          <w:b/>
          <w:bCs/>
          <w:color w:val="auto"/>
          <w:sz w:val="24"/>
          <w:szCs w:val="24"/>
        </w:rPr>
        <w:fldChar w:fldCharType="begin"/>
      </w:r>
      <w:r>
        <w:rPr>
          <w:b/>
          <w:bCs/>
          <w:color w:val="auto"/>
          <w:sz w:val="24"/>
          <w:szCs w:val="24"/>
        </w:rPr>
        <w:instrText xml:space="preserve"> PAGEREF _Toc16928 </w:instrText>
      </w:r>
      <w:r>
        <w:rPr>
          <w:b/>
          <w:bCs/>
          <w:color w:val="auto"/>
          <w:sz w:val="24"/>
          <w:szCs w:val="24"/>
        </w:rPr>
        <w:fldChar w:fldCharType="separate"/>
      </w:r>
      <w:r>
        <w:rPr>
          <w:b/>
          <w:bCs/>
          <w:color w:val="auto"/>
          <w:sz w:val="24"/>
          <w:szCs w:val="24"/>
        </w:rPr>
        <w:t>16</w:t>
      </w:r>
      <w:r>
        <w:rPr>
          <w:b/>
          <w:bCs/>
          <w:color w:val="auto"/>
          <w:sz w:val="24"/>
          <w:szCs w:val="24"/>
        </w:rPr>
        <w:fldChar w:fldCharType="end"/>
      </w:r>
      <w:r>
        <w:rPr>
          <w:b/>
          <w:bCs/>
          <w:color w:val="auto"/>
          <w:sz w:val="24"/>
          <w:szCs w:val="24"/>
        </w:rPr>
        <w:fldChar w:fldCharType="end"/>
      </w:r>
    </w:p>
    <w:p>
      <w:pPr>
        <w:pStyle w:val="14"/>
        <w:tabs>
          <w:tab w:val="right" w:leader="dot" w:pos="8844"/>
        </w:tabs>
        <w:spacing w:line="360" w:lineRule="auto"/>
        <w:rPr>
          <w:b/>
          <w:bCs/>
          <w:color w:val="auto"/>
          <w:sz w:val="24"/>
          <w:szCs w:val="24"/>
        </w:rPr>
      </w:pPr>
      <w:r>
        <w:rPr>
          <w:b/>
          <w:bCs/>
          <w:color w:val="auto"/>
          <w:sz w:val="24"/>
          <w:szCs w:val="24"/>
        </w:rPr>
        <w:fldChar w:fldCharType="begin"/>
      </w:r>
      <w:r>
        <w:rPr>
          <w:b/>
          <w:bCs/>
          <w:color w:val="auto"/>
          <w:sz w:val="24"/>
          <w:szCs w:val="24"/>
        </w:rPr>
        <w:instrText xml:space="preserve"> HYPERLINK \l _Toc16870 </w:instrText>
      </w:r>
      <w:r>
        <w:rPr>
          <w:b/>
          <w:bCs/>
          <w:color w:val="auto"/>
          <w:sz w:val="24"/>
          <w:szCs w:val="24"/>
        </w:rPr>
        <w:fldChar w:fldCharType="separate"/>
      </w:r>
      <w:r>
        <w:rPr>
          <w:b/>
          <w:bCs/>
          <w:snapToGrid w:val="0"/>
          <w:color w:val="auto"/>
          <w:sz w:val="24"/>
          <w:szCs w:val="24"/>
        </w:rPr>
        <w:t>三、区域环境质量现状、环境保护目标及评价标准</w:t>
      </w:r>
      <w:r>
        <w:rPr>
          <w:b/>
          <w:bCs/>
          <w:color w:val="auto"/>
          <w:sz w:val="24"/>
          <w:szCs w:val="24"/>
        </w:rPr>
        <w:tab/>
      </w:r>
      <w:r>
        <w:rPr>
          <w:b/>
          <w:bCs/>
          <w:color w:val="auto"/>
          <w:sz w:val="24"/>
          <w:szCs w:val="24"/>
        </w:rPr>
        <w:fldChar w:fldCharType="begin"/>
      </w:r>
      <w:r>
        <w:rPr>
          <w:b/>
          <w:bCs/>
          <w:color w:val="auto"/>
          <w:sz w:val="24"/>
          <w:szCs w:val="24"/>
        </w:rPr>
        <w:instrText xml:space="preserve"> PAGEREF _Toc16870 </w:instrText>
      </w:r>
      <w:r>
        <w:rPr>
          <w:b/>
          <w:bCs/>
          <w:color w:val="auto"/>
          <w:sz w:val="24"/>
          <w:szCs w:val="24"/>
        </w:rPr>
        <w:fldChar w:fldCharType="separate"/>
      </w:r>
      <w:r>
        <w:rPr>
          <w:b/>
          <w:bCs/>
          <w:color w:val="auto"/>
          <w:sz w:val="24"/>
          <w:szCs w:val="24"/>
        </w:rPr>
        <w:t>28</w:t>
      </w:r>
      <w:r>
        <w:rPr>
          <w:b/>
          <w:bCs/>
          <w:color w:val="auto"/>
          <w:sz w:val="24"/>
          <w:szCs w:val="24"/>
        </w:rPr>
        <w:fldChar w:fldCharType="end"/>
      </w:r>
      <w:r>
        <w:rPr>
          <w:b/>
          <w:bCs/>
          <w:color w:val="auto"/>
          <w:sz w:val="24"/>
          <w:szCs w:val="24"/>
        </w:rPr>
        <w:fldChar w:fldCharType="end"/>
      </w:r>
    </w:p>
    <w:p>
      <w:pPr>
        <w:pStyle w:val="14"/>
        <w:tabs>
          <w:tab w:val="right" w:leader="dot" w:pos="8844"/>
        </w:tabs>
        <w:spacing w:line="360" w:lineRule="auto"/>
        <w:rPr>
          <w:b/>
          <w:bCs/>
          <w:color w:val="auto"/>
          <w:sz w:val="24"/>
          <w:szCs w:val="24"/>
        </w:rPr>
      </w:pPr>
      <w:r>
        <w:rPr>
          <w:b/>
          <w:bCs/>
          <w:color w:val="auto"/>
          <w:sz w:val="24"/>
          <w:szCs w:val="24"/>
        </w:rPr>
        <w:fldChar w:fldCharType="begin"/>
      </w:r>
      <w:r>
        <w:rPr>
          <w:b/>
          <w:bCs/>
          <w:color w:val="auto"/>
          <w:sz w:val="24"/>
          <w:szCs w:val="24"/>
        </w:rPr>
        <w:instrText xml:space="preserve"> HYPERLINK \l _Toc2499 </w:instrText>
      </w:r>
      <w:r>
        <w:rPr>
          <w:b/>
          <w:bCs/>
          <w:color w:val="auto"/>
          <w:sz w:val="24"/>
          <w:szCs w:val="24"/>
        </w:rPr>
        <w:fldChar w:fldCharType="separate"/>
      </w:r>
      <w:r>
        <w:rPr>
          <w:b/>
          <w:bCs/>
          <w:snapToGrid w:val="0"/>
          <w:color w:val="auto"/>
          <w:sz w:val="24"/>
          <w:szCs w:val="24"/>
        </w:rPr>
        <w:t>四、主要环境影响和保护措施</w:t>
      </w:r>
      <w:r>
        <w:rPr>
          <w:b/>
          <w:bCs/>
          <w:color w:val="auto"/>
          <w:sz w:val="24"/>
          <w:szCs w:val="24"/>
        </w:rPr>
        <w:tab/>
      </w:r>
      <w:r>
        <w:rPr>
          <w:b/>
          <w:bCs/>
          <w:color w:val="auto"/>
          <w:sz w:val="24"/>
          <w:szCs w:val="24"/>
        </w:rPr>
        <w:fldChar w:fldCharType="begin"/>
      </w:r>
      <w:r>
        <w:rPr>
          <w:b/>
          <w:bCs/>
          <w:color w:val="auto"/>
          <w:sz w:val="24"/>
          <w:szCs w:val="24"/>
        </w:rPr>
        <w:instrText xml:space="preserve"> PAGEREF _Toc2499 </w:instrText>
      </w:r>
      <w:r>
        <w:rPr>
          <w:b/>
          <w:bCs/>
          <w:color w:val="auto"/>
          <w:sz w:val="24"/>
          <w:szCs w:val="24"/>
        </w:rPr>
        <w:fldChar w:fldCharType="separate"/>
      </w:r>
      <w:r>
        <w:rPr>
          <w:b/>
          <w:bCs/>
          <w:color w:val="auto"/>
          <w:sz w:val="24"/>
          <w:szCs w:val="24"/>
        </w:rPr>
        <w:t>35</w:t>
      </w:r>
      <w:r>
        <w:rPr>
          <w:b/>
          <w:bCs/>
          <w:color w:val="auto"/>
          <w:sz w:val="24"/>
          <w:szCs w:val="24"/>
        </w:rPr>
        <w:fldChar w:fldCharType="end"/>
      </w:r>
      <w:r>
        <w:rPr>
          <w:b/>
          <w:bCs/>
          <w:color w:val="auto"/>
          <w:sz w:val="24"/>
          <w:szCs w:val="24"/>
        </w:rPr>
        <w:fldChar w:fldCharType="end"/>
      </w:r>
    </w:p>
    <w:p>
      <w:pPr>
        <w:pStyle w:val="14"/>
        <w:tabs>
          <w:tab w:val="right" w:leader="dot" w:pos="8844"/>
        </w:tabs>
        <w:spacing w:line="360" w:lineRule="auto"/>
        <w:rPr>
          <w:b/>
          <w:bCs/>
          <w:color w:val="auto"/>
          <w:sz w:val="24"/>
          <w:szCs w:val="24"/>
        </w:rPr>
      </w:pPr>
      <w:r>
        <w:rPr>
          <w:b/>
          <w:bCs/>
          <w:color w:val="auto"/>
          <w:sz w:val="24"/>
          <w:szCs w:val="24"/>
        </w:rPr>
        <w:fldChar w:fldCharType="begin"/>
      </w:r>
      <w:r>
        <w:rPr>
          <w:b/>
          <w:bCs/>
          <w:color w:val="auto"/>
          <w:sz w:val="24"/>
          <w:szCs w:val="24"/>
        </w:rPr>
        <w:instrText xml:space="preserve"> HYPERLINK \l _Toc305 </w:instrText>
      </w:r>
      <w:r>
        <w:rPr>
          <w:b/>
          <w:bCs/>
          <w:color w:val="auto"/>
          <w:sz w:val="24"/>
          <w:szCs w:val="24"/>
        </w:rPr>
        <w:fldChar w:fldCharType="separate"/>
      </w:r>
      <w:r>
        <w:rPr>
          <w:b/>
          <w:bCs/>
          <w:snapToGrid w:val="0"/>
          <w:color w:val="auto"/>
          <w:sz w:val="24"/>
          <w:szCs w:val="24"/>
        </w:rPr>
        <w:t>五、环境保护措施监督检查清单</w:t>
      </w:r>
      <w:r>
        <w:rPr>
          <w:b/>
          <w:bCs/>
          <w:color w:val="auto"/>
          <w:sz w:val="24"/>
          <w:szCs w:val="24"/>
        </w:rPr>
        <w:tab/>
      </w:r>
      <w:r>
        <w:rPr>
          <w:b/>
          <w:bCs/>
          <w:color w:val="auto"/>
          <w:sz w:val="24"/>
          <w:szCs w:val="24"/>
        </w:rPr>
        <w:fldChar w:fldCharType="begin"/>
      </w:r>
      <w:r>
        <w:rPr>
          <w:b/>
          <w:bCs/>
          <w:color w:val="auto"/>
          <w:sz w:val="24"/>
          <w:szCs w:val="24"/>
        </w:rPr>
        <w:instrText xml:space="preserve"> PAGEREF _Toc305 </w:instrText>
      </w:r>
      <w:r>
        <w:rPr>
          <w:b/>
          <w:bCs/>
          <w:color w:val="auto"/>
          <w:sz w:val="24"/>
          <w:szCs w:val="24"/>
        </w:rPr>
        <w:fldChar w:fldCharType="separate"/>
      </w:r>
      <w:r>
        <w:rPr>
          <w:b/>
          <w:bCs/>
          <w:color w:val="auto"/>
          <w:sz w:val="24"/>
          <w:szCs w:val="24"/>
        </w:rPr>
        <w:t>64</w:t>
      </w:r>
      <w:r>
        <w:rPr>
          <w:b/>
          <w:bCs/>
          <w:color w:val="auto"/>
          <w:sz w:val="24"/>
          <w:szCs w:val="24"/>
        </w:rPr>
        <w:fldChar w:fldCharType="end"/>
      </w:r>
      <w:r>
        <w:rPr>
          <w:b/>
          <w:bCs/>
          <w:color w:val="auto"/>
          <w:sz w:val="24"/>
          <w:szCs w:val="24"/>
        </w:rPr>
        <w:fldChar w:fldCharType="end"/>
      </w:r>
    </w:p>
    <w:p>
      <w:pPr>
        <w:pStyle w:val="14"/>
        <w:tabs>
          <w:tab w:val="right" w:leader="dot" w:pos="8844"/>
        </w:tabs>
        <w:spacing w:line="360" w:lineRule="auto"/>
        <w:rPr>
          <w:b/>
          <w:bCs/>
          <w:color w:val="auto"/>
          <w:sz w:val="24"/>
          <w:szCs w:val="24"/>
        </w:rPr>
      </w:pPr>
      <w:r>
        <w:rPr>
          <w:b/>
          <w:bCs/>
          <w:color w:val="auto"/>
          <w:sz w:val="24"/>
          <w:szCs w:val="24"/>
        </w:rPr>
        <w:fldChar w:fldCharType="begin"/>
      </w:r>
      <w:r>
        <w:rPr>
          <w:b/>
          <w:bCs/>
          <w:color w:val="auto"/>
          <w:sz w:val="24"/>
          <w:szCs w:val="24"/>
        </w:rPr>
        <w:instrText xml:space="preserve"> HYPERLINK \l _Toc14062 </w:instrText>
      </w:r>
      <w:r>
        <w:rPr>
          <w:b/>
          <w:bCs/>
          <w:color w:val="auto"/>
          <w:sz w:val="24"/>
          <w:szCs w:val="24"/>
        </w:rPr>
        <w:fldChar w:fldCharType="separate"/>
      </w:r>
      <w:r>
        <w:rPr>
          <w:b/>
          <w:bCs/>
          <w:snapToGrid w:val="0"/>
          <w:color w:val="auto"/>
          <w:sz w:val="24"/>
          <w:szCs w:val="24"/>
        </w:rPr>
        <w:t>六、结论</w:t>
      </w:r>
      <w:r>
        <w:rPr>
          <w:b/>
          <w:bCs/>
          <w:color w:val="auto"/>
          <w:sz w:val="24"/>
          <w:szCs w:val="24"/>
        </w:rPr>
        <w:tab/>
      </w:r>
      <w:r>
        <w:rPr>
          <w:b/>
          <w:bCs/>
          <w:color w:val="auto"/>
          <w:sz w:val="24"/>
          <w:szCs w:val="24"/>
        </w:rPr>
        <w:fldChar w:fldCharType="begin"/>
      </w:r>
      <w:r>
        <w:rPr>
          <w:b/>
          <w:bCs/>
          <w:color w:val="auto"/>
          <w:sz w:val="24"/>
          <w:szCs w:val="24"/>
        </w:rPr>
        <w:instrText xml:space="preserve"> PAGEREF _Toc14062 </w:instrText>
      </w:r>
      <w:r>
        <w:rPr>
          <w:b/>
          <w:bCs/>
          <w:color w:val="auto"/>
          <w:sz w:val="24"/>
          <w:szCs w:val="24"/>
        </w:rPr>
        <w:fldChar w:fldCharType="separate"/>
      </w:r>
      <w:r>
        <w:rPr>
          <w:b/>
          <w:bCs/>
          <w:color w:val="auto"/>
          <w:sz w:val="24"/>
          <w:szCs w:val="24"/>
        </w:rPr>
        <w:t>66</w:t>
      </w:r>
      <w:r>
        <w:rPr>
          <w:b/>
          <w:bCs/>
          <w:color w:val="auto"/>
          <w:sz w:val="24"/>
          <w:szCs w:val="24"/>
        </w:rPr>
        <w:fldChar w:fldCharType="end"/>
      </w:r>
      <w:r>
        <w:rPr>
          <w:b/>
          <w:bCs/>
          <w:color w:val="auto"/>
          <w:sz w:val="24"/>
          <w:szCs w:val="24"/>
        </w:rPr>
        <w:fldChar w:fldCharType="end"/>
      </w:r>
    </w:p>
    <w:p>
      <w:pPr>
        <w:spacing w:line="360" w:lineRule="auto"/>
        <w:rPr>
          <w:rFonts w:hint="eastAsia"/>
          <w:color w:val="auto"/>
        </w:rPr>
      </w:pPr>
      <w:r>
        <w:rPr>
          <w:b/>
          <w:bCs/>
          <w:color w:val="auto"/>
          <w:sz w:val="24"/>
          <w:szCs w:val="24"/>
        </w:rPr>
        <w:fldChar w:fldCharType="end"/>
      </w:r>
      <w:bookmarkStart w:id="1" w:name="_Toc14128"/>
    </w:p>
    <w:p>
      <w:pPr>
        <w:adjustRightInd w:val="0"/>
        <w:snapToGrid w:val="0"/>
        <w:rPr>
          <w:b/>
          <w:color w:val="auto"/>
          <w:sz w:val="24"/>
          <w:szCs w:val="24"/>
        </w:rPr>
      </w:pPr>
      <w:r>
        <w:rPr>
          <w:b/>
          <w:color w:val="auto"/>
          <w:sz w:val="24"/>
          <w:szCs w:val="24"/>
        </w:rPr>
        <w:t xml:space="preserve">附件： </w:t>
      </w:r>
    </w:p>
    <w:p>
      <w:pPr>
        <w:rPr>
          <w:rFonts w:hint="eastAsia"/>
          <w:color w:val="auto"/>
          <w:sz w:val="24"/>
          <w:szCs w:val="24"/>
        </w:rPr>
      </w:pPr>
      <w:r>
        <w:rPr>
          <w:rFonts w:hint="eastAsia"/>
          <w:color w:val="auto"/>
          <w:sz w:val="24"/>
          <w:szCs w:val="24"/>
        </w:rPr>
        <w:t>附件1：委托书</w:t>
      </w:r>
    </w:p>
    <w:p>
      <w:pPr>
        <w:rPr>
          <w:rFonts w:hint="eastAsia"/>
          <w:color w:val="auto"/>
          <w:sz w:val="24"/>
          <w:szCs w:val="24"/>
        </w:rPr>
      </w:pPr>
      <w:r>
        <w:rPr>
          <w:rFonts w:hint="eastAsia"/>
          <w:color w:val="auto"/>
          <w:sz w:val="24"/>
          <w:szCs w:val="24"/>
        </w:rPr>
        <w:t>附件2：可研批复</w:t>
      </w:r>
    </w:p>
    <w:p>
      <w:pPr>
        <w:rPr>
          <w:rFonts w:hint="eastAsia"/>
          <w:color w:val="auto"/>
          <w:sz w:val="24"/>
          <w:szCs w:val="24"/>
        </w:rPr>
      </w:pPr>
      <w:r>
        <w:rPr>
          <w:rFonts w:hint="eastAsia"/>
          <w:color w:val="auto"/>
          <w:sz w:val="24"/>
          <w:szCs w:val="24"/>
        </w:rPr>
        <w:t>附件</w:t>
      </w:r>
      <w:r>
        <w:rPr>
          <w:color w:val="auto"/>
          <w:sz w:val="24"/>
          <w:szCs w:val="24"/>
        </w:rPr>
        <w:t>3</w:t>
      </w:r>
      <w:r>
        <w:rPr>
          <w:rFonts w:hint="eastAsia"/>
          <w:color w:val="auto"/>
          <w:sz w:val="24"/>
          <w:szCs w:val="24"/>
        </w:rPr>
        <w:t>：用地预审和选址意见书</w:t>
      </w:r>
    </w:p>
    <w:p>
      <w:pPr>
        <w:rPr>
          <w:rFonts w:hint="eastAsia"/>
          <w:color w:val="auto"/>
          <w:sz w:val="24"/>
          <w:szCs w:val="24"/>
        </w:rPr>
      </w:pPr>
      <w:r>
        <w:rPr>
          <w:rFonts w:hint="eastAsia"/>
          <w:color w:val="auto"/>
          <w:sz w:val="24"/>
          <w:szCs w:val="24"/>
        </w:rPr>
        <w:t>附件</w:t>
      </w:r>
      <w:r>
        <w:rPr>
          <w:color w:val="auto"/>
          <w:sz w:val="24"/>
          <w:szCs w:val="24"/>
        </w:rPr>
        <w:t>4</w:t>
      </w:r>
      <w:r>
        <w:rPr>
          <w:rFonts w:hint="eastAsia"/>
          <w:color w:val="auto"/>
          <w:sz w:val="24"/>
          <w:szCs w:val="24"/>
        </w:rPr>
        <w:t xml:space="preserve">：区发改局东发改复[2022]197号 </w:t>
      </w:r>
    </w:p>
    <w:p>
      <w:pPr>
        <w:rPr>
          <w:rFonts w:hint="eastAsia"/>
          <w:color w:val="auto"/>
          <w:sz w:val="24"/>
          <w:szCs w:val="24"/>
        </w:rPr>
      </w:pPr>
      <w:r>
        <w:rPr>
          <w:rFonts w:hint="eastAsia"/>
          <w:color w:val="auto"/>
          <w:sz w:val="24"/>
          <w:szCs w:val="24"/>
        </w:rPr>
        <w:t>附件</w:t>
      </w:r>
      <w:r>
        <w:rPr>
          <w:color w:val="auto"/>
          <w:sz w:val="24"/>
          <w:szCs w:val="24"/>
        </w:rPr>
        <w:t>5</w:t>
      </w:r>
      <w:r>
        <w:rPr>
          <w:rFonts w:hint="eastAsia"/>
          <w:color w:val="auto"/>
          <w:sz w:val="24"/>
          <w:szCs w:val="24"/>
        </w:rPr>
        <w:t xml:space="preserve">：生态红线查询证明 </w:t>
      </w:r>
    </w:p>
    <w:p>
      <w:pPr>
        <w:rPr>
          <w:rFonts w:hint="eastAsia"/>
          <w:color w:val="auto"/>
          <w:sz w:val="24"/>
          <w:szCs w:val="24"/>
        </w:rPr>
      </w:pPr>
      <w:r>
        <w:rPr>
          <w:rFonts w:hint="eastAsia"/>
          <w:color w:val="auto"/>
          <w:sz w:val="24"/>
          <w:szCs w:val="24"/>
        </w:rPr>
        <w:t>附件</w:t>
      </w:r>
      <w:r>
        <w:rPr>
          <w:color w:val="auto"/>
          <w:sz w:val="24"/>
          <w:szCs w:val="24"/>
        </w:rPr>
        <w:t>6</w:t>
      </w:r>
      <w:r>
        <w:rPr>
          <w:rFonts w:hint="eastAsia"/>
          <w:color w:val="auto"/>
          <w:sz w:val="24"/>
          <w:szCs w:val="24"/>
        </w:rPr>
        <w:t>：规划条件</w:t>
      </w:r>
    </w:p>
    <w:p>
      <w:pPr>
        <w:rPr>
          <w:rFonts w:hint="eastAsia"/>
          <w:color w:val="auto"/>
          <w:sz w:val="24"/>
          <w:szCs w:val="24"/>
        </w:rPr>
      </w:pPr>
      <w:r>
        <w:rPr>
          <w:rFonts w:hint="eastAsia"/>
          <w:color w:val="auto"/>
          <w:sz w:val="24"/>
          <w:szCs w:val="24"/>
        </w:rPr>
        <w:t>附件</w:t>
      </w:r>
      <w:r>
        <w:rPr>
          <w:color w:val="auto"/>
          <w:sz w:val="24"/>
          <w:szCs w:val="24"/>
        </w:rPr>
        <w:t>7</w:t>
      </w:r>
      <w:r>
        <w:rPr>
          <w:rFonts w:hint="eastAsia"/>
          <w:color w:val="auto"/>
          <w:sz w:val="24"/>
          <w:szCs w:val="24"/>
        </w:rPr>
        <w:t>：类比项目自行监测报告</w:t>
      </w:r>
    </w:p>
    <w:p>
      <w:pPr>
        <w:rPr>
          <w:rFonts w:hint="eastAsia"/>
          <w:color w:val="auto"/>
          <w:sz w:val="24"/>
          <w:szCs w:val="24"/>
        </w:rPr>
      </w:pPr>
      <w:r>
        <w:rPr>
          <w:rFonts w:hint="eastAsia"/>
          <w:color w:val="auto"/>
          <w:sz w:val="24"/>
          <w:szCs w:val="24"/>
        </w:rPr>
        <w:t>附件</w:t>
      </w:r>
      <w:r>
        <w:rPr>
          <w:color w:val="auto"/>
          <w:sz w:val="24"/>
          <w:szCs w:val="24"/>
        </w:rPr>
        <w:t>8</w:t>
      </w:r>
      <w:r>
        <w:rPr>
          <w:rFonts w:hint="eastAsia"/>
          <w:color w:val="auto"/>
          <w:sz w:val="24"/>
          <w:szCs w:val="24"/>
        </w:rPr>
        <w:t>：现状监测报告</w:t>
      </w:r>
    </w:p>
    <w:p>
      <w:pPr>
        <w:rPr>
          <w:rFonts w:hint="eastAsia"/>
          <w:color w:val="auto"/>
          <w:sz w:val="24"/>
          <w:szCs w:val="24"/>
        </w:rPr>
      </w:pPr>
      <w:r>
        <w:rPr>
          <w:rFonts w:hint="eastAsia"/>
          <w:color w:val="auto"/>
          <w:sz w:val="24"/>
          <w:szCs w:val="24"/>
          <w:lang w:eastAsia="zh-CN"/>
        </w:rPr>
        <w:t>附件</w:t>
      </w:r>
      <w:r>
        <w:rPr>
          <w:rFonts w:hint="default"/>
          <w:color w:val="auto"/>
          <w:sz w:val="24"/>
          <w:szCs w:val="24"/>
          <w:lang w:val="en-US" w:eastAsia="zh-CN"/>
        </w:rPr>
        <w:t>9</w:t>
      </w:r>
      <w:r>
        <w:rPr>
          <w:rFonts w:hint="eastAsia"/>
          <w:color w:val="auto"/>
          <w:sz w:val="24"/>
          <w:szCs w:val="24"/>
          <w:lang w:val="en-US" w:eastAsia="zh-CN"/>
        </w:rPr>
        <w:t>：技术评估意见</w:t>
      </w:r>
    </w:p>
    <w:p>
      <w:pPr>
        <w:rPr>
          <w:rFonts w:hint="eastAsia"/>
          <w:b/>
          <w:bCs/>
          <w:color w:val="auto"/>
          <w:sz w:val="24"/>
          <w:szCs w:val="24"/>
        </w:rPr>
      </w:pPr>
      <w:r>
        <w:rPr>
          <w:rFonts w:hint="eastAsia"/>
          <w:b/>
          <w:bCs/>
          <w:color w:val="auto"/>
          <w:sz w:val="24"/>
          <w:szCs w:val="24"/>
        </w:rPr>
        <w:t>附图：</w:t>
      </w:r>
    </w:p>
    <w:p>
      <w:pPr>
        <w:rPr>
          <w:b/>
          <w:bCs/>
          <w:color w:val="auto"/>
          <w:sz w:val="24"/>
          <w:szCs w:val="24"/>
        </w:rPr>
      </w:pPr>
      <w:r>
        <w:rPr>
          <w:rFonts w:hint="eastAsia"/>
          <w:color w:val="auto"/>
          <w:sz w:val="24"/>
          <w:szCs w:val="24"/>
        </w:rPr>
        <w:t>附图1：项目地理位置图</w:t>
      </w:r>
    </w:p>
    <w:p>
      <w:pPr>
        <w:adjustRightInd w:val="0"/>
        <w:snapToGrid w:val="0"/>
        <w:rPr>
          <w:color w:val="auto"/>
          <w:sz w:val="24"/>
          <w:szCs w:val="24"/>
        </w:rPr>
      </w:pPr>
      <w:r>
        <w:rPr>
          <w:rFonts w:hint="eastAsia"/>
          <w:color w:val="auto"/>
          <w:sz w:val="24"/>
          <w:szCs w:val="24"/>
        </w:rPr>
        <w:t>附图2：</w:t>
      </w:r>
      <w:r>
        <w:rPr>
          <w:color w:val="auto"/>
          <w:sz w:val="24"/>
          <w:szCs w:val="24"/>
        </w:rPr>
        <w:t>项目</w:t>
      </w:r>
      <w:r>
        <w:rPr>
          <w:rFonts w:hint="eastAsia"/>
          <w:color w:val="auto"/>
          <w:sz w:val="24"/>
          <w:szCs w:val="24"/>
        </w:rPr>
        <w:t>总平面布置图</w:t>
      </w:r>
    </w:p>
    <w:p>
      <w:pPr>
        <w:adjustRightInd w:val="0"/>
        <w:snapToGrid w:val="0"/>
        <w:rPr>
          <w:color w:val="auto"/>
          <w:sz w:val="24"/>
          <w:szCs w:val="24"/>
        </w:rPr>
      </w:pPr>
      <w:r>
        <w:rPr>
          <w:rFonts w:hint="eastAsia"/>
          <w:color w:val="auto"/>
          <w:sz w:val="24"/>
          <w:szCs w:val="24"/>
        </w:rPr>
        <w:t>附图3：项目水系图</w:t>
      </w:r>
    </w:p>
    <w:p>
      <w:pPr>
        <w:adjustRightInd w:val="0"/>
        <w:snapToGrid w:val="0"/>
        <w:rPr>
          <w:color w:val="auto"/>
          <w:sz w:val="24"/>
          <w:szCs w:val="24"/>
        </w:rPr>
      </w:pPr>
      <w:r>
        <w:rPr>
          <w:rFonts w:hint="eastAsia"/>
          <w:color w:val="auto"/>
          <w:sz w:val="24"/>
          <w:szCs w:val="24"/>
        </w:rPr>
        <w:t>附图4：项目周边环境关系图</w:t>
      </w:r>
    </w:p>
    <w:p>
      <w:pPr>
        <w:pStyle w:val="9"/>
        <w:rPr>
          <w:color w:val="auto"/>
        </w:rPr>
      </w:pPr>
    </w:p>
    <w:p>
      <w:pPr>
        <w:pStyle w:val="21"/>
        <w:spacing w:after="0" w:line="240" w:lineRule="auto"/>
        <w:rPr>
          <w:rFonts w:hint="eastAsia" w:ascii="宋体" w:hAnsi="宋体" w:cs="宋体"/>
          <w:bCs/>
          <w:color w:val="auto"/>
          <w:sz w:val="24"/>
        </w:rPr>
      </w:pPr>
    </w:p>
    <w:p>
      <w:pPr>
        <w:pStyle w:val="21"/>
        <w:spacing w:after="0" w:line="240" w:lineRule="auto"/>
        <w:rPr>
          <w:rFonts w:hint="eastAsia" w:ascii="宋体" w:hAnsi="宋体" w:cs="宋体"/>
          <w:bCs/>
          <w:color w:val="auto"/>
          <w:sz w:val="24"/>
        </w:rPr>
      </w:pPr>
    </w:p>
    <w:p>
      <w:pPr>
        <w:pStyle w:val="21"/>
        <w:spacing w:after="0" w:line="240" w:lineRule="auto"/>
        <w:rPr>
          <w:rFonts w:hint="eastAsia" w:ascii="宋体" w:hAnsi="宋体" w:cs="宋体"/>
          <w:bCs/>
          <w:color w:val="auto"/>
          <w:sz w:val="24"/>
        </w:rPr>
      </w:pPr>
    </w:p>
    <w:p>
      <w:pPr>
        <w:pStyle w:val="21"/>
        <w:spacing w:after="0" w:line="240" w:lineRule="auto"/>
        <w:rPr>
          <w:rFonts w:hint="eastAsia" w:ascii="宋体" w:hAnsi="宋体" w:cs="宋体"/>
          <w:bCs/>
          <w:color w:val="auto"/>
          <w:sz w:val="24"/>
        </w:rPr>
      </w:pPr>
    </w:p>
    <w:p>
      <w:pPr>
        <w:pStyle w:val="21"/>
        <w:spacing w:after="0" w:line="240" w:lineRule="auto"/>
        <w:rPr>
          <w:rFonts w:hint="eastAsia" w:ascii="宋体" w:hAnsi="宋体" w:cs="宋体"/>
          <w:bCs/>
          <w:color w:val="auto"/>
          <w:sz w:val="24"/>
        </w:rPr>
      </w:pPr>
    </w:p>
    <w:p>
      <w:pPr>
        <w:pStyle w:val="21"/>
        <w:spacing w:after="0" w:line="240" w:lineRule="auto"/>
        <w:rPr>
          <w:rFonts w:hint="eastAsia" w:ascii="宋体" w:hAnsi="宋体" w:cs="宋体"/>
          <w:bCs/>
          <w:color w:val="auto"/>
          <w:sz w:val="24"/>
        </w:rPr>
      </w:pPr>
    </w:p>
    <w:p>
      <w:pPr>
        <w:pStyle w:val="21"/>
        <w:spacing w:after="0" w:line="240" w:lineRule="auto"/>
        <w:rPr>
          <w:rFonts w:ascii="宋体" w:hAnsi="宋体" w:cs="宋体"/>
          <w:bCs/>
          <w:color w:val="auto"/>
          <w:sz w:val="24"/>
        </w:rPr>
      </w:pPr>
    </w:p>
    <w:p>
      <w:pPr>
        <w:rPr>
          <w:rFonts w:hint="eastAsia" w:ascii="宋体" w:hAnsi="宋体" w:cs="宋体"/>
          <w:bCs/>
          <w:color w:val="auto"/>
          <w:sz w:val="24"/>
        </w:rPr>
      </w:pPr>
    </w:p>
    <w:p>
      <w:pPr>
        <w:rPr>
          <w:rFonts w:hint="eastAsia"/>
          <w:color w:val="auto"/>
        </w:rPr>
      </w:pPr>
    </w:p>
    <w:p>
      <w:pPr>
        <w:rPr>
          <w:rFonts w:hint="eastAsia" w:ascii="宋体" w:hAnsi="宋体" w:cs="宋体"/>
          <w:color w:val="auto"/>
        </w:rPr>
      </w:pPr>
    </w:p>
    <w:p>
      <w:pPr>
        <w:pStyle w:val="3"/>
        <w:jc w:val="center"/>
        <w:rPr>
          <w:rFonts w:hint="eastAsia"/>
          <w:color w:val="auto"/>
        </w:rPr>
        <w:sectPr>
          <w:footerReference r:id="rId5" w:type="default"/>
          <w:pgSz w:w="11906" w:h="16838"/>
          <w:pgMar w:top="1304" w:right="1134" w:bottom="1304" w:left="1531" w:header="851" w:footer="851" w:gutter="0"/>
          <w:cols w:space="720" w:num="1"/>
          <w:docGrid w:linePitch="312" w:charSpace="0"/>
        </w:sectPr>
      </w:pPr>
    </w:p>
    <w:p>
      <w:pPr>
        <w:pStyle w:val="3"/>
        <w:jc w:val="center"/>
        <w:rPr>
          <w:rFonts w:hint="eastAsia"/>
          <w:color w:val="auto"/>
        </w:rPr>
      </w:pPr>
      <w:r>
        <w:rPr>
          <w:rFonts w:hint="eastAsia"/>
          <w:color w:val="auto"/>
        </w:rPr>
        <w:t>一、建设项目基本情况</w:t>
      </w:r>
    </w:p>
    <w:tbl>
      <w:tblPr>
        <w:tblStyle w:val="26"/>
        <w:tblW w:w="97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84"/>
        <w:gridCol w:w="2741"/>
        <w:gridCol w:w="1753"/>
        <w:gridCol w:w="3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1584" w:type="dxa"/>
            <w:noWrap w:val="0"/>
            <w:tcMar>
              <w:top w:w="16" w:type="dxa"/>
              <w:left w:w="16" w:type="dxa"/>
              <w:right w:w="16" w:type="dxa"/>
            </w:tcMar>
            <w:vAlign w:val="center"/>
          </w:tcPr>
          <w:p>
            <w:pPr>
              <w:pStyle w:val="22"/>
              <w:keepNext w:val="0"/>
              <w:keepLines w:val="0"/>
              <w:suppressLineNumbers w:val="0"/>
              <w:ind w:left="0" w:right="0"/>
              <w:jc w:val="center"/>
              <w:outlineLvl w:val="0"/>
              <w:rPr>
                <w:rFonts w:hint="eastAsia" w:cs="宋体"/>
                <w:color w:val="auto"/>
                <w:szCs w:val="24"/>
              </w:rPr>
            </w:pPr>
            <w:r>
              <w:rPr>
                <w:rFonts w:hint="eastAsia" w:cs="宋体"/>
                <w:color w:val="auto"/>
                <w:szCs w:val="24"/>
              </w:rPr>
              <w:t>建设项目名称</w:t>
            </w:r>
          </w:p>
        </w:tc>
        <w:tc>
          <w:tcPr>
            <w:tcW w:w="8161" w:type="dxa"/>
            <w:gridSpan w:val="3"/>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4"/>
              </w:rPr>
            </w:pPr>
            <w:r>
              <w:rPr>
                <w:rFonts w:hint="eastAsia" w:ascii="宋体" w:hAnsi="宋体" w:cs="宋体"/>
                <w:color w:val="auto"/>
                <w:kern w:val="0"/>
                <w:sz w:val="24"/>
                <w:szCs w:val="24"/>
              </w:rPr>
              <w:t>昆明市东川区精神病院整体迁建建设项目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1584"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t>项目代码</w:t>
            </w:r>
          </w:p>
        </w:tc>
        <w:tc>
          <w:tcPr>
            <w:tcW w:w="8161" w:type="dxa"/>
            <w:gridSpan w:val="3"/>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w:t>
            </w:r>
            <w:r>
              <w:rPr>
                <w:rFonts w:hint="default" w:ascii="宋体" w:hAnsi="宋体" w:cs="宋体"/>
                <w:color w:val="auto"/>
                <w:kern w:val="0"/>
                <w:sz w:val="24"/>
                <w:szCs w:val="24"/>
              </w:rPr>
              <w:t>-</w:t>
            </w:r>
            <w:r>
              <w:rPr>
                <w:rFonts w:hint="eastAsia" w:ascii="宋体" w:hAnsi="宋体" w:cs="宋体"/>
                <w:color w:val="auto"/>
                <w:kern w:val="0"/>
                <w:sz w:val="24"/>
                <w:szCs w:val="24"/>
                <w:lang w:eastAsia="zh-CN"/>
              </w:rPr>
              <w:t>******</w:t>
            </w:r>
            <w:r>
              <w:rPr>
                <w:rFonts w:hint="default" w:ascii="宋体" w:hAnsi="宋体" w:cs="宋体"/>
                <w:color w:val="auto"/>
                <w:kern w:val="0"/>
                <w:sz w:val="24"/>
                <w:szCs w:val="24"/>
              </w:rPr>
              <w:t>-84-01-</w:t>
            </w:r>
            <w:r>
              <w:rPr>
                <w:rFonts w:hint="eastAsia" w:ascii="宋体" w:hAnsi="宋体" w:cs="宋体"/>
                <w:color w:val="auto"/>
                <w:kern w:val="0"/>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1584"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t>建设单位联系人</w:t>
            </w:r>
          </w:p>
        </w:tc>
        <w:tc>
          <w:tcPr>
            <w:tcW w:w="274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汤**</w:t>
            </w:r>
          </w:p>
        </w:tc>
        <w:tc>
          <w:tcPr>
            <w:tcW w:w="175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kern w:val="0"/>
                <w:sz w:val="24"/>
                <w:szCs w:val="24"/>
              </w:rPr>
            </w:pPr>
            <w:r>
              <w:rPr>
                <w:rFonts w:hint="eastAsia" w:ascii="宋体" w:hAnsi="宋体" w:cs="宋体"/>
                <w:color w:val="auto"/>
                <w:kern w:val="0"/>
                <w:sz w:val="24"/>
                <w:szCs w:val="24"/>
              </w:rPr>
              <w:t>联系方式</w:t>
            </w:r>
          </w:p>
        </w:tc>
        <w:tc>
          <w:tcPr>
            <w:tcW w:w="366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0"/>
                <w:sz w:val="24"/>
                <w:szCs w:val="24"/>
                <w:lang w:val="en-US" w:eastAsia="zh-CN"/>
              </w:rPr>
            </w:pPr>
            <w:r>
              <w:rPr>
                <w:rFonts w:hint="default" w:ascii="宋体" w:hAnsi="宋体" w:cs="宋体"/>
                <w:color w:val="auto"/>
                <w:kern w:val="0"/>
                <w:sz w:val="24"/>
                <w:szCs w:val="24"/>
                <w:lang w:val="en-US"/>
              </w:rPr>
              <w:t>138</w:t>
            </w:r>
            <w:r>
              <w:rPr>
                <w:rFonts w:hint="eastAsia" w:ascii="宋体" w:hAnsi="宋体" w:cs="宋体"/>
                <w:color w:val="auto"/>
                <w:kern w:val="0"/>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1584"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t>建设地点</w:t>
            </w:r>
          </w:p>
        </w:tc>
        <w:tc>
          <w:tcPr>
            <w:tcW w:w="8161" w:type="dxa"/>
            <w:gridSpan w:val="3"/>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云南省昆明市东川区城区西南角，规划道路东海路南延长线东侧，兴铜路西延长线南侧交汇路口</w:t>
            </w:r>
            <w:r>
              <w:rPr>
                <w:rFonts w:hint="eastAsia" w:ascii="宋体" w:hAnsi="宋体" w:cs="宋体"/>
                <w:color w:val="auto"/>
                <w:kern w:val="0"/>
                <w:sz w:val="24"/>
                <w:szCs w:val="24"/>
                <w:lang w:eastAsia="zh-CN"/>
              </w:rPr>
              <w:t>（原东川区精神病院西北侧</w:t>
            </w:r>
            <w:r>
              <w:rPr>
                <w:rFonts w:hint="default" w:ascii="宋体" w:hAnsi="宋体" w:cs="宋体"/>
                <w:color w:val="auto"/>
                <w:kern w:val="0"/>
                <w:sz w:val="24"/>
                <w:szCs w:val="24"/>
                <w:lang w:val="en-US" w:eastAsia="zh-CN"/>
              </w:rPr>
              <w:t>80m</w:t>
            </w:r>
            <w:r>
              <w:rPr>
                <w:rFonts w:hint="eastAsia" w:ascii="宋体" w:hAnsi="宋体" w:cs="宋体"/>
                <w:color w:val="auto"/>
                <w:kern w:val="0"/>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1584"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t>地理坐标</w:t>
            </w:r>
          </w:p>
        </w:tc>
        <w:tc>
          <w:tcPr>
            <w:tcW w:w="8161" w:type="dxa"/>
            <w:gridSpan w:val="3"/>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t>（中心坐标：经度10</w:t>
            </w:r>
            <w:r>
              <w:rPr>
                <w:rFonts w:hint="default" w:ascii="宋体" w:hAnsi="宋体" w:cs="宋体"/>
                <w:color w:val="auto"/>
                <w:sz w:val="24"/>
                <w:szCs w:val="24"/>
              </w:rPr>
              <w:t>3</w:t>
            </w:r>
            <w:r>
              <w:rPr>
                <w:rFonts w:hint="eastAsia" w:ascii="宋体" w:hAnsi="宋体" w:cs="宋体"/>
                <w:color w:val="auto"/>
                <w:sz w:val="24"/>
                <w:szCs w:val="24"/>
              </w:rPr>
              <w:t>°1</w:t>
            </w:r>
            <w:r>
              <w:rPr>
                <w:rFonts w:hint="default" w:ascii="宋体" w:hAnsi="宋体" w:cs="宋体"/>
                <w:color w:val="auto"/>
                <w:sz w:val="24"/>
                <w:szCs w:val="24"/>
              </w:rPr>
              <w:t>0</w:t>
            </w:r>
            <w:r>
              <w:rPr>
                <w:rFonts w:hint="eastAsia" w:ascii="宋体" w:hAnsi="宋体" w:cs="宋体"/>
                <w:color w:val="auto"/>
                <w:sz w:val="24"/>
                <w:szCs w:val="24"/>
              </w:rPr>
              <w:t>′</w:t>
            </w:r>
            <w:r>
              <w:rPr>
                <w:rFonts w:hint="default" w:ascii="宋体" w:hAnsi="宋体" w:cs="宋体"/>
                <w:color w:val="auto"/>
                <w:sz w:val="24"/>
                <w:szCs w:val="24"/>
              </w:rPr>
              <w:t>42.608</w:t>
            </w:r>
            <w:r>
              <w:rPr>
                <w:rFonts w:hint="eastAsia" w:ascii="宋体" w:hAnsi="宋体" w:cs="宋体"/>
                <w:color w:val="auto"/>
                <w:sz w:val="24"/>
                <w:szCs w:val="24"/>
              </w:rPr>
              <w:t>″，纬度：2</w:t>
            </w:r>
            <w:r>
              <w:rPr>
                <w:rFonts w:hint="default" w:ascii="宋体" w:hAnsi="宋体" w:cs="宋体"/>
                <w:color w:val="auto"/>
                <w:sz w:val="24"/>
                <w:szCs w:val="24"/>
              </w:rPr>
              <w:t>6</w:t>
            </w:r>
            <w:r>
              <w:rPr>
                <w:rFonts w:hint="eastAsia" w:ascii="宋体" w:hAnsi="宋体" w:cs="宋体"/>
                <w:color w:val="auto"/>
                <w:sz w:val="24"/>
                <w:szCs w:val="24"/>
              </w:rPr>
              <w:t>°</w:t>
            </w:r>
            <w:r>
              <w:rPr>
                <w:rFonts w:hint="default" w:ascii="宋体" w:hAnsi="宋体" w:cs="宋体"/>
                <w:color w:val="auto"/>
                <w:sz w:val="24"/>
                <w:szCs w:val="24"/>
              </w:rPr>
              <w:t>4</w:t>
            </w:r>
            <w:r>
              <w:rPr>
                <w:rFonts w:hint="eastAsia" w:ascii="宋体" w:hAnsi="宋体" w:cs="宋体"/>
                <w:color w:val="auto"/>
                <w:sz w:val="24"/>
                <w:szCs w:val="24"/>
              </w:rPr>
              <w:t>′</w:t>
            </w:r>
            <w:r>
              <w:rPr>
                <w:rFonts w:hint="default" w:ascii="宋体" w:hAnsi="宋体" w:cs="宋体"/>
                <w:color w:val="auto"/>
                <w:sz w:val="24"/>
                <w:szCs w:val="24"/>
              </w:rPr>
              <w:t>9.695</w:t>
            </w:r>
            <w:r>
              <w:rPr>
                <w:rFonts w:hint="eastAsia" w:ascii="宋体" w:hAnsi="宋体" w:cs="宋体"/>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74" w:hRule="atLeast"/>
          <w:jc w:val="center"/>
        </w:trPr>
        <w:tc>
          <w:tcPr>
            <w:tcW w:w="1584"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t>国民经济</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t>行业类别</w:t>
            </w:r>
          </w:p>
        </w:tc>
        <w:tc>
          <w:tcPr>
            <w:tcW w:w="274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default" w:ascii="宋体" w:hAnsi="宋体" w:cs="宋体"/>
                <w:color w:val="auto"/>
                <w:sz w:val="24"/>
                <w:szCs w:val="24"/>
                <w:lang w:val="en-US"/>
              </w:rPr>
              <w:t>Q</w:t>
            </w:r>
            <w:r>
              <w:rPr>
                <w:rFonts w:hint="eastAsia" w:ascii="宋体" w:hAnsi="宋体" w:cs="宋体"/>
                <w:color w:val="auto"/>
                <w:sz w:val="24"/>
                <w:szCs w:val="24"/>
              </w:rPr>
              <w:t>8432专科疾病防治院（所、站）</w:t>
            </w:r>
          </w:p>
        </w:tc>
        <w:tc>
          <w:tcPr>
            <w:tcW w:w="175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bookmarkStart w:id="2" w:name="_Hlk49843745"/>
            <w:r>
              <w:rPr>
                <w:rFonts w:hint="eastAsia" w:ascii="宋体" w:hAnsi="宋体" w:cs="宋体"/>
                <w:color w:val="auto"/>
                <w:sz w:val="24"/>
                <w:szCs w:val="24"/>
              </w:rPr>
              <w:t>建设项目</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t>行业类别</w:t>
            </w:r>
            <w:bookmarkEnd w:id="2"/>
          </w:p>
        </w:tc>
        <w:tc>
          <w:tcPr>
            <w:tcW w:w="3667"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四十九、卫生</w:t>
            </w:r>
            <w:r>
              <w:rPr>
                <w:rFonts w:hint="default" w:ascii="宋体" w:hAnsi="宋体" w:cs="宋体"/>
                <w:color w:val="auto"/>
                <w:sz w:val="24"/>
                <w:szCs w:val="24"/>
                <w:lang w:val="en-US" w:eastAsia="zh-CN"/>
              </w:rPr>
              <w:t>108</w:t>
            </w:r>
            <w:r>
              <w:rPr>
                <w:rFonts w:hint="eastAsia" w:ascii="宋体" w:hAnsi="宋体" w:cs="宋体"/>
                <w:color w:val="auto"/>
                <w:sz w:val="24"/>
                <w:szCs w:val="24"/>
                <w:lang w:val="en-US" w:eastAsia="zh-CN"/>
              </w:rPr>
              <w:t>医院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83" w:hRule="atLeast"/>
          <w:jc w:val="center"/>
        </w:trPr>
        <w:tc>
          <w:tcPr>
            <w:tcW w:w="1584"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t>建设性质</w:t>
            </w:r>
          </w:p>
        </w:tc>
        <w:tc>
          <w:tcPr>
            <w:tcW w:w="274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sym w:font="Wingdings 2" w:char="0052"/>
            </w:r>
            <w:r>
              <w:rPr>
                <w:rFonts w:hint="eastAsia" w:ascii="宋体" w:hAnsi="宋体" w:cs="宋体"/>
                <w:color w:val="auto"/>
                <w:sz w:val="24"/>
                <w:szCs w:val="24"/>
              </w:rPr>
              <w:t>新建（迁建）</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sym w:font="Wingdings 2" w:char="00A3"/>
            </w:r>
            <w:r>
              <w:rPr>
                <w:rFonts w:hint="eastAsia" w:ascii="宋体" w:hAnsi="宋体" w:cs="宋体"/>
                <w:color w:val="auto"/>
                <w:sz w:val="24"/>
                <w:szCs w:val="24"/>
              </w:rPr>
              <w:t>改建</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sym w:font="Wingdings 2" w:char="00A3"/>
            </w:r>
            <w:r>
              <w:rPr>
                <w:rFonts w:hint="eastAsia" w:ascii="宋体" w:hAnsi="宋体" w:cs="宋体"/>
                <w:color w:val="auto"/>
                <w:sz w:val="24"/>
                <w:szCs w:val="24"/>
              </w:rPr>
              <w:t>扩建</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sym w:font="Wingdings 2" w:char="00A3"/>
            </w:r>
            <w:r>
              <w:rPr>
                <w:rFonts w:hint="eastAsia" w:ascii="宋体" w:hAnsi="宋体" w:cs="宋体"/>
                <w:color w:val="auto"/>
                <w:sz w:val="24"/>
                <w:szCs w:val="24"/>
              </w:rPr>
              <w:t>技术改造</w:t>
            </w:r>
          </w:p>
        </w:tc>
        <w:tc>
          <w:tcPr>
            <w:tcW w:w="175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t>建设项目</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t>申报情形</w:t>
            </w:r>
          </w:p>
        </w:tc>
        <w:tc>
          <w:tcPr>
            <w:tcW w:w="366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sym w:font="Wingdings 2" w:char="0052"/>
            </w:r>
            <w:r>
              <w:rPr>
                <w:rFonts w:hint="eastAsia" w:ascii="宋体" w:hAnsi="宋体" w:cs="宋体"/>
                <w:color w:val="auto"/>
                <w:sz w:val="24"/>
                <w:szCs w:val="24"/>
              </w:rPr>
              <w:t>首次申报项目</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sym w:font="Wingdings 2" w:char="00A3"/>
            </w:r>
            <w:r>
              <w:rPr>
                <w:rFonts w:hint="eastAsia" w:ascii="宋体" w:hAnsi="宋体" w:cs="宋体"/>
                <w:color w:val="auto"/>
                <w:sz w:val="24"/>
                <w:szCs w:val="24"/>
              </w:rPr>
              <w:t>不予批准后再次申报项目</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sym w:font="Wingdings 2" w:char="00A3"/>
            </w:r>
            <w:r>
              <w:rPr>
                <w:rFonts w:hint="eastAsia" w:ascii="宋体" w:hAnsi="宋体" w:cs="宋体"/>
                <w:color w:val="auto"/>
                <w:sz w:val="24"/>
                <w:szCs w:val="24"/>
              </w:rPr>
              <w:t>超五年重新审核项目</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sym w:font="Wingdings 2" w:char="00A3"/>
            </w:r>
            <w:r>
              <w:rPr>
                <w:rFonts w:hint="eastAsia" w:ascii="宋体" w:hAnsi="宋体" w:cs="宋体"/>
                <w:color w:val="auto"/>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jc w:val="center"/>
        </w:trPr>
        <w:tc>
          <w:tcPr>
            <w:tcW w:w="1584"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t>项目审批（核准/备案）部门</w:t>
            </w:r>
          </w:p>
        </w:tc>
        <w:tc>
          <w:tcPr>
            <w:tcW w:w="274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t>昆明市东川区发展和改革局</w:t>
            </w:r>
          </w:p>
        </w:tc>
        <w:tc>
          <w:tcPr>
            <w:tcW w:w="175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t>项目审批（核准/</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t>备案）文号</w:t>
            </w:r>
          </w:p>
        </w:tc>
        <w:tc>
          <w:tcPr>
            <w:tcW w:w="3667"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color w:val="auto"/>
                <w:sz w:val="24"/>
                <w:szCs w:val="24"/>
              </w:rPr>
              <w:t>东发改复</w:t>
            </w:r>
            <w:r>
              <w:rPr>
                <w:rFonts w:hint="default" w:ascii="宋体" w:hAnsi="宋体" w:cs="宋体"/>
                <w:color w:val="auto"/>
                <w:sz w:val="24"/>
                <w:szCs w:val="24"/>
              </w:rPr>
              <w:t>[2022]197</w:t>
            </w:r>
            <w:r>
              <w:rPr>
                <w:rFonts w:hint="eastAsia" w:ascii="宋体" w:hAnsi="宋体" w:cs="宋体"/>
                <w:color w:val="auto"/>
                <w:sz w:val="24"/>
                <w:szCs w:val="24"/>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1584"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t>总投资（万元）</w:t>
            </w:r>
          </w:p>
        </w:tc>
        <w:tc>
          <w:tcPr>
            <w:tcW w:w="274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rPr>
            </w:pPr>
            <w:r>
              <w:rPr>
                <w:rFonts w:hint="default" w:ascii="宋体" w:hAnsi="宋体" w:cs="宋体"/>
                <w:color w:val="auto"/>
                <w:sz w:val="24"/>
                <w:szCs w:val="24"/>
              </w:rPr>
              <w:t>21000</w:t>
            </w:r>
          </w:p>
        </w:tc>
        <w:tc>
          <w:tcPr>
            <w:tcW w:w="1753"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t>环保投资（万元）</w:t>
            </w:r>
          </w:p>
        </w:tc>
        <w:tc>
          <w:tcPr>
            <w:tcW w:w="3667"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rPr>
            </w:pPr>
            <w:r>
              <w:rPr>
                <w:rFonts w:hint="default" w:ascii="宋体" w:hAnsi="宋体" w:cs="宋体"/>
                <w:color w:val="auto"/>
                <w:sz w:val="24"/>
                <w:szCs w:val="24"/>
              </w:rPr>
              <w:t>78.6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1584"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t>环保投资占比</w:t>
            </w:r>
          </w:p>
        </w:tc>
        <w:tc>
          <w:tcPr>
            <w:tcW w:w="274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rPr>
            </w:pPr>
            <w:r>
              <w:rPr>
                <w:rFonts w:hint="default" w:ascii="宋体" w:hAnsi="宋体" w:cs="宋体"/>
                <w:color w:val="auto"/>
                <w:sz w:val="24"/>
                <w:szCs w:val="24"/>
              </w:rPr>
              <w:t>0.4</w:t>
            </w:r>
          </w:p>
        </w:tc>
        <w:tc>
          <w:tcPr>
            <w:tcW w:w="1753"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t>施工工期</w:t>
            </w:r>
          </w:p>
        </w:tc>
        <w:tc>
          <w:tcPr>
            <w:tcW w:w="366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default" w:ascii="宋体" w:hAnsi="宋体" w:cs="宋体"/>
                <w:color w:val="auto"/>
                <w:sz w:val="24"/>
                <w:szCs w:val="24"/>
                <w:lang w:val="en-US"/>
              </w:rPr>
              <w:t>24</w:t>
            </w:r>
            <w:r>
              <w:rPr>
                <w:rFonts w:hint="eastAsia" w:ascii="宋体" w:hAnsi="宋体" w:cs="宋体"/>
                <w:color w:val="auto"/>
                <w:sz w:val="24"/>
                <w:szCs w:val="24"/>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1584"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t>是否开工建设</w:t>
            </w:r>
          </w:p>
        </w:tc>
        <w:tc>
          <w:tcPr>
            <w:tcW w:w="274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sym w:font="Wingdings 2" w:char="0052"/>
            </w:r>
            <w:r>
              <w:rPr>
                <w:rFonts w:hint="eastAsia" w:ascii="宋体" w:hAnsi="宋体" w:cs="宋体"/>
                <w:color w:val="auto"/>
                <w:sz w:val="24"/>
                <w:szCs w:val="24"/>
              </w:rPr>
              <w:t>否</w:t>
            </w:r>
          </w:p>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u w:val="single"/>
              </w:rPr>
            </w:pPr>
            <w:r>
              <w:rPr>
                <w:rFonts w:hint="eastAsia" w:ascii="宋体" w:hAnsi="宋体" w:cs="宋体"/>
                <w:color w:val="auto"/>
                <w:sz w:val="24"/>
                <w:szCs w:val="24"/>
              </w:rPr>
              <w:t xml:space="preserve">  </w:t>
            </w:r>
            <w:r>
              <w:rPr>
                <w:rFonts w:hint="eastAsia" w:ascii="宋体" w:hAnsi="宋体" w:cs="宋体"/>
                <w:color w:val="auto"/>
                <w:sz w:val="24"/>
                <w:szCs w:val="24"/>
              </w:rPr>
              <w:sym w:font="Wingdings 2" w:char="00A3"/>
            </w:r>
            <w:r>
              <w:rPr>
                <w:rFonts w:hint="eastAsia" w:ascii="宋体" w:hAnsi="宋体" w:cs="宋体"/>
                <w:color w:val="auto"/>
                <w:sz w:val="24"/>
                <w:szCs w:val="24"/>
              </w:rPr>
              <w:t>是：</w:t>
            </w:r>
            <w:r>
              <w:rPr>
                <w:rFonts w:hint="eastAsia" w:ascii="宋体" w:hAnsi="宋体" w:cs="宋体"/>
                <w:color w:val="auto"/>
                <w:sz w:val="24"/>
                <w:szCs w:val="24"/>
                <w:u w:val="single"/>
              </w:rPr>
              <w:t xml:space="preserve">    </w:t>
            </w:r>
          </w:p>
        </w:tc>
        <w:tc>
          <w:tcPr>
            <w:tcW w:w="1753"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pacing w:val="-6"/>
                <w:sz w:val="24"/>
                <w:szCs w:val="24"/>
              </w:rPr>
            </w:pPr>
            <w:r>
              <w:rPr>
                <w:rFonts w:hint="eastAsia" w:ascii="宋体" w:hAnsi="宋体" w:cs="宋体"/>
                <w:color w:val="auto"/>
                <w:spacing w:val="-6"/>
                <w:sz w:val="24"/>
                <w:szCs w:val="24"/>
              </w:rPr>
              <w:t>用地（用海）</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pacing w:val="-6"/>
                <w:sz w:val="24"/>
                <w:szCs w:val="24"/>
              </w:rPr>
              <w:t>面积（m</w:t>
            </w:r>
            <w:r>
              <w:rPr>
                <w:rFonts w:hint="eastAsia" w:ascii="宋体" w:hAnsi="宋体" w:cs="宋体"/>
                <w:color w:val="auto"/>
                <w:spacing w:val="-6"/>
                <w:sz w:val="24"/>
                <w:szCs w:val="24"/>
                <w:vertAlign w:val="superscript"/>
              </w:rPr>
              <w:t>2</w:t>
            </w:r>
            <w:r>
              <w:rPr>
                <w:rFonts w:hint="eastAsia" w:ascii="宋体" w:hAnsi="宋体" w:cs="宋体"/>
                <w:color w:val="auto"/>
                <w:spacing w:val="-6"/>
                <w:sz w:val="24"/>
                <w:szCs w:val="24"/>
              </w:rPr>
              <w:t>）</w:t>
            </w:r>
          </w:p>
        </w:tc>
        <w:tc>
          <w:tcPr>
            <w:tcW w:w="366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default" w:ascii="宋体" w:hAnsi="宋体" w:cs="宋体"/>
                <w:color w:val="auto"/>
                <w:sz w:val="24"/>
                <w:szCs w:val="24"/>
                <w:lang w:val="en-US"/>
              </w:rPr>
              <w:t>13215.92</w:t>
            </w:r>
            <w:r>
              <w:rPr>
                <w:rFonts w:hint="eastAsia" w:ascii="宋体" w:hAnsi="宋体" w:cs="宋体"/>
                <w:color w:val="auto"/>
                <w:sz w:val="24"/>
                <w:szCs w:val="24"/>
                <w:lang w:val="en-US" w:eastAsia="zh-CN"/>
              </w:rPr>
              <w:t>（选址时用地面积为</w:t>
            </w:r>
            <w:r>
              <w:rPr>
                <w:rFonts w:hint="default" w:ascii="宋体" w:hAnsi="宋体" w:cs="宋体"/>
                <w:color w:val="auto"/>
                <w:sz w:val="24"/>
                <w:szCs w:val="24"/>
                <w:lang w:val="en-US" w:eastAsia="zh-CN"/>
              </w:rPr>
              <w:t>13332.99</w:t>
            </w:r>
            <w:r>
              <w:rPr>
                <w:rFonts w:hint="eastAsia" w:ascii="宋体" w:hAnsi="宋体" w:cs="宋体"/>
                <w:color w:val="auto"/>
                <w:spacing w:val="-6"/>
                <w:sz w:val="24"/>
                <w:szCs w:val="24"/>
              </w:rPr>
              <w:t>m</w:t>
            </w:r>
            <w:r>
              <w:rPr>
                <w:rFonts w:hint="eastAsia" w:ascii="宋体" w:hAnsi="宋体" w:cs="宋体"/>
                <w:color w:val="auto"/>
                <w:spacing w:val="-6"/>
                <w:sz w:val="24"/>
                <w:szCs w:val="24"/>
                <w:vertAlign w:val="superscript"/>
              </w:rPr>
              <w:t>2</w:t>
            </w:r>
            <w:r>
              <w:rPr>
                <w:rFonts w:hint="eastAsia" w:ascii="宋体" w:hAnsi="宋体" w:cs="宋体"/>
                <w:color w:val="auto"/>
                <w:spacing w:val="-6"/>
                <w:sz w:val="24"/>
                <w:szCs w:val="24"/>
                <w:vertAlign w:val="baseline"/>
                <w:lang w:eastAsia="zh-CN"/>
              </w:rPr>
              <w:t>，因东海路和兴铜路延长线道路平面线形调整，机动车停车位由</w:t>
            </w:r>
            <w:r>
              <w:rPr>
                <w:rFonts w:hint="default" w:ascii="宋体" w:hAnsi="宋体" w:cs="宋体"/>
                <w:color w:val="auto"/>
                <w:spacing w:val="-6"/>
                <w:sz w:val="24"/>
                <w:szCs w:val="24"/>
                <w:vertAlign w:val="baseline"/>
                <w:lang w:val="en-US" w:eastAsia="zh-CN"/>
              </w:rPr>
              <w:t>167</w:t>
            </w:r>
            <w:r>
              <w:rPr>
                <w:rFonts w:hint="eastAsia" w:ascii="宋体" w:hAnsi="宋体" w:cs="宋体"/>
                <w:color w:val="auto"/>
                <w:spacing w:val="-6"/>
                <w:sz w:val="24"/>
                <w:szCs w:val="24"/>
                <w:vertAlign w:val="baseline"/>
                <w:lang w:val="en-US" w:eastAsia="zh-CN"/>
              </w:rPr>
              <w:t>个减少为</w:t>
            </w:r>
            <w:r>
              <w:rPr>
                <w:rFonts w:hint="default" w:ascii="宋体" w:hAnsi="宋体" w:cs="宋体"/>
                <w:color w:val="auto"/>
                <w:spacing w:val="-6"/>
                <w:sz w:val="24"/>
                <w:szCs w:val="24"/>
                <w:vertAlign w:val="baseline"/>
                <w:lang w:val="en-US" w:eastAsia="zh-CN"/>
              </w:rPr>
              <w:t>154</w:t>
            </w:r>
            <w:r>
              <w:rPr>
                <w:rFonts w:hint="eastAsia" w:ascii="宋体" w:hAnsi="宋体" w:cs="宋体"/>
                <w:color w:val="auto"/>
                <w:spacing w:val="-6"/>
                <w:sz w:val="24"/>
                <w:szCs w:val="24"/>
                <w:vertAlign w:val="baseline"/>
                <w:lang w:val="en-US" w:eastAsia="zh-CN"/>
              </w:rPr>
              <w:t>个，面积减少</w:t>
            </w:r>
            <w:r>
              <w:rPr>
                <w:rFonts w:hint="default" w:ascii="宋体" w:hAnsi="宋体" w:cs="宋体"/>
                <w:color w:val="auto"/>
                <w:spacing w:val="-6"/>
                <w:sz w:val="24"/>
                <w:szCs w:val="24"/>
                <w:vertAlign w:val="baseline"/>
                <w:lang w:val="en-US" w:eastAsia="zh-CN"/>
              </w:rPr>
              <w:t>117.07</w:t>
            </w:r>
            <w:r>
              <w:rPr>
                <w:rFonts w:hint="eastAsia" w:ascii="宋体" w:hAnsi="宋体" w:cs="宋体"/>
                <w:color w:val="auto"/>
                <w:spacing w:val="-6"/>
                <w:sz w:val="24"/>
                <w:szCs w:val="24"/>
              </w:rPr>
              <w:t>m</w:t>
            </w:r>
            <w:r>
              <w:rPr>
                <w:rFonts w:hint="eastAsia" w:ascii="宋体" w:hAnsi="宋体" w:cs="宋体"/>
                <w:color w:val="auto"/>
                <w:spacing w:val="-6"/>
                <w:sz w:val="24"/>
                <w:szCs w:val="24"/>
                <w:vertAlign w:val="superscript"/>
              </w:rPr>
              <w:t>2</w:t>
            </w:r>
            <w:r>
              <w:rPr>
                <w:rFonts w:hint="eastAsia" w:ascii="宋体" w:hAnsi="宋体" w:cs="宋体"/>
                <w:color w:val="auto"/>
                <w:spacing w:val="-6"/>
                <w:sz w:val="24"/>
                <w:szCs w:val="24"/>
                <w:vertAlign w:val="baseli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584"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szCs w:val="24"/>
              </w:rPr>
            </w:pPr>
            <w:r>
              <w:rPr>
                <w:rFonts w:hint="eastAsia" w:ascii="宋体" w:hAnsi="宋体" w:cs="宋体"/>
                <w:color w:val="auto"/>
                <w:kern w:val="0"/>
                <w:sz w:val="24"/>
                <w:szCs w:val="24"/>
              </w:rPr>
              <w:t>专项评价设置情况</w:t>
            </w:r>
          </w:p>
        </w:tc>
        <w:tc>
          <w:tcPr>
            <w:tcW w:w="8161" w:type="dxa"/>
            <w:gridSpan w:val="3"/>
            <w:noWrap w:val="0"/>
            <w:vAlign w:val="center"/>
          </w:tcPr>
          <w:p>
            <w:pPr>
              <w:keepNext w:val="0"/>
              <w:keepLines w:val="0"/>
              <w:suppressLineNumbers w:val="0"/>
              <w:adjustRightInd w:val="0"/>
              <w:snapToGrid w:val="0"/>
              <w:spacing w:before="0" w:beforeAutospacing="0" w:after="0" w:afterAutospacing="0"/>
              <w:ind w:left="0" w:right="0"/>
              <w:rPr>
                <w:rFonts w:hint="eastAsia" w:ascii="Calibri" w:hAnsi="Calibri" w:cs="Times New Roman"/>
                <w:color w:val="auto"/>
              </w:rPr>
            </w:pPr>
          </w:p>
          <w:p>
            <w:pPr>
              <w:pStyle w:val="9"/>
              <w:keepNext w:val="0"/>
              <w:keepLines w:val="0"/>
              <w:widowControl w:val="0"/>
              <w:suppressLineNumbers w:val="0"/>
              <w:adjustRightInd w:val="0"/>
              <w:spacing w:before="0" w:beforeAutospacing="0" w:after="0" w:afterAutospacing="0" w:line="240" w:lineRule="auto"/>
              <w:ind w:left="0" w:right="0"/>
              <w:jc w:val="center"/>
              <w:rPr>
                <w:rFonts w:hint="eastAsia" w:ascii="Calibri" w:hAnsi="Calibri" w:cs="Times New Roman"/>
                <w:color w:val="auto"/>
                <w:kern w:val="0"/>
                <w:sz w:val="18"/>
                <w:szCs w:val="20"/>
              </w:rPr>
            </w:pPr>
            <w:r>
              <w:rPr>
                <w:rFonts w:hint="default" w:ascii="Times New Roman" w:hAnsi="Times New Roman" w:cs="Times New Roman"/>
                <w:b/>
                <w:bCs/>
                <w:color w:val="auto"/>
                <w:kern w:val="0"/>
                <w:sz w:val="24"/>
              </w:rPr>
              <w:t>表1-1</w:t>
            </w:r>
            <w:r>
              <w:rPr>
                <w:rFonts w:hint="eastAsia" w:ascii="Times New Roman" w:hAnsi="Times New Roman" w:cs="Times New Roman"/>
                <w:b/>
                <w:bCs/>
                <w:color w:val="auto"/>
                <w:kern w:val="0"/>
                <w:sz w:val="24"/>
              </w:rPr>
              <w:t xml:space="preserve">  </w:t>
            </w:r>
            <w:r>
              <w:rPr>
                <w:rFonts w:hint="default" w:ascii="Times New Roman" w:hAnsi="Times New Roman" w:cs="Times New Roman"/>
                <w:b/>
                <w:bCs/>
                <w:color w:val="auto"/>
                <w:kern w:val="0"/>
                <w:sz w:val="24"/>
              </w:rPr>
              <w:t>专项评价设置原则表</w:t>
            </w:r>
          </w:p>
          <w:tbl>
            <w:tblPr>
              <w:tblStyle w:val="26"/>
              <w:tblpPr w:leftFromText="180" w:rightFromText="180" w:vertAnchor="text" w:horzAnchor="page" w:tblpX="143" w:tblpY="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2"/>
              <w:gridCol w:w="3237"/>
              <w:gridCol w:w="3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562" w:type="dxa"/>
                  <w:noWrap w:val="0"/>
                  <w:vAlign w:val="center"/>
                </w:tcPr>
                <w:p>
                  <w:pPr>
                    <w:pStyle w:val="9"/>
                    <w:keepNext w:val="0"/>
                    <w:keepLines w:val="0"/>
                    <w:widowControl w:val="0"/>
                    <w:suppressLineNumbers w:val="0"/>
                    <w:snapToGrid/>
                    <w:spacing w:before="0" w:beforeAutospacing="0" w:after="0" w:afterAutospacing="0" w:line="240" w:lineRule="auto"/>
                    <w:ind w:left="0" w:right="0"/>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专项评价原则</w:t>
                  </w:r>
                </w:p>
              </w:tc>
              <w:tc>
                <w:tcPr>
                  <w:tcW w:w="3237" w:type="dxa"/>
                  <w:noWrap w:val="0"/>
                  <w:vAlign w:val="center"/>
                </w:tcPr>
                <w:p>
                  <w:pPr>
                    <w:pStyle w:val="9"/>
                    <w:keepNext w:val="0"/>
                    <w:keepLines w:val="0"/>
                    <w:widowControl w:val="0"/>
                    <w:suppressLineNumbers w:val="0"/>
                    <w:snapToGrid/>
                    <w:spacing w:before="0" w:beforeAutospacing="0" w:after="0" w:afterAutospacing="0" w:line="240" w:lineRule="auto"/>
                    <w:ind w:left="0" w:right="0"/>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设置原则</w:t>
                  </w:r>
                </w:p>
              </w:tc>
              <w:tc>
                <w:tcPr>
                  <w:tcW w:w="3019" w:type="dxa"/>
                  <w:noWrap w:val="0"/>
                  <w:vAlign w:val="center"/>
                </w:tcPr>
                <w:p>
                  <w:pPr>
                    <w:pStyle w:val="9"/>
                    <w:keepNext w:val="0"/>
                    <w:keepLines w:val="0"/>
                    <w:widowControl w:val="0"/>
                    <w:suppressLineNumbers w:val="0"/>
                    <w:snapToGrid/>
                    <w:spacing w:before="0" w:beforeAutospacing="0" w:after="0" w:afterAutospacing="0" w:line="240" w:lineRule="auto"/>
                    <w:ind w:left="0" w:right="0"/>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本项目情况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2" w:type="dxa"/>
                  <w:noWrap w:val="0"/>
                  <w:vAlign w:val="center"/>
                </w:tcPr>
                <w:p>
                  <w:pPr>
                    <w:pStyle w:val="9"/>
                    <w:keepNext w:val="0"/>
                    <w:keepLines w:val="0"/>
                    <w:widowControl w:val="0"/>
                    <w:suppressLineNumbers w:val="0"/>
                    <w:snapToGrid/>
                    <w:spacing w:before="0" w:beforeAutospacing="0" w:after="0" w:afterAutospacing="0" w:line="240" w:lineRule="auto"/>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大气</w:t>
                  </w:r>
                </w:p>
              </w:tc>
              <w:tc>
                <w:tcPr>
                  <w:tcW w:w="3237" w:type="dxa"/>
                  <w:noWrap w:val="0"/>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cs="Times New Roman"/>
                      <w:color w:val="auto"/>
                    </w:rPr>
                  </w:pPr>
                  <w:r>
                    <w:rPr>
                      <w:rFonts w:hint="default" w:ascii="Times New Roman" w:hAnsi="Times New Roman" w:cs="Times New Roman"/>
                      <w:color w:val="auto"/>
                      <w:kern w:val="21"/>
                    </w:rPr>
                    <w:t>排放废气含有毒有害污染物</w:t>
                  </w:r>
                  <w:r>
                    <w:rPr>
                      <w:rFonts w:hint="default" w:ascii="Times New Roman" w:hAnsi="Times New Roman" w:cs="Times New Roman"/>
                      <w:color w:val="auto"/>
                      <w:kern w:val="21"/>
                      <w:vertAlign w:val="superscript"/>
                    </w:rPr>
                    <w:t>1</w:t>
                  </w:r>
                  <w:r>
                    <w:rPr>
                      <w:rFonts w:hint="default" w:ascii="Times New Roman" w:hAnsi="Times New Roman" w:cs="Times New Roman"/>
                      <w:color w:val="auto"/>
                      <w:kern w:val="21"/>
                    </w:rPr>
                    <w:t>、二噁英、苯并[a]芘、氰化物、氯气且厂界外500米范围内有环境空气保护目标</w:t>
                  </w:r>
                  <w:r>
                    <w:rPr>
                      <w:rFonts w:hint="default" w:ascii="Times New Roman" w:hAnsi="Times New Roman" w:cs="Times New Roman"/>
                      <w:color w:val="auto"/>
                      <w:kern w:val="21"/>
                      <w:vertAlign w:val="superscript"/>
                    </w:rPr>
                    <w:t>2</w:t>
                  </w:r>
                  <w:r>
                    <w:rPr>
                      <w:rFonts w:hint="default" w:ascii="Times New Roman" w:hAnsi="Times New Roman" w:cs="Times New Roman"/>
                      <w:color w:val="auto"/>
                      <w:kern w:val="21"/>
                    </w:rPr>
                    <w:t>的建设项目</w:t>
                  </w:r>
                  <w:r>
                    <w:rPr>
                      <w:rFonts w:hint="eastAsia" w:ascii="Times New Roman" w:hAnsi="Times New Roman" w:cs="Times New Roman"/>
                      <w:color w:val="auto"/>
                      <w:kern w:val="21"/>
                    </w:rPr>
                    <w:t>。</w:t>
                  </w:r>
                </w:p>
              </w:tc>
              <w:tc>
                <w:tcPr>
                  <w:tcW w:w="3019" w:type="dxa"/>
                  <w:noWrap w:val="0"/>
                  <w:vAlign w:val="center"/>
                </w:tcPr>
                <w:p>
                  <w:pPr>
                    <w:pStyle w:val="9"/>
                    <w:keepNext w:val="0"/>
                    <w:keepLines w:val="0"/>
                    <w:widowControl w:val="0"/>
                    <w:suppressLineNumbers w:val="0"/>
                    <w:snapToGrid/>
                    <w:spacing w:before="0" w:beforeAutospacing="0" w:after="0" w:afterAutospacing="0" w:line="240" w:lineRule="auto"/>
                    <w:ind w:left="0" w:right="0"/>
                    <w:jc w:val="left"/>
                    <w:rPr>
                      <w:rFonts w:hint="eastAsia" w:ascii="Times New Roman" w:hAnsi="Times New Roman" w:cs="Times New Roman"/>
                      <w:color w:val="auto"/>
                      <w:kern w:val="0"/>
                      <w:szCs w:val="21"/>
                    </w:rPr>
                  </w:pPr>
                  <w:r>
                    <w:rPr>
                      <w:rFonts w:hint="default" w:ascii="Times New Roman" w:hAnsi="Times New Roman" w:cs="Times New Roman"/>
                      <w:color w:val="auto"/>
                      <w:kern w:val="0"/>
                      <w:szCs w:val="21"/>
                    </w:rPr>
                    <w:t>本项目不涉及</w:t>
                  </w:r>
                  <w:r>
                    <w:rPr>
                      <w:rFonts w:hint="default" w:ascii="Times New Roman" w:hAnsi="Times New Roman" w:cs="Times New Roman"/>
                      <w:color w:val="auto"/>
                      <w:kern w:val="21"/>
                      <w:szCs w:val="21"/>
                    </w:rPr>
                    <w:t>有毒有害污染物</w:t>
                  </w:r>
                  <w:r>
                    <w:rPr>
                      <w:rFonts w:hint="default" w:ascii="Times New Roman" w:hAnsi="Times New Roman" w:cs="Times New Roman"/>
                      <w:color w:val="auto"/>
                      <w:kern w:val="0"/>
                      <w:szCs w:val="21"/>
                    </w:rPr>
                    <w:t>，因此无需开展大气专项评价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2" w:type="dxa"/>
                  <w:noWrap w:val="0"/>
                  <w:vAlign w:val="center"/>
                </w:tcPr>
                <w:p>
                  <w:pPr>
                    <w:pStyle w:val="9"/>
                    <w:keepNext w:val="0"/>
                    <w:keepLines w:val="0"/>
                    <w:widowControl w:val="0"/>
                    <w:suppressLineNumbers w:val="0"/>
                    <w:snapToGrid/>
                    <w:spacing w:before="0" w:beforeAutospacing="0" w:after="0" w:afterAutospacing="0" w:line="240" w:lineRule="auto"/>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地表水</w:t>
                  </w:r>
                </w:p>
              </w:tc>
              <w:tc>
                <w:tcPr>
                  <w:tcW w:w="3237" w:type="dxa"/>
                  <w:noWrap w:val="0"/>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cs="Times New Roman"/>
                      <w:color w:val="auto"/>
                    </w:rPr>
                  </w:pPr>
                  <w:r>
                    <w:rPr>
                      <w:rFonts w:hint="default" w:ascii="Times New Roman" w:hAnsi="Times New Roman" w:cs="Times New Roman"/>
                      <w:color w:val="auto"/>
                      <w:kern w:val="21"/>
                    </w:rPr>
                    <w:t>新增工业废水直排建设项目（槽罐车外送污水处理厂的除外）；新增废水直排的污水集中处理厂</w:t>
                  </w:r>
                  <w:r>
                    <w:rPr>
                      <w:rFonts w:hint="eastAsia" w:ascii="Times New Roman" w:hAnsi="Times New Roman" w:cs="Times New Roman"/>
                      <w:color w:val="auto"/>
                      <w:kern w:val="21"/>
                    </w:rPr>
                    <w:t>。</w:t>
                  </w:r>
                </w:p>
              </w:tc>
              <w:tc>
                <w:tcPr>
                  <w:tcW w:w="3019" w:type="dxa"/>
                  <w:noWrap w:val="0"/>
                  <w:vAlign w:val="center"/>
                </w:tcPr>
                <w:p>
                  <w:pPr>
                    <w:pStyle w:val="9"/>
                    <w:keepNext w:val="0"/>
                    <w:keepLines w:val="0"/>
                    <w:widowControl w:val="0"/>
                    <w:suppressLineNumbers w:val="0"/>
                    <w:snapToGrid/>
                    <w:spacing w:before="0" w:beforeAutospacing="0" w:after="0" w:afterAutospacing="0" w:line="240" w:lineRule="auto"/>
                    <w:ind w:left="0" w:right="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本项目废水</w:t>
                  </w:r>
                  <w:r>
                    <w:rPr>
                      <w:rFonts w:hint="eastAsia" w:ascii="Times New Roman" w:hAnsi="Times New Roman" w:cs="Times New Roman"/>
                      <w:color w:val="auto"/>
                      <w:kern w:val="0"/>
                      <w:szCs w:val="21"/>
                    </w:rPr>
                    <w:t>进入市政污水管网，不直接排放</w:t>
                  </w:r>
                  <w:r>
                    <w:rPr>
                      <w:rFonts w:hint="default" w:ascii="Times New Roman" w:hAnsi="Times New Roman" w:cs="Times New Roman"/>
                      <w:color w:val="auto"/>
                      <w:kern w:val="0"/>
                      <w:szCs w:val="21"/>
                    </w:rPr>
                    <w:t>，因此无需开展地表水专项评价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2" w:type="dxa"/>
                  <w:noWrap w:val="0"/>
                  <w:vAlign w:val="center"/>
                </w:tcPr>
                <w:p>
                  <w:pPr>
                    <w:pStyle w:val="9"/>
                    <w:keepNext w:val="0"/>
                    <w:keepLines w:val="0"/>
                    <w:widowControl w:val="0"/>
                    <w:suppressLineNumbers w:val="0"/>
                    <w:snapToGrid/>
                    <w:spacing w:before="0" w:beforeAutospacing="0" w:after="0" w:afterAutospacing="0" w:line="240" w:lineRule="auto"/>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环境风险</w:t>
                  </w:r>
                </w:p>
              </w:tc>
              <w:tc>
                <w:tcPr>
                  <w:tcW w:w="3237" w:type="dxa"/>
                  <w:noWrap w:val="0"/>
                  <w:vAlign w:val="center"/>
                </w:tcPr>
                <w:p>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kern w:val="21"/>
                    </w:rPr>
                    <w:t>有毒有害和易燃易爆危险物质存储量超过临界量</w:t>
                  </w:r>
                  <w:r>
                    <w:rPr>
                      <w:rFonts w:hint="default" w:ascii="Times New Roman" w:hAnsi="Times New Roman" w:cs="Times New Roman"/>
                      <w:color w:val="auto"/>
                      <w:kern w:val="21"/>
                      <w:vertAlign w:val="superscript"/>
                    </w:rPr>
                    <w:t>3</w:t>
                  </w:r>
                  <w:r>
                    <w:rPr>
                      <w:rFonts w:hint="default" w:ascii="Times New Roman" w:hAnsi="Times New Roman" w:cs="Times New Roman"/>
                      <w:color w:val="auto"/>
                      <w:kern w:val="21"/>
                    </w:rPr>
                    <w:t>的建设项目</w:t>
                  </w:r>
                </w:p>
              </w:tc>
              <w:tc>
                <w:tcPr>
                  <w:tcW w:w="3019" w:type="dxa"/>
                  <w:noWrap w:val="0"/>
                  <w:vAlign w:val="center"/>
                </w:tcPr>
                <w:p>
                  <w:pPr>
                    <w:pStyle w:val="9"/>
                    <w:keepNext w:val="0"/>
                    <w:keepLines w:val="0"/>
                    <w:widowControl w:val="0"/>
                    <w:suppressLineNumbers w:val="0"/>
                    <w:snapToGrid/>
                    <w:spacing w:before="0" w:beforeAutospacing="0" w:after="0" w:afterAutospacing="0" w:line="240" w:lineRule="auto"/>
                    <w:ind w:left="0" w:right="0"/>
                    <w:jc w:val="left"/>
                    <w:rPr>
                      <w:rFonts w:hint="default" w:ascii="Times New Roman" w:hAnsi="Times New Roman" w:cs="Times New Roman"/>
                      <w:color w:val="auto"/>
                      <w:kern w:val="0"/>
                      <w:szCs w:val="21"/>
                    </w:rPr>
                  </w:pPr>
                  <w:r>
                    <w:rPr>
                      <w:rFonts w:hint="default" w:ascii="Times New Roman" w:hAnsi="Times New Roman" w:cs="Times New Roman"/>
                      <w:color w:val="auto"/>
                      <w:spacing w:val="19"/>
                      <w:kern w:val="0"/>
                      <w:szCs w:val="21"/>
                    </w:rPr>
                    <w:t>本项目</w:t>
                  </w:r>
                  <w:r>
                    <w:rPr>
                      <w:rFonts w:hint="eastAsia" w:ascii="Times New Roman" w:hAnsi="Times New Roman" w:cs="Times New Roman"/>
                      <w:color w:val="auto"/>
                      <w:spacing w:val="19"/>
                      <w:kern w:val="0"/>
                      <w:szCs w:val="21"/>
                    </w:rPr>
                    <w:t>涉及的</w:t>
                  </w:r>
                  <w:r>
                    <w:rPr>
                      <w:rFonts w:hint="default" w:ascii="Times New Roman" w:hAnsi="Times New Roman" w:cs="Times New Roman"/>
                      <w:color w:val="auto"/>
                      <w:spacing w:val="19"/>
                      <w:kern w:val="0"/>
                      <w:szCs w:val="21"/>
                    </w:rPr>
                    <w:t>有毒有害和易燃易爆危险物质存储</w:t>
                  </w:r>
                  <w:r>
                    <w:rPr>
                      <w:rFonts w:hint="default" w:ascii="Times New Roman" w:hAnsi="Times New Roman" w:cs="Times New Roman"/>
                      <w:color w:val="auto"/>
                      <w:spacing w:val="-5"/>
                      <w:kern w:val="0"/>
                      <w:szCs w:val="21"/>
                    </w:rPr>
                    <w:t>量未超过临界量，因此</w:t>
                  </w:r>
                  <w:r>
                    <w:rPr>
                      <w:rFonts w:hint="default" w:ascii="Times New Roman" w:hAnsi="Times New Roman" w:cs="Times New Roman"/>
                      <w:color w:val="auto"/>
                      <w:spacing w:val="19"/>
                      <w:kern w:val="0"/>
                      <w:szCs w:val="21"/>
                    </w:rPr>
                    <w:t>无需开展环境风险专</w:t>
                  </w:r>
                  <w:r>
                    <w:rPr>
                      <w:rFonts w:hint="default" w:ascii="Times New Roman" w:hAnsi="Times New Roman" w:cs="Times New Roman"/>
                      <w:color w:val="auto"/>
                      <w:kern w:val="0"/>
                      <w:szCs w:val="21"/>
                    </w:rPr>
                    <w:t>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2" w:type="dxa"/>
                  <w:noWrap w:val="0"/>
                  <w:vAlign w:val="center"/>
                </w:tcPr>
                <w:p>
                  <w:pPr>
                    <w:pStyle w:val="9"/>
                    <w:keepNext w:val="0"/>
                    <w:keepLines w:val="0"/>
                    <w:widowControl w:val="0"/>
                    <w:suppressLineNumbers w:val="0"/>
                    <w:snapToGrid/>
                    <w:spacing w:before="0" w:beforeAutospacing="0" w:after="0" w:afterAutospacing="0" w:line="240" w:lineRule="auto"/>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生态</w:t>
                  </w:r>
                </w:p>
              </w:tc>
              <w:tc>
                <w:tcPr>
                  <w:tcW w:w="3237" w:type="dxa"/>
                  <w:noWrap w:val="0"/>
                  <w:vAlign w:val="center"/>
                </w:tcPr>
                <w:p>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kern w:val="21"/>
                    </w:rPr>
                    <w:t>取水口下游500米范围内有重要水生生物的自然产卵场、索饵场、越冬场和洄游通道的新增河道取水的污染类建设项目</w:t>
                  </w:r>
                </w:p>
              </w:tc>
              <w:tc>
                <w:tcPr>
                  <w:tcW w:w="3019" w:type="dxa"/>
                  <w:noWrap w:val="0"/>
                  <w:vAlign w:val="center"/>
                </w:tcPr>
                <w:p>
                  <w:pPr>
                    <w:pStyle w:val="9"/>
                    <w:keepNext w:val="0"/>
                    <w:keepLines w:val="0"/>
                    <w:widowControl w:val="0"/>
                    <w:suppressLineNumbers w:val="0"/>
                    <w:snapToGrid/>
                    <w:spacing w:before="0" w:beforeAutospacing="0" w:after="0" w:afterAutospacing="0" w:line="240" w:lineRule="auto"/>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本项目不涉及河道取水，因此无需开展生态专项评价</w:t>
                  </w:r>
                </w:p>
              </w:tc>
            </w:tr>
          </w:tbl>
          <w:p>
            <w:pPr>
              <w:pStyle w:val="82"/>
              <w:keepNext w:val="0"/>
              <w:keepLines w:val="0"/>
              <w:suppressLineNumbers w:val="0"/>
              <w:spacing w:before="0" w:beforeAutospacing="0" w:after="0" w:afterAutospacing="0"/>
              <w:ind w:left="0" w:right="0"/>
              <w:rPr>
                <w:rFonts w:hint="default" w:ascii="Times New Roman" w:hAnsi="Times New Roman" w:cs="Times New Roman"/>
                <w:color w:val="auto"/>
                <w:kern w:val="21"/>
                <w:sz w:val="21"/>
                <w:szCs w:val="21"/>
              </w:rPr>
            </w:pPr>
            <w:r>
              <w:rPr>
                <w:rFonts w:hint="default" w:ascii="Times New Roman" w:hAnsi="Times New Roman" w:cs="Times New Roman"/>
                <w:color w:val="auto"/>
                <w:kern w:val="21"/>
                <w:sz w:val="21"/>
                <w:szCs w:val="21"/>
              </w:rPr>
              <w:t>注：</w:t>
            </w:r>
            <w:r>
              <w:rPr>
                <w:rFonts w:ascii="Times New Roman" w:hAnsi="Times New Roman" w:cs="Times New Roman"/>
                <w:color w:val="auto"/>
                <w:kern w:val="21"/>
                <w:sz w:val="21"/>
                <w:szCs w:val="21"/>
              </w:rPr>
              <w:t>1.</w:t>
            </w:r>
            <w:r>
              <w:rPr>
                <w:rFonts w:hint="default" w:ascii="Times New Roman" w:hAnsi="Times New Roman" w:cs="Times New Roman"/>
                <w:color w:val="auto"/>
                <w:kern w:val="21"/>
                <w:sz w:val="21"/>
                <w:szCs w:val="21"/>
              </w:rPr>
              <w:t>废气中有毒有害污染物指纳入《有毒有害大气污染物名录》的污染物（不包括无排放标准的污染物）。</w:t>
            </w:r>
          </w:p>
          <w:p>
            <w:pPr>
              <w:pStyle w:val="82"/>
              <w:keepNext w:val="0"/>
              <w:keepLines w:val="0"/>
              <w:suppressLineNumbers w:val="0"/>
              <w:tabs>
                <w:tab w:val="left" w:pos="272"/>
              </w:tabs>
              <w:spacing w:before="0" w:beforeAutospacing="0" w:after="0" w:afterAutospacing="0"/>
              <w:ind w:left="0" w:right="0" w:firstLine="420" w:firstLineChars="200"/>
              <w:jc w:val="left"/>
              <w:rPr>
                <w:rFonts w:hint="default" w:ascii="Times New Roman" w:hAnsi="Times New Roman" w:cs="Times New Roman"/>
                <w:color w:val="auto"/>
                <w:kern w:val="21"/>
                <w:sz w:val="21"/>
                <w:szCs w:val="21"/>
              </w:rPr>
            </w:pPr>
            <w:r>
              <w:rPr>
                <w:rFonts w:ascii="Times New Roman" w:hAnsi="Times New Roman" w:cs="Times New Roman"/>
                <w:color w:val="auto"/>
                <w:kern w:val="21"/>
                <w:sz w:val="21"/>
                <w:szCs w:val="21"/>
              </w:rPr>
              <w:t>2.</w:t>
            </w:r>
            <w:r>
              <w:rPr>
                <w:rFonts w:hint="default" w:ascii="Times New Roman" w:hAnsi="Times New Roman" w:cs="Times New Roman"/>
                <w:color w:val="auto"/>
                <w:kern w:val="21"/>
                <w:sz w:val="21"/>
                <w:szCs w:val="21"/>
              </w:rPr>
              <w:t>环境空气保护目标指自然保护区、风景名胜区、居住区、文化区和农村地区中人群较集中的区域。</w:t>
            </w:r>
          </w:p>
          <w:p>
            <w:pPr>
              <w:pStyle w:val="82"/>
              <w:keepNext w:val="0"/>
              <w:keepLines w:val="0"/>
              <w:suppressLineNumbers w:val="0"/>
              <w:tabs>
                <w:tab w:val="left" w:pos="272"/>
              </w:tabs>
              <w:spacing w:before="0" w:beforeAutospacing="0" w:after="0" w:afterAutospacing="0"/>
              <w:ind w:left="0" w:right="0" w:firstLine="420" w:firstLineChars="200"/>
              <w:rPr>
                <w:rFonts w:hint="default" w:ascii="Times New Roman" w:hAnsi="Times New Roman" w:cs="Times New Roman"/>
                <w:color w:val="auto"/>
                <w:kern w:val="21"/>
                <w:sz w:val="21"/>
                <w:szCs w:val="21"/>
              </w:rPr>
            </w:pPr>
            <w:r>
              <w:rPr>
                <w:rFonts w:ascii="Times New Roman" w:hAnsi="Times New Roman" w:cs="Times New Roman"/>
                <w:color w:val="auto"/>
                <w:kern w:val="21"/>
                <w:sz w:val="21"/>
                <w:szCs w:val="21"/>
              </w:rPr>
              <w:t>3.</w:t>
            </w:r>
            <w:r>
              <w:rPr>
                <w:rFonts w:hint="default" w:ascii="Times New Roman" w:hAnsi="Times New Roman" w:cs="Times New Roman"/>
                <w:color w:val="auto"/>
                <w:kern w:val="21"/>
                <w:sz w:val="21"/>
                <w:szCs w:val="21"/>
              </w:rPr>
              <w:t>临界量及其计算方法可参考《建设项目环境风险评价技术导则》（HJ</w:t>
            </w:r>
            <w:r>
              <w:rPr>
                <w:rFonts w:ascii="Times New Roman" w:hAnsi="Times New Roman" w:cs="Times New Roman"/>
                <w:color w:val="auto"/>
                <w:kern w:val="21"/>
                <w:sz w:val="21"/>
                <w:szCs w:val="21"/>
              </w:rPr>
              <w:t xml:space="preserve"> </w:t>
            </w:r>
            <w:r>
              <w:rPr>
                <w:rFonts w:hint="default" w:ascii="Times New Roman" w:hAnsi="Times New Roman" w:cs="Times New Roman"/>
                <w:color w:val="auto"/>
                <w:kern w:val="21"/>
                <w:sz w:val="21"/>
                <w:szCs w:val="21"/>
              </w:rPr>
              <w:t>169）附录B、附录C。</w:t>
            </w:r>
          </w:p>
          <w:p>
            <w:pPr>
              <w:pStyle w:val="13"/>
              <w:keepNext w:val="0"/>
              <w:keepLines w:val="0"/>
              <w:suppressLineNumbers w:val="0"/>
              <w:spacing w:before="0" w:beforeAutospacing="0" w:after="0" w:afterAutospacing="0"/>
              <w:ind w:left="0" w:right="0" w:firstLine="480" w:firstLineChars="200"/>
              <w:rPr>
                <w:rFonts w:cs="Times New Roman"/>
                <w:color w:val="auto"/>
                <w:sz w:val="28"/>
              </w:rPr>
            </w:pPr>
            <w:r>
              <w:rPr>
                <w:rFonts w:hint="default" w:ascii="Times New Roman" w:hAnsi="Times New Roman" w:cs="Times New Roman"/>
                <w:color w:val="auto"/>
                <w:kern w:val="0"/>
                <w:sz w:val="24"/>
                <w:szCs w:val="20"/>
              </w:rPr>
              <w:t>综上所述，本项目无需设置专项评价。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4"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b/>
                <w:bCs/>
                <w:color w:val="auto"/>
                <w:kern w:val="0"/>
                <w:sz w:val="24"/>
                <w:szCs w:val="24"/>
                <w:highlight w:val="yellow"/>
              </w:rPr>
            </w:pPr>
            <w:r>
              <w:rPr>
                <w:rFonts w:hint="eastAsia" w:ascii="宋体" w:hAnsi="宋体" w:cs="宋体"/>
                <w:b/>
                <w:bCs/>
                <w:color w:val="auto"/>
                <w:sz w:val="24"/>
                <w:szCs w:val="24"/>
              </w:rPr>
              <w:t>规划情况</w:t>
            </w:r>
          </w:p>
        </w:tc>
        <w:tc>
          <w:tcPr>
            <w:tcW w:w="8161" w:type="dxa"/>
            <w:gridSpan w:val="3"/>
            <w:noWrap w:val="0"/>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Calibri" w:hAnsi="Calibri" w:cs="Times New Roman"/>
                <w:color w:val="auto"/>
                <w:kern w:val="0"/>
                <w:sz w:val="24"/>
              </w:rPr>
            </w:pPr>
            <w:r>
              <w:rPr>
                <w:rFonts w:hint="eastAsia" w:cs="Times New Roman"/>
                <w:color w:val="auto"/>
                <w:kern w:val="2"/>
                <w:sz w:val="24"/>
                <w:szCs w:val="21"/>
                <w:lang w:val="en-US" w:eastAsia="zh-CN" w:bidi="ar-SA"/>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584"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kern w:val="0"/>
                <w:sz w:val="24"/>
                <w:szCs w:val="24"/>
              </w:rPr>
            </w:pPr>
            <w:r>
              <w:rPr>
                <w:rFonts w:hint="eastAsia" w:ascii="宋体" w:hAnsi="宋体" w:cs="宋体"/>
                <w:b/>
                <w:bCs/>
                <w:color w:val="auto"/>
                <w:sz w:val="24"/>
                <w:szCs w:val="24"/>
              </w:rPr>
              <w:t>规划环境影响评价情况</w:t>
            </w:r>
          </w:p>
        </w:tc>
        <w:tc>
          <w:tcPr>
            <w:tcW w:w="8161" w:type="dxa"/>
            <w:gridSpan w:val="3"/>
            <w:noWrap w:val="0"/>
            <w:vAlign w:val="center"/>
          </w:tcPr>
          <w:p>
            <w:pPr>
              <w:pStyle w:val="9"/>
              <w:keepNext w:val="0"/>
              <w:keepLines w:val="0"/>
              <w:suppressLineNumbers w:val="0"/>
              <w:adjustRightInd w:val="0"/>
              <w:spacing w:beforeAutospacing="0" w:afterAutospacing="0" w:line="360" w:lineRule="auto"/>
              <w:ind w:left="0" w:right="0"/>
              <w:jc w:val="center"/>
              <w:rPr>
                <w:rFonts w:hint="eastAsia" w:ascii="Calibri" w:hAnsi="Calibri" w:cs="Times New Roman"/>
                <w:color w:val="auto"/>
                <w:kern w:val="0"/>
                <w:sz w:val="24"/>
              </w:rPr>
            </w:pPr>
            <w:r>
              <w:rPr>
                <w:rFonts w:hint="eastAsia" w:ascii="Calibri" w:hAnsi="Calibri" w:cs="Times New Roman"/>
                <w:color w:val="auto"/>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584"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sz w:val="24"/>
                <w:szCs w:val="24"/>
              </w:rPr>
            </w:pPr>
            <w:r>
              <w:rPr>
                <w:rFonts w:hint="eastAsia" w:ascii="宋体" w:hAnsi="宋体" w:cs="宋体"/>
                <w:b/>
                <w:bCs/>
                <w:color w:val="auto"/>
                <w:sz w:val="24"/>
                <w:szCs w:val="24"/>
              </w:rPr>
              <w:t>规划及规划环境影响评价符合性分析</w:t>
            </w:r>
          </w:p>
        </w:tc>
        <w:tc>
          <w:tcPr>
            <w:tcW w:w="8161" w:type="dxa"/>
            <w:gridSpan w:val="3"/>
            <w:noWrap w:val="0"/>
            <w:vAlign w:val="center"/>
          </w:tcPr>
          <w:p>
            <w:pPr>
              <w:keepNext w:val="0"/>
              <w:keepLines w:val="0"/>
              <w:suppressLineNumbers w:val="0"/>
              <w:adjustRightInd w:val="0"/>
              <w:snapToGrid w:val="0"/>
              <w:spacing w:before="0" w:beforeAutospacing="0" w:after="0" w:afterAutospacing="0" w:line="360" w:lineRule="auto"/>
              <w:ind w:left="0" w:right="0"/>
              <w:jc w:val="both"/>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val="en-US" w:eastAsia="zh-CN"/>
              </w:rPr>
              <w:t>1、</w:t>
            </w:r>
            <w:r>
              <w:rPr>
                <w:rFonts w:hint="default" w:ascii="Times New Roman" w:hAnsi="Times New Roman" w:eastAsia="宋体" w:cs="Times New Roman"/>
                <w:b/>
                <w:bCs/>
                <w:color w:val="auto"/>
                <w:sz w:val="24"/>
                <w:szCs w:val="24"/>
                <w:lang w:eastAsia="zh-CN"/>
              </w:rPr>
              <w:t>项目</w:t>
            </w:r>
            <w:r>
              <w:rPr>
                <w:rFonts w:hint="default" w:ascii="Times New Roman" w:hAnsi="Times New Roman" w:eastAsia="宋体" w:cs="Times New Roman"/>
                <w:b/>
                <w:bCs/>
                <w:color w:val="auto"/>
                <w:sz w:val="24"/>
                <w:szCs w:val="24"/>
              </w:rPr>
              <w:t>与《云南省</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十四五</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医疗卫生服务体系规划》的符合性</w:t>
            </w:r>
            <w:r>
              <w:rPr>
                <w:rFonts w:hint="default" w:ascii="Times New Roman" w:hAnsi="Times New Roman" w:eastAsia="宋体" w:cs="Times New Roman"/>
                <w:b/>
                <w:bCs/>
                <w:color w:val="auto"/>
                <w:sz w:val="24"/>
                <w:szCs w:val="24"/>
                <w:lang w:eastAsia="zh-CN"/>
              </w:rPr>
              <w:t>见下表。</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eastAsia="zh-CN"/>
              </w:rPr>
              <w:t>表</w:t>
            </w:r>
            <w:r>
              <w:rPr>
                <w:rFonts w:hint="default" w:ascii="Times New Roman" w:hAnsi="Times New Roman" w:eastAsia="宋体" w:cs="Times New Roman"/>
                <w:b/>
                <w:bCs/>
                <w:color w:val="auto"/>
                <w:sz w:val="24"/>
                <w:szCs w:val="24"/>
                <w:lang w:val="en-US" w:eastAsia="zh-CN"/>
              </w:rPr>
              <w:t xml:space="preserve">1-2 </w:t>
            </w:r>
            <w:r>
              <w:rPr>
                <w:rFonts w:hint="default" w:ascii="Times New Roman" w:hAnsi="Times New Roman" w:eastAsia="宋体" w:cs="Times New Roman"/>
                <w:b/>
                <w:bCs/>
                <w:color w:val="auto"/>
                <w:sz w:val="24"/>
                <w:szCs w:val="24"/>
                <w:lang w:eastAsia="zh-CN"/>
              </w:rPr>
              <w:t>项目</w:t>
            </w:r>
            <w:r>
              <w:rPr>
                <w:rFonts w:hint="default" w:ascii="Times New Roman" w:hAnsi="Times New Roman" w:eastAsia="宋体" w:cs="Times New Roman"/>
                <w:b/>
                <w:bCs/>
                <w:color w:val="auto"/>
                <w:sz w:val="24"/>
                <w:szCs w:val="24"/>
              </w:rPr>
              <w:t>与《云南省</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十四五</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医疗卫生服务体系规划》的符合性</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1"/>
              <w:gridCol w:w="2950"/>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1" w:type="dxa"/>
                  <w:noWrap w:val="0"/>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规划情况</w:t>
                  </w:r>
                </w:p>
              </w:tc>
              <w:tc>
                <w:tcPr>
                  <w:tcW w:w="2950" w:type="dxa"/>
                  <w:noWrap w:val="0"/>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本项目情况</w:t>
                  </w:r>
                </w:p>
              </w:tc>
              <w:tc>
                <w:tcPr>
                  <w:tcW w:w="1254" w:type="dxa"/>
                  <w:noWrap w:val="0"/>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1" w:type="dxa"/>
                  <w:noWrap w:val="0"/>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aps w:val="0"/>
                      <w:color w:val="auto"/>
                      <w:spacing w:val="0"/>
                      <w:sz w:val="21"/>
                      <w:szCs w:val="21"/>
                      <w:shd w:val="clear" w:color="auto" w:fill="FFFFFF"/>
                    </w:rPr>
                    <w:t>健全以省级中医医院为龙头，各级各类中医类医院和其他医疗机构中医科室为骨干，基层医疗卫生机构为基础，融预防、保健、疾病治疗和康复为一体的中医药服务体系。</w:t>
                  </w:r>
                </w:p>
              </w:tc>
              <w:tc>
                <w:tcPr>
                  <w:tcW w:w="2950" w:type="dxa"/>
                  <w:noWrap w:val="0"/>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eastAsia="zh-CN"/>
                    </w:rPr>
                    <w:t>本项目设置中医科，位于门诊楼</w:t>
                  </w:r>
                  <w:r>
                    <w:rPr>
                      <w:rFonts w:hint="default" w:ascii="Times New Roman" w:hAnsi="Times New Roman" w:eastAsia="宋体" w:cs="Times New Roman"/>
                      <w:color w:val="auto"/>
                      <w:sz w:val="21"/>
                      <w:szCs w:val="21"/>
                      <w:vertAlign w:val="baseline"/>
                      <w:lang w:val="en-US" w:eastAsia="zh-CN"/>
                    </w:rPr>
                    <w:t>4F</w:t>
                  </w:r>
                  <w:r>
                    <w:rPr>
                      <w:rFonts w:hint="eastAsia" w:ascii="Times New Roman" w:hAnsi="Times New Roman" w:eastAsia="宋体" w:cs="Times New Roman"/>
                      <w:color w:val="auto"/>
                      <w:sz w:val="21"/>
                      <w:szCs w:val="21"/>
                      <w:vertAlign w:val="baseline"/>
                      <w:lang w:val="en-US" w:eastAsia="zh-CN"/>
                    </w:rPr>
                    <w:t>。</w:t>
                  </w:r>
                </w:p>
              </w:tc>
              <w:tc>
                <w:tcPr>
                  <w:tcW w:w="1254" w:type="dxa"/>
                  <w:noWrap w:val="0"/>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sz w:val="21"/>
                      <w:szCs w:val="21"/>
                      <w:vertAlign w:val="baseline"/>
                      <w:lang w:eastAsia="zh-CN"/>
                    </w:rPr>
                  </w:pPr>
                  <w:r>
                    <w:rPr>
                      <w:rFonts w:hint="eastAsia" w:ascii="Times New Roman" w:hAnsi="Times New Roman" w:eastAsia="宋体" w:cs="Times New Roman"/>
                      <w:color w:val="auto"/>
                      <w:sz w:val="21"/>
                      <w:szCs w:val="21"/>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7" w:hRule="atLeast"/>
              </w:trPr>
              <w:tc>
                <w:tcPr>
                  <w:tcW w:w="3731" w:type="dxa"/>
                  <w:noWrap w:val="0"/>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aps w:val="0"/>
                      <w:color w:val="auto"/>
                      <w:spacing w:val="0"/>
                      <w:sz w:val="21"/>
                      <w:szCs w:val="21"/>
                      <w:shd w:val="clear" w:color="auto" w:fill="FFFFFF"/>
                    </w:rPr>
                    <w:t>提升精神卫生服务能力。争取建设精神心理疾病领域国家临床医学研究分中心。鼓励精神专科医院组建或参与建设专科联盟。鼓励符合条件的精神科医师全职或者兼职开办精神专科诊所。乡镇卫生院、社区卫生服务中心（站）要设立精神（心理）科门诊，提高基层精神（心理）卫生服务能力。健全精神卫生专业机构、社区康复机构及社会组织、家庭相互支持的精神障碍社区康复体系。鼓励社会力量在精神专科医疗服务资源薄弱地区举办非营利性精神病医院、开设精神心理门诊。</w:t>
                  </w:r>
                </w:p>
              </w:tc>
              <w:tc>
                <w:tcPr>
                  <w:tcW w:w="2950" w:type="dxa"/>
                  <w:noWrap w:val="0"/>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sz w:val="21"/>
                      <w:szCs w:val="21"/>
                      <w:vertAlign w:val="baseline"/>
                      <w:lang w:eastAsia="zh-CN"/>
                    </w:rPr>
                  </w:pPr>
                  <w:r>
                    <w:rPr>
                      <w:rFonts w:hint="eastAsia" w:ascii="Times New Roman" w:hAnsi="Times New Roman" w:eastAsia="宋体" w:cs="Times New Roman"/>
                      <w:color w:val="auto"/>
                      <w:sz w:val="21"/>
                      <w:szCs w:val="21"/>
                      <w:vertAlign w:val="baseline"/>
                      <w:lang w:eastAsia="zh-CN"/>
                    </w:rPr>
                    <w:t>本项目为公立的精神病专科医院，项目建成后能</w:t>
                  </w:r>
                  <w:r>
                    <w:rPr>
                      <w:rFonts w:hint="default" w:ascii="Times New Roman" w:hAnsi="Times New Roman" w:eastAsia="宋体" w:cs="Times New Roman"/>
                      <w:i w:val="0"/>
                      <w:iCs w:val="0"/>
                      <w:caps w:val="0"/>
                      <w:color w:val="auto"/>
                      <w:spacing w:val="0"/>
                      <w:sz w:val="21"/>
                      <w:szCs w:val="21"/>
                      <w:shd w:val="clear" w:color="auto" w:fill="FFFFFF"/>
                    </w:rPr>
                    <w:t>健全精神卫生专业机构、社区康复机构及社会组织、家庭相互支持的精神障碍社区康复体系。</w:t>
                  </w:r>
                </w:p>
              </w:tc>
              <w:tc>
                <w:tcPr>
                  <w:tcW w:w="1254" w:type="dxa"/>
                  <w:noWrap w:val="0"/>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sz w:val="21"/>
                      <w:szCs w:val="21"/>
                      <w:vertAlign w:val="baseline"/>
                      <w:lang w:eastAsia="zh-CN"/>
                    </w:rPr>
                  </w:pPr>
                  <w:r>
                    <w:rPr>
                      <w:rFonts w:hint="eastAsia" w:ascii="Times New Roman" w:hAnsi="Times New Roman" w:eastAsia="宋体" w:cs="Times New Roman"/>
                      <w:color w:val="auto"/>
                      <w:sz w:val="21"/>
                      <w:szCs w:val="21"/>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1" w:type="dxa"/>
                  <w:noWrap w:val="0"/>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aps w:val="0"/>
                      <w:color w:val="auto"/>
                      <w:spacing w:val="0"/>
                      <w:sz w:val="21"/>
                      <w:szCs w:val="21"/>
                      <w:shd w:val="clear" w:color="auto" w:fill="FFFFFF"/>
                    </w:rPr>
                    <w:t>建立覆盖城乡的社会心理健康服务网络。依托省心理卫生中心和各州、市有条件的精神专科医院或综合医院精神科成立公共卫生应急心理救援中心，建立省、州市、县三级突发公共事件心理救援队伍。加强医疗卫生机构心理健康服务能力。依托城乡社区综合服务设施或基层综治中心，规范设置心理咨询（辅导）室或社会工作室（站），配备心理辅导人员或社会工作者。支持培育专业化、规范化的心理咨询、辅导机构，承担心理健康服务。</w:t>
                  </w:r>
                </w:p>
              </w:tc>
              <w:tc>
                <w:tcPr>
                  <w:tcW w:w="2950" w:type="dxa"/>
                  <w:noWrap w:val="0"/>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rPr>
                  </w:pPr>
                  <w:r>
                    <w:rPr>
                      <w:rFonts w:hint="eastAsia" w:ascii="Times New Roman" w:hAnsi="Times New Roman" w:eastAsia="宋体" w:cs="Times New Roman"/>
                      <w:color w:val="auto"/>
                      <w:sz w:val="21"/>
                      <w:szCs w:val="21"/>
                      <w:vertAlign w:val="baseline"/>
                      <w:lang w:eastAsia="zh-CN"/>
                    </w:rPr>
                    <w:t>本项目为公立的精神病专科医院，项目建成后能</w:t>
                  </w:r>
                  <w:r>
                    <w:rPr>
                      <w:rFonts w:hint="default" w:ascii="Times New Roman" w:hAnsi="Times New Roman" w:eastAsia="宋体" w:cs="Times New Roman"/>
                      <w:i w:val="0"/>
                      <w:iCs w:val="0"/>
                      <w:caps w:val="0"/>
                      <w:color w:val="auto"/>
                      <w:spacing w:val="0"/>
                      <w:sz w:val="21"/>
                      <w:szCs w:val="21"/>
                      <w:shd w:val="clear" w:color="auto" w:fill="FFFFFF"/>
                    </w:rPr>
                    <w:t>加强医疗卫生机构心理健康服务能力。</w:t>
                  </w:r>
                </w:p>
              </w:tc>
              <w:tc>
                <w:tcPr>
                  <w:tcW w:w="1254" w:type="dxa"/>
                  <w:noWrap w:val="0"/>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sz w:val="21"/>
                      <w:szCs w:val="21"/>
                      <w:vertAlign w:val="baseline"/>
                      <w:lang w:eastAsia="zh-CN"/>
                    </w:rPr>
                  </w:pPr>
                  <w:r>
                    <w:rPr>
                      <w:rFonts w:hint="eastAsia" w:ascii="Times New Roman" w:hAnsi="Times New Roman" w:eastAsia="宋体" w:cs="Times New Roman"/>
                      <w:color w:val="auto"/>
                      <w:sz w:val="21"/>
                      <w:szCs w:val="21"/>
                      <w:vertAlign w:val="baseline"/>
                      <w:lang w:eastAsia="zh-CN"/>
                    </w:rPr>
                    <w:t>符合</w:t>
                  </w:r>
                </w:p>
              </w:tc>
            </w:tr>
          </w:tbl>
          <w:p>
            <w:pPr>
              <w:pStyle w:val="9"/>
              <w:keepNext w:val="0"/>
              <w:keepLines w:val="0"/>
              <w:suppressLineNumbers w:val="0"/>
              <w:spacing w:beforeAutospacing="0" w:afterAutospacing="0"/>
              <w:ind w:left="0"/>
              <w:rPr>
                <w:rFonts w:hint="eastAsia" w:ascii="Calibri" w:hAnsi="Calibri"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1584"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b/>
                <w:bCs/>
                <w:color w:val="auto"/>
                <w:kern w:val="0"/>
                <w:sz w:val="24"/>
                <w:szCs w:val="24"/>
              </w:rPr>
            </w:pPr>
            <w:r>
              <w:rPr>
                <w:rFonts w:hint="eastAsia" w:ascii="宋体" w:hAnsi="宋体" w:cs="宋体"/>
                <w:b/>
                <w:bCs/>
                <w:color w:val="auto"/>
                <w:kern w:val="0"/>
                <w:sz w:val="24"/>
                <w:szCs w:val="24"/>
              </w:rPr>
              <w:t>其他符合性分析</w:t>
            </w:r>
          </w:p>
        </w:tc>
        <w:tc>
          <w:tcPr>
            <w:tcW w:w="8161" w:type="dxa"/>
            <w:gridSpan w:val="3"/>
            <w:noWrap w:val="0"/>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cs="Times New Roman"/>
                <w:b/>
                <w:color w:val="auto"/>
                <w:sz w:val="24"/>
                <w:szCs w:val="24"/>
              </w:rPr>
            </w:pPr>
            <w:r>
              <w:rPr>
                <w:rFonts w:hint="default" w:ascii="Calibri" w:hAnsi="Calibri" w:cs="Times New Roman"/>
                <w:b/>
                <w:bCs/>
                <w:color w:val="auto"/>
                <w:sz w:val="24"/>
                <w:szCs w:val="24"/>
              </w:rPr>
              <w:t>1、</w:t>
            </w:r>
            <w:r>
              <w:rPr>
                <w:rFonts w:hint="default" w:ascii="Times New Roman" w:hAnsi="Times New Roman" w:cs="Times New Roman"/>
                <w:b/>
                <w:color w:val="auto"/>
                <w:sz w:val="24"/>
                <w:szCs w:val="24"/>
              </w:rPr>
              <w:t>“三线一单”符合性分析</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昆明市人民政府已发布《昆明市人民政府关于昆明市“三线一单” 生态环境分区管控的实施意见》</w:t>
            </w:r>
            <w:r>
              <w:rPr>
                <w:rFonts w:hint="default"/>
                <w:color w:val="auto"/>
                <w:kern w:val="0"/>
                <w:sz w:val="24"/>
              </w:rPr>
              <w:t>（昆政发〔2021〕21号）</w:t>
            </w:r>
            <w:r>
              <w:rPr>
                <w:rFonts w:hint="default" w:ascii="Times New Roman" w:hAnsi="Times New Roman" w:cs="Times New Roman"/>
                <w:color w:val="auto"/>
                <w:sz w:val="24"/>
              </w:rPr>
              <w:t>，该项目符合性分析具体如下：</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cs="Times New Roman"/>
                <w:b/>
                <w:color w:val="auto"/>
                <w:sz w:val="24"/>
                <w:szCs w:val="24"/>
              </w:rPr>
            </w:pPr>
            <w:r>
              <w:rPr>
                <w:rFonts w:hint="eastAsia" w:ascii="Times New Roman" w:hAnsi="Times New Roman" w:cs="Times New Roman"/>
                <w:b/>
                <w:color w:val="auto"/>
                <w:sz w:val="24"/>
                <w:szCs w:val="24"/>
              </w:rPr>
              <w:t>（</w:t>
            </w:r>
            <w:r>
              <w:rPr>
                <w:rFonts w:hint="default" w:ascii="Times New Roman" w:hAnsi="Times New Roman" w:cs="Times New Roman"/>
                <w:b/>
                <w:color w:val="auto"/>
                <w:sz w:val="24"/>
                <w:szCs w:val="24"/>
              </w:rPr>
              <w:t>1</w:t>
            </w:r>
            <w:r>
              <w:rPr>
                <w:rFonts w:hint="eastAsia" w:ascii="Times New Roman" w:hAnsi="Times New Roman" w:cs="Times New Roman"/>
                <w:b/>
                <w:color w:val="auto"/>
                <w:sz w:val="24"/>
                <w:szCs w:val="24"/>
              </w:rPr>
              <w:t>）</w:t>
            </w:r>
            <w:r>
              <w:rPr>
                <w:rFonts w:hint="default" w:ascii="Times New Roman" w:hAnsi="Times New Roman" w:cs="Times New Roman"/>
                <w:b/>
                <w:color w:val="auto"/>
                <w:sz w:val="24"/>
                <w:szCs w:val="24"/>
              </w:rPr>
              <w:t>生态保护红线和一般生态空间</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根据《云南省人民政府关于发布云南省生态保护红线的通知》（云政发〔2018〕32号）文，云南省生态红线主要包括包含生物多样性维护、水源涵养、水土保持三大红线类型，11个分区。其中和昆明行政区划内有关的分区有4个，项目位于</w:t>
            </w:r>
            <w:r>
              <w:rPr>
                <w:rFonts w:hint="eastAsia" w:ascii="宋体" w:hAnsi="宋体" w:cs="宋体"/>
                <w:color w:val="auto"/>
                <w:kern w:val="0"/>
                <w:sz w:val="24"/>
                <w:szCs w:val="24"/>
              </w:rPr>
              <w:t>东川区城区西南角，规划道路东海路南延长线东侧，兴铜路西延长线南侧交汇路口</w:t>
            </w:r>
            <w:r>
              <w:rPr>
                <w:rFonts w:hint="default" w:ascii="Times New Roman" w:hAnsi="Times New Roman" w:cs="Times New Roman"/>
                <w:color w:val="auto"/>
                <w:sz w:val="24"/>
              </w:rPr>
              <w:t>，属于城市建成区域，</w:t>
            </w:r>
            <w:r>
              <w:rPr>
                <w:rFonts w:hint="eastAsia" w:cs="Times New Roman"/>
                <w:color w:val="auto"/>
                <w:sz w:val="24"/>
                <w:lang w:eastAsia="zh-CN"/>
              </w:rPr>
              <w:t>根据自然资源局生态红线叠图，项目</w:t>
            </w:r>
            <w:r>
              <w:rPr>
                <w:rFonts w:hint="default" w:ascii="Times New Roman" w:hAnsi="Times New Roman" w:cs="Times New Roman"/>
                <w:color w:val="auto"/>
                <w:sz w:val="24"/>
              </w:rPr>
              <w:t>不涉及生态红线。《昆明市人民政府关于昆明市“三线一单” 生态环境分区管控的实施意见》明确将“将未划入生态保护红线的自然保护地、饮用水水源保护区、重要湿地、基本草原、生态公益林、天然林等生态功能重要、生态环境敏感区域划为一般生态空间”，根据调查，该项目位于</w:t>
            </w:r>
            <w:r>
              <w:rPr>
                <w:rFonts w:hint="eastAsia" w:ascii="宋体" w:hAnsi="宋体" w:cs="宋体"/>
                <w:color w:val="auto"/>
                <w:kern w:val="0"/>
                <w:sz w:val="24"/>
                <w:szCs w:val="24"/>
              </w:rPr>
              <w:t>东川区城区西南角，规划道路东海路南延长线东侧，兴铜路西延长线南侧交汇路口</w:t>
            </w:r>
            <w:r>
              <w:rPr>
                <w:rFonts w:hint="default" w:ascii="Times New Roman" w:hAnsi="Times New Roman" w:cs="Times New Roman"/>
                <w:color w:val="auto"/>
                <w:sz w:val="24"/>
              </w:rPr>
              <w:t>，项目所在地属于东川区县城重点管控单元，因此项目不属于优先保护单元。</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cs="Times New Roman"/>
                <w:b/>
                <w:color w:val="auto"/>
                <w:sz w:val="24"/>
                <w:szCs w:val="24"/>
              </w:rPr>
            </w:pPr>
            <w:r>
              <w:rPr>
                <w:rFonts w:hint="eastAsia" w:ascii="Times New Roman" w:hAnsi="Times New Roman" w:cs="Times New Roman"/>
                <w:b/>
                <w:color w:val="auto"/>
                <w:sz w:val="24"/>
                <w:szCs w:val="24"/>
              </w:rPr>
              <w:t>（</w:t>
            </w:r>
            <w:r>
              <w:rPr>
                <w:rFonts w:hint="default" w:ascii="Times New Roman" w:hAnsi="Times New Roman" w:cs="Times New Roman"/>
                <w:b/>
                <w:color w:val="auto"/>
                <w:sz w:val="24"/>
                <w:szCs w:val="24"/>
              </w:rPr>
              <w:t>2</w:t>
            </w:r>
            <w:r>
              <w:rPr>
                <w:rFonts w:hint="eastAsia" w:ascii="Times New Roman" w:hAnsi="Times New Roman" w:cs="Times New Roman"/>
                <w:b/>
                <w:color w:val="auto"/>
                <w:sz w:val="24"/>
                <w:szCs w:val="24"/>
              </w:rPr>
              <w:t>）</w:t>
            </w:r>
            <w:r>
              <w:rPr>
                <w:rFonts w:hint="default" w:ascii="Times New Roman" w:hAnsi="Times New Roman" w:cs="Times New Roman"/>
                <w:b/>
                <w:color w:val="auto"/>
                <w:sz w:val="24"/>
                <w:szCs w:val="24"/>
              </w:rPr>
              <w:t>环境质量底线</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《昆明市人民政府关于昆明市“三线一单” 生态环境分区管控的实施意见》对环境质量底线设定了2025年和2035年两个目标，该项目位于</w:t>
            </w:r>
            <w:r>
              <w:rPr>
                <w:rFonts w:hint="eastAsia" w:ascii="宋体" w:hAnsi="宋体" w:cs="宋体"/>
                <w:color w:val="auto"/>
                <w:kern w:val="0"/>
                <w:sz w:val="24"/>
                <w:szCs w:val="24"/>
              </w:rPr>
              <w:t>东川区城区西南角，规划道路东海路南延长线东侧，兴铜路西延长线南侧交汇路口</w:t>
            </w:r>
            <w:r>
              <w:rPr>
                <w:rFonts w:hint="default" w:ascii="Times New Roman" w:hAnsi="Times New Roman" w:cs="Times New Roman"/>
                <w:color w:val="auto"/>
                <w:sz w:val="24"/>
              </w:rPr>
              <w:t>，环境质量底线和该项目相关的要求及符合性分析如下：</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cs="Times New Roman"/>
                <w:b/>
                <w:color w:val="auto"/>
                <w:sz w:val="24"/>
              </w:rPr>
            </w:pPr>
            <w:r>
              <w:rPr>
                <w:rFonts w:hint="eastAsia" w:ascii="仿宋" w:hAnsi="仿宋" w:eastAsia="仿宋" w:cs="仿宋"/>
                <w:b/>
                <w:color w:val="auto"/>
                <w:sz w:val="24"/>
              </w:rPr>
              <w:t>①</w:t>
            </w:r>
            <w:r>
              <w:rPr>
                <w:rFonts w:hint="default" w:ascii="Times New Roman" w:hAnsi="Times New Roman" w:cs="Times New Roman"/>
                <w:b/>
                <w:color w:val="auto"/>
                <w:sz w:val="24"/>
              </w:rPr>
              <w:t>生态环境质量底线</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实施意见”要求：到2025年，全市生态环境质量持续改善，生态空间得到优化和有效保护，区域生态安全屏障更加牢固。到2035年，全市生态环境质量实现根本好转，生态功能显著提升，区域生态安全得到全面保障。</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根据调查，项目的建设不涉及到生态保护红线和一般生态空间，因此项目建设和生态环境质量底线不冲突。因此，项目建设不会改变区域生态环境质量功能要求。</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cs="Times New Roman"/>
                <w:b/>
                <w:color w:val="auto"/>
                <w:sz w:val="24"/>
              </w:rPr>
            </w:pPr>
            <w:r>
              <w:rPr>
                <w:rFonts w:hint="eastAsia" w:ascii="仿宋" w:hAnsi="仿宋" w:eastAsia="仿宋" w:cs="仿宋"/>
                <w:b/>
                <w:color w:val="auto"/>
                <w:sz w:val="24"/>
              </w:rPr>
              <w:t>②</w:t>
            </w:r>
            <w:r>
              <w:rPr>
                <w:rFonts w:hint="default" w:ascii="Times New Roman" w:hAnsi="Times New Roman" w:cs="Times New Roman"/>
                <w:b/>
                <w:color w:val="auto"/>
                <w:sz w:val="24"/>
              </w:rPr>
              <w:t>环境空气环境质量底线</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“实施意见”要求：到2025年，全市环境空气质量总体保持优良，主城建成区空气质量优良天数占比达99%以上，二氧化硫（SO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）和氮氧化物（NOx）排放总量控制在省下达的目标以内，主城区空气中颗粒物（PM</w:t>
            </w:r>
            <w:r>
              <w:rPr>
                <w:rFonts w:hint="default" w:ascii="Times New Roman" w:hAnsi="Times New Roman" w:cs="Times New Roman"/>
                <w:color w:val="auto"/>
                <w:sz w:val="24"/>
                <w:vertAlign w:val="subscript"/>
              </w:rPr>
              <w:t>10</w:t>
            </w:r>
            <w:r>
              <w:rPr>
                <w:rFonts w:hint="default" w:ascii="Times New Roman" w:hAnsi="Times New Roman" w:cs="Times New Roman"/>
                <w:color w:val="auto"/>
                <w:sz w:val="24"/>
              </w:rPr>
              <w:t>、PM</w:t>
            </w:r>
            <w:r>
              <w:rPr>
                <w:rFonts w:hint="default" w:ascii="Times New Roman" w:hAnsi="Times New Roman" w:cs="Times New Roman"/>
                <w:color w:val="auto"/>
                <w:sz w:val="24"/>
                <w:vertAlign w:val="subscript"/>
              </w:rPr>
              <w:t>2.5</w:t>
            </w:r>
            <w:r>
              <w:rPr>
                <w:rFonts w:hint="default" w:ascii="Times New Roman" w:hAnsi="Times New Roman" w:cs="Times New Roman"/>
                <w:color w:val="auto"/>
                <w:sz w:val="24"/>
              </w:rPr>
              <w:t>）稳定达《环境空气质量标准》二级标准以上。到2035年，全市环境空气质量全面改善，各县（市）区、开发（度假）区环境空气质量稳定达到国家二级标准。</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根据调查，现目选址区域空气环境可达到《环境空气质量标准》（GB</w:t>
            </w:r>
            <w:r>
              <w:rPr>
                <w:rFonts w:hint="eastAsia" w:cs="Times New Roman"/>
                <w:color w:val="auto"/>
                <w:sz w:val="24"/>
                <w:lang w:eastAsia="zh-CN"/>
              </w:rPr>
              <w:t>****</w:t>
            </w:r>
            <w:r>
              <w:rPr>
                <w:rFonts w:hint="default" w:ascii="Times New Roman" w:hAnsi="Times New Roman" w:cs="Times New Roman"/>
                <w:color w:val="auto"/>
                <w:sz w:val="24"/>
              </w:rPr>
              <w:t>-2012）二级标准，属于空气达标区，</w:t>
            </w:r>
            <w:r>
              <w:rPr>
                <w:rFonts w:hint="default"/>
                <w:color w:val="auto"/>
                <w:sz w:val="24"/>
                <w:szCs w:val="24"/>
              </w:rPr>
              <w:t>项目</w:t>
            </w:r>
            <w:r>
              <w:rPr>
                <w:rFonts w:hint="eastAsia"/>
                <w:color w:val="auto"/>
                <w:sz w:val="24"/>
                <w:szCs w:val="24"/>
              </w:rPr>
              <w:t>化粪池设置为地埋式、污水处理站为</w:t>
            </w:r>
            <w:r>
              <w:rPr>
                <w:rFonts w:hint="default"/>
                <w:color w:val="auto"/>
                <w:sz w:val="24"/>
                <w:szCs w:val="24"/>
              </w:rPr>
              <w:t>封闭</w:t>
            </w:r>
            <w:r>
              <w:rPr>
                <w:rFonts w:hint="eastAsia"/>
                <w:color w:val="auto"/>
                <w:sz w:val="24"/>
                <w:szCs w:val="24"/>
              </w:rPr>
              <w:t>式，臭气、氨及硫化氢等产生量较小</w:t>
            </w:r>
            <w:r>
              <w:rPr>
                <w:rFonts w:hint="eastAsia" w:ascii="宋体" w:hAnsi="宋体" w:cs="宋体"/>
                <w:color w:val="auto"/>
                <w:sz w:val="24"/>
                <w:szCs w:val="24"/>
                <w:lang w:val="en-US"/>
              </w:rPr>
              <w:t>，</w:t>
            </w:r>
            <w:r>
              <w:rPr>
                <w:rFonts w:hint="eastAsia" w:ascii="宋体" w:hAnsi="宋体" w:cs="宋体"/>
                <w:color w:val="auto"/>
                <w:sz w:val="24"/>
                <w:szCs w:val="24"/>
                <w:lang w:val="en-US" w:eastAsia="zh-CN"/>
              </w:rPr>
              <w:t>食堂油烟经油烟净化器处理后于后勤楼楼顶排放，</w:t>
            </w:r>
            <w:r>
              <w:rPr>
                <w:rFonts w:hint="default" w:ascii="Times New Roman" w:hAnsi="Times New Roman" w:cs="Times New Roman"/>
                <w:color w:val="auto"/>
                <w:sz w:val="24"/>
              </w:rPr>
              <w:t>该项目的建设不会改变区域环境空气质量功能要求。</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cs="Times New Roman"/>
                <w:b/>
                <w:color w:val="auto"/>
                <w:sz w:val="24"/>
              </w:rPr>
            </w:pPr>
            <w:r>
              <w:rPr>
                <w:rFonts w:hint="eastAsia" w:ascii="仿宋" w:hAnsi="仿宋" w:eastAsia="仿宋" w:cs="仿宋"/>
                <w:b/>
                <w:color w:val="auto"/>
                <w:sz w:val="24"/>
              </w:rPr>
              <w:t>③</w:t>
            </w:r>
            <w:r>
              <w:rPr>
                <w:rFonts w:hint="default" w:ascii="Times New Roman" w:hAnsi="Times New Roman" w:cs="Times New Roman"/>
                <w:b/>
                <w:color w:val="auto"/>
                <w:sz w:val="24"/>
              </w:rPr>
              <w:t>地表水环境质量底线</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“实施意见”要求：到2025年，纳入国家和省级考核的地表水监测断面水质优良率稳步提升，滇池流域、阳宗海流域水环境质量明显改善，水生态系统功能逐步恢复，滇池草海水质达</w:t>
            </w:r>
            <w:r>
              <w:rPr>
                <w:rFonts w:hint="default" w:ascii="Times New Roman" w:hAnsi="宋体" w:cs="Times New Roman"/>
                <w:color w:val="auto"/>
                <w:sz w:val="24"/>
              </w:rPr>
              <w:t>Ⅳ</w:t>
            </w:r>
            <w:r>
              <w:rPr>
                <w:rFonts w:hint="default" w:ascii="Times New Roman" w:hAnsi="Times New Roman" w:cs="Times New Roman"/>
                <w:color w:val="auto"/>
                <w:sz w:val="24"/>
              </w:rPr>
              <w:t>类，滇池外海水质达</w:t>
            </w:r>
            <w:r>
              <w:rPr>
                <w:rFonts w:hint="default" w:ascii="Times New Roman" w:hAnsi="宋体" w:cs="Times New Roman"/>
                <w:color w:val="auto"/>
                <w:sz w:val="24"/>
              </w:rPr>
              <w:t>Ⅳ</w:t>
            </w:r>
            <w:r>
              <w:rPr>
                <w:rFonts w:hint="default" w:ascii="Times New Roman" w:hAnsi="Times New Roman" w:cs="Times New Roman"/>
                <w:color w:val="auto"/>
                <w:sz w:val="24"/>
              </w:rPr>
              <w:t>类（化学需氧量≤40毫克/升），阳宗海水质达</w:t>
            </w:r>
            <w:r>
              <w:rPr>
                <w:rFonts w:hint="default" w:ascii="Times New Roman" w:hAnsi="宋体" w:cs="Times New Roman"/>
                <w:color w:val="auto"/>
                <w:sz w:val="24"/>
              </w:rPr>
              <w:t>Ⅲ</w:t>
            </w:r>
            <w:r>
              <w:rPr>
                <w:rFonts w:hint="default" w:ascii="Times New Roman" w:hAnsi="Times New Roman" w:cs="Times New Roman"/>
                <w:color w:val="auto"/>
                <w:sz w:val="24"/>
              </w:rPr>
              <w:t>类，集中式饮用水源水质巩固改善。到2035年，地表水体水质优良率全面提升，各监测断面水质达到水环境功能要求，消除劣V类水体，集中式饮用水水源水质稳定达标。</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根据调查，该项目地表水体小江板河口断面水质可达到《地表水环境质量标准》（GB</w:t>
            </w:r>
            <w:r>
              <w:rPr>
                <w:rFonts w:hint="eastAsia" w:cs="Times New Roman"/>
                <w:color w:val="auto"/>
                <w:sz w:val="24"/>
                <w:lang w:eastAsia="zh-CN"/>
              </w:rPr>
              <w:t>****</w:t>
            </w:r>
            <w:r>
              <w:rPr>
                <w:rFonts w:hint="default" w:ascii="Times New Roman" w:hAnsi="Times New Roman" w:cs="Times New Roman"/>
                <w:color w:val="auto"/>
                <w:sz w:val="24"/>
              </w:rPr>
              <w:t>-2002）III类标准；项目区废水经调节池、污水处理设施处理达到</w:t>
            </w:r>
            <w:r>
              <w:rPr>
                <w:rFonts w:hint="eastAsia" w:ascii="宋体" w:hAnsi="宋体" w:cs="宋体"/>
                <w:color w:val="auto"/>
                <w:sz w:val="24"/>
              </w:rPr>
              <w:t>《医疗机构水污染物排放标准》（GB</w:t>
            </w:r>
            <w:r>
              <w:rPr>
                <w:rFonts w:hint="eastAsia" w:ascii="宋体" w:hAnsi="宋体" w:cs="宋体"/>
                <w:color w:val="auto"/>
                <w:sz w:val="24"/>
                <w:lang w:eastAsia="zh-CN"/>
              </w:rPr>
              <w:t>*****</w:t>
            </w:r>
            <w:r>
              <w:rPr>
                <w:rFonts w:hint="eastAsia" w:ascii="宋体" w:hAnsi="宋体" w:cs="宋体"/>
                <w:color w:val="auto"/>
                <w:sz w:val="24"/>
              </w:rPr>
              <w:t>-2005）表2中预处理标准和《污水排入城镇下水道水质标准》（GB/T</w:t>
            </w:r>
            <w:r>
              <w:rPr>
                <w:rFonts w:hint="eastAsia" w:ascii="宋体" w:hAnsi="宋体" w:cs="宋体"/>
                <w:color w:val="auto"/>
                <w:sz w:val="24"/>
                <w:lang w:eastAsia="zh-CN"/>
              </w:rPr>
              <w:t>*****</w:t>
            </w:r>
            <w:r>
              <w:rPr>
                <w:rFonts w:hint="eastAsia" w:ascii="宋体" w:hAnsi="宋体" w:cs="宋体"/>
                <w:color w:val="auto"/>
                <w:sz w:val="24"/>
              </w:rPr>
              <w:t>-2015）中A等级标准后排入市政污水管网，最终进入东川区污水处理厂</w:t>
            </w:r>
            <w:r>
              <w:rPr>
                <w:rFonts w:hint="default" w:ascii="Times New Roman" w:hAnsi="Times New Roman" w:cs="Times New Roman"/>
                <w:color w:val="auto"/>
                <w:sz w:val="24"/>
              </w:rPr>
              <w:t>；不会改变区域地表水环境质量功能要求。</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cs="Times New Roman"/>
                <w:b/>
                <w:color w:val="auto"/>
                <w:sz w:val="24"/>
              </w:rPr>
            </w:pPr>
            <w:r>
              <w:rPr>
                <w:rFonts w:hint="eastAsia" w:ascii="仿宋" w:hAnsi="仿宋" w:eastAsia="仿宋" w:cs="仿宋"/>
                <w:b/>
                <w:color w:val="auto"/>
                <w:sz w:val="24"/>
              </w:rPr>
              <w:t>④</w:t>
            </w:r>
            <w:r>
              <w:rPr>
                <w:rFonts w:hint="default" w:ascii="Times New Roman" w:hAnsi="Times New Roman" w:cs="Times New Roman"/>
                <w:b/>
                <w:color w:val="auto"/>
                <w:sz w:val="24"/>
              </w:rPr>
              <w:t>土壤环境质量底线</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实施意见”要求：到2025年，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到2035年，土壤环境质量稳中向好，农用地和建设用地土壤环境安全得到有效保障，土壤环境风险得到全面管控。</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该项目属于</w:t>
            </w:r>
            <w:r>
              <w:rPr>
                <w:rFonts w:hint="eastAsia" w:ascii="Times New Roman" w:hAnsi="Times New Roman" w:cs="Times New Roman"/>
                <w:color w:val="auto"/>
                <w:sz w:val="24"/>
              </w:rPr>
              <w:t>医院</w:t>
            </w:r>
            <w:r>
              <w:rPr>
                <w:rFonts w:hint="default" w:ascii="Times New Roman" w:hAnsi="Times New Roman" w:cs="Times New Roman"/>
                <w:color w:val="auto"/>
                <w:sz w:val="24"/>
              </w:rPr>
              <w:t>建设项目，</w:t>
            </w:r>
            <w:r>
              <w:rPr>
                <w:rFonts w:hint="eastAsia" w:cs="Times New Roman"/>
                <w:color w:val="auto"/>
                <w:sz w:val="24"/>
                <w:lang w:eastAsia="zh-CN"/>
              </w:rPr>
              <w:t>用地性质为医疗卫生用地</w:t>
            </w:r>
            <w:r>
              <w:rPr>
                <w:rFonts w:hint="default" w:ascii="Times New Roman" w:hAnsi="Times New Roman" w:cs="Times New Roman"/>
                <w:color w:val="auto"/>
                <w:sz w:val="24"/>
              </w:rPr>
              <w:t>，项目建设不会改变区域土壤环境质量功能要求。</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cs="Times New Roman"/>
                <w:b/>
                <w:color w:val="auto"/>
                <w:sz w:val="24"/>
              </w:rPr>
            </w:pPr>
            <w:r>
              <w:rPr>
                <w:rFonts w:hint="eastAsia" w:ascii="Times New Roman" w:hAnsi="宋体" w:cs="Times New Roman"/>
                <w:b/>
                <w:color w:val="auto"/>
                <w:sz w:val="24"/>
                <w:szCs w:val="24"/>
              </w:rPr>
              <w:t>（</w:t>
            </w:r>
            <w:r>
              <w:rPr>
                <w:rFonts w:hint="eastAsia" w:hAnsi="宋体" w:cs="Times New Roman"/>
                <w:b/>
                <w:color w:val="auto"/>
                <w:sz w:val="24"/>
                <w:szCs w:val="24"/>
                <w:lang w:val="en-US" w:eastAsia="zh-CN"/>
              </w:rPr>
              <w:t>3</w:t>
            </w:r>
            <w:r>
              <w:rPr>
                <w:rFonts w:hint="eastAsia" w:ascii="Times New Roman" w:hAnsi="宋体" w:cs="Times New Roman"/>
                <w:b/>
                <w:color w:val="auto"/>
                <w:sz w:val="24"/>
                <w:szCs w:val="24"/>
              </w:rPr>
              <w:t>）</w:t>
            </w:r>
            <w:r>
              <w:rPr>
                <w:rFonts w:hint="default" w:ascii="Times New Roman" w:hAnsi="Times New Roman" w:cs="Times New Roman"/>
                <w:b/>
                <w:color w:val="auto"/>
                <w:sz w:val="24"/>
                <w:szCs w:val="24"/>
              </w:rPr>
              <w:t>资源利用上线</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《昆明市人民政府关于昆明市“三线一单” 生态环境分区管控的实施意见》对资源利用上限的要求为：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rPr>
              <w:t>本项目运营过程中消耗一定量的电源、水资源等资源消耗项目资源消耗量相对区域资源利用总量较少，符合资源利用上限要求</w:t>
            </w:r>
            <w:r>
              <w:rPr>
                <w:rFonts w:hint="default" w:ascii="Times New Roman" w:hAnsi="Times New Roman" w:cs="Times New Roman"/>
                <w:color w:val="auto"/>
                <w:sz w:val="24"/>
              </w:rPr>
              <w:t>。</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cs="Times New Roman"/>
                <w:b/>
                <w:color w:val="auto"/>
                <w:sz w:val="24"/>
                <w:szCs w:val="24"/>
              </w:rPr>
            </w:pPr>
            <w:r>
              <w:rPr>
                <w:rFonts w:hint="eastAsia" w:ascii="宋体" w:hAnsi="宋体" w:cs="Times New Roman"/>
                <w:b/>
                <w:color w:val="auto"/>
                <w:sz w:val="24"/>
                <w:szCs w:val="24"/>
              </w:rPr>
              <w:t>（</w:t>
            </w:r>
            <w:r>
              <w:rPr>
                <w:rFonts w:hint="eastAsia" w:ascii="宋体" w:hAnsi="宋体" w:cs="Times New Roman"/>
                <w:b/>
                <w:color w:val="auto"/>
                <w:sz w:val="24"/>
                <w:szCs w:val="24"/>
                <w:lang w:val="en-US" w:eastAsia="zh-CN"/>
              </w:rPr>
              <w:t>4</w:t>
            </w:r>
            <w:r>
              <w:rPr>
                <w:rFonts w:hint="eastAsia" w:ascii="宋体" w:hAnsi="宋体" w:cs="Times New Roman"/>
                <w:b/>
                <w:color w:val="auto"/>
                <w:sz w:val="24"/>
                <w:szCs w:val="24"/>
              </w:rPr>
              <w:t>）</w:t>
            </w:r>
            <w:r>
              <w:rPr>
                <w:rFonts w:hint="default" w:ascii="Times New Roman" w:hAnsi="Times New Roman" w:cs="Times New Roman"/>
                <w:b/>
                <w:color w:val="auto"/>
                <w:sz w:val="24"/>
              </w:rPr>
              <w:t>环境准入负面清单</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《昆明市人民政府关于昆明市“三线一单” 生态环境分区管控的实施意见》提出严格落实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构建全市生态环境分区管控体系，落实总体管控要求。</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根据调查，该项目位于</w:t>
            </w:r>
            <w:r>
              <w:rPr>
                <w:rFonts w:hint="eastAsia" w:ascii="宋体" w:hAnsi="宋体" w:cs="宋体"/>
                <w:color w:val="auto"/>
                <w:kern w:val="0"/>
                <w:sz w:val="24"/>
                <w:szCs w:val="24"/>
              </w:rPr>
              <w:t>东川区城区西南角，规划道路东海路南延长线东侧，兴铜路西延长线南侧交汇路口</w:t>
            </w:r>
            <w:r>
              <w:rPr>
                <w:rFonts w:hint="default" w:ascii="Times New Roman" w:hAnsi="Times New Roman" w:cs="Times New Roman"/>
                <w:color w:val="auto"/>
                <w:sz w:val="24"/>
              </w:rPr>
              <w:t>，项目所在地属于东川区县城重点管控单元，根据东川区环境管控单元生态环境准入清单的管理要求，该项目环境准入负面清单符合性具体下表所示。</w:t>
            </w:r>
          </w:p>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表1-</w:t>
            </w:r>
            <w:r>
              <w:rPr>
                <w:rFonts w:hint="default" w:ascii="Times New Roman" w:hAnsi="Times New Roman" w:cs="Times New Roman"/>
                <w:b/>
                <w:color w:val="auto"/>
                <w:sz w:val="24"/>
                <w:szCs w:val="24"/>
                <w:lang w:val="en-US"/>
              </w:rPr>
              <w:t>3</w:t>
            </w:r>
            <w:r>
              <w:rPr>
                <w:rFonts w:hint="default" w:ascii="Times New Roman" w:hAnsi="Times New Roman" w:cs="Times New Roman"/>
                <w:b/>
                <w:color w:val="auto"/>
                <w:sz w:val="24"/>
                <w:szCs w:val="24"/>
              </w:rPr>
              <w:t xml:space="preserve"> 与东川区环境管控单元生态环境准入清单符合性分析一览表</w:t>
            </w:r>
          </w:p>
          <w:tbl>
            <w:tblPr>
              <w:tblStyle w:val="2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8"/>
              <w:gridCol w:w="593"/>
              <w:gridCol w:w="2960"/>
              <w:gridCol w:w="3048"/>
              <w:gridCol w:w="6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6" w:type="dxa"/>
                  <w:noWrap w:val="0"/>
                  <w:vAlign w:val="center"/>
                </w:tcPr>
                <w:p>
                  <w:pPr>
                    <w:pStyle w:val="61"/>
                    <w:keepNext w:val="0"/>
                    <w:keepLines w:val="0"/>
                    <w:suppressLineNumbers w:val="0"/>
                    <w:snapToGrid w:val="0"/>
                    <w:spacing w:before="0" w:beforeAutospacing="0" w:after="0" w:afterAutospacing="0" w:line="240" w:lineRule="auto"/>
                    <w:ind w:left="0" w:right="0"/>
                    <w:rPr>
                      <w:rFonts w:hint="default" w:ascii="Times New Roman" w:hAnsi="Times New Roman" w:cs="Times New Roman"/>
                      <w:color w:val="auto"/>
                    </w:rPr>
                  </w:pPr>
                  <w:r>
                    <w:rPr>
                      <w:rFonts w:hint="default" w:ascii="Times New Roman" w:hAnsi="Times New Roman" w:cs="Times New Roman"/>
                      <w:color w:val="auto"/>
                    </w:rPr>
                    <w:t>单元名称</w:t>
                  </w:r>
                </w:p>
              </w:tc>
              <w:tc>
                <w:tcPr>
                  <w:tcW w:w="3954" w:type="dxa"/>
                  <w:gridSpan w:val="2"/>
                  <w:noWrap w:val="0"/>
                  <w:vAlign w:val="center"/>
                </w:tcPr>
                <w:p>
                  <w:pPr>
                    <w:pStyle w:val="61"/>
                    <w:keepNext w:val="0"/>
                    <w:keepLines w:val="0"/>
                    <w:suppressLineNumbers w:val="0"/>
                    <w:snapToGrid w:val="0"/>
                    <w:spacing w:before="0" w:beforeAutospacing="0" w:after="0" w:afterAutospacing="0" w:line="240" w:lineRule="auto"/>
                    <w:ind w:left="0" w:right="0"/>
                    <w:rPr>
                      <w:rFonts w:hint="default" w:ascii="Times New Roman" w:hAnsi="Times New Roman" w:cs="Times New Roman"/>
                      <w:color w:val="auto"/>
                    </w:rPr>
                  </w:pPr>
                  <w:r>
                    <w:rPr>
                      <w:rFonts w:hint="default" w:ascii="Times New Roman" w:hAnsi="Times New Roman" w:cs="Times New Roman"/>
                      <w:color w:val="auto"/>
                    </w:rPr>
                    <w:t>管控要求</w:t>
                  </w:r>
                </w:p>
              </w:tc>
              <w:tc>
                <w:tcPr>
                  <w:tcW w:w="3226" w:type="dxa"/>
                  <w:noWrap w:val="0"/>
                  <w:vAlign w:val="center"/>
                </w:tcPr>
                <w:p>
                  <w:pPr>
                    <w:pStyle w:val="61"/>
                    <w:keepNext w:val="0"/>
                    <w:keepLines w:val="0"/>
                    <w:suppressLineNumbers w:val="0"/>
                    <w:snapToGrid w:val="0"/>
                    <w:spacing w:before="0" w:beforeAutospacing="0" w:after="0" w:afterAutospacing="0" w:line="240" w:lineRule="auto"/>
                    <w:ind w:left="0" w:right="0"/>
                    <w:rPr>
                      <w:rFonts w:hint="default" w:ascii="Times New Roman" w:hAnsi="Times New Roman" w:cs="Times New Roman"/>
                      <w:color w:val="auto"/>
                    </w:rPr>
                  </w:pPr>
                  <w:r>
                    <w:rPr>
                      <w:rFonts w:hint="default" w:ascii="Times New Roman" w:hAnsi="Times New Roman" w:cs="Times New Roman"/>
                      <w:color w:val="auto"/>
                    </w:rPr>
                    <w:t>项目实际情况</w:t>
                  </w:r>
                </w:p>
              </w:tc>
              <w:tc>
                <w:tcPr>
                  <w:tcW w:w="712" w:type="dxa"/>
                  <w:noWrap w:val="0"/>
                  <w:vAlign w:val="center"/>
                </w:tcPr>
                <w:p>
                  <w:pPr>
                    <w:pStyle w:val="61"/>
                    <w:keepNext w:val="0"/>
                    <w:keepLines w:val="0"/>
                    <w:suppressLineNumbers w:val="0"/>
                    <w:snapToGrid w:val="0"/>
                    <w:spacing w:before="0" w:beforeAutospacing="0" w:after="0" w:afterAutospacing="0" w:line="240" w:lineRule="auto"/>
                    <w:ind w:left="0" w:right="0"/>
                    <w:rPr>
                      <w:rFonts w:hint="default" w:ascii="Times New Roman" w:hAnsi="Times New Roman" w:cs="Times New Roman"/>
                      <w:color w:val="auto"/>
                    </w:rPr>
                  </w:pPr>
                  <w:r>
                    <w:rPr>
                      <w:rFonts w:hint="default" w:ascii="Times New Roman" w:hAnsi="Times New Roman" w:cs="Times New Roman"/>
                      <w:color w:val="auto"/>
                    </w:rPr>
                    <w:t>符合性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6" w:type="dxa"/>
                  <w:vMerge w:val="restart"/>
                  <w:noWrap w:val="0"/>
                  <w:vAlign w:val="center"/>
                </w:tcPr>
                <w:p>
                  <w:pPr>
                    <w:pStyle w:val="61"/>
                    <w:keepNext w:val="0"/>
                    <w:keepLines w:val="0"/>
                    <w:suppressLineNumbers w:val="0"/>
                    <w:snapToGrid w:val="0"/>
                    <w:spacing w:before="0" w:beforeAutospacing="0" w:after="0" w:afterAutospacing="0" w:line="240" w:lineRule="auto"/>
                    <w:ind w:left="0" w:right="0"/>
                    <w:rPr>
                      <w:rFonts w:hint="default" w:ascii="Times New Roman" w:hAnsi="Times New Roman" w:cs="Times New Roman"/>
                      <w:color w:val="auto"/>
                    </w:rPr>
                  </w:pPr>
                  <w:r>
                    <w:rPr>
                      <w:rFonts w:hint="default" w:ascii="Times New Roman" w:hAnsi="Times New Roman" w:cs="Times New Roman"/>
                      <w:color w:val="auto"/>
                    </w:rPr>
                    <w:t>东川区县城重点管控单元</w:t>
                  </w:r>
                </w:p>
              </w:tc>
              <w:tc>
                <w:tcPr>
                  <w:tcW w:w="625" w:type="dxa"/>
                  <w:noWrap w:val="0"/>
                  <w:vAlign w:val="center"/>
                </w:tcPr>
                <w:p>
                  <w:pPr>
                    <w:pStyle w:val="61"/>
                    <w:keepNext w:val="0"/>
                    <w:keepLines w:val="0"/>
                    <w:suppressLineNumbers w:val="0"/>
                    <w:snapToGrid w:val="0"/>
                    <w:spacing w:before="0" w:beforeAutospacing="0" w:after="0" w:afterAutospacing="0" w:line="240" w:lineRule="auto"/>
                    <w:ind w:left="0" w:right="0"/>
                    <w:rPr>
                      <w:rFonts w:hint="default" w:ascii="Times New Roman" w:hAnsi="Times New Roman" w:cs="Times New Roman"/>
                      <w:color w:val="auto"/>
                    </w:rPr>
                  </w:pPr>
                  <w:r>
                    <w:rPr>
                      <w:rFonts w:hint="default" w:ascii="Times New Roman" w:hAnsi="Times New Roman" w:cs="Times New Roman"/>
                      <w:color w:val="auto"/>
                    </w:rPr>
                    <w:t>污染物排放管控</w:t>
                  </w:r>
                </w:p>
              </w:tc>
              <w:tc>
                <w:tcPr>
                  <w:tcW w:w="3329" w:type="dxa"/>
                  <w:noWrap w:val="0"/>
                  <w:vAlign w:val="center"/>
                </w:tcPr>
                <w:p>
                  <w:pPr>
                    <w:pStyle w:val="61"/>
                    <w:keepNext w:val="0"/>
                    <w:keepLines w:val="0"/>
                    <w:suppressLineNumbers w:val="0"/>
                    <w:snapToGrid w:val="0"/>
                    <w:spacing w:before="0" w:beforeAutospacing="0" w:after="0" w:afterAutospacing="0" w:line="240" w:lineRule="auto"/>
                    <w:ind w:left="0" w:right="0"/>
                    <w:jc w:val="both"/>
                    <w:rPr>
                      <w:rFonts w:hint="default" w:ascii="Times New Roman" w:hAnsi="Times New Roman" w:cs="Times New Roman"/>
                      <w:color w:val="auto"/>
                    </w:rPr>
                  </w:pPr>
                  <w:r>
                    <w:rPr>
                      <w:rFonts w:hint="default" w:ascii="Times New Roman" w:hAnsi="Times New Roman" w:cs="Times New Roman"/>
                      <w:color w:val="auto"/>
                    </w:rPr>
                    <w:t>1.限制新建、改扩建各类畜禽养殖场，已建的应配套建设粪便污水贮存、处理、利用设施实现粪污综合利用。</w:t>
                  </w:r>
                </w:p>
                <w:p>
                  <w:pPr>
                    <w:pStyle w:val="61"/>
                    <w:keepNext w:val="0"/>
                    <w:keepLines w:val="0"/>
                    <w:suppressLineNumbers w:val="0"/>
                    <w:snapToGrid w:val="0"/>
                    <w:spacing w:before="0" w:beforeAutospacing="0" w:after="0" w:afterAutospacing="0" w:line="240" w:lineRule="auto"/>
                    <w:ind w:left="0" w:right="0"/>
                    <w:jc w:val="both"/>
                    <w:rPr>
                      <w:rFonts w:hint="default" w:ascii="Times New Roman" w:hAnsi="Times New Roman" w:cs="Times New Roman"/>
                      <w:color w:val="auto"/>
                    </w:rPr>
                  </w:pPr>
                  <w:r>
                    <w:rPr>
                      <w:rFonts w:hint="default" w:ascii="Times New Roman" w:hAnsi="Times New Roman" w:cs="Times New Roman"/>
                      <w:color w:val="auto"/>
                    </w:rPr>
                    <w:t>2.现有散、小规模养殖场（户）应限期实现退养或标准化改造。</w:t>
                  </w:r>
                </w:p>
                <w:p>
                  <w:pPr>
                    <w:pStyle w:val="61"/>
                    <w:keepNext w:val="0"/>
                    <w:keepLines w:val="0"/>
                    <w:suppressLineNumbers w:val="0"/>
                    <w:snapToGrid w:val="0"/>
                    <w:spacing w:before="0" w:beforeAutospacing="0" w:after="0" w:afterAutospacing="0" w:line="240" w:lineRule="auto"/>
                    <w:ind w:left="0" w:right="0"/>
                    <w:jc w:val="both"/>
                    <w:rPr>
                      <w:rFonts w:hint="default" w:ascii="Times New Roman" w:hAnsi="Times New Roman" w:cs="Times New Roman"/>
                      <w:color w:val="auto"/>
                    </w:rPr>
                  </w:pPr>
                  <w:r>
                    <w:rPr>
                      <w:rFonts w:hint="default" w:ascii="Times New Roman" w:hAnsi="Times New Roman" w:cs="Times New Roman"/>
                      <w:color w:val="auto"/>
                    </w:rPr>
                    <w:t>3.污水收集管网范围内除相关法律法规和标准规定必须单独设置排污口的情况外应全部纳入污水管网集中处理，现有的入河排污口应限期纳入污水管网。</w:t>
                  </w:r>
                </w:p>
                <w:p>
                  <w:pPr>
                    <w:pStyle w:val="61"/>
                    <w:keepNext w:val="0"/>
                    <w:keepLines w:val="0"/>
                    <w:suppressLineNumbers w:val="0"/>
                    <w:snapToGrid w:val="0"/>
                    <w:spacing w:before="0" w:beforeAutospacing="0" w:after="0" w:afterAutospacing="0" w:line="240" w:lineRule="auto"/>
                    <w:ind w:left="0" w:right="0"/>
                    <w:jc w:val="both"/>
                    <w:rPr>
                      <w:rFonts w:hint="default" w:ascii="Times New Roman" w:hAnsi="Times New Roman" w:cs="Times New Roman"/>
                      <w:color w:val="auto"/>
                    </w:rPr>
                  </w:pPr>
                  <w:r>
                    <w:rPr>
                      <w:rFonts w:hint="default" w:ascii="Times New Roman" w:hAnsi="Times New Roman" w:cs="Times New Roman"/>
                      <w:color w:val="auto"/>
                    </w:rPr>
                    <w:t>4.城镇生活污水集中处理率达到80%以上，生活污水处理达标率达到100%。</w:t>
                  </w:r>
                </w:p>
                <w:p>
                  <w:pPr>
                    <w:pStyle w:val="61"/>
                    <w:keepNext w:val="0"/>
                    <w:keepLines w:val="0"/>
                    <w:suppressLineNumbers w:val="0"/>
                    <w:snapToGrid w:val="0"/>
                    <w:spacing w:before="0" w:beforeAutospacing="0" w:after="0" w:afterAutospacing="0" w:line="240" w:lineRule="auto"/>
                    <w:ind w:left="0" w:right="0"/>
                    <w:jc w:val="both"/>
                    <w:rPr>
                      <w:rFonts w:hint="default" w:ascii="Times New Roman" w:hAnsi="Times New Roman" w:cs="Times New Roman"/>
                      <w:color w:val="auto"/>
                    </w:rPr>
                  </w:pPr>
                  <w:r>
                    <w:rPr>
                      <w:rFonts w:hint="default" w:ascii="Times New Roman" w:hAnsi="Times New Roman" w:cs="Times New Roman"/>
                      <w:color w:val="auto"/>
                    </w:rPr>
                    <w:t>5.按国家、省、市相关标准要求建设、改造、提升满足实际需求的生活垃圾处理厂（场）、粪便处理厂、厨余垃圾处理厂、建筑垃圾（渣土）处理场、垃圾转运站、公共厕所、生活垃圾分类设施等环卫基础设施。</w:t>
                  </w:r>
                </w:p>
              </w:tc>
              <w:tc>
                <w:tcPr>
                  <w:tcW w:w="3226" w:type="dxa"/>
                  <w:noWrap w:val="0"/>
                  <w:vAlign w:val="center"/>
                </w:tcPr>
                <w:p>
                  <w:pPr>
                    <w:pStyle w:val="61"/>
                    <w:keepNext w:val="0"/>
                    <w:keepLines w:val="0"/>
                    <w:suppressLineNumbers w:val="0"/>
                    <w:snapToGrid w:val="0"/>
                    <w:spacing w:before="0" w:beforeAutospacing="0" w:after="0" w:afterAutospacing="0" w:line="240" w:lineRule="auto"/>
                    <w:ind w:left="0" w:right="0"/>
                    <w:jc w:val="both"/>
                    <w:rPr>
                      <w:rFonts w:hint="default" w:ascii="Times New Roman" w:hAnsi="Times New Roman" w:cs="Times New Roman"/>
                      <w:color w:val="auto"/>
                    </w:rPr>
                  </w:pPr>
                  <w:r>
                    <w:rPr>
                      <w:rFonts w:hint="default" w:ascii="Times New Roman" w:hAnsi="Times New Roman" w:cs="Times New Roman"/>
                      <w:color w:val="auto"/>
                    </w:rPr>
                    <w:t>1、该项目为医院项目，不属于畜禽养殖场类项目。</w:t>
                  </w:r>
                </w:p>
                <w:p>
                  <w:pPr>
                    <w:pStyle w:val="61"/>
                    <w:keepNext w:val="0"/>
                    <w:keepLines w:val="0"/>
                    <w:suppressLineNumbers w:val="0"/>
                    <w:snapToGrid w:val="0"/>
                    <w:spacing w:before="0" w:beforeAutospacing="0" w:after="0" w:afterAutospacing="0" w:line="240" w:lineRule="auto"/>
                    <w:ind w:left="0" w:right="0"/>
                    <w:jc w:val="both"/>
                    <w:rPr>
                      <w:rFonts w:hint="default" w:ascii="Times New Roman" w:hAnsi="Times New Roman" w:cs="Times New Roman"/>
                      <w:color w:val="auto"/>
                    </w:rPr>
                  </w:pPr>
                  <w:r>
                    <w:rPr>
                      <w:rFonts w:hint="default" w:ascii="Times New Roman" w:hAnsi="Times New Roman" w:cs="Times New Roman"/>
                      <w:color w:val="auto"/>
                    </w:rPr>
                    <w:t>2、项目区废水经调节池、污水处理设施处理达到《医疗机构水污染物排放标准》（GB</w:t>
                  </w:r>
                  <w:r>
                    <w:rPr>
                      <w:rFonts w:hint="eastAsia" w:cs="Times New Roman"/>
                      <w:color w:val="auto"/>
                      <w:lang w:eastAsia="zh-CN"/>
                    </w:rPr>
                    <w:t>*****</w:t>
                  </w:r>
                  <w:r>
                    <w:rPr>
                      <w:rFonts w:hint="default" w:ascii="Times New Roman" w:hAnsi="Times New Roman" w:cs="Times New Roman"/>
                      <w:color w:val="auto"/>
                    </w:rPr>
                    <w:t>-2005）表2中预处理标准和《污水排入城镇下水道水质标准》（GB/T</w:t>
                  </w:r>
                  <w:r>
                    <w:rPr>
                      <w:rFonts w:hint="eastAsia" w:cs="Times New Roman"/>
                      <w:color w:val="auto"/>
                      <w:lang w:eastAsia="zh-CN"/>
                    </w:rPr>
                    <w:t>*****</w:t>
                  </w:r>
                  <w:r>
                    <w:rPr>
                      <w:rFonts w:hint="default" w:ascii="Times New Roman" w:hAnsi="Times New Roman" w:cs="Times New Roman"/>
                      <w:color w:val="auto"/>
                    </w:rPr>
                    <w:t>-2015）中</w:t>
                  </w:r>
                  <w:r>
                    <w:rPr>
                      <w:rFonts w:hint="default" w:ascii="Times New Roman" w:hAnsi="Times New Roman" w:cs="Times New Roman"/>
                      <w:color w:val="auto"/>
                      <w:lang w:val="en-US"/>
                    </w:rPr>
                    <w:t>A</w:t>
                  </w:r>
                  <w:r>
                    <w:rPr>
                      <w:rFonts w:hint="default" w:ascii="Times New Roman" w:hAnsi="Times New Roman" w:cs="Times New Roman"/>
                      <w:color w:val="auto"/>
                    </w:rPr>
                    <w:t>等级标准后排入市政污水管网，最终进入东川区污水处理厂。</w:t>
                  </w:r>
                </w:p>
              </w:tc>
              <w:tc>
                <w:tcPr>
                  <w:tcW w:w="712" w:type="dxa"/>
                  <w:noWrap w:val="0"/>
                  <w:vAlign w:val="center"/>
                </w:tcPr>
                <w:p>
                  <w:pPr>
                    <w:pStyle w:val="61"/>
                    <w:keepNext w:val="0"/>
                    <w:keepLines w:val="0"/>
                    <w:suppressLineNumbers w:val="0"/>
                    <w:snapToGrid w:val="0"/>
                    <w:spacing w:before="0" w:beforeAutospacing="0" w:after="0" w:afterAutospacing="0" w:line="240" w:lineRule="auto"/>
                    <w:ind w:left="0" w:right="0"/>
                    <w:rPr>
                      <w:rFonts w:hint="default" w:ascii="Times New Roman" w:hAnsi="Times New Roman" w:cs="Times New Roman"/>
                      <w:color w:val="auto"/>
                    </w:rPr>
                  </w:pPr>
                  <w:r>
                    <w:rPr>
                      <w:rFonts w:hint="default" w:ascii="Times New Roman" w:hAnsi="Times New Roman" w:cs="Times New Roman"/>
                      <w:color w:val="auto"/>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6" w:type="dxa"/>
                  <w:vMerge w:val="continue"/>
                  <w:noWrap w:val="0"/>
                  <w:vAlign w:val="center"/>
                </w:tcPr>
                <w:p>
                  <w:pPr>
                    <w:pStyle w:val="61"/>
                    <w:keepNext w:val="0"/>
                    <w:keepLines w:val="0"/>
                    <w:suppressLineNumbers w:val="0"/>
                    <w:snapToGrid w:val="0"/>
                    <w:spacing w:before="0" w:beforeAutospacing="0" w:after="0" w:afterAutospacing="0" w:line="240" w:lineRule="auto"/>
                    <w:ind w:left="0" w:right="0"/>
                    <w:rPr>
                      <w:rFonts w:hint="default" w:ascii="Times New Roman" w:hAnsi="Times New Roman" w:cs="Times New Roman"/>
                      <w:color w:val="auto"/>
                    </w:rPr>
                  </w:pPr>
                </w:p>
              </w:tc>
              <w:tc>
                <w:tcPr>
                  <w:tcW w:w="625" w:type="dxa"/>
                  <w:noWrap w:val="0"/>
                  <w:vAlign w:val="center"/>
                </w:tcPr>
                <w:p>
                  <w:pPr>
                    <w:pStyle w:val="61"/>
                    <w:keepNext w:val="0"/>
                    <w:keepLines w:val="0"/>
                    <w:suppressLineNumbers w:val="0"/>
                    <w:snapToGrid w:val="0"/>
                    <w:spacing w:before="0" w:beforeAutospacing="0" w:after="0" w:afterAutospacing="0" w:line="240" w:lineRule="auto"/>
                    <w:ind w:left="0" w:right="0"/>
                    <w:rPr>
                      <w:rFonts w:hint="default" w:ascii="Times New Roman" w:hAnsi="Times New Roman" w:cs="Times New Roman"/>
                      <w:color w:val="auto"/>
                    </w:rPr>
                  </w:pPr>
                  <w:r>
                    <w:rPr>
                      <w:rFonts w:hint="default" w:ascii="Times New Roman" w:hAnsi="Times New Roman" w:cs="Times New Roman"/>
                      <w:color w:val="auto"/>
                    </w:rPr>
                    <w:t>环境风险防控</w:t>
                  </w:r>
                </w:p>
              </w:tc>
              <w:tc>
                <w:tcPr>
                  <w:tcW w:w="3329" w:type="dxa"/>
                  <w:noWrap w:val="0"/>
                  <w:vAlign w:val="center"/>
                </w:tcPr>
                <w:p>
                  <w:pPr>
                    <w:pStyle w:val="61"/>
                    <w:keepNext w:val="0"/>
                    <w:keepLines w:val="0"/>
                    <w:suppressLineNumbers w:val="0"/>
                    <w:snapToGrid w:val="0"/>
                    <w:spacing w:before="0" w:beforeAutospacing="0" w:after="0" w:afterAutospacing="0" w:line="240" w:lineRule="auto"/>
                    <w:ind w:left="0" w:right="0"/>
                    <w:jc w:val="both"/>
                    <w:rPr>
                      <w:rFonts w:hint="default" w:ascii="Times New Roman" w:hAnsi="Times New Roman" w:cs="Times New Roman"/>
                      <w:color w:val="auto"/>
                    </w:rPr>
                  </w:pPr>
                  <w:r>
                    <w:rPr>
                      <w:rFonts w:hint="default" w:ascii="Times New Roman" w:hAnsi="Times New Roman" w:cs="Times New Roman"/>
                      <w:color w:val="auto"/>
                    </w:rPr>
                    <w:t>禁止在居民区、学校、医疗和养老机构等周边新建有色金属冶炼、焦化等行业企业。</w:t>
                  </w:r>
                </w:p>
              </w:tc>
              <w:tc>
                <w:tcPr>
                  <w:tcW w:w="3226" w:type="dxa"/>
                  <w:noWrap w:val="0"/>
                  <w:vAlign w:val="center"/>
                </w:tcPr>
                <w:p>
                  <w:pPr>
                    <w:pStyle w:val="61"/>
                    <w:keepNext w:val="0"/>
                    <w:keepLines w:val="0"/>
                    <w:suppressLineNumbers w:val="0"/>
                    <w:snapToGrid w:val="0"/>
                    <w:spacing w:before="0" w:beforeAutospacing="0" w:after="0" w:afterAutospacing="0" w:line="240" w:lineRule="auto"/>
                    <w:ind w:left="0" w:right="0"/>
                    <w:jc w:val="both"/>
                    <w:rPr>
                      <w:rFonts w:hint="default" w:ascii="Times New Roman" w:hAnsi="Times New Roman" w:cs="Times New Roman"/>
                      <w:color w:val="auto"/>
                    </w:rPr>
                  </w:pPr>
                  <w:r>
                    <w:rPr>
                      <w:rFonts w:hint="default" w:ascii="Times New Roman" w:hAnsi="Times New Roman" w:cs="Times New Roman"/>
                      <w:color w:val="auto"/>
                    </w:rPr>
                    <w:t>该项目为医院项目，不属于有色金属冶炼、焦化等行业企业。</w:t>
                  </w:r>
                </w:p>
              </w:tc>
              <w:tc>
                <w:tcPr>
                  <w:tcW w:w="712" w:type="dxa"/>
                  <w:noWrap w:val="0"/>
                  <w:vAlign w:val="center"/>
                </w:tcPr>
                <w:p>
                  <w:pPr>
                    <w:pStyle w:val="61"/>
                    <w:keepNext w:val="0"/>
                    <w:keepLines w:val="0"/>
                    <w:suppressLineNumbers w:val="0"/>
                    <w:snapToGrid w:val="0"/>
                    <w:spacing w:before="0" w:beforeAutospacing="0" w:after="0" w:afterAutospacing="0" w:line="240" w:lineRule="auto"/>
                    <w:ind w:left="0" w:right="0"/>
                    <w:rPr>
                      <w:rFonts w:hint="default" w:ascii="Times New Roman" w:hAnsi="Times New Roman" w:cs="Times New Roman"/>
                      <w:color w:val="auto"/>
                    </w:rPr>
                  </w:pPr>
                  <w:r>
                    <w:rPr>
                      <w:rFonts w:hint="default" w:ascii="Times New Roman" w:hAnsi="Times New Roman" w:cs="Times New Roman"/>
                      <w:color w:val="auto"/>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6" w:type="dxa"/>
                  <w:vMerge w:val="continue"/>
                  <w:noWrap w:val="0"/>
                  <w:vAlign w:val="center"/>
                </w:tcPr>
                <w:p>
                  <w:pPr>
                    <w:pStyle w:val="61"/>
                    <w:keepNext w:val="0"/>
                    <w:keepLines w:val="0"/>
                    <w:suppressLineNumbers w:val="0"/>
                    <w:snapToGrid w:val="0"/>
                    <w:spacing w:before="0" w:beforeAutospacing="0" w:after="0" w:afterAutospacing="0" w:line="240" w:lineRule="auto"/>
                    <w:ind w:left="0" w:right="0"/>
                    <w:rPr>
                      <w:rFonts w:hint="default" w:ascii="Times New Roman" w:hAnsi="Times New Roman" w:cs="Times New Roman"/>
                      <w:color w:val="auto"/>
                    </w:rPr>
                  </w:pPr>
                </w:p>
              </w:tc>
              <w:tc>
                <w:tcPr>
                  <w:tcW w:w="625" w:type="dxa"/>
                  <w:noWrap w:val="0"/>
                  <w:vAlign w:val="center"/>
                </w:tcPr>
                <w:p>
                  <w:pPr>
                    <w:pStyle w:val="61"/>
                    <w:keepNext w:val="0"/>
                    <w:keepLines w:val="0"/>
                    <w:suppressLineNumbers w:val="0"/>
                    <w:snapToGrid w:val="0"/>
                    <w:spacing w:before="0" w:beforeAutospacing="0" w:after="0" w:afterAutospacing="0" w:line="240" w:lineRule="auto"/>
                    <w:ind w:left="0" w:right="0"/>
                    <w:rPr>
                      <w:rFonts w:hint="default" w:ascii="Times New Roman" w:hAnsi="Times New Roman" w:cs="Times New Roman"/>
                      <w:color w:val="auto"/>
                    </w:rPr>
                  </w:pPr>
                  <w:r>
                    <w:rPr>
                      <w:rFonts w:hint="default" w:ascii="Times New Roman" w:hAnsi="Times New Roman" w:cs="Times New Roman"/>
                      <w:color w:val="auto"/>
                    </w:rPr>
                    <w:t>资源开发效率要求</w:t>
                  </w:r>
                </w:p>
              </w:tc>
              <w:tc>
                <w:tcPr>
                  <w:tcW w:w="3329" w:type="dxa"/>
                  <w:noWrap w:val="0"/>
                  <w:vAlign w:val="center"/>
                </w:tcPr>
                <w:p>
                  <w:pPr>
                    <w:pStyle w:val="61"/>
                    <w:keepNext w:val="0"/>
                    <w:keepLines w:val="0"/>
                    <w:suppressLineNumbers w:val="0"/>
                    <w:snapToGrid w:val="0"/>
                    <w:spacing w:before="0" w:beforeAutospacing="0" w:after="0" w:afterAutospacing="0" w:line="240" w:lineRule="auto"/>
                    <w:ind w:left="0" w:right="0"/>
                    <w:jc w:val="both"/>
                    <w:rPr>
                      <w:rFonts w:hint="default" w:ascii="Times New Roman" w:hAnsi="Times New Roman" w:cs="Times New Roman"/>
                      <w:color w:val="auto"/>
                    </w:rPr>
                  </w:pPr>
                  <w:r>
                    <w:rPr>
                      <w:rFonts w:hint="default" w:ascii="Times New Roman" w:hAnsi="Times New Roman" w:cs="Times New Roman"/>
                      <w:color w:val="auto"/>
                    </w:rPr>
                    <w:t>1.按照《城市新区设立审核办法》，严格审核城市新区规划建设用地规模和布局。</w:t>
                  </w:r>
                </w:p>
                <w:p>
                  <w:pPr>
                    <w:pStyle w:val="61"/>
                    <w:keepNext w:val="0"/>
                    <w:keepLines w:val="0"/>
                    <w:suppressLineNumbers w:val="0"/>
                    <w:snapToGrid w:val="0"/>
                    <w:spacing w:before="0" w:beforeAutospacing="0" w:after="0" w:afterAutospacing="0" w:line="240" w:lineRule="auto"/>
                    <w:ind w:left="0" w:right="0"/>
                    <w:jc w:val="both"/>
                    <w:rPr>
                      <w:rFonts w:hint="default" w:ascii="Times New Roman" w:hAnsi="Times New Roman" w:cs="Times New Roman"/>
                      <w:color w:val="auto"/>
                    </w:rPr>
                  </w:pPr>
                  <w:r>
                    <w:rPr>
                      <w:rFonts w:hint="default" w:ascii="Times New Roman" w:hAnsi="Times New Roman" w:cs="Times New Roman"/>
                      <w:color w:val="auto"/>
                    </w:rPr>
                    <w:t>2.禁止建设不符合《云南省用水定额》标准的项目。</w:t>
                  </w:r>
                </w:p>
                <w:p>
                  <w:pPr>
                    <w:pStyle w:val="61"/>
                    <w:keepNext w:val="0"/>
                    <w:keepLines w:val="0"/>
                    <w:suppressLineNumbers w:val="0"/>
                    <w:snapToGrid w:val="0"/>
                    <w:spacing w:before="0" w:beforeAutospacing="0" w:after="0" w:afterAutospacing="0" w:line="240" w:lineRule="auto"/>
                    <w:ind w:left="0" w:right="0"/>
                    <w:jc w:val="both"/>
                    <w:rPr>
                      <w:rFonts w:hint="default" w:ascii="Times New Roman" w:hAnsi="Times New Roman" w:cs="Times New Roman"/>
                      <w:color w:val="auto"/>
                    </w:rPr>
                  </w:pPr>
                  <w:r>
                    <w:rPr>
                      <w:rFonts w:hint="default" w:ascii="Times New Roman" w:hAnsi="Times New Roman" w:cs="Times New Roman"/>
                      <w:color w:val="auto"/>
                    </w:rPr>
                    <w:t>3.城市污水再生利用率达到20%以上。</w:t>
                  </w:r>
                </w:p>
              </w:tc>
              <w:tc>
                <w:tcPr>
                  <w:tcW w:w="3226" w:type="dxa"/>
                  <w:noWrap w:val="0"/>
                  <w:vAlign w:val="center"/>
                </w:tcPr>
                <w:p>
                  <w:pPr>
                    <w:pStyle w:val="61"/>
                    <w:keepNext w:val="0"/>
                    <w:keepLines w:val="0"/>
                    <w:suppressLineNumbers w:val="0"/>
                    <w:snapToGrid w:val="0"/>
                    <w:spacing w:before="0" w:beforeAutospacing="0" w:after="0" w:afterAutospacing="0" w:line="240" w:lineRule="auto"/>
                    <w:ind w:left="0" w:right="0"/>
                    <w:jc w:val="both"/>
                    <w:rPr>
                      <w:rFonts w:hint="default" w:ascii="Times New Roman" w:hAnsi="Times New Roman" w:cs="Times New Roman"/>
                      <w:color w:val="auto"/>
                    </w:rPr>
                  </w:pPr>
                  <w:r>
                    <w:rPr>
                      <w:rFonts w:hint="default" w:ascii="Times New Roman" w:hAnsi="Times New Roman" w:cs="Times New Roman"/>
                      <w:color w:val="auto"/>
                    </w:rPr>
                    <w:t>1、项目不涉及。</w:t>
                  </w:r>
                </w:p>
                <w:p>
                  <w:pPr>
                    <w:pStyle w:val="61"/>
                    <w:keepNext w:val="0"/>
                    <w:keepLines w:val="0"/>
                    <w:suppressLineNumbers w:val="0"/>
                    <w:snapToGrid w:val="0"/>
                    <w:spacing w:before="0" w:beforeAutospacing="0" w:after="0" w:afterAutospacing="0" w:line="240" w:lineRule="auto"/>
                    <w:ind w:left="0" w:right="0"/>
                    <w:jc w:val="both"/>
                    <w:rPr>
                      <w:rFonts w:hint="default" w:ascii="Times New Roman" w:hAnsi="Times New Roman" w:cs="Times New Roman"/>
                      <w:color w:val="auto"/>
                    </w:rPr>
                  </w:pPr>
                  <w:r>
                    <w:rPr>
                      <w:rFonts w:hint="default" w:ascii="Times New Roman" w:hAnsi="Times New Roman" w:cs="Times New Roman"/>
                      <w:color w:val="auto"/>
                    </w:rPr>
                    <w:t>2、该项目为医院项目，项目符合《云南省用水定额》标准。</w:t>
                  </w:r>
                </w:p>
                <w:p>
                  <w:pPr>
                    <w:pStyle w:val="61"/>
                    <w:keepNext w:val="0"/>
                    <w:keepLines w:val="0"/>
                    <w:suppressLineNumbers w:val="0"/>
                    <w:snapToGrid w:val="0"/>
                    <w:spacing w:before="0" w:beforeAutospacing="0" w:after="0" w:afterAutospacing="0" w:line="240" w:lineRule="auto"/>
                    <w:ind w:left="0" w:right="0"/>
                    <w:jc w:val="both"/>
                    <w:rPr>
                      <w:rFonts w:hint="default" w:ascii="Times New Roman" w:hAnsi="Times New Roman" w:cs="Times New Roman"/>
                      <w:color w:val="auto"/>
                    </w:rPr>
                  </w:pPr>
                  <w:r>
                    <w:rPr>
                      <w:rFonts w:hint="default" w:ascii="Times New Roman" w:hAnsi="Times New Roman" w:cs="Times New Roman"/>
                      <w:color w:val="auto"/>
                    </w:rPr>
                    <w:t>3、项目产生的综合废水经处理后排入市政污水管网，最终进入东川区污水处理厂。</w:t>
                  </w:r>
                </w:p>
              </w:tc>
              <w:tc>
                <w:tcPr>
                  <w:tcW w:w="712" w:type="dxa"/>
                  <w:noWrap w:val="0"/>
                  <w:vAlign w:val="center"/>
                </w:tcPr>
                <w:p>
                  <w:pPr>
                    <w:pStyle w:val="61"/>
                    <w:keepNext w:val="0"/>
                    <w:keepLines w:val="0"/>
                    <w:suppressLineNumbers w:val="0"/>
                    <w:snapToGrid w:val="0"/>
                    <w:spacing w:before="0" w:beforeAutospacing="0" w:after="0" w:afterAutospacing="0" w:line="240" w:lineRule="auto"/>
                    <w:ind w:left="0" w:right="0"/>
                    <w:rPr>
                      <w:rFonts w:hint="default" w:ascii="Times New Roman" w:hAnsi="Times New Roman" w:cs="Times New Roman"/>
                      <w:color w:val="auto"/>
                    </w:rPr>
                  </w:pPr>
                  <w:r>
                    <w:rPr>
                      <w:rFonts w:hint="default" w:ascii="Times New Roman" w:hAnsi="Times New Roman" w:cs="Times New Roman"/>
                      <w:color w:val="auto"/>
                    </w:rPr>
                    <w:t>符合</w:t>
                  </w:r>
                </w:p>
              </w:tc>
            </w:tr>
          </w:tbl>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由上表可知，项目建设满足东川区环境管控单元生态环境准入清单的相关要求。</w:t>
            </w:r>
          </w:p>
          <w:p>
            <w:pPr>
              <w:pStyle w:val="9"/>
              <w:keepNext w:val="0"/>
              <w:keepLines w:val="0"/>
              <w:widowControl w:val="0"/>
              <w:suppressLineNumbers w:val="0"/>
              <w:adjustRightInd w:val="0"/>
              <w:spacing w:before="0" w:beforeAutospacing="0" w:after="0" w:afterAutospacing="0" w:line="360" w:lineRule="auto"/>
              <w:ind w:left="0" w:right="0" w:firstLine="480" w:firstLineChars="200"/>
              <w:rPr>
                <w:rFonts w:hint="default" w:ascii="Calibri" w:hAnsi="Calibri" w:cs="Times New Roman"/>
                <w:color w:val="auto"/>
                <w:kern w:val="0"/>
                <w:sz w:val="24"/>
                <w:szCs w:val="20"/>
              </w:rPr>
            </w:pPr>
            <w:r>
              <w:rPr>
                <w:rFonts w:hint="default" w:ascii="Times New Roman" w:hAnsi="Times New Roman" w:cs="Times New Roman"/>
                <w:color w:val="auto"/>
                <w:kern w:val="0"/>
                <w:sz w:val="24"/>
                <w:szCs w:val="20"/>
              </w:rPr>
              <w:t>综上分析，项目建设符合“三线一单”要求。</w:t>
            </w:r>
          </w:p>
          <w:p>
            <w:pPr>
              <w:keepNext w:val="0"/>
              <w:keepLines w:val="0"/>
              <w:suppressLineNumbers w:val="0"/>
              <w:adjustRightInd w:val="0"/>
              <w:snapToGrid w:val="0"/>
              <w:spacing w:before="0" w:beforeAutospacing="0" w:after="0" w:afterAutospacing="0" w:line="360" w:lineRule="auto"/>
              <w:ind w:left="0" w:right="0"/>
              <w:textAlignment w:val="baseline"/>
              <w:rPr>
                <w:rFonts w:hint="default" w:ascii="Calibri" w:hAnsi="Calibri" w:cs="Times New Roman"/>
                <w:b/>
                <w:color w:val="auto"/>
                <w:sz w:val="24"/>
                <w:szCs w:val="20"/>
              </w:rPr>
            </w:pPr>
            <w:r>
              <w:rPr>
                <w:rFonts w:hint="eastAsia" w:ascii="Times New Roman" w:hAnsi="Times New Roman" w:cs="Times New Roman"/>
                <w:b/>
                <w:bCs/>
                <w:color w:val="auto"/>
                <w:sz w:val="24"/>
              </w:rPr>
              <w:t>2、</w:t>
            </w:r>
            <w:r>
              <w:rPr>
                <w:rFonts w:hint="default" w:ascii="Calibri" w:hAnsi="Calibri" w:cs="Times New Roman"/>
                <w:b/>
                <w:color w:val="auto"/>
                <w:sz w:val="24"/>
                <w:szCs w:val="20"/>
              </w:rPr>
              <w:t>项目与《长江经济带发展负面清单指南（试行</w:t>
            </w:r>
            <w:r>
              <w:rPr>
                <w:rFonts w:hint="eastAsia" w:ascii="Calibri" w:hAnsi="Calibri" w:cs="Times New Roman"/>
                <w:b/>
                <w:color w:val="auto"/>
                <w:sz w:val="24"/>
                <w:szCs w:val="20"/>
              </w:rPr>
              <w:t>，2022年版</w:t>
            </w:r>
            <w:r>
              <w:rPr>
                <w:rFonts w:hint="default" w:ascii="Calibri" w:hAnsi="Calibri" w:cs="Times New Roman"/>
                <w:b/>
                <w:color w:val="auto"/>
                <w:sz w:val="24"/>
                <w:szCs w:val="20"/>
              </w:rPr>
              <w:t>）》的符合性分析</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textAlignment w:val="baseline"/>
              <w:rPr>
                <w:rFonts w:hint="default" w:ascii="Calibri" w:hAnsi="Calibri" w:cs="Times New Roman"/>
                <w:color w:val="auto"/>
                <w:kern w:val="0"/>
                <w:sz w:val="24"/>
                <w:szCs w:val="20"/>
              </w:rPr>
            </w:pPr>
            <w:r>
              <w:rPr>
                <w:rFonts w:hint="default" w:ascii="Calibri" w:hAnsi="Calibri" w:cs="Times New Roman"/>
                <w:color w:val="auto"/>
                <w:kern w:val="0"/>
                <w:sz w:val="24"/>
                <w:szCs w:val="20"/>
              </w:rPr>
              <w:t>项目与《长江经济带发展负面清单指南（试行</w:t>
            </w:r>
            <w:r>
              <w:rPr>
                <w:rFonts w:hint="eastAsia" w:ascii="Calibri" w:hAnsi="Calibri" w:cs="Times New Roman"/>
                <w:color w:val="auto"/>
                <w:kern w:val="0"/>
                <w:sz w:val="24"/>
                <w:szCs w:val="20"/>
              </w:rPr>
              <w:t>，202</w:t>
            </w:r>
            <w:r>
              <w:rPr>
                <w:rFonts w:hint="default" w:ascii="Calibri" w:hAnsi="Calibri" w:cs="Times New Roman"/>
                <w:color w:val="auto"/>
                <w:kern w:val="0"/>
                <w:sz w:val="24"/>
                <w:szCs w:val="20"/>
              </w:rPr>
              <w:t>2</w:t>
            </w:r>
            <w:r>
              <w:rPr>
                <w:rFonts w:hint="eastAsia" w:ascii="Calibri" w:hAnsi="Calibri" w:cs="Times New Roman"/>
                <w:color w:val="auto"/>
                <w:kern w:val="0"/>
                <w:sz w:val="24"/>
                <w:szCs w:val="20"/>
              </w:rPr>
              <w:t>年版</w:t>
            </w:r>
            <w:r>
              <w:rPr>
                <w:rFonts w:hint="default" w:ascii="Calibri" w:hAnsi="Calibri" w:cs="Times New Roman"/>
                <w:color w:val="auto"/>
                <w:kern w:val="0"/>
                <w:sz w:val="24"/>
                <w:szCs w:val="20"/>
              </w:rPr>
              <w:t>）》的符合性分析如下表所示：</w:t>
            </w:r>
          </w:p>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Calibri" w:hAnsi="Calibri" w:cs="Times New Roman"/>
                <w:b/>
                <w:color w:val="auto"/>
                <w:sz w:val="24"/>
                <w:szCs w:val="24"/>
              </w:rPr>
            </w:pPr>
            <w:r>
              <w:rPr>
                <w:rFonts w:hint="default" w:ascii="Calibri" w:hAnsi="Calibri" w:cs="Times New Roman"/>
                <w:b/>
                <w:color w:val="auto"/>
                <w:kern w:val="0"/>
                <w:sz w:val="24"/>
                <w:szCs w:val="24"/>
              </w:rPr>
              <w:t>表1-</w:t>
            </w:r>
            <w:r>
              <w:rPr>
                <w:rFonts w:hint="default" w:ascii="Calibri" w:hAnsi="Calibri" w:cs="Times New Roman"/>
                <w:b/>
                <w:color w:val="auto"/>
                <w:kern w:val="0"/>
                <w:sz w:val="24"/>
                <w:szCs w:val="24"/>
                <w:lang w:val="en-US"/>
              </w:rPr>
              <w:t>4</w:t>
            </w:r>
            <w:r>
              <w:rPr>
                <w:rFonts w:hint="default" w:ascii="Calibri" w:hAnsi="Calibri" w:cs="Times New Roman"/>
                <w:b/>
                <w:color w:val="auto"/>
                <w:kern w:val="0"/>
                <w:sz w:val="24"/>
                <w:szCs w:val="24"/>
              </w:rPr>
              <w:t xml:space="preserve"> </w:t>
            </w:r>
            <w:r>
              <w:rPr>
                <w:rFonts w:hint="default" w:ascii="Calibri" w:hAnsi="Calibri" w:cs="Times New Roman"/>
                <w:b/>
                <w:color w:val="auto"/>
                <w:sz w:val="24"/>
                <w:szCs w:val="24"/>
              </w:rPr>
              <w:t>与《长江经济带发展负面清单指南（试行</w:t>
            </w:r>
            <w:r>
              <w:rPr>
                <w:rFonts w:hint="eastAsia" w:ascii="Calibri" w:hAnsi="Calibri" w:cs="Times New Roman"/>
                <w:b/>
                <w:color w:val="auto"/>
                <w:sz w:val="24"/>
                <w:szCs w:val="24"/>
              </w:rPr>
              <w:t>，2022年版</w:t>
            </w:r>
            <w:r>
              <w:rPr>
                <w:rFonts w:hint="default" w:ascii="Calibri" w:hAnsi="Calibri" w:cs="Times New Roman"/>
                <w:b/>
                <w:color w:val="auto"/>
                <w:sz w:val="24"/>
                <w:szCs w:val="24"/>
              </w:rPr>
              <w:t>）》的符合性分析一览表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3226"/>
              <w:gridCol w:w="3026"/>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b/>
                      <w:color w:val="auto"/>
                    </w:rPr>
                  </w:pPr>
                  <w:r>
                    <w:rPr>
                      <w:rFonts w:hint="default" w:ascii="Times New Roman" w:hAnsi="Times New Roman" w:cs="Times New Roman"/>
                      <w:b/>
                      <w:color w:val="auto"/>
                    </w:rPr>
                    <w:t>序号</w:t>
                  </w:r>
                </w:p>
              </w:tc>
              <w:tc>
                <w:tcPr>
                  <w:tcW w:w="2033"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b/>
                      <w:color w:val="auto"/>
                    </w:rPr>
                  </w:pPr>
                  <w:r>
                    <w:rPr>
                      <w:rFonts w:hint="default" w:ascii="Times New Roman" w:hAnsi="Times New Roman" w:cs="Times New Roman"/>
                      <w:b/>
                      <w:color w:val="auto"/>
                    </w:rPr>
                    <w:t>要求</w:t>
                  </w:r>
                </w:p>
              </w:tc>
              <w:tc>
                <w:tcPr>
                  <w:tcW w:w="1907"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b/>
                      <w:color w:val="auto"/>
                    </w:rPr>
                  </w:pPr>
                  <w:r>
                    <w:rPr>
                      <w:rFonts w:hint="default" w:ascii="Times New Roman" w:hAnsi="Times New Roman" w:cs="Times New Roman"/>
                      <w:b/>
                      <w:color w:val="auto"/>
                    </w:rPr>
                    <w:t>项目情况</w:t>
                  </w:r>
                </w:p>
              </w:tc>
              <w:tc>
                <w:tcPr>
                  <w:tcW w:w="593"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b/>
                      <w:color w:val="auto"/>
                    </w:rPr>
                  </w:pPr>
                  <w:r>
                    <w:rPr>
                      <w:rFonts w:hint="default" w:ascii="Times New Roman" w:hAnsi="Times New Roman" w:cs="Times New Roman"/>
                      <w:b/>
                      <w:color w:val="auto"/>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1</w:t>
                  </w:r>
                </w:p>
              </w:tc>
              <w:tc>
                <w:tcPr>
                  <w:tcW w:w="2033"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rPr>
                  </w:pPr>
                  <w:r>
                    <w:rPr>
                      <w:rFonts w:hint="default" w:ascii="Times New Roman" w:hAnsi="Times New Roman" w:cs="Times New Roman"/>
                      <w:color w:val="auto"/>
                      <w:kern w:val="0"/>
                    </w:rPr>
                    <w:t>禁止建设不符合全国和省级港口布局规划以及港口总体规划的码头项目，禁止建设不符合《长江干线过江通道布局规划》的过</w:t>
                  </w:r>
                  <w:r>
                    <w:rPr>
                      <w:rFonts w:hint="eastAsia" w:ascii="Times New Roman" w:hAnsi="Times New Roman" w:cs="Times New Roman"/>
                      <w:color w:val="auto"/>
                      <w:kern w:val="0"/>
                    </w:rPr>
                    <w:t>长</w:t>
                  </w:r>
                  <w:r>
                    <w:rPr>
                      <w:rFonts w:hint="default" w:ascii="Times New Roman" w:hAnsi="Times New Roman" w:cs="Times New Roman"/>
                      <w:color w:val="auto"/>
                      <w:kern w:val="0"/>
                    </w:rPr>
                    <w:t>江通道项目。</w:t>
                  </w:r>
                </w:p>
              </w:tc>
              <w:tc>
                <w:tcPr>
                  <w:tcW w:w="1907" w:type="pct"/>
                  <w:noWrap w:val="0"/>
                  <w:vAlign w:val="center"/>
                </w:tcPr>
                <w:p>
                  <w:pPr>
                    <w:keepNext w:val="0"/>
                    <w:keepLines w:val="0"/>
                    <w:widowControl/>
                    <w:suppressLineNumbers w:val="0"/>
                    <w:adjustRightInd w:val="0"/>
                    <w:snapToGrid w:val="0"/>
                    <w:spacing w:before="0" w:beforeAutospacing="0" w:after="0" w:afterAutospacing="0"/>
                    <w:ind w:left="0" w:right="0"/>
                    <w:textAlignment w:val="baseline"/>
                    <w:rPr>
                      <w:rFonts w:hint="default" w:ascii="Times New Roman" w:hAnsi="Times New Roman" w:cs="Times New Roman"/>
                      <w:color w:val="auto"/>
                    </w:rPr>
                  </w:pPr>
                  <w:r>
                    <w:rPr>
                      <w:rFonts w:hint="default" w:ascii="Times New Roman" w:hAnsi="Times New Roman" w:cs="Times New Roman"/>
                      <w:color w:val="auto"/>
                      <w:kern w:val="0"/>
                    </w:rPr>
                    <w:t>项目不涉及码头及过江通道。</w:t>
                  </w:r>
                </w:p>
              </w:tc>
              <w:tc>
                <w:tcPr>
                  <w:tcW w:w="593"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2</w:t>
                  </w:r>
                </w:p>
              </w:tc>
              <w:tc>
                <w:tcPr>
                  <w:tcW w:w="2033"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rPr>
                  </w:pPr>
                  <w:r>
                    <w:rPr>
                      <w:rFonts w:hint="default" w:ascii="Times New Roman" w:hAnsi="Times New Roman" w:cs="Times New Roman"/>
                      <w:color w:val="auto"/>
                      <w:kern w:val="0"/>
                    </w:rPr>
                    <w:t>禁止在自然保护区核心区、缓冲区的岸线和河段范围内投资建设旅游和生产经营项目。禁止在风景名胜区核心景区的岸线和河段范围内投资建设与风景名胜资源保护无关的项目。</w:t>
                  </w:r>
                </w:p>
              </w:tc>
              <w:tc>
                <w:tcPr>
                  <w:tcW w:w="1907"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rPr>
                  </w:pPr>
                  <w:r>
                    <w:rPr>
                      <w:rFonts w:hint="default" w:ascii="Times New Roman" w:hAnsi="Times New Roman" w:cs="Times New Roman"/>
                      <w:color w:val="auto"/>
                      <w:kern w:val="0"/>
                    </w:rPr>
                    <w:t>项目不涉及自然保护区核心区、风景名胜区等特殊敏感区。</w:t>
                  </w:r>
                </w:p>
              </w:tc>
              <w:tc>
                <w:tcPr>
                  <w:tcW w:w="593"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3</w:t>
                  </w:r>
                </w:p>
              </w:tc>
              <w:tc>
                <w:tcPr>
                  <w:tcW w:w="2033"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rPr>
                  </w:pPr>
                  <w:r>
                    <w:rPr>
                      <w:rFonts w:hint="default" w:ascii="Times New Roman" w:hAnsi="Times New Roman" w:cs="Times New Roman"/>
                      <w:color w:val="auto"/>
                      <w:kern w:val="0"/>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1907"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rPr>
                  </w:pPr>
                  <w:r>
                    <w:rPr>
                      <w:rFonts w:hint="default" w:ascii="Times New Roman" w:hAnsi="Times New Roman" w:cs="Times New Roman"/>
                      <w:color w:val="auto"/>
                    </w:rPr>
                    <w:t>项目</w:t>
                  </w:r>
                  <w:r>
                    <w:rPr>
                      <w:rFonts w:hint="default" w:ascii="Times New Roman" w:hAnsi="Times New Roman" w:cs="Times New Roman"/>
                      <w:color w:val="auto"/>
                      <w:kern w:val="0"/>
                    </w:rPr>
                    <w:t>不涉及饮用水水源地。</w:t>
                  </w:r>
                </w:p>
              </w:tc>
              <w:tc>
                <w:tcPr>
                  <w:tcW w:w="593"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4</w:t>
                  </w:r>
                </w:p>
              </w:tc>
              <w:tc>
                <w:tcPr>
                  <w:tcW w:w="2033" w:type="pct"/>
                  <w:noWrap w:val="0"/>
                  <w:vAlign w:val="center"/>
                </w:tcPr>
                <w:p>
                  <w:pPr>
                    <w:pStyle w:val="8"/>
                    <w:keepNext w:val="0"/>
                    <w:keepLines w:val="0"/>
                    <w:suppressLineNumbers w:val="0"/>
                    <w:adjustRightInd w:val="0"/>
                    <w:snapToGrid w:val="0"/>
                    <w:spacing w:before="0" w:beforeAutospacing="0" w:after="0" w:afterAutospacing="0"/>
                    <w:ind w:left="0" w:right="0"/>
                    <w:textAlignment w:val="baseline"/>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禁止在水产种质资源保护区的岸线和河段范围内新建围湖造田、围海造地或围填海等投资建设项目。</w:t>
                  </w:r>
                  <w:r>
                    <w:rPr>
                      <w:rFonts w:hint="default" w:ascii="Times New Roman" w:hAnsi="Times New Roman" w:cs="Times New Roman"/>
                      <w:color w:val="auto"/>
                      <w:sz w:val="21"/>
                      <w:szCs w:val="21"/>
                    </w:rPr>
                    <w:t>禁止在国家湿地公园的岸线和河段范围内挖沙、采矿，以及任何不符合主体功能定位的投资建设项目。</w:t>
                  </w:r>
                </w:p>
              </w:tc>
              <w:tc>
                <w:tcPr>
                  <w:tcW w:w="1907"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rPr>
                  </w:pPr>
                  <w:r>
                    <w:rPr>
                      <w:rFonts w:hint="default" w:ascii="Times New Roman" w:hAnsi="Times New Roman" w:cs="Times New Roman"/>
                      <w:color w:val="auto"/>
                      <w:kern w:val="0"/>
                    </w:rPr>
                    <w:t>本项目不</w:t>
                  </w:r>
                  <w:r>
                    <w:rPr>
                      <w:rFonts w:hint="eastAsia" w:ascii="Times New Roman" w:hAnsi="Times New Roman" w:cs="Times New Roman"/>
                      <w:color w:val="auto"/>
                      <w:kern w:val="0"/>
                    </w:rPr>
                    <w:t>在</w:t>
                  </w:r>
                  <w:r>
                    <w:rPr>
                      <w:rFonts w:hint="default" w:ascii="Times New Roman" w:hAnsi="Times New Roman" w:cs="Times New Roman"/>
                      <w:color w:val="auto"/>
                      <w:kern w:val="0"/>
                    </w:rPr>
                    <w:t>水产种植资源保护区、国家湿地公园的岸线和河段范围。</w:t>
                  </w:r>
                </w:p>
              </w:tc>
              <w:tc>
                <w:tcPr>
                  <w:tcW w:w="593"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5</w:t>
                  </w:r>
                </w:p>
              </w:tc>
              <w:tc>
                <w:tcPr>
                  <w:tcW w:w="2033"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rPr>
                  </w:pPr>
                  <w:r>
                    <w:rPr>
                      <w:rFonts w:hint="default" w:ascii="Times New Roman" w:hAnsi="Times New Roman" w:cs="Times New Roman"/>
                      <w:color w:val="auto"/>
                      <w:kern w:val="0"/>
                    </w:rPr>
                    <w:t>禁止</w:t>
                  </w:r>
                  <w:r>
                    <w:rPr>
                      <w:rFonts w:hint="eastAsia" w:ascii="Times New Roman" w:hAnsi="Times New Roman" w:cs="Times New Roman"/>
                      <w:color w:val="auto"/>
                      <w:kern w:val="0"/>
                    </w:rPr>
                    <w:t>违法</w:t>
                  </w:r>
                  <w:r>
                    <w:rPr>
                      <w:rFonts w:hint="default" w:ascii="Times New Roman" w:hAnsi="Times New Roman" w:cs="Times New Roman"/>
                      <w:color w:val="auto"/>
                      <w:kern w:val="0"/>
                    </w:rPr>
                    <w:t>利用、占用长江流域河湖岸线。禁止在《长江岸线保护和开发利用总体规划》划定的岸线保护区内投资建设除事关公共安全及公众利益的防洪护岸、河道整治、供水、生态环境保护、航道整治、国家重要基础设施以外的项目。禁止在《全国重要江河湖泊水功能区划》划定的河段</w:t>
                  </w:r>
                  <w:r>
                    <w:rPr>
                      <w:rFonts w:hint="eastAsia" w:ascii="Times New Roman" w:hAnsi="Times New Roman" w:cs="Times New Roman"/>
                      <w:color w:val="auto"/>
                      <w:kern w:val="0"/>
                    </w:rPr>
                    <w:t>及湖泊</w:t>
                  </w:r>
                  <w:r>
                    <w:rPr>
                      <w:rFonts w:hint="default" w:ascii="Times New Roman" w:hAnsi="Times New Roman" w:cs="Times New Roman"/>
                      <w:color w:val="auto"/>
                      <w:kern w:val="0"/>
                    </w:rPr>
                    <w:t>保护区、保留区内投资建设不利于水资源及自然生态保护的项目。</w:t>
                  </w:r>
                </w:p>
              </w:tc>
              <w:tc>
                <w:tcPr>
                  <w:tcW w:w="1907"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rPr>
                  </w:pPr>
                  <w:r>
                    <w:rPr>
                      <w:rFonts w:hint="default" w:ascii="Times New Roman" w:hAnsi="Times New Roman" w:cs="Times New Roman"/>
                      <w:color w:val="auto"/>
                      <w:kern w:val="0"/>
                    </w:rPr>
                    <w:t>本项目不在《长江岸线保护和开发利用总体规划》划定的岸线保护区和《全国重要江河湖泊水功能区划》划定的河段保护区、保留区。</w:t>
                  </w:r>
                </w:p>
              </w:tc>
              <w:tc>
                <w:tcPr>
                  <w:tcW w:w="593"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6</w:t>
                  </w:r>
                </w:p>
              </w:tc>
              <w:tc>
                <w:tcPr>
                  <w:tcW w:w="2033"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rPr>
                  </w:pPr>
                  <w:r>
                    <w:rPr>
                      <w:rFonts w:hint="default" w:ascii="Times New Roman" w:hAnsi="Times New Roman" w:cs="Times New Roman"/>
                      <w:color w:val="auto"/>
                      <w:kern w:val="0"/>
                    </w:rPr>
                    <w:t>禁止未经许可在长江干支流及湖泊新设、改设或扩大排污口</w:t>
                  </w:r>
                </w:p>
              </w:tc>
              <w:tc>
                <w:tcPr>
                  <w:tcW w:w="1907"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rPr>
                  </w:pPr>
                  <w:r>
                    <w:rPr>
                      <w:rFonts w:hint="default" w:ascii="Times New Roman" w:hAnsi="Times New Roman" w:cs="Times New Roman"/>
                      <w:color w:val="auto"/>
                      <w:kern w:val="0"/>
                    </w:rPr>
                    <w:t>本项目</w:t>
                  </w:r>
                  <w:r>
                    <w:rPr>
                      <w:rFonts w:hint="eastAsia" w:ascii="Times New Roman" w:hAnsi="Times New Roman" w:cs="Times New Roman"/>
                      <w:color w:val="auto"/>
                      <w:kern w:val="0"/>
                    </w:rPr>
                    <w:t>废水为间接排放。</w:t>
                  </w:r>
                </w:p>
              </w:tc>
              <w:tc>
                <w:tcPr>
                  <w:tcW w:w="593"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7</w:t>
                  </w:r>
                </w:p>
              </w:tc>
              <w:tc>
                <w:tcPr>
                  <w:tcW w:w="2033"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rPr>
                  </w:pPr>
                  <w:r>
                    <w:rPr>
                      <w:rFonts w:hint="default" w:ascii="Times New Roman" w:hAnsi="Times New Roman" w:cs="Times New Roman"/>
                      <w:color w:val="auto"/>
                      <w:kern w:val="0"/>
                    </w:rPr>
                    <w:t>禁止在“一江一口两湖七河”和322个水生生物保护区开展生产性捕捞</w:t>
                  </w:r>
                </w:p>
              </w:tc>
              <w:tc>
                <w:tcPr>
                  <w:tcW w:w="1907"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rPr>
                  </w:pPr>
                  <w:r>
                    <w:rPr>
                      <w:rFonts w:hint="default" w:ascii="Times New Roman" w:hAnsi="Times New Roman" w:cs="Times New Roman"/>
                      <w:color w:val="auto"/>
                      <w:kern w:val="0"/>
                    </w:rPr>
                    <w:t>项目不涉及“一江一口两湖七河”和322个水生生物保护区。</w:t>
                  </w:r>
                </w:p>
              </w:tc>
              <w:tc>
                <w:tcPr>
                  <w:tcW w:w="593"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8</w:t>
                  </w:r>
                </w:p>
              </w:tc>
              <w:tc>
                <w:tcPr>
                  <w:tcW w:w="2033"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rPr>
                  </w:pPr>
                  <w:r>
                    <w:rPr>
                      <w:rFonts w:hint="default" w:ascii="Times New Roman" w:hAnsi="Times New Roman" w:cs="Times New Roman"/>
                      <w:color w:val="auto"/>
                      <w:kern w:val="0"/>
                    </w:rPr>
                    <w:t>禁止在长江干支流、重要湖泊岸线一公里范围内新建、扩建化工园区和化工项目。禁止在长江干流岸线三公里范围内和重要支流岸线一公里范围内新建、改建、扩建尾矿库、冶炼渣库和磷石膏库，以提升安全、生态环境保护水平为目的的改建除外。</w:t>
                  </w:r>
                </w:p>
              </w:tc>
              <w:tc>
                <w:tcPr>
                  <w:tcW w:w="1907"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rPr>
                  </w:pPr>
                  <w:r>
                    <w:rPr>
                      <w:rFonts w:hint="eastAsia" w:ascii="Times New Roman" w:hAnsi="Times New Roman" w:cs="Times New Roman"/>
                      <w:color w:val="auto"/>
                      <w:kern w:val="0"/>
                    </w:rPr>
                    <w:t>本项目不属于化工项目，不属于</w:t>
                  </w:r>
                  <w:r>
                    <w:rPr>
                      <w:rFonts w:hint="default" w:ascii="Times New Roman" w:hAnsi="Times New Roman" w:cs="Times New Roman"/>
                      <w:color w:val="auto"/>
                      <w:kern w:val="0"/>
                    </w:rPr>
                    <w:t>矿库、冶炼渣库和磷石膏库。</w:t>
                  </w:r>
                </w:p>
              </w:tc>
              <w:tc>
                <w:tcPr>
                  <w:tcW w:w="593"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9</w:t>
                  </w:r>
                </w:p>
              </w:tc>
              <w:tc>
                <w:tcPr>
                  <w:tcW w:w="2033"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rPr>
                  </w:pPr>
                  <w:r>
                    <w:rPr>
                      <w:rFonts w:hint="default" w:ascii="Times New Roman" w:hAnsi="Times New Roman" w:cs="Times New Roman"/>
                      <w:color w:val="auto"/>
                      <w:kern w:val="0"/>
                    </w:rPr>
                    <w:t>禁止在合规园区外新建、扩建钢铁、石化、化工、焦化、建材、有色、制浆造纸等高污染项目。</w:t>
                  </w:r>
                </w:p>
              </w:tc>
              <w:tc>
                <w:tcPr>
                  <w:tcW w:w="1907"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rPr>
                  </w:pPr>
                  <w:r>
                    <w:rPr>
                      <w:rFonts w:hint="eastAsia" w:ascii="Times New Roman" w:hAnsi="Times New Roman" w:cs="Times New Roman"/>
                      <w:color w:val="auto"/>
                    </w:rPr>
                    <w:t>本项目不属于</w:t>
                  </w:r>
                  <w:r>
                    <w:rPr>
                      <w:rFonts w:hint="default" w:ascii="Times New Roman" w:hAnsi="Times New Roman" w:cs="Times New Roman"/>
                      <w:color w:val="auto"/>
                      <w:kern w:val="0"/>
                    </w:rPr>
                    <w:t>钢铁、石化、化工、焦化、建材、有色、制浆造纸等高污染项目。</w:t>
                  </w:r>
                </w:p>
              </w:tc>
              <w:tc>
                <w:tcPr>
                  <w:tcW w:w="593"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10</w:t>
                  </w:r>
                </w:p>
              </w:tc>
              <w:tc>
                <w:tcPr>
                  <w:tcW w:w="2033"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rPr>
                  </w:pPr>
                  <w:r>
                    <w:rPr>
                      <w:rFonts w:hint="default" w:ascii="Times New Roman" w:hAnsi="Times New Roman" w:cs="Times New Roman"/>
                      <w:color w:val="auto"/>
                      <w:kern w:val="0"/>
                    </w:rPr>
                    <w:t>禁止新建、扩建不符合国家石化、现代煤化工等产业布局规划的项目。</w:t>
                  </w:r>
                </w:p>
              </w:tc>
              <w:tc>
                <w:tcPr>
                  <w:tcW w:w="1907" w:type="pct"/>
                  <w:noWrap w:val="0"/>
                  <w:vAlign w:val="center"/>
                </w:tcPr>
                <w:p>
                  <w:pPr>
                    <w:keepNext w:val="0"/>
                    <w:keepLines w:val="0"/>
                    <w:widowControl/>
                    <w:suppressLineNumbers w:val="0"/>
                    <w:adjustRightInd w:val="0"/>
                    <w:snapToGrid w:val="0"/>
                    <w:spacing w:before="0" w:beforeAutospacing="0" w:after="0" w:afterAutospacing="0"/>
                    <w:ind w:left="0" w:right="0"/>
                    <w:textAlignment w:val="baseline"/>
                    <w:rPr>
                      <w:rFonts w:hint="default" w:ascii="Times New Roman" w:hAnsi="Times New Roman" w:cs="Times New Roman"/>
                      <w:color w:val="auto"/>
                    </w:rPr>
                  </w:pPr>
                  <w:r>
                    <w:rPr>
                      <w:rFonts w:hint="default" w:ascii="Times New Roman" w:hAnsi="Times New Roman" w:cs="Times New Roman"/>
                      <w:color w:val="auto"/>
                    </w:rPr>
                    <w:t>项目不属于</w:t>
                  </w:r>
                  <w:r>
                    <w:rPr>
                      <w:rFonts w:hint="default" w:ascii="Times New Roman" w:hAnsi="Times New Roman" w:cs="Times New Roman"/>
                      <w:color w:val="auto"/>
                      <w:kern w:val="0"/>
                    </w:rPr>
                    <w:t>不符合国家石化、现代煤化工等产业布局规划的项目。</w:t>
                  </w:r>
                </w:p>
              </w:tc>
              <w:tc>
                <w:tcPr>
                  <w:tcW w:w="593"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11</w:t>
                  </w:r>
                </w:p>
              </w:tc>
              <w:tc>
                <w:tcPr>
                  <w:tcW w:w="2033"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rPr>
                  </w:pPr>
                  <w:r>
                    <w:rPr>
                      <w:rFonts w:hint="default" w:ascii="Times New Roman" w:hAnsi="Times New Roman" w:cs="Times New Roman"/>
                      <w:color w:val="auto"/>
                      <w:kern w:val="0"/>
                    </w:rPr>
                    <w:t>禁止新建、扩建法律法规和相关政策命令禁止的落后产能项目。禁止新建、扩建不符合国家产能置换要求的严重过剩产能行业的项目。禁止新建、扩建不符合要求的高能耗高排放项目。</w:t>
                  </w:r>
                </w:p>
              </w:tc>
              <w:tc>
                <w:tcPr>
                  <w:tcW w:w="1907"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rPr>
                  </w:pPr>
                  <w:r>
                    <w:rPr>
                      <w:rFonts w:hint="default" w:ascii="Times New Roman" w:hAnsi="Times New Roman" w:cs="Times New Roman"/>
                      <w:color w:val="auto"/>
                      <w:kern w:val="0"/>
                    </w:rPr>
                    <w:t>项目工艺、设备符合国家产业政策，不属于法律法规和相关政策命令禁止的落后产能项目，不属于产能过剩行业，亦不属于高能耗高排污项目。</w:t>
                  </w:r>
                </w:p>
              </w:tc>
              <w:tc>
                <w:tcPr>
                  <w:tcW w:w="593"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12</w:t>
                  </w:r>
                </w:p>
              </w:tc>
              <w:tc>
                <w:tcPr>
                  <w:tcW w:w="2033"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rPr>
                  </w:pPr>
                  <w:r>
                    <w:rPr>
                      <w:rFonts w:hint="default" w:ascii="Times New Roman" w:hAnsi="Times New Roman" w:cs="Times New Roman"/>
                      <w:color w:val="auto"/>
                      <w:kern w:val="0"/>
                    </w:rPr>
                    <w:t>法律法规及相关产业政策文件更加严格的从其规定。</w:t>
                  </w:r>
                </w:p>
              </w:tc>
              <w:tc>
                <w:tcPr>
                  <w:tcW w:w="1907"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rPr>
                  </w:pPr>
                  <w:r>
                    <w:rPr>
                      <w:rFonts w:hint="default" w:ascii="Times New Roman" w:hAnsi="Times New Roman" w:cs="Times New Roman"/>
                      <w:color w:val="auto"/>
                      <w:kern w:val="0"/>
                    </w:rPr>
                    <w:t>/</w:t>
                  </w:r>
                </w:p>
              </w:tc>
              <w:tc>
                <w:tcPr>
                  <w:tcW w:w="593"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不涉及</w:t>
                  </w:r>
                </w:p>
              </w:tc>
            </w:tr>
          </w:tbl>
          <w:p>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Calibri" w:hAnsi="Calibri" w:cs="Times New Roman"/>
                <w:color w:val="auto"/>
                <w:kern w:val="0"/>
                <w:sz w:val="24"/>
                <w:szCs w:val="20"/>
              </w:rPr>
            </w:pPr>
            <w:r>
              <w:rPr>
                <w:rFonts w:hint="default" w:ascii="Calibri" w:hAnsi="Calibri" w:cs="Times New Roman"/>
                <w:color w:val="auto"/>
                <w:kern w:val="0"/>
                <w:sz w:val="24"/>
                <w:szCs w:val="20"/>
              </w:rPr>
              <w:t>由上表可知，本项目的建设符合《长江经济带发展负面清单指南（试</w:t>
            </w:r>
          </w:p>
          <w:p>
            <w:pPr>
              <w:keepNext w:val="0"/>
              <w:keepLines w:val="0"/>
              <w:suppressLineNumbers w:val="0"/>
              <w:adjustRightInd w:val="0"/>
              <w:snapToGrid w:val="0"/>
              <w:spacing w:before="0" w:beforeAutospacing="0" w:after="0" w:afterAutospacing="0" w:line="360" w:lineRule="auto"/>
              <w:ind w:left="0" w:right="0"/>
              <w:textAlignment w:val="baseline"/>
              <w:rPr>
                <w:rFonts w:hint="default" w:ascii="Calibri" w:hAnsi="Calibri" w:cs="Times New Roman"/>
                <w:color w:val="auto"/>
                <w:kern w:val="0"/>
                <w:sz w:val="24"/>
                <w:szCs w:val="20"/>
              </w:rPr>
            </w:pPr>
            <w:r>
              <w:rPr>
                <w:rFonts w:hint="default" w:ascii="Calibri" w:hAnsi="Calibri" w:cs="Times New Roman"/>
                <w:color w:val="auto"/>
                <w:kern w:val="0"/>
                <w:sz w:val="24"/>
                <w:szCs w:val="20"/>
              </w:rPr>
              <w:t>行</w:t>
            </w:r>
            <w:r>
              <w:rPr>
                <w:rFonts w:hint="eastAsia" w:ascii="Calibri" w:hAnsi="Calibri" w:cs="Times New Roman"/>
                <w:color w:val="auto"/>
                <w:kern w:val="0"/>
                <w:sz w:val="24"/>
                <w:szCs w:val="20"/>
              </w:rPr>
              <w:t>，2022年版</w:t>
            </w:r>
            <w:r>
              <w:rPr>
                <w:rFonts w:hint="default" w:ascii="Calibri" w:hAnsi="Calibri" w:cs="Times New Roman"/>
                <w:color w:val="auto"/>
                <w:kern w:val="0"/>
                <w:sz w:val="24"/>
                <w:szCs w:val="20"/>
              </w:rPr>
              <w:t>）》的要求。</w:t>
            </w:r>
          </w:p>
          <w:p>
            <w:pPr>
              <w:keepNext w:val="0"/>
              <w:keepLines w:val="0"/>
              <w:widowControl/>
              <w:suppressLineNumbers w:val="0"/>
              <w:spacing w:before="0" w:beforeAutospacing="0" w:after="0" w:afterAutospacing="0" w:line="360" w:lineRule="auto"/>
              <w:ind w:left="0" w:right="0"/>
              <w:rPr>
                <w:rFonts w:hint="default" w:ascii="Calibri" w:hAnsi="Calibri" w:cs="Times New Roman"/>
                <w:b/>
                <w:color w:val="auto"/>
                <w:sz w:val="24"/>
                <w:szCs w:val="20"/>
              </w:rPr>
            </w:pPr>
            <w:r>
              <w:rPr>
                <w:rFonts w:hint="default" w:ascii="Times New Roman" w:hAnsi="Times New Roman" w:cs="Times New Roman"/>
                <w:b/>
                <w:color w:val="auto"/>
                <w:sz w:val="24"/>
                <w:szCs w:val="24"/>
              </w:rPr>
              <w:t>3、</w:t>
            </w:r>
            <w:r>
              <w:rPr>
                <w:rFonts w:hint="eastAsia" w:ascii="Calibri" w:hAnsi="Calibri" w:cs="Times New Roman"/>
                <w:b/>
                <w:color w:val="auto"/>
                <w:sz w:val="24"/>
                <w:szCs w:val="20"/>
              </w:rPr>
              <w:t>与《云南省长江经济带发展负面清单指南实施细则（试行，</w:t>
            </w:r>
            <w:r>
              <w:rPr>
                <w:rFonts w:hint="default" w:ascii="Calibri" w:hAnsi="Calibri" w:cs="Times New Roman"/>
                <w:b/>
                <w:color w:val="auto"/>
                <w:sz w:val="24"/>
                <w:szCs w:val="20"/>
              </w:rPr>
              <w:t>2022</w:t>
            </w:r>
            <w:r>
              <w:rPr>
                <w:rFonts w:hint="eastAsia" w:ascii="Calibri" w:hAnsi="Calibri" w:cs="Times New Roman"/>
                <w:b/>
                <w:color w:val="auto"/>
                <w:sz w:val="24"/>
                <w:szCs w:val="20"/>
              </w:rPr>
              <w:t>年版）》相符性分析</w:t>
            </w:r>
          </w:p>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Calibri" w:hAnsi="Calibri" w:cs="Times New Roman"/>
                <w:b/>
                <w:color w:val="auto"/>
                <w:sz w:val="24"/>
                <w:szCs w:val="24"/>
              </w:rPr>
            </w:pPr>
            <w:r>
              <w:rPr>
                <w:rFonts w:hint="default" w:ascii="Calibri" w:hAnsi="Calibri" w:cs="Times New Roman"/>
                <w:b/>
                <w:color w:val="auto"/>
                <w:kern w:val="0"/>
                <w:sz w:val="24"/>
                <w:szCs w:val="24"/>
              </w:rPr>
              <w:t xml:space="preserve">表1-5 </w:t>
            </w:r>
            <w:r>
              <w:rPr>
                <w:rFonts w:hint="default" w:ascii="Calibri" w:hAnsi="Calibri" w:cs="Times New Roman"/>
                <w:b/>
                <w:color w:val="auto"/>
                <w:sz w:val="24"/>
                <w:szCs w:val="24"/>
              </w:rPr>
              <w:t>与《</w:t>
            </w:r>
            <w:r>
              <w:rPr>
                <w:rFonts w:hint="eastAsia" w:ascii="Calibri" w:hAnsi="Calibri" w:cs="Times New Roman"/>
                <w:b/>
                <w:color w:val="auto"/>
                <w:sz w:val="24"/>
                <w:szCs w:val="24"/>
              </w:rPr>
              <w:t>云南省长江经济带发展负面清单指南实施细则（试行，</w:t>
            </w:r>
            <w:r>
              <w:rPr>
                <w:rFonts w:hint="default" w:ascii="Calibri" w:hAnsi="Calibri" w:cs="Times New Roman"/>
                <w:b/>
                <w:color w:val="auto"/>
                <w:sz w:val="24"/>
                <w:szCs w:val="24"/>
              </w:rPr>
              <w:t>2022</w:t>
            </w:r>
            <w:r>
              <w:rPr>
                <w:rFonts w:hint="eastAsia" w:ascii="Calibri" w:hAnsi="Calibri" w:cs="Times New Roman"/>
                <w:b/>
                <w:color w:val="auto"/>
                <w:sz w:val="24"/>
                <w:szCs w:val="24"/>
              </w:rPr>
              <w:t>年版）</w:t>
            </w:r>
            <w:r>
              <w:rPr>
                <w:rFonts w:hint="default" w:ascii="Calibri" w:hAnsi="Calibri" w:cs="Times New Roman"/>
                <w:b/>
                <w:color w:val="auto"/>
                <w:sz w:val="24"/>
                <w:szCs w:val="24"/>
              </w:rPr>
              <w:t>》的符合性分析一览表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3821"/>
              <w:gridCol w:w="2458"/>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序号</w:t>
                  </w:r>
                </w:p>
              </w:tc>
              <w:tc>
                <w:tcPr>
                  <w:tcW w:w="2408"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要求</w:t>
                  </w:r>
                </w:p>
              </w:tc>
              <w:tc>
                <w:tcPr>
                  <w:tcW w:w="1549"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项目情况</w:t>
                  </w:r>
                </w:p>
              </w:tc>
              <w:tc>
                <w:tcPr>
                  <w:tcW w:w="586"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2408"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禁止新建、改建和扩建不符合《全国内河航道与港口布局规划》等全国港口规划和《昭通市港口码头岸线规划(金沙江段</w:t>
                  </w:r>
                  <w:r>
                    <w:rPr>
                      <w:rFonts w:hint="eastAsia" w:cs="Times New Roman"/>
                      <w:color w:val="auto"/>
                      <w:kern w:val="0"/>
                      <w:sz w:val="21"/>
                      <w:szCs w:val="21"/>
                      <w:lang w:eastAsia="zh-CN"/>
                    </w:rPr>
                    <w:t>****</w:t>
                  </w:r>
                  <w:r>
                    <w:rPr>
                      <w:rFonts w:hint="default" w:ascii="Times New Roman" w:hAnsi="Times New Roman" w:cs="Times New Roman"/>
                      <w:color w:val="auto"/>
                      <w:kern w:val="0"/>
                      <w:sz w:val="21"/>
                      <w:szCs w:val="21"/>
                    </w:rPr>
                    <w:t>年—2035年）》、《景洪港总体规划（</w:t>
                  </w:r>
                  <w:r>
                    <w:rPr>
                      <w:rFonts w:hint="eastAsia" w:cs="Times New Roman"/>
                      <w:color w:val="auto"/>
                      <w:kern w:val="0"/>
                      <w:sz w:val="21"/>
                      <w:szCs w:val="21"/>
                      <w:lang w:eastAsia="zh-CN"/>
                    </w:rPr>
                    <w:t>****</w:t>
                  </w:r>
                  <w:r>
                    <w:rPr>
                      <w:rFonts w:hint="default" w:ascii="Times New Roman" w:hAnsi="Times New Roman" w:cs="Times New Roman"/>
                      <w:color w:val="auto"/>
                      <w:kern w:val="0"/>
                      <w:sz w:val="21"/>
                      <w:szCs w:val="21"/>
                    </w:rPr>
                    <w:t>—2035年)》等州(市）级以上港口布局规划以及港口总体规划的码头</w:t>
                  </w:r>
                </w:p>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项目。</w:t>
                  </w:r>
                </w:p>
              </w:tc>
              <w:tc>
                <w:tcPr>
                  <w:tcW w:w="1549" w:type="pct"/>
                  <w:noWrap w:val="0"/>
                  <w:vAlign w:val="center"/>
                </w:tcPr>
                <w:p>
                  <w:pPr>
                    <w:keepNext w:val="0"/>
                    <w:keepLines w:val="0"/>
                    <w:widowControl/>
                    <w:suppressLineNumbers w:val="0"/>
                    <w:adjustRightInd w:val="0"/>
                    <w:snapToGrid w:val="0"/>
                    <w:spacing w:before="0" w:beforeAutospacing="0" w:after="0" w:afterAutospacing="0"/>
                    <w:ind w:left="0" w:right="0"/>
                    <w:textAlignment w:val="baseline"/>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项目</w:t>
                  </w:r>
                  <w:r>
                    <w:rPr>
                      <w:rFonts w:hint="eastAsia" w:ascii="Times New Roman" w:hAnsi="Times New Roman" w:cs="Times New Roman"/>
                      <w:color w:val="auto"/>
                      <w:kern w:val="0"/>
                      <w:sz w:val="21"/>
                      <w:szCs w:val="21"/>
                    </w:rPr>
                    <w:t>不涉及</w:t>
                  </w:r>
                  <w:r>
                    <w:rPr>
                      <w:rFonts w:hint="default" w:ascii="Times New Roman" w:hAnsi="Times New Roman" w:cs="Times New Roman"/>
                      <w:color w:val="auto"/>
                      <w:kern w:val="0"/>
                      <w:sz w:val="21"/>
                      <w:szCs w:val="21"/>
                    </w:rPr>
                    <w:t>。</w:t>
                  </w:r>
                </w:p>
              </w:tc>
              <w:tc>
                <w:tcPr>
                  <w:tcW w:w="586"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2408"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禁止在自然保护区核心区、缓冲区的岸线和河段范，围内投资建设旅游和生产经营项目。禁止建设与自然保护区保护方向不一致的旅游项目。禁止在自然保护区内进行开矿、采石、挖沙等活动。禁止在自然保护区的核心区和缓冲区内建设任何生产设施，禁止在自然保护区的实验区内建设污染环境、破坏资源或者景观的生产设施。</w:t>
                  </w:r>
                </w:p>
              </w:tc>
              <w:tc>
                <w:tcPr>
                  <w:tcW w:w="1549"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项目不</w:t>
                  </w:r>
                  <w:r>
                    <w:rPr>
                      <w:rFonts w:hint="eastAsia" w:ascii="Times New Roman" w:hAnsi="Times New Roman" w:cs="Times New Roman"/>
                      <w:color w:val="auto"/>
                      <w:kern w:val="0"/>
                      <w:sz w:val="21"/>
                      <w:szCs w:val="21"/>
                    </w:rPr>
                    <w:t>在自然保护区内</w:t>
                  </w:r>
                  <w:r>
                    <w:rPr>
                      <w:rFonts w:hint="default" w:ascii="Times New Roman" w:hAnsi="Times New Roman" w:cs="Times New Roman"/>
                      <w:color w:val="auto"/>
                      <w:kern w:val="0"/>
                      <w:sz w:val="21"/>
                      <w:szCs w:val="21"/>
                    </w:rPr>
                    <w:t>。</w:t>
                  </w:r>
                </w:p>
              </w:tc>
              <w:tc>
                <w:tcPr>
                  <w:tcW w:w="586"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2408"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rPr>
                    <w:t>禁止在风景名胜区核心景区的岸线和河段范围内投资建设与风景名胜资源保护无关的项目。禁止在风景名胜区内进行开山、采石、开矿、开荒、修坟立碑等破坏景观、植被和地形地貌的活动以及修建储存爆炸性、易燃性、放射性、毒害性、腐蚀性物品的设施;禁止在风景名胜区内设立开发区和在核心景区内建设宾馆、会所、培训中心、疗养院以及与风景名胜资源保护无关的投资建设项目。</w:t>
                  </w:r>
                </w:p>
              </w:tc>
              <w:tc>
                <w:tcPr>
                  <w:tcW w:w="1549"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项目不</w:t>
                  </w:r>
                  <w:r>
                    <w:rPr>
                      <w:rFonts w:hint="eastAsia" w:ascii="Times New Roman" w:hAnsi="Times New Roman" w:cs="Times New Roman"/>
                      <w:color w:val="auto"/>
                      <w:kern w:val="0"/>
                      <w:sz w:val="21"/>
                      <w:szCs w:val="21"/>
                    </w:rPr>
                    <w:t>在风景名胜区内</w:t>
                  </w:r>
                  <w:r>
                    <w:rPr>
                      <w:rFonts w:hint="default" w:ascii="Times New Roman" w:hAnsi="Times New Roman" w:cs="Times New Roman"/>
                      <w:color w:val="auto"/>
                      <w:kern w:val="0"/>
                      <w:sz w:val="21"/>
                      <w:szCs w:val="21"/>
                    </w:rPr>
                    <w:t>。</w:t>
                  </w:r>
                </w:p>
              </w:tc>
              <w:tc>
                <w:tcPr>
                  <w:tcW w:w="586"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2408"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禁止在饮用水水源一级保护区的岸线和河段范围，内新建、改建、扩建与供水设施和保护水源无关的投资建设项目，以及网箱养殖、畜禽养殖、旅游等可能污染饮用水水体的投资建，设项目。禁止在饮用水水源二级保护区的岸线和河段范围内新建、改建、扩建排放污染物的投资建设项目。</w:t>
                  </w:r>
                </w:p>
              </w:tc>
              <w:tc>
                <w:tcPr>
                  <w:tcW w:w="1549"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项目</w:t>
                  </w:r>
                  <w:r>
                    <w:rPr>
                      <w:rFonts w:hint="eastAsia" w:ascii="Times New Roman" w:hAnsi="Times New Roman" w:cs="Times New Roman"/>
                      <w:color w:val="auto"/>
                      <w:kern w:val="0"/>
                      <w:sz w:val="21"/>
                      <w:szCs w:val="21"/>
                    </w:rPr>
                    <w:t>不在饮用水水源一级保护区内</w:t>
                  </w:r>
                  <w:r>
                    <w:rPr>
                      <w:rFonts w:hint="default" w:ascii="Times New Roman" w:hAnsi="Times New Roman" w:cs="Times New Roman"/>
                      <w:color w:val="auto"/>
                      <w:kern w:val="0"/>
                      <w:sz w:val="21"/>
                      <w:szCs w:val="21"/>
                    </w:rPr>
                    <w:t>。</w:t>
                  </w:r>
                </w:p>
              </w:tc>
              <w:tc>
                <w:tcPr>
                  <w:tcW w:w="586"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2408"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禁止在水产种质资源保护区的岸线和河段范围内，新建围湖造田、围湖造地或围填海等投资建设项目。禁止擅自征收、占用国家湿地公园的土地;禁止在国家湿地公园内挖沙、采矿，以及建设度假村、高尔夫球场等任何不符合主体功能定位的投资建设项目。</w:t>
                  </w:r>
                </w:p>
              </w:tc>
              <w:tc>
                <w:tcPr>
                  <w:tcW w:w="1549"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项目</w:t>
                  </w:r>
                  <w:r>
                    <w:rPr>
                      <w:rFonts w:hint="eastAsia" w:ascii="Times New Roman" w:hAnsi="Times New Roman" w:cs="Times New Roman"/>
                      <w:color w:val="auto"/>
                      <w:kern w:val="0"/>
                      <w:sz w:val="21"/>
                      <w:szCs w:val="21"/>
                    </w:rPr>
                    <w:t>不涉及水产种质资源保护区</w:t>
                  </w:r>
                  <w:r>
                    <w:rPr>
                      <w:rFonts w:hint="default" w:ascii="Times New Roman" w:hAnsi="Times New Roman" w:cs="Times New Roman"/>
                      <w:color w:val="auto"/>
                      <w:kern w:val="0"/>
                      <w:sz w:val="21"/>
                      <w:szCs w:val="21"/>
                    </w:rPr>
                    <w:t>。</w:t>
                  </w:r>
                </w:p>
              </w:tc>
              <w:tc>
                <w:tcPr>
                  <w:tcW w:w="586"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2408"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eastAsia" w:ascii="Times New Roman" w:hAnsi="Times New Roman" w:cs="Times New Roman"/>
                      <w:color w:val="auto"/>
                      <w:kern w:val="0"/>
                      <w:sz w:val="21"/>
                      <w:szCs w:val="21"/>
                    </w:rPr>
                  </w:pPr>
                  <w:r>
                    <w:rPr>
                      <w:rFonts w:hint="default" w:ascii="Times New Roman" w:hAnsi="Times New Roman" w:cs="Times New Roman"/>
                      <w:color w:val="auto"/>
                      <w:kern w:val="0"/>
                      <w:sz w:val="21"/>
                      <w:szCs w:val="21"/>
                    </w:rPr>
                    <w:t>禁止违法利用、占用长江流域河湖岸线。禁止在金沙江岸线保护区和保留区内投资建设除事关公共安全及公众利益的防洪护岸、河道治理、供水、生态环境保护、航道整治、国家重要基础设施以外的项目。禁止在金沙江干流、九大高原湖泊保护区、保留区内投资建设不利于水资源及自然生态保护的项目</w:t>
                  </w:r>
                  <w:r>
                    <w:rPr>
                      <w:rFonts w:hint="eastAsia" w:ascii="Times New Roman" w:hAnsi="Times New Roman" w:cs="Times New Roman"/>
                      <w:color w:val="auto"/>
                      <w:kern w:val="0"/>
                      <w:sz w:val="21"/>
                      <w:szCs w:val="21"/>
                    </w:rPr>
                    <w:t>。</w:t>
                  </w:r>
                </w:p>
              </w:tc>
              <w:tc>
                <w:tcPr>
                  <w:tcW w:w="1549"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本项目不</w:t>
                  </w:r>
                  <w:r>
                    <w:rPr>
                      <w:rFonts w:hint="default" w:ascii="Times New Roman" w:hAnsi="Times New Roman" w:cs="Times New Roman"/>
                      <w:color w:val="auto"/>
                      <w:kern w:val="0"/>
                      <w:sz w:val="21"/>
                      <w:szCs w:val="21"/>
                    </w:rPr>
                    <w:t>利用、占用长江流域河湖岸线。</w:t>
                  </w:r>
                </w:p>
              </w:tc>
              <w:tc>
                <w:tcPr>
                  <w:tcW w:w="586"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2408"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禁止在金沙江干流、长江一级支流建设除党中央、国务院、国家投资主管部门、省级有关部门批复同意以外的过江基础设施项目;禁止未经许可在金沙江干流、长江一级支流、九大高原湖泊流域新设、改设或扩大排污口。</w:t>
                  </w:r>
                </w:p>
              </w:tc>
              <w:tc>
                <w:tcPr>
                  <w:tcW w:w="1549"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项目不</w:t>
                  </w:r>
                  <w:r>
                    <w:rPr>
                      <w:rFonts w:hint="eastAsia" w:ascii="Times New Roman" w:hAnsi="Times New Roman" w:cs="Times New Roman"/>
                      <w:color w:val="auto"/>
                      <w:kern w:val="0"/>
                      <w:sz w:val="21"/>
                      <w:szCs w:val="21"/>
                    </w:rPr>
                    <w:t>属于</w:t>
                  </w:r>
                  <w:r>
                    <w:rPr>
                      <w:rFonts w:hint="default" w:ascii="Times New Roman" w:hAnsi="Times New Roman" w:cs="Times New Roman"/>
                      <w:color w:val="auto"/>
                      <w:kern w:val="0"/>
                      <w:sz w:val="21"/>
                      <w:szCs w:val="21"/>
                    </w:rPr>
                    <w:t>过江基础设施项目</w:t>
                  </w:r>
                  <w:r>
                    <w:rPr>
                      <w:rFonts w:hint="eastAsia" w:ascii="Times New Roman" w:hAnsi="Times New Roman" w:cs="Times New Roman"/>
                      <w:color w:val="auto"/>
                      <w:kern w:val="0"/>
                      <w:sz w:val="21"/>
                      <w:szCs w:val="21"/>
                    </w:rPr>
                    <w:t>，项目废水为间接排放</w:t>
                  </w:r>
                  <w:r>
                    <w:rPr>
                      <w:rFonts w:hint="default" w:ascii="Times New Roman" w:hAnsi="Times New Roman" w:cs="Times New Roman"/>
                      <w:color w:val="auto"/>
                      <w:kern w:val="0"/>
                      <w:sz w:val="21"/>
                      <w:szCs w:val="21"/>
                    </w:rPr>
                    <w:t>。</w:t>
                  </w:r>
                </w:p>
              </w:tc>
              <w:tc>
                <w:tcPr>
                  <w:tcW w:w="586"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2408"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禁止在金沙江干流、长江一级支流、水生生物保护区和长江流域禁捕水域开展天然渔业资源生产性捕捞。</w:t>
                  </w:r>
                </w:p>
              </w:tc>
              <w:tc>
                <w:tcPr>
                  <w:tcW w:w="1549"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项目</w:t>
                  </w:r>
                  <w:r>
                    <w:rPr>
                      <w:rFonts w:hint="eastAsia" w:ascii="Times New Roman" w:hAnsi="Times New Roman" w:cs="Times New Roman"/>
                      <w:color w:val="auto"/>
                      <w:kern w:val="0"/>
                      <w:sz w:val="21"/>
                      <w:szCs w:val="21"/>
                    </w:rPr>
                    <w:t>属于医院项目，不</w:t>
                  </w:r>
                  <w:r>
                    <w:rPr>
                      <w:rFonts w:hint="default" w:ascii="Times New Roman" w:hAnsi="Times New Roman" w:cs="Times New Roman"/>
                      <w:color w:val="auto"/>
                      <w:kern w:val="0"/>
                      <w:sz w:val="21"/>
                      <w:szCs w:val="21"/>
                    </w:rPr>
                    <w:t>开展天然渔业资源生产性捕捞。</w:t>
                  </w:r>
                </w:p>
              </w:tc>
              <w:tc>
                <w:tcPr>
                  <w:tcW w:w="586"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2408"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禁止在金沙江干流,长江一级支流和九大高原湖泊岸线一公里范围内新建、扩建化工园区和化工项目。禁止在金沙江干流岸线三公里范围内和长江一级支流岸线一公里范围内新建、改建、扩建尾矿库、冶炼渣库和磷石膏库，以提升安全、生态环境保护水平为目的的改建除外。</w:t>
                  </w:r>
                </w:p>
              </w:tc>
              <w:tc>
                <w:tcPr>
                  <w:tcW w:w="1549"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项目不</w:t>
                  </w:r>
                  <w:r>
                    <w:rPr>
                      <w:rFonts w:hint="eastAsia" w:ascii="Times New Roman" w:hAnsi="Times New Roman" w:cs="Times New Roman"/>
                      <w:color w:val="auto"/>
                      <w:kern w:val="0"/>
                      <w:sz w:val="21"/>
                      <w:szCs w:val="21"/>
                    </w:rPr>
                    <w:t>属于</w:t>
                  </w:r>
                  <w:r>
                    <w:rPr>
                      <w:rFonts w:hint="default" w:ascii="Times New Roman" w:hAnsi="Times New Roman" w:cs="Times New Roman"/>
                      <w:color w:val="auto"/>
                      <w:kern w:val="0"/>
                      <w:sz w:val="21"/>
                      <w:szCs w:val="21"/>
                    </w:rPr>
                    <w:t>化工园区和化工项目</w:t>
                  </w:r>
                  <w:r>
                    <w:rPr>
                      <w:rFonts w:hint="eastAsia" w:ascii="Times New Roman" w:hAnsi="Times New Roman" w:cs="Times New Roman"/>
                      <w:color w:val="auto"/>
                      <w:kern w:val="0"/>
                      <w:sz w:val="21"/>
                      <w:szCs w:val="21"/>
                    </w:rPr>
                    <w:t>，不属于</w:t>
                  </w:r>
                  <w:r>
                    <w:rPr>
                      <w:rFonts w:hint="default" w:ascii="Times New Roman" w:hAnsi="Times New Roman" w:cs="Times New Roman"/>
                      <w:color w:val="auto"/>
                      <w:kern w:val="0"/>
                      <w:sz w:val="21"/>
                      <w:szCs w:val="21"/>
                    </w:rPr>
                    <w:t>尾矿库、冶炼渣库和磷石膏库。</w:t>
                  </w:r>
                </w:p>
              </w:tc>
              <w:tc>
                <w:tcPr>
                  <w:tcW w:w="586"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2408"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禁止在合规园区外新建、扩建钢铁、石化、化工、焦化、建材、有色、制浆造纸行业中的高污染项目。</w:t>
                  </w:r>
                </w:p>
              </w:tc>
              <w:tc>
                <w:tcPr>
                  <w:tcW w:w="1549" w:type="pct"/>
                  <w:noWrap w:val="0"/>
                  <w:vAlign w:val="center"/>
                </w:tcPr>
                <w:p>
                  <w:pPr>
                    <w:keepNext w:val="0"/>
                    <w:keepLines w:val="0"/>
                    <w:widowControl/>
                    <w:suppressLineNumbers w:val="0"/>
                    <w:adjustRightInd w:val="0"/>
                    <w:snapToGrid w:val="0"/>
                    <w:spacing w:before="0" w:beforeAutospacing="0" w:after="0" w:afterAutospacing="0"/>
                    <w:ind w:left="0" w:right="0"/>
                    <w:textAlignment w:val="baseline"/>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项目</w:t>
                  </w:r>
                  <w:r>
                    <w:rPr>
                      <w:rFonts w:hint="eastAsia" w:ascii="Times New Roman" w:hAnsi="Times New Roman" w:cs="Times New Roman"/>
                      <w:color w:val="auto"/>
                      <w:kern w:val="0"/>
                      <w:sz w:val="21"/>
                      <w:szCs w:val="21"/>
                    </w:rPr>
                    <w:t>不属于</w:t>
                  </w:r>
                  <w:r>
                    <w:rPr>
                      <w:rFonts w:hint="default" w:ascii="Times New Roman" w:hAnsi="Times New Roman" w:cs="Times New Roman"/>
                      <w:color w:val="auto"/>
                      <w:kern w:val="0"/>
                      <w:sz w:val="21"/>
                      <w:szCs w:val="21"/>
                    </w:rPr>
                    <w:t>钢铁、石化、化工、焦化、建材、有色、制浆造纸行业中的高污染项目。</w:t>
                  </w:r>
                </w:p>
              </w:tc>
              <w:tc>
                <w:tcPr>
                  <w:tcW w:w="586"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2408"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禁止新建、扩建不符合国家石化、现代煤化工等产业布局规划的项目。禁止列入《云南省城镇人口密集区危险化学品生产企业搬迁改造名单》的搬迁改造企业在原址新建、扩建危险化学品生产项目。</w:t>
                  </w:r>
                </w:p>
              </w:tc>
              <w:tc>
                <w:tcPr>
                  <w:tcW w:w="1549"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项目不</w:t>
                  </w:r>
                  <w:r>
                    <w:rPr>
                      <w:rFonts w:hint="eastAsia" w:ascii="Times New Roman" w:hAnsi="Times New Roman" w:cs="Times New Roman"/>
                      <w:color w:val="auto"/>
                      <w:sz w:val="21"/>
                      <w:szCs w:val="21"/>
                    </w:rPr>
                    <w:t>属于</w:t>
                  </w:r>
                  <w:r>
                    <w:rPr>
                      <w:rFonts w:hint="default" w:ascii="Times New Roman" w:hAnsi="Times New Roman" w:cs="Times New Roman"/>
                      <w:color w:val="auto"/>
                      <w:kern w:val="0"/>
                      <w:sz w:val="21"/>
                      <w:szCs w:val="21"/>
                    </w:rPr>
                    <w:t>国家石化、现代煤化工等产业。</w:t>
                  </w:r>
                </w:p>
              </w:tc>
              <w:tc>
                <w:tcPr>
                  <w:tcW w:w="586"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2408"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禁止新建、扩建法律法规和相关政策明令禁止的落后产能项目，依法依规关停退出能耗、环保、质量、安全不达标产能和技术落后产能。禁止新建、扩建不符合国家产能置换要求的过剩产能行业的项目。禁止新建、扩建不符合要求的高耗能、高排放项目，推动退出重点高耗能行业“限制类”产能。禁止建设高毒高残留以及对环境影响大的农药原药生产装置，严控尿素、磷、电石、焦炭、黄磷、烧碱、纯碱、聚氧乙烯等行业新增产能。</w:t>
                  </w:r>
                </w:p>
              </w:tc>
              <w:tc>
                <w:tcPr>
                  <w:tcW w:w="1549"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项目不属于所列建设项目类型。</w:t>
                  </w:r>
                </w:p>
              </w:tc>
              <w:tc>
                <w:tcPr>
                  <w:tcW w:w="586"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bl>
          <w:p>
            <w:pPr>
              <w:keepNext w:val="0"/>
              <w:keepLines w:val="0"/>
              <w:suppressLineNumbers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cs="Times New Roman"/>
                <w:b/>
                <w:color w:val="auto"/>
                <w:sz w:val="24"/>
                <w:szCs w:val="24"/>
              </w:rPr>
            </w:pPr>
            <w:r>
              <w:rPr>
                <w:rFonts w:hint="default" w:ascii="Calibri" w:hAnsi="Calibri" w:cs="Times New Roman"/>
                <w:color w:val="auto"/>
                <w:sz w:val="24"/>
              </w:rPr>
              <w:t>由上表可知，本项目的建设符合</w:t>
            </w:r>
            <w:r>
              <w:rPr>
                <w:rFonts w:hint="default" w:ascii="Calibri" w:hAnsi="Calibri" w:cs="Times New Roman"/>
                <w:bCs/>
                <w:color w:val="auto"/>
                <w:sz w:val="24"/>
                <w:szCs w:val="24"/>
              </w:rPr>
              <w:t>《</w:t>
            </w:r>
            <w:r>
              <w:rPr>
                <w:rFonts w:hint="eastAsia" w:ascii="Calibri" w:hAnsi="Calibri" w:cs="Times New Roman"/>
                <w:bCs/>
                <w:color w:val="auto"/>
                <w:sz w:val="24"/>
                <w:szCs w:val="24"/>
              </w:rPr>
              <w:t>云南省长江经济带发展负面清单指南实施细则（试行，</w:t>
            </w:r>
            <w:r>
              <w:rPr>
                <w:rFonts w:hint="default" w:ascii="Calibri" w:hAnsi="Calibri" w:cs="Times New Roman"/>
                <w:bCs/>
                <w:color w:val="auto"/>
                <w:sz w:val="24"/>
                <w:szCs w:val="24"/>
              </w:rPr>
              <w:t>2022</w:t>
            </w:r>
            <w:r>
              <w:rPr>
                <w:rFonts w:hint="eastAsia" w:ascii="Calibri" w:hAnsi="Calibri" w:cs="Times New Roman"/>
                <w:bCs/>
                <w:color w:val="auto"/>
                <w:sz w:val="24"/>
                <w:szCs w:val="24"/>
              </w:rPr>
              <w:t>年版）</w:t>
            </w:r>
            <w:r>
              <w:rPr>
                <w:rFonts w:hint="default" w:ascii="Calibri" w:hAnsi="Calibri" w:cs="Times New Roman"/>
                <w:bCs/>
                <w:color w:val="auto"/>
                <w:sz w:val="24"/>
                <w:szCs w:val="24"/>
              </w:rPr>
              <w:t>》</w:t>
            </w:r>
            <w:r>
              <w:rPr>
                <w:rFonts w:hint="default" w:ascii="Calibri" w:hAnsi="Calibri" w:cs="Times New Roman"/>
                <w:color w:val="auto"/>
                <w:sz w:val="24"/>
              </w:rPr>
              <w:t>的要求</w:t>
            </w:r>
            <w:r>
              <w:rPr>
                <w:rFonts w:hint="eastAsia" w:ascii="Calibri" w:hAnsi="Calibri" w:cs="Times New Roman"/>
                <w:color w:val="auto"/>
                <w:sz w:val="24"/>
              </w:rPr>
              <w:t>。</w:t>
            </w:r>
          </w:p>
          <w:p>
            <w:pPr>
              <w:pStyle w:val="6"/>
              <w:keepNext w:val="0"/>
              <w:keepLines w:val="0"/>
              <w:numPr>
                <w:ilvl w:val="0"/>
                <w:numId w:val="0"/>
              </w:numPr>
              <w:suppressLineNumbers w:val="0"/>
              <w:spacing w:before="0" w:beforeAutospacing="0" w:after="0" w:afterAutospacing="0" w:line="360" w:lineRule="auto"/>
              <w:ind w:left="0" w:right="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rPr>
              <w:t>4</w:t>
            </w:r>
            <w:r>
              <w:rPr>
                <w:rFonts w:hint="eastAsia" w:ascii="Times New Roman" w:hAnsi="Times New Roman" w:eastAsia="宋体" w:cs="Times New Roman"/>
                <w:b/>
                <w:bCs/>
                <w:color w:val="auto"/>
                <w:sz w:val="24"/>
                <w:szCs w:val="24"/>
                <w:lang w:val="en-US" w:eastAsia="zh-CN"/>
              </w:rPr>
              <w:t>、</w:t>
            </w:r>
            <w:r>
              <w:rPr>
                <w:rFonts w:hint="default" w:ascii="Times New Roman" w:hAnsi="Times New Roman" w:eastAsia="宋体" w:cs="Times New Roman"/>
                <w:b/>
                <w:bCs/>
                <w:color w:val="auto"/>
                <w:sz w:val="24"/>
                <w:szCs w:val="24"/>
              </w:rPr>
              <w:t>与《医疗污水处理工程技术规范》</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项目与</w:t>
            </w:r>
            <w:r>
              <w:rPr>
                <w:rFonts w:hint="default" w:ascii="Times New Roman" w:hAnsi="Times New Roman" w:eastAsia="宋体" w:cs="Times New Roman"/>
                <w:color w:val="auto"/>
                <w:sz w:val="24"/>
                <w:szCs w:val="24"/>
              </w:rPr>
              <w:t>《医疗污水处理工程技术规范》</w:t>
            </w:r>
            <w:r>
              <w:rPr>
                <w:rFonts w:hint="default" w:ascii="Times New Roman" w:hAnsi="Times New Roman" w:eastAsia="宋体" w:cs="Times New Roman"/>
                <w:color w:val="auto"/>
                <w:sz w:val="24"/>
                <w:szCs w:val="24"/>
                <w:lang w:eastAsia="zh-CN"/>
              </w:rPr>
              <w:t>相符性分析见表。</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eastAsia="zh-CN"/>
              </w:rPr>
              <w:t>表</w:t>
            </w:r>
            <w:r>
              <w:rPr>
                <w:rFonts w:hint="default" w:ascii="Times New Roman" w:hAnsi="Times New Roman" w:eastAsia="宋体" w:cs="Times New Roman"/>
                <w:b/>
                <w:bCs/>
                <w:color w:val="auto"/>
                <w:sz w:val="24"/>
                <w:szCs w:val="24"/>
                <w:lang w:val="en-US" w:eastAsia="zh-CN"/>
              </w:rPr>
              <w:t xml:space="preserve">1-6 </w:t>
            </w:r>
            <w:r>
              <w:rPr>
                <w:rFonts w:hint="default" w:ascii="Times New Roman" w:hAnsi="Times New Roman" w:eastAsia="宋体" w:cs="Times New Roman"/>
                <w:b/>
                <w:bCs/>
                <w:color w:val="auto"/>
                <w:sz w:val="24"/>
                <w:szCs w:val="24"/>
                <w:lang w:eastAsia="zh-CN"/>
              </w:rPr>
              <w:t>与</w:t>
            </w:r>
            <w:r>
              <w:rPr>
                <w:rFonts w:hint="default" w:ascii="Times New Roman" w:hAnsi="Times New Roman" w:eastAsia="宋体" w:cs="Times New Roman"/>
                <w:b/>
                <w:bCs/>
                <w:color w:val="auto"/>
                <w:sz w:val="24"/>
                <w:szCs w:val="24"/>
              </w:rPr>
              <w:t>《医疗污水处理工程技术规范》</w:t>
            </w:r>
            <w:r>
              <w:rPr>
                <w:rFonts w:hint="default" w:ascii="Times New Roman" w:hAnsi="Times New Roman" w:eastAsia="宋体" w:cs="Times New Roman"/>
                <w:b/>
                <w:bCs/>
                <w:color w:val="auto"/>
                <w:sz w:val="24"/>
                <w:szCs w:val="24"/>
                <w:lang w:eastAsia="zh-CN"/>
              </w:rPr>
              <w:t>相符性分析</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6"/>
              <w:gridCol w:w="3525"/>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06"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Calibri" w:hAnsi="Calibri" w:cs="Times New Roman"/>
                      <w:color w:val="auto"/>
                      <w:sz w:val="21"/>
                      <w:szCs w:val="21"/>
                      <w:vertAlign w:val="baseline"/>
                      <w:lang w:val="en-US" w:eastAsia="zh-CN"/>
                    </w:rPr>
                  </w:pPr>
                  <w:r>
                    <w:rPr>
                      <w:rFonts w:hint="default" w:ascii="Calibri" w:hAnsi="Calibri" w:cs="Times New Roman"/>
                      <w:color w:val="auto"/>
                      <w:sz w:val="21"/>
                      <w:szCs w:val="21"/>
                    </w:rPr>
                    <w:t>《医疗污水处理工程技术规范》</w:t>
                  </w:r>
                </w:p>
              </w:tc>
              <w:tc>
                <w:tcPr>
                  <w:tcW w:w="3525"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Calibri" w:hAnsi="Calibri" w:cs="Times New Roman"/>
                      <w:color w:val="auto"/>
                      <w:sz w:val="21"/>
                      <w:szCs w:val="21"/>
                      <w:vertAlign w:val="baseline"/>
                      <w:lang w:val="en-US" w:eastAsia="zh-CN"/>
                    </w:rPr>
                  </w:pPr>
                  <w:r>
                    <w:rPr>
                      <w:rFonts w:hint="eastAsia" w:ascii="Calibri" w:hAnsi="Calibri" w:cs="Times New Roman"/>
                      <w:color w:val="auto"/>
                      <w:sz w:val="21"/>
                      <w:szCs w:val="21"/>
                      <w:vertAlign w:val="baseline"/>
                      <w:lang w:val="en-US" w:eastAsia="zh-CN"/>
                    </w:rPr>
                    <w:t>本项目情况</w:t>
                  </w:r>
                </w:p>
              </w:tc>
              <w:tc>
                <w:tcPr>
                  <w:tcW w:w="904"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Calibri" w:hAnsi="Calibri" w:cs="Times New Roman"/>
                      <w:color w:val="auto"/>
                      <w:sz w:val="21"/>
                      <w:szCs w:val="21"/>
                      <w:vertAlign w:val="baseline"/>
                      <w:lang w:val="en-US" w:eastAsia="zh-CN"/>
                    </w:rPr>
                  </w:pPr>
                  <w:r>
                    <w:rPr>
                      <w:rFonts w:hint="eastAsia" w:ascii="Calibri" w:hAnsi="Calibri" w:cs="Times New Roman"/>
                      <w:color w:val="auto"/>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06"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Calibri" w:hAnsi="Calibri" w:cs="Times New Roman"/>
                      <w:color w:val="auto"/>
                      <w:sz w:val="21"/>
                      <w:szCs w:val="21"/>
                      <w:vertAlign w:val="baseline"/>
                      <w:lang w:val="en-US" w:eastAsia="zh-CN"/>
                    </w:rPr>
                  </w:pPr>
                  <w:r>
                    <w:rPr>
                      <w:rFonts w:hint="default" w:ascii="宋体" w:hAnsi="宋体" w:eastAsia="宋体" w:cs="宋体"/>
                      <w:color w:val="auto"/>
                      <w:sz w:val="21"/>
                      <w:szCs w:val="21"/>
                    </w:rPr>
                    <w:t>当医院污水直接排入水体时，其 水质必须处理，当硬水质均达到 国家排放标准时才可以排放。</w:t>
                  </w:r>
                </w:p>
              </w:tc>
              <w:tc>
                <w:tcPr>
                  <w:tcW w:w="3525"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Calibri" w:hAnsi="Calibri" w:cs="Times New Roman"/>
                      <w:color w:val="auto"/>
                      <w:sz w:val="21"/>
                      <w:szCs w:val="21"/>
                      <w:vertAlign w:val="baseline"/>
                      <w:lang w:val="en-US" w:eastAsia="zh-CN"/>
                    </w:rPr>
                  </w:pPr>
                  <w:r>
                    <w:rPr>
                      <w:rFonts w:hint="default" w:ascii="宋体" w:hAnsi="宋体" w:eastAsia="宋体" w:cs="宋体"/>
                      <w:color w:val="auto"/>
                      <w:sz w:val="21"/>
                      <w:szCs w:val="21"/>
                    </w:rPr>
                    <w:t>项目医疗废水和生活废水经自建的化粪池和污水处理站处理达标后排入市政污水管网，最终进入</w:t>
                  </w:r>
                  <w:r>
                    <w:rPr>
                      <w:rFonts w:hint="eastAsia" w:ascii="宋体" w:hAnsi="宋体" w:eastAsia="宋体" w:cs="宋体"/>
                      <w:color w:val="auto"/>
                      <w:sz w:val="21"/>
                      <w:szCs w:val="21"/>
                      <w:lang w:eastAsia="zh-CN"/>
                    </w:rPr>
                    <w:t>东川区污水处理厂</w:t>
                  </w:r>
                  <w:r>
                    <w:rPr>
                      <w:rFonts w:hint="default" w:ascii="宋体" w:hAnsi="宋体" w:eastAsia="宋体" w:cs="宋体"/>
                      <w:color w:val="auto"/>
                      <w:sz w:val="21"/>
                      <w:szCs w:val="21"/>
                    </w:rPr>
                    <w:t>进行处理，不直接排入水体。</w:t>
                  </w:r>
                </w:p>
              </w:tc>
              <w:tc>
                <w:tcPr>
                  <w:tcW w:w="904"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Calibri" w:hAnsi="Calibri" w:cs="Times New Roman"/>
                      <w:color w:val="auto"/>
                      <w:sz w:val="21"/>
                      <w:szCs w:val="21"/>
                      <w:vertAlign w:val="baseline"/>
                      <w:lang w:val="en-US" w:eastAsia="zh-CN"/>
                    </w:rPr>
                  </w:pPr>
                  <w:r>
                    <w:rPr>
                      <w:rFonts w:hint="eastAsia" w:ascii="Calibri" w:hAnsi="Calibri" w:cs="Times New Roman"/>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06"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Calibri" w:hAnsi="Calibri" w:cs="Times New Roman"/>
                      <w:color w:val="auto"/>
                      <w:sz w:val="21"/>
                      <w:szCs w:val="21"/>
                      <w:vertAlign w:val="baseline"/>
                      <w:lang w:val="en-US" w:eastAsia="zh-CN"/>
                    </w:rPr>
                  </w:pPr>
                  <w:r>
                    <w:rPr>
                      <w:rFonts w:hint="default" w:ascii="宋体" w:hAnsi="宋体" w:eastAsia="宋体" w:cs="宋体"/>
                      <w:color w:val="auto"/>
                      <w:sz w:val="21"/>
                      <w:szCs w:val="21"/>
                    </w:rPr>
                    <w:t>对含有放射性、重金属及其他有 毒、有害的污水进行预处理，达 到相应标准后才可以达到污水处 理站或城市下水道。</w:t>
                  </w:r>
                </w:p>
              </w:tc>
              <w:tc>
                <w:tcPr>
                  <w:tcW w:w="3525"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Calibri" w:hAnsi="Calibri" w:cs="Times New Roman"/>
                      <w:color w:val="auto"/>
                      <w:sz w:val="21"/>
                      <w:szCs w:val="21"/>
                      <w:vertAlign w:val="baseline"/>
                      <w:lang w:val="en-US" w:eastAsia="zh-CN"/>
                    </w:rPr>
                  </w:pPr>
                  <w:r>
                    <w:rPr>
                      <w:rFonts w:hint="default" w:ascii="宋体" w:hAnsi="宋体" w:eastAsia="宋体" w:cs="宋体"/>
                      <w:color w:val="auto"/>
                      <w:sz w:val="21"/>
                      <w:szCs w:val="21"/>
                    </w:rPr>
                    <w:t>项目不涉及放射性、重金属及其他有 毒、有害废水；项目医疗废水和生活 废水经自建的化粪池和污水处理站处理达标后排入市政污水管网，最终进入</w:t>
                  </w:r>
                  <w:r>
                    <w:rPr>
                      <w:rFonts w:hint="eastAsia" w:ascii="宋体" w:hAnsi="宋体" w:eastAsia="宋体" w:cs="宋体"/>
                      <w:color w:val="auto"/>
                      <w:sz w:val="21"/>
                      <w:szCs w:val="21"/>
                      <w:lang w:eastAsia="zh-CN"/>
                    </w:rPr>
                    <w:t>东川区污水处理</w:t>
                  </w:r>
                  <w:r>
                    <w:rPr>
                      <w:rFonts w:hint="default" w:ascii="宋体" w:hAnsi="宋体" w:eastAsia="宋体" w:cs="宋体"/>
                      <w:color w:val="auto"/>
                      <w:sz w:val="21"/>
                      <w:szCs w:val="21"/>
                    </w:rPr>
                    <w:t>厂进行处理。</w:t>
                  </w:r>
                </w:p>
              </w:tc>
              <w:tc>
                <w:tcPr>
                  <w:tcW w:w="904"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Calibri" w:hAnsi="Calibri"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06"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Calibri" w:hAnsi="Calibri" w:cs="Times New Roman"/>
                      <w:color w:val="auto"/>
                      <w:sz w:val="21"/>
                      <w:szCs w:val="21"/>
                      <w:vertAlign w:val="baseline"/>
                      <w:lang w:val="en-US" w:eastAsia="zh-CN"/>
                    </w:rPr>
                  </w:pPr>
                  <w:r>
                    <w:rPr>
                      <w:rFonts w:hint="default" w:ascii="宋体" w:hAnsi="宋体" w:eastAsia="宋体" w:cs="宋体"/>
                      <w:color w:val="auto"/>
                      <w:sz w:val="21"/>
                      <w:szCs w:val="21"/>
                    </w:rPr>
                    <w:t>经处理后的医院污水排入有污水 处理厂的市政排水系统时，应符 合现行国家标准《污水综合排放 标准》GB8978 规定的三级标准和 现行国家标准《医疗机构污水排 放要求》GB</w:t>
                  </w:r>
                  <w:r>
                    <w:rPr>
                      <w:rFonts w:hint="eastAsia" w:ascii="宋体" w:hAnsi="宋体" w:cs="宋体"/>
                      <w:color w:val="auto"/>
                      <w:sz w:val="21"/>
                      <w:szCs w:val="21"/>
                      <w:lang w:eastAsia="zh-CN"/>
                    </w:rPr>
                    <w:t>*****</w:t>
                  </w:r>
                  <w:r>
                    <w:rPr>
                      <w:rFonts w:hint="default" w:ascii="宋体" w:hAnsi="宋体" w:eastAsia="宋体" w:cs="宋体"/>
                      <w:color w:val="auto"/>
                      <w:sz w:val="21"/>
                      <w:szCs w:val="21"/>
                    </w:rPr>
                    <w:t>的规定。</w:t>
                  </w:r>
                </w:p>
              </w:tc>
              <w:tc>
                <w:tcPr>
                  <w:tcW w:w="3525"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Calibri" w:hAnsi="Calibri" w:cs="Times New Roman"/>
                      <w:color w:val="auto"/>
                      <w:sz w:val="21"/>
                      <w:szCs w:val="21"/>
                      <w:vertAlign w:val="baseline"/>
                      <w:lang w:val="en-US" w:eastAsia="zh-CN"/>
                    </w:rPr>
                  </w:pPr>
                  <w:r>
                    <w:rPr>
                      <w:rFonts w:hint="default" w:ascii="宋体" w:hAnsi="宋体" w:eastAsia="宋体" w:cs="宋体"/>
                      <w:color w:val="auto"/>
                      <w:sz w:val="21"/>
                      <w:szCs w:val="21"/>
                    </w:rPr>
                    <w:t>项目废水经自建化粪池、污水处理站 处理达到《医疗机构水污染物排放标准》（GB</w:t>
                  </w:r>
                  <w:r>
                    <w:rPr>
                      <w:rFonts w:hint="eastAsia" w:ascii="宋体" w:hAnsi="宋体" w:cs="宋体"/>
                      <w:color w:val="auto"/>
                      <w:sz w:val="21"/>
                      <w:szCs w:val="21"/>
                      <w:lang w:eastAsia="zh-CN"/>
                    </w:rPr>
                    <w:t>*****</w:t>
                  </w:r>
                  <w:r>
                    <w:rPr>
                      <w:rFonts w:hint="default" w:ascii="宋体" w:hAnsi="宋体" w:eastAsia="宋体" w:cs="宋体"/>
                      <w:color w:val="auto"/>
                      <w:sz w:val="21"/>
                      <w:szCs w:val="21"/>
                    </w:rPr>
                    <w:t xml:space="preserve">-2005）表2预处理标 准及《污水排入城镇下水道水质标 准》（GB/T </w:t>
                  </w:r>
                  <w:r>
                    <w:rPr>
                      <w:rFonts w:hint="eastAsia" w:ascii="宋体" w:hAnsi="宋体" w:cs="宋体"/>
                      <w:color w:val="auto"/>
                      <w:sz w:val="21"/>
                      <w:szCs w:val="21"/>
                      <w:lang w:eastAsia="zh-CN"/>
                    </w:rPr>
                    <w:t>*****</w:t>
                  </w:r>
                  <w:r>
                    <w:rPr>
                      <w:rFonts w:hint="default" w:ascii="宋体" w:hAnsi="宋体" w:eastAsia="宋体" w:cs="宋体"/>
                      <w:color w:val="auto"/>
                      <w:sz w:val="21"/>
                      <w:szCs w:val="21"/>
                    </w:rPr>
                    <w:t>－2015）表1中A等级标准限值后排入市政污水管网，最终进入</w:t>
                  </w:r>
                  <w:r>
                    <w:rPr>
                      <w:rFonts w:hint="eastAsia" w:ascii="宋体" w:hAnsi="宋体" w:eastAsia="宋体" w:cs="宋体"/>
                      <w:color w:val="auto"/>
                      <w:sz w:val="21"/>
                      <w:szCs w:val="21"/>
                      <w:lang w:eastAsia="zh-CN"/>
                    </w:rPr>
                    <w:t>东川区污水处理</w:t>
                  </w:r>
                  <w:r>
                    <w:rPr>
                      <w:rFonts w:hint="default" w:ascii="宋体" w:hAnsi="宋体" w:eastAsia="宋体" w:cs="宋体"/>
                      <w:color w:val="auto"/>
                      <w:sz w:val="21"/>
                      <w:szCs w:val="21"/>
                    </w:rPr>
                    <w:t>厂进行处理。</w:t>
                  </w:r>
                </w:p>
              </w:tc>
              <w:tc>
                <w:tcPr>
                  <w:tcW w:w="904"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Calibri" w:hAnsi="Calibri"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06"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Calibri" w:hAnsi="Calibri" w:cs="Times New Roman"/>
                      <w:color w:val="auto"/>
                      <w:sz w:val="21"/>
                      <w:szCs w:val="21"/>
                      <w:vertAlign w:val="baseline"/>
                      <w:lang w:val="en-US" w:eastAsia="zh-CN"/>
                    </w:rPr>
                  </w:pPr>
                  <w:r>
                    <w:rPr>
                      <w:rFonts w:hint="default" w:ascii="宋体" w:hAnsi="宋体" w:eastAsia="宋体" w:cs="宋体"/>
                      <w:color w:val="auto"/>
                      <w:sz w:val="21"/>
                      <w:szCs w:val="21"/>
                    </w:rPr>
                    <w:t>排入未设置污水处理厂的市政排 水系统、地面水域时，应根据污 水受纳水体对生物学指标和有关 理化指标的要求，符合现行国家 标准《污水综合排放标准》 GB8978 规定的一级或二级标准的要求。</w:t>
                  </w:r>
                </w:p>
              </w:tc>
              <w:tc>
                <w:tcPr>
                  <w:tcW w:w="3525"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Calibri" w:hAnsi="Calibri" w:cs="Times New Roman"/>
                      <w:color w:val="auto"/>
                      <w:sz w:val="21"/>
                      <w:szCs w:val="21"/>
                      <w:vertAlign w:val="baseline"/>
                      <w:lang w:val="en-US" w:eastAsia="zh-CN"/>
                    </w:rPr>
                  </w:pPr>
                  <w:r>
                    <w:rPr>
                      <w:rFonts w:hint="default" w:ascii="宋体" w:hAnsi="宋体" w:eastAsia="宋体" w:cs="宋体"/>
                      <w:color w:val="auto"/>
                      <w:sz w:val="21"/>
                      <w:szCs w:val="21"/>
                    </w:rPr>
                    <w:t>项目周边已配套建设市政污水管网、 城市</w:t>
                  </w:r>
                  <w:r>
                    <w:rPr>
                      <w:rFonts w:hint="eastAsia" w:ascii="宋体" w:hAnsi="宋体" w:eastAsia="宋体" w:cs="宋体"/>
                      <w:color w:val="auto"/>
                      <w:sz w:val="21"/>
                      <w:szCs w:val="21"/>
                      <w:lang w:eastAsia="zh-CN"/>
                    </w:rPr>
                    <w:t>污水处理</w:t>
                  </w:r>
                  <w:r>
                    <w:rPr>
                      <w:rFonts w:hint="default" w:ascii="宋体" w:hAnsi="宋体" w:eastAsia="宋体" w:cs="宋体"/>
                      <w:color w:val="auto"/>
                      <w:sz w:val="21"/>
                      <w:szCs w:val="21"/>
                    </w:rPr>
                    <w:t>厂。</w:t>
                  </w:r>
                </w:p>
              </w:tc>
              <w:tc>
                <w:tcPr>
                  <w:tcW w:w="904"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Calibri" w:hAnsi="Calibri" w:cs="Times New Roman"/>
                      <w:color w:val="auto"/>
                      <w:sz w:val="21"/>
                      <w:szCs w:val="21"/>
                      <w:vertAlign w:val="baseline"/>
                      <w:lang w:val="en-US" w:eastAsia="zh-CN"/>
                    </w:rPr>
                  </w:pPr>
                </w:p>
              </w:tc>
            </w:tr>
          </w:tbl>
          <w:p>
            <w:pPr>
              <w:pStyle w:val="6"/>
              <w:keepNext w:val="0"/>
              <w:keepLines w:val="0"/>
              <w:numPr>
                <w:ilvl w:val="0"/>
                <w:numId w:val="0"/>
              </w:numPr>
              <w:suppressLineNumbers w:val="0"/>
              <w:spacing w:before="0" w:beforeAutospacing="0" w:after="0" w:afterAutospacing="0" w:line="360" w:lineRule="auto"/>
              <w:ind w:left="0" w:right="0" w:firstLine="480" w:firstLineChars="200"/>
              <w:rPr>
                <w:rFonts w:hint="default" w:ascii="Calibri" w:hAnsi="Calibri" w:cs="Times New Roman"/>
                <w:color w:val="auto"/>
                <w:lang w:val="en-US" w:eastAsia="zh-CN"/>
              </w:rPr>
            </w:pPr>
            <w:r>
              <w:rPr>
                <w:rFonts w:hint="default" w:ascii="宋体" w:hAnsi="宋体" w:eastAsia="宋体" w:cs="宋体"/>
                <w:color w:val="auto"/>
                <w:sz w:val="24"/>
                <w:szCs w:val="24"/>
              </w:rPr>
              <w:t>由上表可知，项目符合《医院污水处理设计规范》的相关要求。</w:t>
            </w:r>
          </w:p>
          <w:p>
            <w:pPr>
              <w:pStyle w:val="6"/>
              <w:keepNext w:val="0"/>
              <w:keepLines w:val="0"/>
              <w:numPr>
                <w:ilvl w:val="0"/>
                <w:numId w:val="0"/>
              </w:numPr>
              <w:suppressLineNumbers w:val="0"/>
              <w:spacing w:before="0" w:beforeAutospacing="0" w:after="0" w:afterAutospacing="0" w:line="360" w:lineRule="auto"/>
              <w:ind w:left="0" w:right="0"/>
              <w:rPr>
                <w:rFonts w:hint="default" w:ascii="Times New Roman" w:hAnsi="Times New Roman" w:eastAsia="宋体" w:cs="Times New Roman"/>
                <w:b/>
                <w:bCs/>
                <w:color w:val="auto"/>
                <w:sz w:val="24"/>
                <w:szCs w:val="24"/>
                <w:lang w:val="zh-CN"/>
              </w:rPr>
            </w:pPr>
            <w:r>
              <w:rPr>
                <w:rFonts w:hint="default" w:ascii="Times New Roman" w:hAnsi="Times New Roman" w:eastAsia="宋体" w:cs="Times New Roman"/>
                <w:b/>
                <w:bCs/>
                <w:color w:val="auto"/>
                <w:sz w:val="24"/>
                <w:szCs w:val="24"/>
                <w:lang w:val="en-US"/>
              </w:rPr>
              <w:t>5</w:t>
            </w:r>
            <w:r>
              <w:rPr>
                <w:rFonts w:hint="eastAsia" w:ascii="Times New Roman" w:hAnsi="Times New Roman" w:eastAsia="宋体" w:cs="Times New Roman"/>
                <w:b/>
                <w:bCs/>
                <w:color w:val="auto"/>
                <w:sz w:val="24"/>
                <w:szCs w:val="24"/>
                <w:lang w:val="en-US" w:eastAsia="zh-CN"/>
              </w:rPr>
              <w:t>、</w:t>
            </w:r>
            <w:r>
              <w:rPr>
                <w:rFonts w:hint="default" w:ascii="Times New Roman" w:hAnsi="Times New Roman" w:eastAsia="宋体" w:cs="Times New Roman"/>
                <w:b/>
                <w:bCs/>
                <w:color w:val="auto"/>
                <w:sz w:val="24"/>
                <w:szCs w:val="24"/>
              </w:rPr>
              <w:t>《关于印发医疗机构废弃物综合治理工作方案的通知》</w:t>
            </w:r>
            <w:r>
              <w:rPr>
                <w:rFonts w:hint="default" w:ascii="Times New Roman" w:hAnsi="Times New Roman" w:eastAsia="宋体" w:cs="Times New Roman"/>
                <w:b/>
                <w:bCs/>
                <w:i w:val="0"/>
                <w:iCs w:val="0"/>
                <w:caps w:val="0"/>
                <w:color w:val="auto"/>
                <w:spacing w:val="0"/>
                <w:sz w:val="24"/>
                <w:szCs w:val="24"/>
                <w:shd w:val="clear" w:color="auto" w:fill="FFFFFF"/>
              </w:rPr>
              <w:t>国卫医发〔2020〕3号</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项目与《关于印发医疗机构废弃物综合治理工作方案的通知》相符性分析见表</w:t>
            </w:r>
            <w:r>
              <w:rPr>
                <w:rFonts w:hint="eastAsia" w:ascii="Times New Roman" w:hAnsi="Times New Roman" w:eastAsia="宋体" w:cs="Times New Roman"/>
                <w:color w:val="auto"/>
                <w:sz w:val="24"/>
                <w:szCs w:val="24"/>
                <w:lang w:eastAsia="zh-CN"/>
              </w:rPr>
              <w:t>。</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eastAsia="zh-CN"/>
              </w:rPr>
              <w:t>表</w:t>
            </w:r>
            <w:r>
              <w:rPr>
                <w:rFonts w:hint="default" w:ascii="Times New Roman" w:hAnsi="Times New Roman" w:eastAsia="宋体" w:cs="Times New Roman"/>
                <w:b/>
                <w:bCs/>
                <w:color w:val="auto"/>
                <w:sz w:val="24"/>
                <w:szCs w:val="24"/>
                <w:lang w:val="en-US" w:eastAsia="zh-CN"/>
              </w:rPr>
              <w:t xml:space="preserve">1-7 </w:t>
            </w:r>
            <w:r>
              <w:rPr>
                <w:rFonts w:hint="default" w:ascii="Times New Roman" w:hAnsi="Times New Roman" w:eastAsia="宋体" w:cs="Times New Roman"/>
                <w:b/>
                <w:bCs/>
                <w:color w:val="auto"/>
                <w:sz w:val="24"/>
                <w:szCs w:val="24"/>
                <w:lang w:eastAsia="zh-CN"/>
              </w:rPr>
              <w:t>与</w:t>
            </w:r>
            <w:r>
              <w:rPr>
                <w:rFonts w:hint="default" w:ascii="Times New Roman" w:hAnsi="Times New Roman" w:eastAsia="宋体" w:cs="Times New Roman"/>
                <w:b/>
                <w:bCs/>
                <w:color w:val="auto"/>
                <w:sz w:val="24"/>
                <w:szCs w:val="24"/>
              </w:rPr>
              <w:t>《关于印发医疗机构废弃物综合治理工作方案的通知》</w:t>
            </w:r>
            <w:r>
              <w:rPr>
                <w:rFonts w:hint="default" w:ascii="Times New Roman" w:hAnsi="Times New Roman" w:eastAsia="宋体" w:cs="Times New Roman"/>
                <w:b/>
                <w:bCs/>
                <w:color w:val="auto"/>
                <w:sz w:val="24"/>
                <w:szCs w:val="24"/>
                <w:lang w:eastAsia="zh-CN"/>
              </w:rPr>
              <w:t>相符性分析</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9"/>
              <w:gridCol w:w="3412"/>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19"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宋体" w:hAnsi="宋体" w:eastAsia="宋体" w:cs="宋体"/>
                      <w:i w:val="0"/>
                      <w:iCs w:val="0"/>
                      <w:caps w:val="0"/>
                      <w:color w:val="auto"/>
                      <w:spacing w:val="0"/>
                      <w:sz w:val="21"/>
                      <w:szCs w:val="21"/>
                      <w:shd w:val="clear" w:color="auto" w:fill="FFFFFF"/>
                      <w:lang w:val="zh-CN"/>
                    </w:rPr>
                  </w:pPr>
                  <w:r>
                    <w:rPr>
                      <w:rFonts w:hint="default" w:ascii="宋体" w:hAnsi="宋体" w:eastAsia="宋体" w:cs="宋体"/>
                      <w:color w:val="auto"/>
                      <w:sz w:val="21"/>
                      <w:szCs w:val="21"/>
                      <w:vertAlign w:val="baseline"/>
                      <w:lang w:val="zh-CN" w:eastAsia="zh-CN"/>
                    </w:rPr>
                    <w:t>《关于印发医疗机构废弃物综合治理工作方案的通知》</w:t>
                  </w:r>
                </w:p>
              </w:tc>
              <w:tc>
                <w:tcPr>
                  <w:tcW w:w="3412"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宋体" w:hAnsi="宋体" w:cs="宋体"/>
                      <w:color w:val="auto"/>
                      <w:sz w:val="21"/>
                      <w:szCs w:val="21"/>
                      <w:vertAlign w:val="baseline"/>
                      <w:lang w:val="zh-CN"/>
                    </w:rPr>
                  </w:pPr>
                  <w:r>
                    <w:rPr>
                      <w:rFonts w:hint="eastAsia" w:ascii="宋体" w:hAnsi="宋体" w:cs="宋体"/>
                      <w:color w:val="auto"/>
                      <w:sz w:val="21"/>
                      <w:szCs w:val="21"/>
                      <w:vertAlign w:val="baseline"/>
                      <w:lang w:val="zh-CN"/>
                    </w:rPr>
                    <w:t>本项目情况</w:t>
                  </w:r>
                </w:p>
              </w:tc>
              <w:tc>
                <w:tcPr>
                  <w:tcW w:w="904"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宋体" w:hAnsi="宋体" w:cs="宋体"/>
                      <w:color w:val="auto"/>
                      <w:sz w:val="21"/>
                      <w:szCs w:val="21"/>
                      <w:vertAlign w:val="baseline"/>
                      <w:lang w:val="zh-CN"/>
                    </w:rPr>
                  </w:pPr>
                  <w:r>
                    <w:rPr>
                      <w:rFonts w:hint="eastAsia" w:ascii="宋体" w:hAnsi="宋体" w:cs="宋体"/>
                      <w:color w:val="auto"/>
                      <w:sz w:val="21"/>
                      <w:szCs w:val="21"/>
                      <w:vertAlign w:val="baseline"/>
                      <w:lang w:val="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19"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i w:val="0"/>
                      <w:iCs w:val="0"/>
                      <w:caps w:val="0"/>
                      <w:color w:val="auto"/>
                      <w:spacing w:val="0"/>
                      <w:sz w:val="21"/>
                      <w:szCs w:val="21"/>
                      <w:shd w:val="clear" w:color="auto" w:fill="FFFFFF"/>
                    </w:rPr>
                    <w:t>加强源头管理。医疗机构废弃物分为医疗废物、生活垃圾和输液瓶（袋）。通过规范分类和清晰流程，各医疗机构内形成分类投放、分类收集、分类贮存、分类交接、分类转运的废弃物管理系统。充分利用电子标签、二维码等信息化技术手段，对药品和医用耗材购入、使用和处置等环节进行精细化全程跟踪管理，鼓励医疗机构使用具有追溯功能的医疗用品、具有计数功能的可复用容器，确保医疗机构废弃物应分尽分和可追溯。</w:t>
                  </w:r>
                </w:p>
              </w:tc>
              <w:tc>
                <w:tcPr>
                  <w:tcW w:w="3412"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宋体" w:hAnsi="宋体" w:cs="宋体"/>
                      <w:color w:val="auto"/>
                      <w:sz w:val="21"/>
                      <w:szCs w:val="21"/>
                      <w:vertAlign w:val="baseline"/>
                      <w:lang w:val="zh-CN"/>
                    </w:rPr>
                  </w:pPr>
                  <w:r>
                    <w:rPr>
                      <w:rFonts w:hint="eastAsia" w:ascii="宋体" w:hAnsi="宋体" w:cs="宋体"/>
                      <w:color w:val="auto"/>
                      <w:sz w:val="21"/>
                      <w:szCs w:val="21"/>
                      <w:vertAlign w:val="baseline"/>
                      <w:lang w:val="zh-CN"/>
                    </w:rPr>
                    <w:t>本项目医疗废物分类规范。</w:t>
                  </w:r>
                </w:p>
              </w:tc>
              <w:tc>
                <w:tcPr>
                  <w:tcW w:w="904"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宋体" w:hAnsi="宋体" w:cs="宋体"/>
                      <w:color w:val="auto"/>
                      <w:sz w:val="21"/>
                      <w:szCs w:val="21"/>
                      <w:vertAlign w:val="baseline"/>
                      <w:lang w:val="zh-CN"/>
                    </w:rPr>
                  </w:pPr>
                  <w:r>
                    <w:rPr>
                      <w:rFonts w:hint="eastAsia" w:ascii="宋体" w:hAnsi="宋体" w:cs="宋体"/>
                      <w:color w:val="auto"/>
                      <w:sz w:val="21"/>
                      <w:szCs w:val="21"/>
                      <w:vertAlign w:val="baseline"/>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19"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宋体" w:hAnsi="宋体" w:cs="宋体"/>
                      <w:color w:val="auto"/>
                      <w:sz w:val="21"/>
                      <w:szCs w:val="21"/>
                      <w:vertAlign w:val="baseline"/>
                      <w:lang w:val="zh-CN"/>
                    </w:rPr>
                  </w:pPr>
                  <w:r>
                    <w:rPr>
                      <w:rFonts w:hint="eastAsia" w:ascii="宋体" w:hAnsi="宋体" w:eastAsia="宋体" w:cs="宋体"/>
                      <w:i w:val="0"/>
                      <w:iCs w:val="0"/>
                      <w:caps w:val="0"/>
                      <w:color w:val="auto"/>
                      <w:spacing w:val="0"/>
                      <w:sz w:val="21"/>
                      <w:szCs w:val="21"/>
                      <w:shd w:val="clear" w:color="auto" w:fill="FFFFFF"/>
                    </w:rPr>
                    <w:t>医疗机构按照《医疗废物分类目录》等要求制定具体的分类收集清单。严格落实危险废物申报登记和管理计划备案要求，依法向生态环境部门申报医疗废物的种类、产生量、流向、贮存和处置等情况。严禁混合医疗废物、生活垃圾和输液瓶（袋），严禁混放各类医疗废物。规范医疗废物贮存场所（设施）管理，不得露天存放。及时告知并将医疗废物交由持有危险废物经营许可证的集中处置单位，执行转移联单并做好交接登记，资料保存不少于3年。</w:t>
                  </w:r>
                </w:p>
              </w:tc>
              <w:tc>
                <w:tcPr>
                  <w:tcW w:w="3412"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zh-CN"/>
                    </w:rPr>
                    <w:t>本项目医疗废物分类规范，设有医疗废物暂存间，医疗废物收集后交由有资质单位清运处置，资料保存</w:t>
                  </w:r>
                  <w:r>
                    <w:rPr>
                      <w:rFonts w:hint="default" w:ascii="宋体" w:hAnsi="宋体" w:cs="宋体"/>
                      <w:color w:val="auto"/>
                      <w:sz w:val="21"/>
                      <w:szCs w:val="21"/>
                      <w:vertAlign w:val="baseline"/>
                      <w:lang w:val="en-US"/>
                    </w:rPr>
                    <w:t>5</w:t>
                  </w:r>
                  <w:r>
                    <w:rPr>
                      <w:rFonts w:hint="eastAsia" w:ascii="宋体" w:hAnsi="宋体" w:cs="宋体"/>
                      <w:color w:val="auto"/>
                      <w:sz w:val="21"/>
                      <w:szCs w:val="21"/>
                      <w:vertAlign w:val="baseline"/>
                      <w:lang w:val="en-US" w:eastAsia="zh-CN"/>
                    </w:rPr>
                    <w:t>年。</w:t>
                  </w:r>
                </w:p>
              </w:tc>
              <w:tc>
                <w:tcPr>
                  <w:tcW w:w="904"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宋体" w:hAnsi="宋体" w:cs="宋体"/>
                      <w:color w:val="auto"/>
                      <w:sz w:val="21"/>
                      <w:szCs w:val="21"/>
                      <w:vertAlign w:val="baseline"/>
                      <w:lang w:val="zh-CN"/>
                    </w:rPr>
                  </w:pPr>
                  <w:r>
                    <w:rPr>
                      <w:rFonts w:hint="eastAsia" w:ascii="宋体" w:hAnsi="宋体" w:cs="宋体"/>
                      <w:color w:val="auto"/>
                      <w:sz w:val="21"/>
                      <w:szCs w:val="21"/>
                      <w:vertAlign w:val="baseline"/>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19"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宋体" w:hAnsi="宋体" w:cs="宋体"/>
                      <w:color w:val="auto"/>
                      <w:sz w:val="21"/>
                      <w:szCs w:val="21"/>
                      <w:vertAlign w:val="baseline"/>
                      <w:lang w:val="zh-CN"/>
                    </w:rPr>
                  </w:pPr>
                  <w:r>
                    <w:rPr>
                      <w:rFonts w:hint="eastAsia" w:ascii="宋体" w:hAnsi="宋体" w:eastAsia="宋体" w:cs="宋体"/>
                      <w:i w:val="0"/>
                      <w:iCs w:val="0"/>
                      <w:caps w:val="0"/>
                      <w:color w:val="auto"/>
                      <w:spacing w:val="0"/>
                      <w:sz w:val="21"/>
                      <w:szCs w:val="21"/>
                      <w:shd w:val="clear" w:color="auto" w:fill="FFFFFF"/>
                    </w:rPr>
                    <w:t>医疗机构要严格落实生活垃圾分类管理有关政策，将非传染病患者或家属在就诊过程中产生的生活垃圾，以及医疗机构职工非医疗活动产生的生活垃圾，与医疗活动中产生的医疗废物、输液瓶（袋）等区别管理。做好医疗机构生活垃圾的接收、运输和处理工作。</w:t>
                  </w:r>
                </w:p>
              </w:tc>
              <w:tc>
                <w:tcPr>
                  <w:tcW w:w="3412"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宋体" w:hAnsi="宋体" w:cs="宋体"/>
                      <w:color w:val="auto"/>
                      <w:sz w:val="21"/>
                      <w:szCs w:val="21"/>
                      <w:vertAlign w:val="baseline"/>
                      <w:lang w:val="zh-CN"/>
                    </w:rPr>
                  </w:pPr>
                  <w:r>
                    <w:rPr>
                      <w:rFonts w:hint="eastAsia" w:ascii="宋体" w:hAnsi="宋体" w:cs="宋体"/>
                      <w:color w:val="auto"/>
                      <w:sz w:val="21"/>
                      <w:szCs w:val="21"/>
                      <w:vertAlign w:val="baseline"/>
                      <w:lang w:val="zh-CN"/>
                    </w:rPr>
                    <w:t>本项目医疗废物严格管理，医疗废物和生活垃圾分类处理。</w:t>
                  </w:r>
                </w:p>
              </w:tc>
              <w:tc>
                <w:tcPr>
                  <w:tcW w:w="904"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宋体" w:hAnsi="宋体" w:cs="宋体"/>
                      <w:color w:val="auto"/>
                      <w:sz w:val="21"/>
                      <w:szCs w:val="21"/>
                      <w:vertAlign w:val="baseline"/>
                      <w:lang w:val="zh-CN"/>
                    </w:rPr>
                  </w:pPr>
                  <w:r>
                    <w:rPr>
                      <w:rFonts w:hint="eastAsia" w:ascii="宋体" w:hAnsi="宋体" w:cs="宋体"/>
                      <w:color w:val="auto"/>
                      <w:sz w:val="21"/>
                      <w:szCs w:val="21"/>
                      <w:vertAlign w:val="baseline"/>
                      <w:lang w:val="zh-CN"/>
                    </w:rPr>
                    <w:t>符合</w:t>
                  </w:r>
                </w:p>
              </w:tc>
            </w:tr>
          </w:tbl>
          <w:p>
            <w:pPr>
              <w:pStyle w:val="6"/>
              <w:keepNext w:val="0"/>
              <w:keepLines w:val="0"/>
              <w:numPr>
                <w:ilvl w:val="0"/>
                <w:numId w:val="0"/>
              </w:numPr>
              <w:suppressLineNumbers w:val="0"/>
              <w:spacing w:before="0" w:beforeAutospacing="0" w:after="0" w:afterAutospacing="0" w:line="360" w:lineRule="auto"/>
              <w:ind w:left="0" w:right="0" w:firstLine="480" w:firstLineChars="200"/>
              <w:rPr>
                <w:rFonts w:hint="default" w:ascii="Calibri" w:hAnsi="Calibri" w:cs="Times New Roman"/>
                <w:color w:val="auto"/>
                <w:lang w:val="en-US" w:eastAsia="zh-CN"/>
              </w:rPr>
            </w:pPr>
            <w:r>
              <w:rPr>
                <w:rFonts w:hint="default" w:ascii="宋体" w:hAnsi="宋体" w:eastAsia="宋体" w:cs="宋体"/>
                <w:color w:val="auto"/>
                <w:sz w:val="24"/>
                <w:szCs w:val="24"/>
              </w:rPr>
              <w:t>由上表可知，项目符合</w:t>
            </w:r>
            <w:r>
              <w:rPr>
                <w:rFonts w:hint="default" w:ascii="Times New Roman" w:hAnsi="Times New Roman" w:eastAsia="宋体" w:cs="Times New Roman"/>
                <w:color w:val="auto"/>
                <w:sz w:val="24"/>
                <w:szCs w:val="24"/>
                <w:lang w:eastAsia="zh-CN"/>
              </w:rPr>
              <w:t>《关于印发医疗机构废弃物综合治理工作方案的通知》</w:t>
            </w:r>
            <w:r>
              <w:rPr>
                <w:rFonts w:hint="default" w:ascii="宋体" w:hAnsi="宋体" w:eastAsia="宋体" w:cs="宋体"/>
                <w:color w:val="auto"/>
                <w:sz w:val="24"/>
                <w:szCs w:val="24"/>
              </w:rPr>
              <w:t>的相关要求。</w:t>
            </w:r>
          </w:p>
          <w:p>
            <w:pPr>
              <w:pStyle w:val="96"/>
              <w:keepNext w:val="0"/>
              <w:keepLines w:val="0"/>
              <w:suppressLineNumbers w:val="0"/>
              <w:spacing w:before="0" w:beforeAutospacing="0" w:after="0" w:afterAutospacing="0"/>
              <w:ind w:left="0" w:right="0"/>
              <w:rPr>
                <w:rFonts w:hint="eastAsia" w:ascii="Calibri" w:hAnsi="Calibri" w:cs="Times New Roman"/>
                <w:b/>
                <w:color w:val="auto"/>
              </w:rPr>
            </w:pPr>
            <w:r>
              <w:rPr>
                <w:rFonts w:hint="default" w:ascii="Calibri" w:hAnsi="Calibri" w:cs="Times New Roman"/>
                <w:b/>
                <w:color w:val="auto"/>
                <w:lang w:val="en-US"/>
              </w:rPr>
              <w:t>6</w:t>
            </w:r>
            <w:r>
              <w:rPr>
                <w:rFonts w:hint="eastAsia" w:ascii="Calibri" w:hAnsi="Calibri" w:cs="Times New Roman"/>
                <w:b/>
                <w:color w:val="auto"/>
              </w:rPr>
              <w:t>、与</w:t>
            </w:r>
            <w:r>
              <w:rPr>
                <w:rFonts w:hint="default" w:ascii="Calibri" w:hAnsi="Calibri" w:cs="Times New Roman"/>
                <w:b/>
                <w:color w:val="auto"/>
              </w:rPr>
              <w:t>《昆明市医疗废物管理规定》</w:t>
            </w:r>
            <w:r>
              <w:rPr>
                <w:rFonts w:hint="eastAsia" w:ascii="Calibri" w:hAnsi="Calibri" w:cs="Times New Roman"/>
                <w:b/>
                <w:color w:val="auto"/>
              </w:rPr>
              <w:t>符合性分析</w:t>
            </w:r>
          </w:p>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
                <w:color w:val="auto"/>
                <w:sz w:val="24"/>
              </w:rPr>
            </w:pPr>
            <w:r>
              <w:rPr>
                <w:rFonts w:hint="default" w:ascii="Calibri" w:hAnsi="Calibri" w:cs="Times New Roman"/>
                <w:b/>
                <w:color w:val="auto"/>
                <w:sz w:val="24"/>
              </w:rPr>
              <w:t>表</w:t>
            </w:r>
            <w:r>
              <w:rPr>
                <w:rFonts w:hint="eastAsia" w:ascii="Calibri" w:hAnsi="Calibri" w:cs="Times New Roman"/>
                <w:b/>
                <w:color w:val="auto"/>
                <w:sz w:val="24"/>
              </w:rPr>
              <w:t>1-</w:t>
            </w:r>
            <w:r>
              <w:rPr>
                <w:rFonts w:hint="default" w:ascii="Calibri" w:hAnsi="Calibri" w:cs="Times New Roman"/>
                <w:b/>
                <w:color w:val="auto"/>
                <w:sz w:val="24"/>
                <w:lang w:val="en-US"/>
              </w:rPr>
              <w:t>8</w:t>
            </w:r>
            <w:r>
              <w:rPr>
                <w:rFonts w:hint="default" w:ascii="Calibri" w:hAnsi="Calibri" w:cs="Times New Roman"/>
                <w:b/>
                <w:color w:val="auto"/>
                <w:sz w:val="24"/>
              </w:rPr>
              <w:t xml:space="preserve"> 与《昆明市医疗废物管理规定》对照分析</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3428"/>
              <w:gridCol w:w="2817"/>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09"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rPr>
                  </w:pPr>
                  <w:r>
                    <w:rPr>
                      <w:rFonts w:hint="default" w:ascii="Times New Roman" w:hAnsi="Times New Roman" w:cs="Times New Roman"/>
                      <w:b/>
                      <w:color w:val="auto"/>
                    </w:rPr>
                    <w:t>序号</w:t>
                  </w:r>
                </w:p>
              </w:tc>
              <w:tc>
                <w:tcPr>
                  <w:tcW w:w="2160"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rPr>
                  </w:pPr>
                  <w:r>
                    <w:rPr>
                      <w:rFonts w:hint="default" w:ascii="Times New Roman" w:hAnsi="Times New Roman" w:cs="Times New Roman"/>
                      <w:b/>
                      <w:color w:val="auto"/>
                    </w:rPr>
                    <w:t>《昆明市医疗废物管理规定》要求</w:t>
                  </w:r>
                </w:p>
              </w:tc>
              <w:tc>
                <w:tcPr>
                  <w:tcW w:w="1775"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rPr>
                  </w:pPr>
                  <w:r>
                    <w:rPr>
                      <w:rFonts w:hint="default" w:ascii="Times New Roman" w:hAnsi="Times New Roman" w:cs="Times New Roman"/>
                      <w:b/>
                      <w:color w:val="auto"/>
                    </w:rPr>
                    <w:t>项目情况</w:t>
                  </w:r>
                </w:p>
              </w:tc>
              <w:tc>
                <w:tcPr>
                  <w:tcW w:w="65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rPr>
                  </w:pPr>
                  <w:r>
                    <w:rPr>
                      <w:rFonts w:hint="default" w:ascii="Times New Roman" w:hAnsi="Times New Roman" w:cs="Times New Roman"/>
                      <w:b/>
                      <w:color w:val="auto"/>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w:t>
                  </w:r>
                </w:p>
              </w:tc>
              <w:tc>
                <w:tcPr>
                  <w:tcW w:w="2160" w:type="pct"/>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b/>
                      <w:bCs/>
                      <w:color w:val="auto"/>
                    </w:rPr>
                    <w:t xml:space="preserve">第七条 </w:t>
                  </w:r>
                  <w:r>
                    <w:rPr>
                      <w:rFonts w:hint="default" w:ascii="Times New Roman" w:hAnsi="Times New Roman" w:cs="Times New Roman"/>
                      <w:color w:val="auto"/>
                    </w:rPr>
                    <w:t>医疗卫生机构和医疗废物集中处置单位，应当确定医疗废物管理第三责任人，明确专门机构或者配备专兼职人员负责医疗废物的管理工作，并建立登记制度。</w:t>
                  </w:r>
                </w:p>
              </w:tc>
              <w:tc>
                <w:tcPr>
                  <w:tcW w:w="1775" w:type="pct"/>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项目由专人负责医疗废物管理工作，建立管理台帐，转运过程中实行转移联单制度。</w:t>
                  </w:r>
                </w:p>
              </w:tc>
              <w:tc>
                <w:tcPr>
                  <w:tcW w:w="65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09"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2</w:t>
                  </w:r>
                </w:p>
              </w:tc>
              <w:tc>
                <w:tcPr>
                  <w:tcW w:w="2160" w:type="pct"/>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b/>
                      <w:bCs/>
                      <w:color w:val="auto"/>
                    </w:rPr>
                    <w:t>第十一条</w:t>
                  </w:r>
                  <w:r>
                    <w:rPr>
                      <w:rFonts w:hint="default" w:ascii="Times New Roman" w:hAnsi="Times New Roman" w:cs="Times New Roman"/>
                      <w:color w:val="auto"/>
                    </w:rPr>
                    <w:t xml:space="preserve"> 医疗卫生机构委托医疗废物集中处置单位处置医疗废物，应当签订医疗废物处置协议。</w:t>
                  </w:r>
                </w:p>
              </w:tc>
              <w:tc>
                <w:tcPr>
                  <w:tcW w:w="1775" w:type="pct"/>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项目医疗废物使用医废收集桶分类收集后暂存于项目的医疗废物暂存间，委托有资质的公司清运处置。</w:t>
                  </w:r>
                </w:p>
              </w:tc>
              <w:tc>
                <w:tcPr>
                  <w:tcW w:w="65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09"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3</w:t>
                  </w:r>
                </w:p>
              </w:tc>
              <w:tc>
                <w:tcPr>
                  <w:tcW w:w="2160" w:type="pct"/>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b/>
                      <w:bCs/>
                      <w:color w:val="auto"/>
                    </w:rPr>
                    <w:t>第十二条</w:t>
                  </w:r>
                  <w:r>
                    <w:rPr>
                      <w:rFonts w:hint="default" w:ascii="Times New Roman" w:hAnsi="Times New Roman" w:cs="Times New Roman"/>
                      <w:color w:val="auto"/>
                    </w:rPr>
                    <w:t xml:space="preserve"> 医疗卫生机构在每次转移医疗废物时，应当与医疗废物集中处置单位办理交运手续，填写医疗废物转移联单，并各自保存五年。</w:t>
                  </w:r>
                </w:p>
              </w:tc>
              <w:tc>
                <w:tcPr>
                  <w:tcW w:w="1775" w:type="pct"/>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项目每次进行医疗废物转移时均要求填写转移联单。</w:t>
                  </w:r>
                </w:p>
              </w:tc>
              <w:tc>
                <w:tcPr>
                  <w:tcW w:w="65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符合</w:t>
                  </w:r>
                </w:p>
              </w:tc>
            </w:tr>
          </w:tbl>
          <w:p>
            <w:pPr>
              <w:keepNext w:val="0"/>
              <w:keepLines w:val="0"/>
              <w:suppressLineNumbers w:val="0"/>
              <w:autoSpaceDE w:val="0"/>
              <w:autoSpaceDN w:val="0"/>
              <w:spacing w:before="0" w:beforeAutospacing="0" w:after="0" w:afterAutospacing="0" w:line="360" w:lineRule="auto"/>
              <w:ind w:left="0" w:right="0" w:firstLine="480" w:firstLineChars="200"/>
              <w:rPr>
                <w:rFonts w:hint="default" w:ascii="Calibri" w:hAnsi="Calibri" w:cs="Times New Roman"/>
                <w:b/>
                <w:color w:val="auto"/>
                <w:sz w:val="24"/>
              </w:rPr>
            </w:pPr>
            <w:r>
              <w:rPr>
                <w:rFonts w:hint="default" w:ascii="Calibri" w:hAnsi="Calibri" w:cs="Times New Roman"/>
                <w:color w:val="auto"/>
                <w:sz w:val="24"/>
              </w:rPr>
              <w:t>项目医疗废物的管理、处置符合《昆明市医疗固废管理规定》的相关要求。</w:t>
            </w:r>
          </w:p>
          <w:p>
            <w:pPr>
              <w:keepNext w:val="0"/>
              <w:keepLines w:val="0"/>
              <w:suppressLineNumbers w:val="0"/>
              <w:autoSpaceDE w:val="0"/>
              <w:autoSpaceDN w:val="0"/>
              <w:spacing w:before="0" w:beforeAutospacing="0" w:after="0" w:afterAutospacing="0" w:line="360" w:lineRule="auto"/>
              <w:ind w:left="0" w:right="0"/>
              <w:rPr>
                <w:rFonts w:hint="default" w:ascii="Calibri" w:hAnsi="Calibri" w:cs="Times New Roman"/>
                <w:b/>
                <w:color w:val="auto"/>
                <w:sz w:val="24"/>
              </w:rPr>
            </w:pPr>
            <w:r>
              <w:rPr>
                <w:rFonts w:hint="default" w:ascii="Calibri" w:hAnsi="Calibri" w:cs="Times New Roman"/>
                <w:b/>
                <w:color w:val="auto"/>
                <w:sz w:val="24"/>
                <w:lang w:val="en-US"/>
              </w:rPr>
              <w:t>7</w:t>
            </w:r>
            <w:r>
              <w:rPr>
                <w:rFonts w:hint="eastAsia" w:ascii="Calibri" w:hAnsi="Calibri" w:cs="Times New Roman"/>
                <w:b/>
                <w:color w:val="auto"/>
                <w:sz w:val="24"/>
              </w:rPr>
              <w:t>、与</w:t>
            </w:r>
            <w:r>
              <w:rPr>
                <w:rFonts w:hint="default" w:ascii="Calibri" w:hAnsi="Calibri" w:cs="Times New Roman"/>
                <w:b/>
                <w:color w:val="auto"/>
                <w:sz w:val="24"/>
              </w:rPr>
              <w:t>《医疗废物管理条例》对照分析</w:t>
            </w:r>
          </w:p>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
                <w:color w:val="auto"/>
                <w:sz w:val="24"/>
              </w:rPr>
            </w:pPr>
            <w:r>
              <w:rPr>
                <w:rFonts w:hint="default" w:ascii="Calibri" w:hAnsi="Calibri" w:cs="Times New Roman"/>
                <w:b/>
                <w:color w:val="auto"/>
                <w:sz w:val="24"/>
              </w:rPr>
              <w:t>表</w:t>
            </w:r>
            <w:r>
              <w:rPr>
                <w:rFonts w:hint="eastAsia" w:ascii="Calibri" w:hAnsi="Calibri" w:cs="Times New Roman"/>
                <w:b/>
                <w:color w:val="auto"/>
                <w:sz w:val="24"/>
              </w:rPr>
              <w:t>1-</w:t>
            </w:r>
            <w:r>
              <w:rPr>
                <w:rFonts w:hint="default" w:ascii="Calibri" w:hAnsi="Calibri" w:cs="Times New Roman"/>
                <w:b/>
                <w:color w:val="auto"/>
                <w:sz w:val="24"/>
                <w:lang w:val="en-US"/>
              </w:rPr>
              <w:t>9</w:t>
            </w:r>
            <w:r>
              <w:rPr>
                <w:rFonts w:hint="default" w:ascii="Calibri" w:hAnsi="Calibri" w:cs="Times New Roman"/>
                <w:b/>
                <w:color w:val="auto"/>
                <w:sz w:val="24"/>
              </w:rPr>
              <w:t xml:space="preserve"> 与《医疗废物管理条例》对照分析</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3877"/>
              <w:gridCol w:w="2801"/>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46"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rPr>
                  </w:pPr>
                  <w:r>
                    <w:rPr>
                      <w:rFonts w:hint="default" w:ascii="Times New Roman" w:hAnsi="Times New Roman" w:cs="Times New Roman"/>
                      <w:b/>
                      <w:color w:val="auto"/>
                    </w:rPr>
                    <w:t>序号</w:t>
                  </w:r>
                </w:p>
              </w:tc>
              <w:tc>
                <w:tcPr>
                  <w:tcW w:w="2443"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rPr>
                  </w:pPr>
                  <w:r>
                    <w:rPr>
                      <w:rFonts w:hint="default" w:ascii="Times New Roman" w:hAnsi="Times New Roman" w:cs="Times New Roman"/>
                      <w:b/>
                      <w:color w:val="auto"/>
                    </w:rPr>
                    <w:t>《医疗废物管理条例》要求</w:t>
                  </w:r>
                </w:p>
              </w:tc>
              <w:tc>
                <w:tcPr>
                  <w:tcW w:w="1765"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rPr>
                  </w:pPr>
                  <w:r>
                    <w:rPr>
                      <w:rFonts w:hint="default" w:ascii="Times New Roman" w:hAnsi="Times New Roman" w:cs="Times New Roman"/>
                      <w:b/>
                      <w:color w:val="auto"/>
                    </w:rPr>
                    <w:t>项目情况</w:t>
                  </w:r>
                </w:p>
              </w:tc>
              <w:tc>
                <w:tcPr>
                  <w:tcW w:w="445"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rPr>
                  </w:pPr>
                  <w:r>
                    <w:rPr>
                      <w:rFonts w:hint="default" w:ascii="Times New Roman" w:hAnsi="Times New Roman" w:cs="Times New Roman"/>
                      <w:b/>
                      <w:color w:val="auto"/>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346"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w:t>
                  </w:r>
                </w:p>
              </w:tc>
              <w:tc>
                <w:tcPr>
                  <w:tcW w:w="2443" w:type="pct"/>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 xml:space="preserve">第十六条 医疗卫生机构应当及时收集本单位产生的医疗废物，并按照类别分置于防渗漏、防锐器穿透的专用包装物或者密闭的容器内。医疗废物专用包装物、容器，应当有明显的警示标识和警示说明。 </w:t>
                  </w:r>
                </w:p>
              </w:tc>
              <w:tc>
                <w:tcPr>
                  <w:tcW w:w="1765" w:type="pct"/>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项目内医疗废物随产随收，并按损伤性废物、感染性废物用专用容器分类收集，并且收集容器设有明显标志。</w:t>
                  </w:r>
                </w:p>
              </w:tc>
              <w:tc>
                <w:tcPr>
                  <w:tcW w:w="445"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46"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2</w:t>
                  </w:r>
                </w:p>
              </w:tc>
              <w:tc>
                <w:tcPr>
                  <w:tcW w:w="2443" w:type="pct"/>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第十七条 医疗卫生机构应当建立医疗废物的暂时贮存设施、设备，不得露天存放医疗废物；医疗废物暂时贮存的时间不得超过2天。医疗废物的暂时贮存设施、设备，应当远离医疗区、食品加工区和人员活动区以及生活垃圾存放场所，并设置明显的警示标识和防渗漏、防鼠、防蚊蝇、防蟑螂、防盗以及预防儿童接触等安全措施。医疗废物的暂时贮存设施、设备应当定期消毒和清洁。</w:t>
                  </w:r>
                </w:p>
              </w:tc>
              <w:tc>
                <w:tcPr>
                  <w:tcW w:w="1765" w:type="pct"/>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项目内设置有独立医废暂存间及暂存设施，医疗废物密闭保存，并定期进行消毒和清洁，设置有明显的警示标识，远离医疗区、食品加工区和人员活动区以及生活垃圾存放场所，并委托有资质单位清运处</w:t>
                  </w:r>
                  <w:r>
                    <w:rPr>
                      <w:rFonts w:hint="default" w:ascii="Times New Roman" w:hAnsi="Times New Roman" w:cs="Times New Roman"/>
                      <w:bCs/>
                      <w:color w:val="auto"/>
                    </w:rPr>
                    <w:t>置。</w:t>
                  </w:r>
                </w:p>
              </w:tc>
              <w:tc>
                <w:tcPr>
                  <w:tcW w:w="445"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346"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3</w:t>
                  </w:r>
                </w:p>
              </w:tc>
              <w:tc>
                <w:tcPr>
                  <w:tcW w:w="2443" w:type="pct"/>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b/>
                      <w:color w:val="auto"/>
                      <w:kern w:val="0"/>
                    </w:rPr>
                    <w:t>第十九条</w:t>
                  </w:r>
                  <w:r>
                    <w:rPr>
                      <w:rFonts w:hint="default" w:ascii="Times New Roman" w:hAnsi="Times New Roman" w:cs="Times New Roman"/>
                      <w:color w:val="auto"/>
                      <w:kern w:val="0"/>
                    </w:rPr>
                    <w:t xml:space="preserve"> 医疗卫生机构应当根据就近集中处置的原则，及时将医疗废物交由医疗废物集中处置单位处置。</w:t>
                  </w:r>
                  <w:r>
                    <w:rPr>
                      <w:rFonts w:hint="default" w:ascii="Times New Roman" w:hAnsi="Times New Roman" w:cs="Times New Roman"/>
                      <w:color w:val="auto"/>
                    </w:rPr>
                    <w:t>对病理科、妇产科等产生的特殊有害的医疗固废需各科室预处理后进入项目内医废暂存间。</w:t>
                  </w:r>
                </w:p>
              </w:tc>
              <w:tc>
                <w:tcPr>
                  <w:tcW w:w="1765" w:type="pct"/>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项目医废委托委托有资质单位清运处置。</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项目产生的医废通过污物通道进入污物打包间在打包间内对各类医疗废物进行分类打包后由专人转移到医废暂存间内暂存。</w:t>
                  </w:r>
                </w:p>
              </w:tc>
              <w:tc>
                <w:tcPr>
                  <w:tcW w:w="445"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符合</w:t>
                  </w:r>
                </w:p>
              </w:tc>
            </w:tr>
          </w:tbl>
          <w:p>
            <w:pPr>
              <w:keepNext w:val="0"/>
              <w:keepLines w:val="0"/>
              <w:suppressLineNumbers w:val="0"/>
              <w:autoSpaceDE w:val="0"/>
              <w:autoSpaceDN w:val="0"/>
              <w:spacing w:before="0" w:beforeAutospacing="0" w:after="0" w:afterAutospacing="0" w:line="360" w:lineRule="auto"/>
              <w:ind w:left="0" w:right="0" w:firstLine="480" w:firstLineChars="200"/>
              <w:rPr>
                <w:rFonts w:hint="default" w:ascii="Calibri" w:hAnsi="Calibri" w:cs="Times New Roman"/>
                <w:color w:val="auto"/>
                <w:sz w:val="24"/>
              </w:rPr>
            </w:pPr>
            <w:r>
              <w:rPr>
                <w:rFonts w:hint="default" w:ascii="Calibri" w:hAnsi="Calibri" w:cs="Times New Roman"/>
                <w:color w:val="auto"/>
                <w:sz w:val="24"/>
              </w:rPr>
              <w:t>项目医疗废物的管理、处置符合《医疗废物管理条例》的相关要求。</w:t>
            </w:r>
          </w:p>
          <w:p>
            <w:pPr>
              <w:keepNext w:val="0"/>
              <w:keepLines w:val="0"/>
              <w:suppressLineNumbers w:val="0"/>
              <w:autoSpaceDE w:val="0"/>
              <w:autoSpaceDN w:val="0"/>
              <w:spacing w:before="0" w:beforeAutospacing="0" w:after="0" w:afterAutospacing="0" w:line="360" w:lineRule="auto"/>
              <w:ind w:left="0" w:right="0"/>
              <w:rPr>
                <w:rFonts w:hint="default" w:ascii="Calibri" w:hAnsi="Calibri" w:cs="Times New Roman"/>
                <w:b/>
                <w:color w:val="auto"/>
                <w:sz w:val="24"/>
              </w:rPr>
            </w:pPr>
            <w:r>
              <w:rPr>
                <w:rFonts w:hint="default" w:ascii="Calibri" w:hAnsi="Calibri" w:cs="Times New Roman"/>
                <w:b/>
                <w:color w:val="auto"/>
                <w:sz w:val="24"/>
                <w:lang w:val="en-US"/>
              </w:rPr>
              <w:t>8</w:t>
            </w:r>
            <w:r>
              <w:rPr>
                <w:rFonts w:hint="eastAsia" w:ascii="Calibri" w:hAnsi="Calibri" w:cs="Times New Roman"/>
                <w:b/>
                <w:color w:val="auto"/>
                <w:sz w:val="24"/>
              </w:rPr>
              <w:t>、</w:t>
            </w:r>
            <w:r>
              <w:rPr>
                <w:rFonts w:hint="eastAsia" w:ascii="Calibri" w:hAnsi="Calibri" w:cs="Times New Roman"/>
                <w:b/>
                <w:color w:val="auto"/>
                <w:sz w:val="24"/>
                <w:lang w:eastAsia="zh-CN"/>
              </w:rPr>
              <w:t>与</w:t>
            </w:r>
            <w:r>
              <w:rPr>
                <w:rFonts w:hint="default" w:ascii="Calibri" w:hAnsi="Calibri" w:cs="Times New Roman"/>
                <w:b/>
                <w:color w:val="auto"/>
                <w:sz w:val="24"/>
              </w:rPr>
              <w:t>《医疗卫生机构医疗废物管理办法》对照分析</w:t>
            </w:r>
          </w:p>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
                <w:color w:val="auto"/>
                <w:sz w:val="24"/>
              </w:rPr>
            </w:pPr>
            <w:r>
              <w:rPr>
                <w:rFonts w:hint="default" w:ascii="Calibri" w:hAnsi="Calibri" w:cs="Times New Roman"/>
                <w:b/>
                <w:color w:val="auto"/>
                <w:sz w:val="24"/>
              </w:rPr>
              <w:t>表</w:t>
            </w:r>
            <w:r>
              <w:rPr>
                <w:rFonts w:hint="eastAsia" w:ascii="Calibri" w:hAnsi="Calibri" w:cs="Times New Roman"/>
                <w:b/>
                <w:color w:val="auto"/>
                <w:sz w:val="24"/>
              </w:rPr>
              <w:t>1-</w:t>
            </w:r>
            <w:r>
              <w:rPr>
                <w:rFonts w:hint="default" w:ascii="Calibri" w:hAnsi="Calibri" w:cs="Times New Roman"/>
                <w:b/>
                <w:color w:val="auto"/>
                <w:sz w:val="24"/>
                <w:lang w:val="en-US"/>
              </w:rPr>
              <w:t>10</w:t>
            </w:r>
            <w:r>
              <w:rPr>
                <w:rFonts w:hint="eastAsia" w:ascii="Calibri" w:hAnsi="Calibri" w:cs="Times New Roman"/>
                <w:b/>
                <w:color w:val="auto"/>
                <w:sz w:val="24"/>
              </w:rPr>
              <w:t xml:space="preserve"> </w:t>
            </w:r>
            <w:r>
              <w:rPr>
                <w:rFonts w:hint="default" w:ascii="Calibri" w:hAnsi="Calibri" w:cs="Times New Roman"/>
                <w:b/>
                <w:color w:val="auto"/>
                <w:sz w:val="24"/>
              </w:rPr>
              <w:t>与《医疗卫生机构医疗废物管理办法》对照分析</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3954"/>
              <w:gridCol w:w="2339"/>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44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
                      <w:color w:val="auto"/>
                    </w:rPr>
                  </w:pPr>
                  <w:r>
                    <w:rPr>
                      <w:rFonts w:hint="default" w:ascii="Calibri" w:hAnsi="Calibri" w:cs="Times New Roman"/>
                      <w:b/>
                      <w:color w:val="auto"/>
                    </w:rPr>
                    <w:t>序号</w:t>
                  </w:r>
                </w:p>
              </w:tc>
              <w:tc>
                <w:tcPr>
                  <w:tcW w:w="249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
                      <w:color w:val="auto"/>
                    </w:rPr>
                  </w:pPr>
                  <w:r>
                    <w:rPr>
                      <w:rFonts w:hint="default" w:ascii="Calibri" w:hAnsi="Calibri" w:cs="Times New Roman"/>
                      <w:b/>
                      <w:color w:val="auto"/>
                    </w:rPr>
                    <w:t>《医疗卫生机构医疗废物管理办法》要求</w:t>
                  </w:r>
                </w:p>
              </w:tc>
              <w:tc>
                <w:tcPr>
                  <w:tcW w:w="147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
                      <w:color w:val="auto"/>
                    </w:rPr>
                  </w:pPr>
                  <w:r>
                    <w:rPr>
                      <w:rFonts w:hint="default" w:ascii="Calibri" w:hAnsi="Calibri" w:cs="Times New Roman"/>
                      <w:b/>
                      <w:color w:val="auto"/>
                    </w:rPr>
                    <w:t>项目情况</w:t>
                  </w:r>
                </w:p>
              </w:tc>
              <w:tc>
                <w:tcPr>
                  <w:tcW w:w="5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
                      <w:color w:val="auto"/>
                    </w:rPr>
                  </w:pPr>
                  <w:r>
                    <w:rPr>
                      <w:rFonts w:hint="default" w:ascii="Calibri" w:hAnsi="Calibri" w:cs="Times New Roman"/>
                      <w:b/>
                      <w:color w:val="auto"/>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48" w:type="pct"/>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1</w:t>
                  </w:r>
                </w:p>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p>
              </w:tc>
              <w:tc>
                <w:tcPr>
                  <w:tcW w:w="4551" w:type="pct"/>
                  <w:gridSpan w:val="3"/>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第十一条 医疗卫生机构应当按照以下要求，及时分类收集医疗废物：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448"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p>
              </w:tc>
              <w:tc>
                <w:tcPr>
                  <w:tcW w:w="249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（一）根据医疗废物的类别，将医疗废物分置于符合《医疗废物专用包装物、容器的标准和警示标识的规定》的包装物或者容器内；</w:t>
                  </w:r>
                </w:p>
              </w:tc>
              <w:tc>
                <w:tcPr>
                  <w:tcW w:w="147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项目医疗废物</w:t>
                  </w:r>
                  <w:r>
                    <w:rPr>
                      <w:rFonts w:hint="eastAsia" w:ascii="Calibri" w:hAnsi="Calibri" w:cs="Times New Roman"/>
                      <w:color w:val="auto"/>
                    </w:rPr>
                    <w:t>使用专用医废收集桶分类</w:t>
                  </w:r>
                  <w:r>
                    <w:rPr>
                      <w:rFonts w:hint="default" w:ascii="Calibri" w:hAnsi="Calibri" w:cs="Times New Roman"/>
                      <w:color w:val="auto"/>
                    </w:rPr>
                    <w:t>盛装，并设有明显的标志。</w:t>
                  </w:r>
                </w:p>
              </w:tc>
              <w:tc>
                <w:tcPr>
                  <w:tcW w:w="5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48"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p>
              </w:tc>
              <w:tc>
                <w:tcPr>
                  <w:tcW w:w="249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（二）在盛装医疗废物前，应当对医疗废物包装物或者容器进行认真检查，确保无破损、渗漏和其它缺陷；</w:t>
                  </w:r>
                </w:p>
              </w:tc>
              <w:tc>
                <w:tcPr>
                  <w:tcW w:w="147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项目按要求执行</w:t>
                  </w:r>
                </w:p>
              </w:tc>
              <w:tc>
                <w:tcPr>
                  <w:tcW w:w="5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8" w:hRule="atLeast"/>
                <w:jc w:val="center"/>
              </w:trPr>
              <w:tc>
                <w:tcPr>
                  <w:tcW w:w="448"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p>
              </w:tc>
              <w:tc>
                <w:tcPr>
                  <w:tcW w:w="249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（三）感染性废物、病理性废物、损伤性废物、药物性废物及化学性废物不能混合收集。少量的药物性废物可以混入感染性废物，但应当在标签上注明；</w:t>
                  </w:r>
                </w:p>
              </w:tc>
              <w:tc>
                <w:tcPr>
                  <w:tcW w:w="147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项目对医废进行分类收集，收集装置上设有明显的标志。</w:t>
                  </w:r>
                </w:p>
              </w:tc>
              <w:tc>
                <w:tcPr>
                  <w:tcW w:w="5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1" w:hRule="atLeast"/>
                <w:jc w:val="center"/>
              </w:trPr>
              <w:tc>
                <w:tcPr>
                  <w:tcW w:w="448"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p>
              </w:tc>
              <w:tc>
                <w:tcPr>
                  <w:tcW w:w="249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（四）废弃的麻醉、精神、放射性、毒性等药品及其相关的废物的管理，依照有关法律、行政法规和国家有关规定、标准执行；</w:t>
                  </w:r>
                </w:p>
              </w:tc>
              <w:tc>
                <w:tcPr>
                  <w:tcW w:w="147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项目按要求执行</w:t>
                  </w:r>
                </w:p>
              </w:tc>
              <w:tc>
                <w:tcPr>
                  <w:tcW w:w="5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48"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p>
              </w:tc>
              <w:tc>
                <w:tcPr>
                  <w:tcW w:w="249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（五）化学性废物中批量的废化学试剂、废消毒剂应当交由专门机构处置；</w:t>
                  </w:r>
                </w:p>
              </w:tc>
              <w:tc>
                <w:tcPr>
                  <w:tcW w:w="147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项目医废</w:t>
                  </w:r>
                  <w:r>
                    <w:rPr>
                      <w:rFonts w:hint="eastAsia" w:ascii="Calibri" w:hAnsi="Calibri" w:cs="Times New Roman"/>
                      <w:color w:val="auto"/>
                    </w:rPr>
                    <w:t>委托有资质单位清运处置</w:t>
                  </w:r>
                  <w:r>
                    <w:rPr>
                      <w:rFonts w:hint="default" w:ascii="Calibri" w:hAnsi="Calibri" w:cs="Times New Roman"/>
                      <w:color w:val="auto"/>
                    </w:rPr>
                    <w:t>。</w:t>
                  </w:r>
                </w:p>
              </w:tc>
              <w:tc>
                <w:tcPr>
                  <w:tcW w:w="5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48"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p>
              </w:tc>
              <w:tc>
                <w:tcPr>
                  <w:tcW w:w="249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（六）批量的含有汞的体温计、血压计等医疗器具报废时，应当交由专门机构处置；</w:t>
                  </w:r>
                </w:p>
              </w:tc>
              <w:tc>
                <w:tcPr>
                  <w:tcW w:w="147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项目医废</w:t>
                  </w:r>
                  <w:r>
                    <w:rPr>
                      <w:rFonts w:hint="eastAsia" w:ascii="Calibri" w:hAnsi="Calibri" w:cs="Times New Roman"/>
                      <w:color w:val="auto"/>
                    </w:rPr>
                    <w:t>委托有资质单位清运处置</w:t>
                  </w:r>
                </w:p>
              </w:tc>
              <w:tc>
                <w:tcPr>
                  <w:tcW w:w="5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48"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p>
              </w:tc>
              <w:tc>
                <w:tcPr>
                  <w:tcW w:w="249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（七）医疗废物中病原体的培养基、标本和菌种、毒种保存液等高危险废物，应当首先在产生地点进行压力蒸汽灭菌或者化学消毒处理，然后按感染性废物收集处理；</w:t>
                  </w:r>
                </w:p>
              </w:tc>
              <w:tc>
                <w:tcPr>
                  <w:tcW w:w="147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项目按要求进行</w:t>
                  </w:r>
                </w:p>
              </w:tc>
              <w:tc>
                <w:tcPr>
                  <w:tcW w:w="5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48"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p>
              </w:tc>
              <w:tc>
                <w:tcPr>
                  <w:tcW w:w="249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（八）隔离的传染病病人或者疑似传染病病人产生的具有传染性的排泄物，应当按照国家规定严格消毒，达到国家规定的排放标准后方可排入污水处理系统；</w:t>
                  </w:r>
                </w:p>
              </w:tc>
              <w:tc>
                <w:tcPr>
                  <w:tcW w:w="147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项目内不设传染病科</w:t>
                  </w:r>
                </w:p>
              </w:tc>
              <w:tc>
                <w:tcPr>
                  <w:tcW w:w="5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48"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p>
              </w:tc>
              <w:tc>
                <w:tcPr>
                  <w:tcW w:w="249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（九）隔离的传染病病人或者疑似传染病病人产生的医疗废物应当使用双层包装物，并及时密封；</w:t>
                  </w:r>
                </w:p>
              </w:tc>
              <w:tc>
                <w:tcPr>
                  <w:tcW w:w="147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项目内不设传染病科</w:t>
                  </w:r>
                </w:p>
              </w:tc>
              <w:tc>
                <w:tcPr>
                  <w:tcW w:w="5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48"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p>
              </w:tc>
              <w:tc>
                <w:tcPr>
                  <w:tcW w:w="249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（十）放入包装物或者容器内的感染性废物、病理性废物、损伤性废物不得取出。</w:t>
                  </w:r>
                </w:p>
              </w:tc>
              <w:tc>
                <w:tcPr>
                  <w:tcW w:w="147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项目按要求执行</w:t>
                  </w:r>
                </w:p>
              </w:tc>
              <w:tc>
                <w:tcPr>
                  <w:tcW w:w="5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4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2</w:t>
                  </w:r>
                </w:p>
              </w:tc>
              <w:tc>
                <w:tcPr>
                  <w:tcW w:w="249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b/>
                      <w:color w:val="auto"/>
                      <w:kern w:val="0"/>
                    </w:rPr>
                    <w:t>第十二条</w:t>
                  </w:r>
                  <w:r>
                    <w:rPr>
                      <w:rFonts w:hint="default" w:ascii="Calibri" w:hAnsi="Calibri" w:cs="Times New Roman"/>
                      <w:color w:val="auto"/>
                      <w:kern w:val="0"/>
                    </w:rPr>
                    <w:t xml:space="preserve"> 医疗卫生机构内医疗废物产生地点应当有医疗废物分类收集方法的示意图或者文字说明。</w:t>
                  </w:r>
                </w:p>
              </w:tc>
              <w:tc>
                <w:tcPr>
                  <w:tcW w:w="147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项目各科室均张贴有相关知识的海报</w:t>
                  </w:r>
                </w:p>
              </w:tc>
              <w:tc>
                <w:tcPr>
                  <w:tcW w:w="5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4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3</w:t>
                  </w:r>
                </w:p>
              </w:tc>
              <w:tc>
                <w:tcPr>
                  <w:tcW w:w="249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第十三条 盛装的医疗废物达到包装物或者容器的3/4时，应当使用有效的封口方式，使包装物或者容器的封口紧实、严密。</w:t>
                  </w:r>
                </w:p>
              </w:tc>
              <w:tc>
                <w:tcPr>
                  <w:tcW w:w="147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项目按要求执行</w:t>
                  </w:r>
                </w:p>
              </w:tc>
              <w:tc>
                <w:tcPr>
                  <w:tcW w:w="5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4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4</w:t>
                  </w:r>
                </w:p>
              </w:tc>
              <w:tc>
                <w:tcPr>
                  <w:tcW w:w="249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第十五条 盛装医疗废物的每个包装物、容器外表面应当有警示标识，在每个包装物、容器上应当系中文标签，中文标签的内容应当包括：医疗废物产生单位、产生日期、类别及需要的特别说明等。</w:t>
                  </w:r>
                </w:p>
              </w:tc>
              <w:tc>
                <w:tcPr>
                  <w:tcW w:w="147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项目医废储存装置均设有标志，转运时贴有相关的信息</w:t>
                  </w:r>
                </w:p>
              </w:tc>
              <w:tc>
                <w:tcPr>
                  <w:tcW w:w="5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符合</w:t>
                  </w:r>
                </w:p>
              </w:tc>
            </w:tr>
          </w:tbl>
          <w:p>
            <w:pPr>
              <w:keepNext w:val="0"/>
              <w:keepLines w:val="0"/>
              <w:suppressLineNumbers w:val="0"/>
              <w:spacing w:before="0" w:beforeAutospacing="0" w:after="0" w:afterAutospacing="0" w:line="360" w:lineRule="auto"/>
              <w:ind w:left="0" w:right="0" w:firstLine="480" w:firstLineChars="200"/>
              <w:rPr>
                <w:rFonts w:hint="default" w:ascii="Calibri" w:hAnsi="Calibri" w:cs="Times New Roman"/>
                <w:color w:val="auto"/>
                <w:sz w:val="24"/>
              </w:rPr>
            </w:pPr>
            <w:r>
              <w:rPr>
                <w:rFonts w:hint="default" w:ascii="Calibri" w:hAnsi="Calibri" w:cs="Times New Roman"/>
                <w:color w:val="auto"/>
                <w:sz w:val="24"/>
              </w:rPr>
              <w:t>项目医疗废物的管理、处置符合《医疗卫生机构医疗废物管理办法》的相关要求。</w:t>
            </w:r>
          </w:p>
          <w:p>
            <w:pPr>
              <w:keepNext w:val="0"/>
              <w:keepLines w:val="0"/>
              <w:suppressLineNumbers w:val="0"/>
              <w:spacing w:before="0" w:beforeAutospacing="0" w:after="0" w:afterAutospacing="0" w:line="360" w:lineRule="auto"/>
              <w:ind w:left="0" w:right="0"/>
              <w:rPr>
                <w:rFonts w:hint="eastAsia" w:ascii="Calibri" w:hAnsi="Calibri" w:cs="Times New Roman"/>
                <w:b/>
                <w:color w:val="auto"/>
                <w:sz w:val="24"/>
              </w:rPr>
            </w:pPr>
            <w:r>
              <w:rPr>
                <w:rFonts w:hint="default" w:ascii="Calibri" w:hAnsi="Calibri" w:cs="Times New Roman"/>
                <w:b/>
                <w:color w:val="auto"/>
                <w:sz w:val="24"/>
                <w:lang w:val="en-US"/>
              </w:rPr>
              <w:t>9</w:t>
            </w:r>
            <w:r>
              <w:rPr>
                <w:rFonts w:hint="eastAsia" w:ascii="Calibri" w:hAnsi="Calibri" w:cs="Times New Roman"/>
                <w:b/>
                <w:color w:val="auto"/>
                <w:sz w:val="24"/>
              </w:rPr>
              <w:t>、与《医疗废物处置污染控制标准》（GB</w:t>
            </w:r>
            <w:r>
              <w:rPr>
                <w:rFonts w:hint="eastAsia" w:ascii="Calibri" w:hAnsi="Calibri" w:cs="Times New Roman"/>
                <w:b/>
                <w:color w:val="auto"/>
                <w:sz w:val="24"/>
                <w:lang w:eastAsia="zh-CN"/>
              </w:rPr>
              <w:t>*****</w:t>
            </w:r>
            <w:r>
              <w:rPr>
                <w:rFonts w:hint="eastAsia" w:ascii="Calibri" w:hAnsi="Calibri" w:cs="Times New Roman"/>
                <w:b/>
                <w:color w:val="auto"/>
                <w:sz w:val="24"/>
              </w:rPr>
              <w:t>-2020）符合性分析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cs="Times New Roman"/>
                <w:b/>
                <w:color w:val="auto"/>
                <w:sz w:val="24"/>
              </w:rPr>
            </w:pPr>
            <w:r>
              <w:rPr>
                <w:rFonts w:hint="default" w:ascii="Calibri" w:hAnsi="Calibri" w:cs="Times New Roman"/>
                <w:b/>
                <w:color w:val="auto"/>
                <w:sz w:val="24"/>
              </w:rPr>
              <w:t>表</w:t>
            </w:r>
            <w:r>
              <w:rPr>
                <w:rFonts w:hint="eastAsia" w:ascii="Calibri" w:hAnsi="Calibri" w:cs="Times New Roman"/>
                <w:b/>
                <w:color w:val="auto"/>
                <w:sz w:val="24"/>
              </w:rPr>
              <w:t>1-</w:t>
            </w:r>
            <w:r>
              <w:rPr>
                <w:rFonts w:hint="default" w:ascii="Calibri" w:hAnsi="Calibri" w:cs="Times New Roman"/>
                <w:b/>
                <w:color w:val="auto"/>
                <w:sz w:val="24"/>
                <w:lang w:val="en-US"/>
              </w:rPr>
              <w:t>11</w:t>
            </w:r>
            <w:r>
              <w:rPr>
                <w:rFonts w:hint="eastAsia" w:ascii="Calibri" w:hAnsi="Calibri" w:cs="Times New Roman"/>
                <w:b/>
                <w:color w:val="auto"/>
                <w:sz w:val="24"/>
              </w:rPr>
              <w:t xml:space="preserve"> </w:t>
            </w:r>
            <w:r>
              <w:rPr>
                <w:rFonts w:hint="default" w:ascii="Calibri" w:hAnsi="Calibri" w:cs="Times New Roman"/>
                <w:b/>
                <w:color w:val="auto"/>
                <w:sz w:val="24"/>
              </w:rPr>
              <w:t>与</w:t>
            </w:r>
            <w:r>
              <w:rPr>
                <w:rFonts w:hint="eastAsia" w:ascii="Calibri" w:hAnsi="Calibri" w:cs="Times New Roman"/>
                <w:b/>
                <w:color w:val="auto"/>
                <w:sz w:val="24"/>
              </w:rPr>
              <w:t>《医疗废物处置污染控制标准》</w:t>
            </w:r>
            <w:r>
              <w:rPr>
                <w:rFonts w:hint="default" w:ascii="Calibri" w:hAnsi="Calibri" w:cs="Times New Roman"/>
                <w:b/>
                <w:color w:val="auto"/>
                <w:sz w:val="24"/>
              </w:rPr>
              <w:t>对照分析</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1"/>
              <w:gridCol w:w="2666"/>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7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
                      <w:color w:val="auto"/>
                    </w:rPr>
                  </w:pPr>
                  <w:r>
                    <w:rPr>
                      <w:rFonts w:hint="eastAsia" w:ascii="Calibri" w:hAnsi="Calibri" w:cs="Times New Roman"/>
                      <w:b/>
                      <w:color w:val="auto"/>
                    </w:rPr>
                    <w:t>医疗废物处置污染控制标准要求</w:t>
                  </w:r>
                </w:p>
              </w:tc>
              <w:tc>
                <w:tcPr>
                  <w:tcW w:w="1680"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
                      <w:color w:val="auto"/>
                    </w:rPr>
                  </w:pPr>
                  <w:r>
                    <w:rPr>
                      <w:rFonts w:hint="eastAsia" w:ascii="Calibri" w:hAnsi="Calibri" w:cs="Times New Roman"/>
                      <w:b/>
                      <w:color w:val="auto"/>
                    </w:rPr>
                    <w:t>项目设置情况</w:t>
                  </w:r>
                </w:p>
              </w:tc>
              <w:tc>
                <w:tcPr>
                  <w:tcW w:w="841"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
                      <w:color w:val="auto"/>
                    </w:rPr>
                  </w:pPr>
                  <w:r>
                    <w:rPr>
                      <w:rFonts w:hint="eastAsia" w:ascii="Calibri" w:hAnsi="Calibri" w:cs="Times New Roman"/>
                      <w:b/>
                      <w:color w:val="auto"/>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47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Cs/>
                      <w:color w:val="auto"/>
                    </w:rPr>
                  </w:pPr>
                  <w:r>
                    <w:rPr>
                      <w:rFonts w:hint="eastAsia" w:ascii="Calibri" w:hAnsi="Calibri" w:cs="Times New Roman"/>
                      <w:bCs/>
                      <w:color w:val="auto"/>
                    </w:rPr>
                    <w:t>医疗废物处理处置单位应设置感染性、损伤性、病理性废物的贮存设施；若收集化学性、药物性废物还应设置专用贮存设施。贮存设施内设置不同类别医疗废物暂存区。</w:t>
                  </w:r>
                </w:p>
              </w:tc>
              <w:tc>
                <w:tcPr>
                  <w:tcW w:w="1680"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Cs/>
                      <w:color w:val="auto"/>
                    </w:rPr>
                  </w:pPr>
                  <w:r>
                    <w:rPr>
                      <w:rFonts w:hint="eastAsia" w:ascii="Calibri" w:hAnsi="Calibri" w:cs="Times New Roman"/>
                      <w:bCs/>
                      <w:color w:val="auto"/>
                    </w:rPr>
                    <w:t>项目产生的医疗废物采用专门的收集桶分开收集暂存</w:t>
                  </w:r>
                </w:p>
              </w:tc>
              <w:tc>
                <w:tcPr>
                  <w:tcW w:w="841"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Cs/>
                      <w:color w:val="auto"/>
                    </w:rPr>
                  </w:pPr>
                  <w:r>
                    <w:rPr>
                      <w:rFonts w:hint="eastAsia" w:ascii="Calibri" w:hAnsi="Calibri" w:cs="Times New Roman"/>
                      <w:bCs/>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9" w:hRule="atLeast"/>
              </w:trPr>
              <w:tc>
                <w:tcPr>
                  <w:tcW w:w="247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Cs/>
                      <w:color w:val="auto"/>
                    </w:rPr>
                  </w:pPr>
                  <w:r>
                    <w:rPr>
                      <w:rFonts w:hint="eastAsia" w:ascii="Calibri" w:hAnsi="Calibri" w:cs="Times New Roman"/>
                      <w:bCs/>
                      <w:color w:val="auto"/>
                    </w:rPr>
                    <w:t>贮存设施地面防渗应满足国家和地方有关重点污染源防渗要求。墙面应做防渗处理，感染性、损伤性、病理性废物贮存设施的地面、墙面材料应易于清洗和消毒。</w:t>
                  </w:r>
                </w:p>
              </w:tc>
              <w:tc>
                <w:tcPr>
                  <w:tcW w:w="1680"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Calibri" w:hAnsi="Calibri" w:cs="Times New Roman"/>
                      <w:bCs/>
                      <w:color w:val="auto"/>
                    </w:rPr>
                  </w:pPr>
                  <w:r>
                    <w:rPr>
                      <w:rFonts w:hint="eastAsia" w:ascii="Calibri" w:hAnsi="Calibri" w:cs="Times New Roman"/>
                      <w:color w:val="auto"/>
                    </w:rPr>
                    <w:t>项目医疗废物暂存间需涂抹约2mm厚的防渗漆使得地面防渗系数≤1*10</w:t>
                  </w:r>
                  <w:r>
                    <w:rPr>
                      <w:rFonts w:hint="eastAsia" w:ascii="Calibri" w:hAnsi="Calibri" w:cs="Times New Roman"/>
                      <w:color w:val="auto"/>
                      <w:vertAlign w:val="superscript"/>
                    </w:rPr>
                    <w:t>-10</w:t>
                  </w:r>
                  <w:r>
                    <w:rPr>
                      <w:rFonts w:hint="eastAsia" w:ascii="Calibri" w:hAnsi="Calibri" w:cs="Times New Roman"/>
                      <w:color w:val="auto"/>
                    </w:rPr>
                    <w:t>cm/s</w:t>
                  </w:r>
                  <w:r>
                    <w:rPr>
                      <w:rFonts w:hint="default" w:ascii="Calibri" w:hAnsi="Calibri" w:cs="Times New Roman"/>
                      <w:bCs/>
                      <w:color w:val="auto"/>
                      <w:spacing w:val="10"/>
                      <w:kern w:val="0"/>
                    </w:rPr>
                    <w:t>；</w:t>
                  </w:r>
                </w:p>
              </w:tc>
              <w:tc>
                <w:tcPr>
                  <w:tcW w:w="841"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Calibri" w:hAnsi="Calibri" w:cs="Times New Roman"/>
                      <w:bCs/>
                      <w:color w:val="auto"/>
                    </w:rPr>
                  </w:pPr>
                  <w:r>
                    <w:rPr>
                      <w:rFonts w:hint="eastAsia" w:ascii="Calibri" w:hAnsi="Calibri" w:cs="Times New Roman"/>
                      <w:bCs/>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7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Cs/>
                      <w:color w:val="auto"/>
                    </w:rPr>
                  </w:pPr>
                  <w:r>
                    <w:rPr>
                      <w:rFonts w:hint="eastAsia" w:ascii="Calibri" w:hAnsi="Calibri" w:cs="Times New Roman"/>
                      <w:bCs/>
                      <w:color w:val="auto"/>
                    </w:rPr>
                    <w:t>贮存设施应设置废水收集设施，收集的废水应导入废水处理设施。</w:t>
                  </w:r>
                </w:p>
              </w:tc>
              <w:tc>
                <w:tcPr>
                  <w:tcW w:w="1680"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Cs/>
                      <w:color w:val="auto"/>
                    </w:rPr>
                  </w:pPr>
                  <w:r>
                    <w:rPr>
                      <w:rFonts w:hint="eastAsia" w:ascii="Calibri" w:hAnsi="Calibri" w:cs="Times New Roman"/>
                      <w:bCs/>
                      <w:color w:val="auto"/>
                    </w:rPr>
                    <w:t>项目废水沿污水管道进入化粪池处理后排入污水处理站处理</w:t>
                  </w:r>
                </w:p>
              </w:tc>
              <w:tc>
                <w:tcPr>
                  <w:tcW w:w="841"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Calibri" w:hAnsi="Calibri" w:cs="Times New Roman"/>
                      <w:bCs/>
                      <w:color w:val="auto"/>
                    </w:rPr>
                  </w:pPr>
                  <w:r>
                    <w:rPr>
                      <w:rFonts w:hint="eastAsia" w:ascii="Calibri" w:hAnsi="Calibri" w:cs="Times New Roman"/>
                      <w:bCs/>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7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Cs/>
                      <w:color w:val="auto"/>
                    </w:rPr>
                  </w:pPr>
                  <w:r>
                    <w:rPr>
                      <w:rFonts w:hint="eastAsia" w:ascii="Calibri" w:hAnsi="Calibri" w:cs="Times New Roman"/>
                      <w:bCs/>
                      <w:color w:val="auto"/>
                    </w:rPr>
                    <w:t>感染性、损伤性、病理性废物贮存设施应设置微负压及通风装置、制冷系统和设备，排风口设置废气净化装置</w:t>
                  </w:r>
                </w:p>
              </w:tc>
              <w:tc>
                <w:tcPr>
                  <w:tcW w:w="1680"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Cs/>
                      <w:color w:val="auto"/>
                    </w:rPr>
                  </w:pPr>
                  <w:r>
                    <w:rPr>
                      <w:rFonts w:hint="eastAsia" w:ascii="Calibri" w:hAnsi="Calibri" w:cs="Times New Roman"/>
                      <w:bCs/>
                      <w:color w:val="auto"/>
                    </w:rPr>
                    <w:t>感染性、损伤性、病理性废物采用冰箱收集暂存</w:t>
                  </w:r>
                </w:p>
              </w:tc>
              <w:tc>
                <w:tcPr>
                  <w:tcW w:w="841"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Calibri" w:hAnsi="Calibri" w:cs="Times New Roman"/>
                      <w:bCs/>
                      <w:color w:val="auto"/>
                    </w:rPr>
                  </w:pPr>
                  <w:r>
                    <w:rPr>
                      <w:rFonts w:hint="eastAsia" w:ascii="Calibri" w:hAnsi="Calibri" w:cs="Times New Roman"/>
                      <w:bCs/>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7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Cs/>
                      <w:color w:val="auto"/>
                    </w:rPr>
                  </w:pPr>
                  <w:r>
                    <w:rPr>
                      <w:rFonts w:hint="eastAsia" w:ascii="Calibri" w:hAnsi="Calibri" w:cs="Times New Roman"/>
                      <w:bCs/>
                      <w:color w:val="auto"/>
                    </w:rPr>
                    <w:t>医疗废物不能及时处置时，应置于贮存设施内贮存。感染性、损伤性、病理性废物应盛装于医疗废物周转箱内/桶内一并贮存色是内暂时贮存。</w:t>
                  </w:r>
                </w:p>
              </w:tc>
              <w:tc>
                <w:tcPr>
                  <w:tcW w:w="1680"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Cs/>
                      <w:color w:val="auto"/>
                    </w:rPr>
                  </w:pPr>
                  <w:r>
                    <w:rPr>
                      <w:rFonts w:hint="eastAsia" w:ascii="Calibri" w:hAnsi="Calibri" w:cs="Times New Roman"/>
                      <w:bCs/>
                      <w:color w:val="auto"/>
                    </w:rPr>
                    <w:t>项目采用带盖的收集暂存</w:t>
                  </w:r>
                </w:p>
              </w:tc>
              <w:tc>
                <w:tcPr>
                  <w:tcW w:w="841"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Calibri" w:hAnsi="Calibri" w:cs="Times New Roman"/>
                      <w:bCs/>
                      <w:color w:val="auto"/>
                    </w:rPr>
                  </w:pPr>
                  <w:r>
                    <w:rPr>
                      <w:rFonts w:hint="eastAsia" w:ascii="Calibri" w:hAnsi="Calibri" w:cs="Times New Roman"/>
                      <w:bCs/>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7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Cs/>
                      <w:color w:val="auto"/>
                    </w:rPr>
                  </w:pPr>
                  <w:r>
                    <w:rPr>
                      <w:rFonts w:hint="eastAsia" w:ascii="Calibri" w:hAnsi="Calibri" w:cs="Times New Roman"/>
                      <w:bCs/>
                      <w:color w:val="auto"/>
                    </w:rPr>
                    <w:t>处理处置单位对感染性、损伤性、病理性废物的贮存应符合一下要求：</w:t>
                  </w:r>
                  <w:r>
                    <w:rPr>
                      <w:rFonts w:hint="eastAsia" w:ascii="Calibri" w:hAnsi="Calibri" w:cs="宋体"/>
                      <w:bCs/>
                      <w:color w:val="auto"/>
                    </w:rPr>
                    <w:t>①贮存温度≥5℃，贮存时间不得超过24小时；②贮存温度&lt;5℃，贮存时间不得超过72小时；③偏远地区贮存温度&lt;5℃，并采取消毒措施时，可适当延长贮存时间，单不得超过168小时。</w:t>
                  </w:r>
                </w:p>
              </w:tc>
              <w:tc>
                <w:tcPr>
                  <w:tcW w:w="1680"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Cs/>
                      <w:color w:val="auto"/>
                    </w:rPr>
                  </w:pPr>
                  <w:r>
                    <w:rPr>
                      <w:rFonts w:hint="eastAsia" w:ascii="Calibri" w:hAnsi="Calibri" w:cs="Times New Roman"/>
                      <w:bCs/>
                      <w:color w:val="auto"/>
                    </w:rPr>
                    <w:t>项目感染性、损伤性、病理性废物采用冰箱贮存，医疗废物委托有资质单位清运处置在项目区贮存时间不超过2天</w:t>
                  </w:r>
                </w:p>
              </w:tc>
              <w:tc>
                <w:tcPr>
                  <w:tcW w:w="841"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Calibri" w:hAnsi="Calibri" w:cs="Times New Roman"/>
                      <w:bCs/>
                      <w:color w:val="auto"/>
                    </w:rPr>
                  </w:pPr>
                  <w:r>
                    <w:rPr>
                      <w:rFonts w:hint="eastAsia" w:ascii="Calibri" w:hAnsi="Calibri" w:cs="Times New Roman"/>
                      <w:bCs/>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7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Cs/>
                      <w:color w:val="auto"/>
                    </w:rPr>
                  </w:pPr>
                  <w:r>
                    <w:rPr>
                      <w:rFonts w:hint="eastAsia" w:ascii="Calibri" w:hAnsi="Calibri" w:cs="Times New Roman"/>
                      <w:bCs/>
                      <w:color w:val="auto"/>
                    </w:rPr>
                    <w:t>化学性、药物性废物贮存应符合GB</w:t>
                  </w:r>
                  <w:r>
                    <w:rPr>
                      <w:rFonts w:hint="eastAsia" w:ascii="Calibri" w:hAnsi="Calibri" w:cs="Times New Roman"/>
                      <w:bCs/>
                      <w:color w:val="auto"/>
                      <w:lang w:eastAsia="zh-CN"/>
                    </w:rPr>
                    <w:t>*****</w:t>
                  </w:r>
                  <w:r>
                    <w:rPr>
                      <w:rFonts w:hint="eastAsia" w:ascii="Calibri" w:hAnsi="Calibri" w:cs="Times New Roman"/>
                      <w:bCs/>
                      <w:color w:val="auto"/>
                    </w:rPr>
                    <w:t>的要求。</w:t>
                  </w:r>
                </w:p>
              </w:tc>
              <w:tc>
                <w:tcPr>
                  <w:tcW w:w="1680"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Cs/>
                      <w:color w:val="auto"/>
                    </w:rPr>
                  </w:pPr>
                  <w:r>
                    <w:rPr>
                      <w:rFonts w:hint="eastAsia" w:ascii="Calibri" w:hAnsi="Calibri" w:cs="Times New Roman"/>
                      <w:bCs/>
                      <w:color w:val="auto"/>
                    </w:rPr>
                    <w:t>项目按照相关要求暂存，</w:t>
                  </w:r>
                  <w:r>
                    <w:rPr>
                      <w:rFonts w:hint="eastAsia" w:ascii="Calibri" w:hAnsi="Calibri" w:cs="Times New Roman"/>
                      <w:color w:val="auto"/>
                    </w:rPr>
                    <w:t>委托有资质单位清运处置</w:t>
                  </w:r>
                  <w:r>
                    <w:rPr>
                      <w:rFonts w:hint="default" w:ascii="Calibri" w:hAnsi="Calibri" w:cs="Times New Roman"/>
                      <w:color w:val="auto"/>
                    </w:rPr>
                    <w:t>。</w:t>
                  </w:r>
                </w:p>
              </w:tc>
              <w:tc>
                <w:tcPr>
                  <w:tcW w:w="841"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Calibri" w:hAnsi="Calibri" w:cs="Times New Roman"/>
                      <w:bCs/>
                      <w:color w:val="auto"/>
                    </w:rPr>
                  </w:pPr>
                  <w:r>
                    <w:rPr>
                      <w:rFonts w:hint="eastAsia" w:ascii="Calibri" w:hAnsi="Calibri" w:cs="Times New Roman"/>
                      <w:bCs/>
                      <w:color w:val="auto"/>
                    </w:rPr>
                    <w:t>符合</w:t>
                  </w:r>
                </w:p>
              </w:tc>
            </w:tr>
          </w:tbl>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b/>
                <w:color w:val="auto"/>
                <w:sz w:val="24"/>
                <w:szCs w:val="24"/>
              </w:rPr>
            </w:pPr>
            <w:r>
              <w:rPr>
                <w:rFonts w:hint="eastAsia" w:ascii="Calibri" w:hAnsi="Calibri" w:cs="Times New Roman"/>
                <w:bCs/>
                <w:color w:val="auto"/>
                <w:sz w:val="24"/>
              </w:rPr>
              <w:t>综上，项目与《医疗废物处置污染控制标准》（GB</w:t>
            </w:r>
            <w:r>
              <w:rPr>
                <w:rFonts w:hint="eastAsia" w:ascii="Calibri" w:hAnsi="Calibri" w:cs="Times New Roman"/>
                <w:bCs/>
                <w:color w:val="auto"/>
                <w:sz w:val="24"/>
                <w:lang w:eastAsia="zh-CN"/>
              </w:rPr>
              <w:t>*****</w:t>
            </w:r>
            <w:r>
              <w:rPr>
                <w:rFonts w:hint="eastAsia" w:ascii="Calibri" w:hAnsi="Calibri" w:cs="Times New Roman"/>
                <w:bCs/>
                <w:color w:val="auto"/>
                <w:sz w:val="24"/>
              </w:rPr>
              <w:t>-2020）中贮存要求相符。</w:t>
            </w:r>
          </w:p>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b/>
                <w:color w:val="auto"/>
                <w:sz w:val="24"/>
                <w:szCs w:val="24"/>
              </w:rPr>
            </w:pPr>
            <w:r>
              <w:rPr>
                <w:rFonts w:hint="default" w:ascii="宋体" w:hAnsi="宋体" w:cs="宋体"/>
                <w:b/>
                <w:color w:val="auto"/>
                <w:sz w:val="24"/>
                <w:szCs w:val="24"/>
                <w:lang w:val="en-US"/>
              </w:rPr>
              <w:t>10</w:t>
            </w:r>
            <w:r>
              <w:rPr>
                <w:rFonts w:hint="eastAsia" w:ascii="宋体" w:hAnsi="宋体" w:cs="宋体"/>
                <w:b/>
                <w:color w:val="auto"/>
                <w:sz w:val="24"/>
                <w:szCs w:val="24"/>
              </w:rPr>
              <w:t>、产业政策符合性分析</w:t>
            </w:r>
          </w:p>
          <w:p>
            <w:pPr>
              <w:pStyle w:val="6"/>
              <w:keepNext w:val="0"/>
              <w:keepLines w:val="0"/>
              <w:suppressLineNumbers w:val="0"/>
              <w:spacing w:before="0" w:beforeAutospacing="0" w:after="0" w:afterAutospacing="0" w:line="360" w:lineRule="auto"/>
              <w:ind w:left="0" w:right="0" w:firstLine="480"/>
              <w:rPr>
                <w:rFonts w:hint="eastAsia" w:ascii="宋体" w:hAnsi="宋体" w:cs="宋体"/>
                <w:color w:val="auto"/>
                <w:sz w:val="24"/>
                <w:szCs w:val="24"/>
              </w:rPr>
            </w:pPr>
            <w:r>
              <w:rPr>
                <w:rFonts w:hint="eastAsia" w:ascii="宋体" w:hAnsi="宋体" w:cs="宋体"/>
                <w:color w:val="auto"/>
                <w:sz w:val="24"/>
                <w:szCs w:val="24"/>
              </w:rPr>
              <w:t>对照</w:t>
            </w:r>
            <w:r>
              <w:rPr>
                <w:rFonts w:hint="eastAsia" w:ascii="宋体" w:hAnsi="宋体" w:cs="宋体"/>
                <w:color w:val="auto"/>
                <w:sz w:val="24"/>
                <w:szCs w:val="24"/>
                <w:lang w:val="zh-CN"/>
              </w:rPr>
              <w:t>《产业结构调整指导目录（****年本）》（</w:t>
            </w:r>
            <w:r>
              <w:rPr>
                <w:rFonts w:hint="eastAsia" w:ascii="宋体" w:hAnsi="宋体" w:cs="宋体"/>
                <w:color w:val="auto"/>
                <w:sz w:val="24"/>
                <w:szCs w:val="24"/>
              </w:rPr>
              <w:t>简称“目录”</w:t>
            </w:r>
            <w:r>
              <w:rPr>
                <w:rFonts w:hint="eastAsia" w:ascii="宋体" w:hAnsi="宋体" w:cs="宋体"/>
                <w:color w:val="auto"/>
                <w:sz w:val="24"/>
                <w:szCs w:val="24"/>
                <w:lang w:val="zh-CN"/>
              </w:rPr>
              <w:t>），本项目</w:t>
            </w:r>
            <w:r>
              <w:rPr>
                <w:rFonts w:hint="eastAsia" w:ascii="宋体" w:hAnsi="宋体" w:cs="宋体"/>
                <w:color w:val="auto"/>
                <w:sz w:val="24"/>
                <w:szCs w:val="24"/>
              </w:rPr>
              <w:t>属于“目录”中第三十七条“卫生健康”中第6条传染病、儿童、精神卫生专科医院和康复医院(中心)、护理院(中心、站)、安宁疗护中心、全科医疗设施建设与服务，本项目属于鼓励类，符合国家产业政策</w:t>
            </w:r>
            <w:r>
              <w:rPr>
                <w:rFonts w:hint="eastAsia" w:ascii="宋体" w:hAnsi="宋体" w:cs="宋体"/>
                <w:bCs/>
                <w:color w:val="auto"/>
                <w:sz w:val="24"/>
                <w:szCs w:val="24"/>
              </w:rPr>
              <w:t>。</w:t>
            </w:r>
          </w:p>
          <w:p>
            <w:pPr>
              <w:pStyle w:val="6"/>
              <w:keepNext w:val="0"/>
              <w:keepLines w:val="0"/>
              <w:suppressLineNumbers w:val="0"/>
              <w:adjustRightInd/>
              <w:spacing w:before="0" w:beforeAutospacing="0" w:after="0" w:afterAutospacing="0" w:line="360" w:lineRule="auto"/>
              <w:ind w:left="0" w:right="0" w:firstLine="480"/>
              <w:rPr>
                <w:rFonts w:hint="eastAsia" w:ascii="宋体" w:hAnsi="宋体" w:cs="宋体"/>
                <w:bCs/>
                <w:color w:val="auto"/>
                <w:sz w:val="24"/>
                <w:szCs w:val="24"/>
              </w:rPr>
            </w:pPr>
            <w:r>
              <w:rPr>
                <w:rFonts w:hint="eastAsia" w:ascii="宋体" w:hAnsi="宋体" w:cs="宋体"/>
                <w:bCs/>
                <w:color w:val="auto"/>
                <w:sz w:val="24"/>
                <w:szCs w:val="24"/>
              </w:rPr>
              <w:t>因此，本项目符合现行的产业政策。</w:t>
            </w:r>
          </w:p>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b/>
                <w:color w:val="auto"/>
                <w:sz w:val="24"/>
                <w:szCs w:val="24"/>
              </w:rPr>
            </w:pPr>
            <w:r>
              <w:rPr>
                <w:rFonts w:hint="default" w:ascii="宋体" w:hAnsi="宋体" w:cs="宋体"/>
                <w:b/>
                <w:color w:val="auto"/>
                <w:sz w:val="24"/>
                <w:szCs w:val="24"/>
              </w:rPr>
              <w:t>1</w:t>
            </w:r>
            <w:r>
              <w:rPr>
                <w:rFonts w:hint="default" w:ascii="宋体" w:hAnsi="宋体" w:cs="宋体"/>
                <w:b/>
                <w:color w:val="auto"/>
                <w:sz w:val="24"/>
                <w:szCs w:val="24"/>
                <w:lang w:val="en-US"/>
              </w:rPr>
              <w:t>1</w:t>
            </w:r>
            <w:r>
              <w:rPr>
                <w:rFonts w:hint="eastAsia" w:ascii="宋体" w:hAnsi="宋体" w:cs="宋体"/>
                <w:b/>
                <w:color w:val="auto"/>
                <w:sz w:val="24"/>
                <w:szCs w:val="24"/>
              </w:rPr>
              <w:t>、项目环境相容性和选址合理性分析</w:t>
            </w:r>
          </w:p>
          <w:p>
            <w:pPr>
              <w:pStyle w:val="6"/>
              <w:keepNext w:val="0"/>
              <w:keepLines w:val="0"/>
              <w:suppressLineNumbers w:val="0"/>
              <w:spacing w:before="0" w:beforeAutospacing="0" w:after="0" w:afterAutospacing="0" w:line="360" w:lineRule="auto"/>
              <w:ind w:left="0" w:right="0" w:firstLine="480"/>
              <w:rPr>
                <w:rFonts w:hint="eastAsia" w:ascii="宋体" w:hAnsi="宋体" w:cs="宋体"/>
                <w:color w:val="auto"/>
                <w:sz w:val="24"/>
                <w:szCs w:val="24"/>
              </w:rPr>
            </w:pPr>
            <w:r>
              <w:rPr>
                <w:rFonts w:hint="eastAsia" w:ascii="宋体" w:hAnsi="宋体" w:cs="宋体"/>
                <w:color w:val="auto"/>
                <w:sz w:val="24"/>
                <w:szCs w:val="24"/>
              </w:rPr>
              <w:t>本项目</w:t>
            </w:r>
            <w:r>
              <w:rPr>
                <w:rFonts w:hint="default" w:ascii="Times New Roman" w:hAnsi="Times New Roman" w:cs="Times New Roman"/>
                <w:color w:val="auto"/>
                <w:sz w:val="24"/>
              </w:rPr>
              <w:t>位于</w:t>
            </w:r>
            <w:r>
              <w:rPr>
                <w:rFonts w:hint="eastAsia" w:ascii="宋体" w:hAnsi="宋体" w:cs="宋体"/>
                <w:color w:val="auto"/>
                <w:sz w:val="24"/>
                <w:szCs w:val="24"/>
              </w:rPr>
              <w:t>东川区城区西南角，规划道路东海路南延长线东侧，兴铜路西延长线南侧交汇路口，项目不在饮用水水源地、风景区、自然保护区等生态保护区内，不占用生态红线，评价区域无珍稀野生动植物分布。项目建设</w:t>
            </w:r>
            <w:r>
              <w:rPr>
                <w:rFonts w:hint="eastAsia" w:ascii="宋体" w:hAnsi="宋体" w:cs="宋体"/>
                <w:color w:val="auto"/>
                <w:sz w:val="24"/>
                <w:szCs w:val="24"/>
                <w:lang w:eastAsia="zh-CN"/>
              </w:rPr>
              <w:t>符合</w:t>
            </w:r>
            <w:r>
              <w:rPr>
                <w:rFonts w:hint="eastAsia" w:ascii="宋体" w:hAnsi="宋体" w:cs="宋体"/>
                <w:color w:val="auto"/>
                <w:sz w:val="24"/>
                <w:szCs w:val="24"/>
              </w:rPr>
              <w:t>《昆明市“三线一单”生态环境分区管控实施方案》，</w:t>
            </w:r>
            <w:r>
              <w:rPr>
                <w:rFonts w:hint="eastAsia" w:ascii="宋体" w:hAnsi="宋体" w:cs="宋体"/>
                <w:color w:val="auto"/>
                <w:sz w:val="24"/>
                <w:szCs w:val="24"/>
                <w:lang w:val="zh-CN"/>
              </w:rPr>
              <w:t>本项目与《长江经济带发展负面清单指南（</w:t>
            </w:r>
            <w:r>
              <w:rPr>
                <w:rFonts w:hint="default" w:ascii="宋体" w:hAnsi="宋体" w:cs="宋体"/>
                <w:color w:val="auto"/>
                <w:sz w:val="24"/>
                <w:szCs w:val="24"/>
                <w:lang w:val="en-US"/>
              </w:rPr>
              <w:t>2022</w:t>
            </w:r>
            <w:r>
              <w:rPr>
                <w:rFonts w:hint="eastAsia" w:ascii="宋体" w:hAnsi="宋体" w:cs="宋体"/>
                <w:color w:val="auto"/>
                <w:sz w:val="24"/>
                <w:szCs w:val="24"/>
                <w:lang w:val="en-US" w:eastAsia="zh-CN"/>
              </w:rPr>
              <w:t>年版</w:t>
            </w:r>
            <w:r>
              <w:rPr>
                <w:rFonts w:hint="eastAsia" w:ascii="宋体" w:hAnsi="宋体" w:cs="宋体"/>
                <w:color w:val="auto"/>
                <w:sz w:val="24"/>
                <w:szCs w:val="24"/>
                <w:lang w:val="zh-CN"/>
              </w:rPr>
              <w:t>）》符合。</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highlight w:val="yellow"/>
              </w:rPr>
            </w:pPr>
            <w:r>
              <w:rPr>
                <w:rFonts w:hint="eastAsia" w:ascii="宋体" w:hAnsi="宋体" w:cs="宋体"/>
                <w:color w:val="auto"/>
                <w:sz w:val="24"/>
                <w:szCs w:val="24"/>
              </w:rPr>
              <w:t>本项目</w:t>
            </w:r>
            <w:r>
              <w:rPr>
                <w:rFonts w:hint="eastAsia" w:ascii="宋体" w:hAnsi="宋体" w:cs="宋体"/>
                <w:color w:val="auto"/>
                <w:sz w:val="24"/>
                <w:szCs w:val="24"/>
                <w:lang w:eastAsia="zh-CN"/>
              </w:rPr>
              <w:t>周边主要为石羊社区、金水花园、石羊小区等居民区，项目的建设可以满足周边群众对卫生服务的需求。项目</w:t>
            </w:r>
            <w:r>
              <w:rPr>
                <w:rFonts w:hint="eastAsia" w:ascii="宋体" w:hAnsi="宋体" w:cs="宋体"/>
                <w:color w:val="auto"/>
                <w:sz w:val="24"/>
                <w:szCs w:val="24"/>
              </w:rPr>
              <w:t>产生的废水主要有医疗废水和生活污水，经医院自建的一套污水处理站处理达标后，排至市政污水管网，最终进入东川区污水处理厂，废水去向明确，处置合理。本项目产生的固废主要有生活垃圾、危险废物、医疗废物，其中生活垃圾使用垃圾桶收集后委托环卫部门清运；污泥消毒处理后委托有资质单位处置；医疗废物委托有资质的单位进行处置。噪声对周围环境和居民点影响小，异味对周围环境影响小，厨房油烟使用抽油烟机净化处理。项目环境风险影响程度可以接受。本项目对周围环境和保护目标影响轻微，项目建设不会改变区域环境功能。</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本项目为医疗卫生服务机构，周围外环境噪声的传播受到建筑物的阻隔后，对住院区影响较小。</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项目对周围环境和保护目标影响轻微，不会改变区域环境功能。本项目的建设可以增加区域基层医疗服务能力，提高区域医疗水平。</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本项目已取得选址意见书，详见附件</w:t>
            </w:r>
            <w:r>
              <w:rPr>
                <w:rFonts w:hint="default" w:ascii="宋体" w:hAnsi="宋体" w:cs="宋体"/>
                <w:color w:val="auto"/>
                <w:sz w:val="24"/>
                <w:szCs w:val="24"/>
                <w:lang w:val="en-US" w:eastAsia="zh-CN"/>
              </w:rPr>
              <w:t>3</w:t>
            </w:r>
            <w:r>
              <w:rPr>
                <w:rFonts w:hint="eastAsia" w:ascii="宋体" w:hAnsi="宋体" w:cs="宋体"/>
                <w:color w:val="auto"/>
                <w:sz w:val="24"/>
                <w:szCs w:val="24"/>
                <w:lang w:val="en-US" w:eastAsia="zh-CN"/>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综上所述，本项目与周围环境相容，选址基本合理。</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bCs/>
                <w:color w:val="auto"/>
                <w:kern w:val="0"/>
                <w:sz w:val="24"/>
                <w:szCs w:val="24"/>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bCs/>
                <w:color w:val="auto"/>
                <w:kern w:val="0"/>
                <w:sz w:val="24"/>
                <w:szCs w:val="24"/>
              </w:rPr>
            </w:pPr>
          </w:p>
          <w:p>
            <w:pPr>
              <w:pStyle w:val="9"/>
              <w:keepNext w:val="0"/>
              <w:keepLines w:val="0"/>
              <w:suppressLineNumbers w:val="0"/>
              <w:spacing w:beforeAutospacing="0" w:afterAutospacing="0"/>
              <w:ind w:left="0"/>
              <w:rPr>
                <w:rFonts w:hint="eastAsia" w:ascii="宋体" w:hAnsi="宋体" w:cs="宋体"/>
                <w:bCs/>
                <w:color w:val="auto"/>
                <w:kern w:val="0"/>
                <w:sz w:val="24"/>
              </w:rPr>
            </w:pPr>
          </w:p>
          <w:p>
            <w:pPr>
              <w:pStyle w:val="10"/>
              <w:keepNext w:val="0"/>
              <w:keepLines w:val="0"/>
              <w:widowControl/>
              <w:suppressLineNumbers w:val="0"/>
              <w:spacing w:beforeAutospacing="0" w:afterAutospacing="0"/>
              <w:rPr>
                <w:rFonts w:hint="eastAsia" w:ascii="宋体" w:hAnsi="宋体" w:cs="宋体"/>
                <w:bCs/>
                <w:color w:val="auto"/>
                <w:sz w:val="24"/>
                <w:szCs w:val="24"/>
              </w:rPr>
            </w:pPr>
          </w:p>
          <w:p>
            <w:pPr>
              <w:keepNext w:val="0"/>
              <w:keepLines w:val="0"/>
              <w:suppressLineNumbers w:val="0"/>
              <w:spacing w:before="0" w:beforeAutospacing="0" w:after="0" w:afterAutospacing="0"/>
              <w:ind w:left="0" w:right="0"/>
              <w:rPr>
                <w:rFonts w:hint="eastAsia" w:ascii="宋体" w:hAnsi="宋体" w:cs="宋体"/>
                <w:bCs/>
                <w:color w:val="auto"/>
                <w:kern w:val="0"/>
                <w:sz w:val="24"/>
                <w:szCs w:val="24"/>
              </w:rPr>
            </w:pPr>
          </w:p>
          <w:p>
            <w:pPr>
              <w:pStyle w:val="9"/>
              <w:keepNext w:val="0"/>
              <w:keepLines w:val="0"/>
              <w:suppressLineNumbers w:val="0"/>
              <w:spacing w:beforeAutospacing="0" w:afterAutospacing="0"/>
              <w:ind w:left="0"/>
              <w:rPr>
                <w:rFonts w:hint="eastAsia" w:ascii="宋体" w:hAnsi="宋体" w:cs="宋体"/>
                <w:bCs/>
                <w:color w:val="auto"/>
                <w:kern w:val="0"/>
                <w:sz w:val="24"/>
              </w:rPr>
            </w:pPr>
          </w:p>
          <w:p>
            <w:pPr>
              <w:pStyle w:val="10"/>
              <w:keepNext w:val="0"/>
              <w:keepLines w:val="0"/>
              <w:widowControl/>
              <w:suppressLineNumbers w:val="0"/>
              <w:spacing w:beforeAutospacing="0" w:afterAutospacing="0"/>
              <w:rPr>
                <w:rFonts w:hint="eastAsia" w:ascii="宋体" w:hAnsi="宋体" w:cs="宋体"/>
                <w:bCs/>
                <w:color w:val="auto"/>
                <w:sz w:val="24"/>
                <w:szCs w:val="24"/>
              </w:rPr>
            </w:pPr>
          </w:p>
          <w:p>
            <w:pPr>
              <w:keepNext w:val="0"/>
              <w:keepLines w:val="0"/>
              <w:suppressLineNumbers w:val="0"/>
              <w:spacing w:before="0" w:beforeAutospacing="0" w:after="0" w:afterAutospacing="0"/>
              <w:ind w:left="0" w:right="0"/>
              <w:rPr>
                <w:rFonts w:hint="eastAsia" w:ascii="宋体" w:hAnsi="宋体" w:cs="宋体"/>
                <w:bCs/>
                <w:color w:val="auto"/>
                <w:sz w:val="24"/>
                <w:szCs w:val="24"/>
              </w:rPr>
            </w:pPr>
          </w:p>
          <w:p>
            <w:pPr>
              <w:pStyle w:val="9"/>
              <w:keepNext w:val="0"/>
              <w:keepLines w:val="0"/>
              <w:suppressLineNumbers w:val="0"/>
              <w:spacing w:beforeAutospacing="0" w:afterAutospacing="0"/>
              <w:ind w:left="0"/>
              <w:rPr>
                <w:rFonts w:hint="eastAsia" w:ascii="宋体" w:hAnsi="宋体" w:cs="宋体"/>
                <w:bCs/>
                <w:color w:val="auto"/>
                <w:kern w:val="0"/>
                <w:sz w:val="24"/>
              </w:rPr>
            </w:pPr>
          </w:p>
          <w:p>
            <w:pPr>
              <w:pStyle w:val="10"/>
              <w:keepNext w:val="0"/>
              <w:keepLines w:val="0"/>
              <w:widowControl/>
              <w:suppressLineNumbers w:val="0"/>
              <w:spacing w:beforeAutospacing="0" w:afterAutospacing="0"/>
              <w:rPr>
                <w:rFonts w:hint="eastAsia" w:ascii="宋体" w:hAnsi="宋体" w:cs="宋体"/>
                <w:bCs/>
                <w:color w:val="auto"/>
                <w:sz w:val="24"/>
                <w:szCs w:val="24"/>
              </w:rPr>
            </w:pPr>
          </w:p>
          <w:p>
            <w:pPr>
              <w:keepNext w:val="0"/>
              <w:keepLines w:val="0"/>
              <w:suppressLineNumbers w:val="0"/>
              <w:spacing w:before="0" w:beforeAutospacing="0" w:after="0" w:afterAutospacing="0"/>
              <w:ind w:left="0" w:right="0"/>
              <w:rPr>
                <w:rFonts w:hint="eastAsia" w:ascii="宋体" w:hAnsi="宋体" w:cs="宋体"/>
                <w:bCs/>
                <w:color w:val="auto"/>
                <w:sz w:val="24"/>
                <w:szCs w:val="24"/>
              </w:rPr>
            </w:pPr>
          </w:p>
          <w:p>
            <w:pPr>
              <w:pStyle w:val="9"/>
              <w:keepNext w:val="0"/>
              <w:keepLines w:val="0"/>
              <w:suppressLineNumbers w:val="0"/>
              <w:spacing w:beforeAutospacing="0" w:afterAutospacing="0"/>
              <w:ind w:left="0"/>
              <w:rPr>
                <w:rFonts w:hint="eastAsia" w:ascii="宋体" w:hAnsi="宋体" w:cs="宋体"/>
                <w:bCs/>
                <w:color w:val="auto"/>
                <w:kern w:val="0"/>
                <w:sz w:val="24"/>
              </w:rPr>
            </w:pPr>
          </w:p>
          <w:p>
            <w:pPr>
              <w:pStyle w:val="10"/>
              <w:keepNext w:val="0"/>
              <w:keepLines w:val="0"/>
              <w:widowControl/>
              <w:suppressLineNumbers w:val="0"/>
              <w:spacing w:beforeAutospacing="0" w:afterAutospacing="0"/>
              <w:rPr>
                <w:rFonts w:hint="eastAsia" w:ascii="Calibri" w:hAnsi="Calibri" w:cs="Times New Roman"/>
                <w:color w:val="auto"/>
                <w:szCs w:val="20"/>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bCs/>
                <w:color w:val="auto"/>
                <w:kern w:val="0"/>
                <w:sz w:val="24"/>
                <w:szCs w:val="24"/>
              </w:rPr>
            </w:pPr>
          </w:p>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color w:val="auto"/>
                <w:kern w:val="0"/>
              </w:rPr>
            </w:pPr>
          </w:p>
        </w:tc>
      </w:tr>
      <w:bookmarkEnd w:id="1"/>
    </w:tbl>
    <w:p>
      <w:pPr>
        <w:pStyle w:val="3"/>
        <w:jc w:val="center"/>
        <w:rPr>
          <w:rFonts w:hint="eastAsia"/>
          <w:color w:val="auto"/>
        </w:rPr>
      </w:pPr>
      <w:bookmarkStart w:id="3" w:name="_Toc16928"/>
      <w:r>
        <w:rPr>
          <w:rFonts w:hint="eastAsia"/>
          <w:color w:val="auto"/>
        </w:rPr>
        <w:br w:type="page"/>
      </w:r>
      <w:r>
        <w:rPr>
          <w:rFonts w:hint="eastAsia"/>
          <w:color w:val="auto"/>
        </w:rPr>
        <w:t>二、建设项目工程分析</w:t>
      </w:r>
      <w:bookmarkEnd w:id="3"/>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10"/>
        <w:gridCol w:w="90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20" w:hRule="atLeast"/>
          <w:jc w:val="center"/>
        </w:trPr>
        <w:tc>
          <w:tcPr>
            <w:tcW w:w="453" w:type="dxa"/>
            <w:tcBorders>
              <w:top w:val="single" w:color="auto" w:sz="8" w:space="0"/>
              <w:bottom w:val="single" w:color="auto" w:sz="4" w:space="0"/>
            </w:tcBorders>
            <w:noWrap w:val="0"/>
            <w:vAlign w:val="center"/>
          </w:tcPr>
          <w:p>
            <w:pPr>
              <w:pStyle w:val="22"/>
              <w:keepNext w:val="0"/>
              <w:keepLines w:val="0"/>
              <w:suppressLineNumbers w:val="0"/>
              <w:adjustRightInd w:val="0"/>
              <w:snapToGrid w:val="0"/>
              <w:spacing w:before="0" w:beforeAutospacing="0" w:after="0" w:afterAutospacing="0"/>
              <w:ind w:left="0" w:right="0"/>
              <w:jc w:val="center"/>
              <w:rPr>
                <w:rFonts w:hint="eastAsia" w:cs="宋体"/>
                <w:b/>
                <w:bCs/>
                <w:color w:val="auto"/>
                <w:szCs w:val="24"/>
              </w:rPr>
            </w:pPr>
            <w:r>
              <w:rPr>
                <w:rFonts w:hint="eastAsia" w:cs="宋体"/>
                <w:b/>
                <w:bCs/>
                <w:color w:val="auto"/>
                <w:szCs w:val="24"/>
              </w:rPr>
              <w:t>建设内容</w:t>
            </w:r>
          </w:p>
        </w:tc>
        <w:tc>
          <w:tcPr>
            <w:tcW w:w="9004" w:type="dxa"/>
            <w:tcBorders>
              <w:top w:val="single" w:color="auto" w:sz="8" w:space="0"/>
              <w:bottom w:val="single" w:color="auto" w:sz="4" w:space="0"/>
            </w:tcBorders>
            <w:noWrap w:val="0"/>
            <w:vAlign w:val="top"/>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一、项目建设背景</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昆明市东川区精神病院是云南省内历史悠久的精神病二级医院之一，是东川区卫生系统直属差额拨款事业单位，目前是昆明市唯一的县区级公立精神病医院。承担着东川区31万人的精神疾病防治及心理卫生健康任务，主要承担着精神障碍患者的诊断、治疗、预防、康复、公共精神卫生、精神卫生健康教育宣传等职能，医院以公益性为主导。 </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东川区精神病院于2006年搬迁至东川区铜都街道凯通路延长线（石羊社区）现址，占地面积8亩，建筑面积1906平方米，其中住院部1006平方米，康复病区900平方米。因业务用房十分紧张，医院的办公、门诊、药房、医保、医技等的办公用房及业务用房均为租用医院附近廉租房小区一、二楼18间房屋使用。</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因床位紧张，有相当一部分病人无法收治住院，不够满足病人治疗需求。部分贫困患者得不到有效救治，依法被决定强制医疗和有肇事肇祸行为的患者收治困难。公众对焦虑症、抑郁症等常见精神障碍和心理行为问题认知率低，社会偏见和歧视广泛存在，讳疾忌医多，科学就诊少。加强软硬件设施，特别是专业技术人员培养、培训，改善病人就医条件，提升整体服务能力和水平，满足人民群众的服务需求，因此昆明市东川区精神病院整体迁建建设项目显得十分迫切。</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w:t>
            </w:r>
            <w:r>
              <w:rPr>
                <w:rFonts w:hint="eastAsia" w:cs="Times New Roman"/>
                <w:color w:val="auto"/>
                <w:sz w:val="24"/>
                <w:szCs w:val="24"/>
                <w:lang w:eastAsia="zh-CN"/>
              </w:rPr>
              <w:t>位于</w:t>
            </w:r>
            <w:r>
              <w:rPr>
                <w:rFonts w:hint="eastAsia" w:ascii="宋体" w:hAnsi="宋体" w:cs="宋体"/>
                <w:color w:val="auto"/>
                <w:kern w:val="0"/>
                <w:sz w:val="24"/>
                <w:szCs w:val="24"/>
              </w:rPr>
              <w:t>云南省昆明市东川区城区西南角，规划道路东海路南延长线东侧，兴铜路西延长线南侧交汇路口</w:t>
            </w:r>
            <w:r>
              <w:rPr>
                <w:rFonts w:hint="eastAsia" w:ascii="宋体" w:hAnsi="宋体" w:cs="宋体"/>
                <w:color w:val="auto"/>
                <w:kern w:val="0"/>
                <w:sz w:val="24"/>
                <w:szCs w:val="24"/>
                <w:lang w:eastAsia="zh-CN"/>
              </w:rPr>
              <w:t>（原东川区精神病院西北侧</w:t>
            </w:r>
            <w:r>
              <w:rPr>
                <w:rFonts w:hint="default" w:ascii="宋体" w:hAnsi="宋体" w:cs="宋体"/>
                <w:color w:val="auto"/>
                <w:kern w:val="0"/>
                <w:sz w:val="24"/>
                <w:szCs w:val="24"/>
                <w:lang w:val="en-US" w:eastAsia="zh-CN"/>
              </w:rPr>
              <w:t>80m</w:t>
            </w:r>
            <w:r>
              <w:rPr>
                <w:rFonts w:hint="eastAsia" w:ascii="宋体" w:hAnsi="宋体" w:cs="宋体"/>
                <w:color w:val="auto"/>
                <w:kern w:val="0"/>
                <w:sz w:val="24"/>
                <w:szCs w:val="24"/>
                <w:lang w:eastAsia="zh-CN"/>
              </w:rPr>
              <w:t>），</w:t>
            </w:r>
            <w:r>
              <w:rPr>
                <w:rFonts w:hint="eastAsia" w:ascii="Times New Roman" w:hAnsi="Times New Roman" w:cs="Times New Roman"/>
                <w:color w:val="auto"/>
                <w:sz w:val="24"/>
                <w:szCs w:val="24"/>
                <w:lang w:eastAsia="zh-CN"/>
              </w:rPr>
              <w:t>占地面积</w:t>
            </w:r>
            <w:r>
              <w:rPr>
                <w:rFonts w:hint="default" w:ascii="宋体" w:hAnsi="宋体" w:cs="宋体"/>
                <w:color w:val="auto"/>
                <w:sz w:val="24"/>
                <w:szCs w:val="24"/>
                <w:lang w:val="en-US"/>
              </w:rPr>
              <w:t>13215.92</w:t>
            </w:r>
            <w:r>
              <w:rPr>
                <w:rFonts w:hint="eastAsia" w:ascii="宋体" w:hAnsi="宋体" w:cs="宋体"/>
                <w:color w:val="auto"/>
                <w:sz w:val="24"/>
                <w:szCs w:val="24"/>
                <w:lang w:val="en-US" w:eastAsia="zh-CN"/>
              </w:rPr>
              <w:t>（选址时用地面积为</w:t>
            </w:r>
            <w:r>
              <w:rPr>
                <w:rFonts w:hint="default" w:ascii="宋体" w:hAnsi="宋体" w:cs="宋体"/>
                <w:color w:val="auto"/>
                <w:sz w:val="24"/>
                <w:szCs w:val="24"/>
                <w:lang w:val="en-US" w:eastAsia="zh-CN"/>
              </w:rPr>
              <w:t>13332.99</w:t>
            </w:r>
            <w:r>
              <w:rPr>
                <w:rFonts w:hint="eastAsia" w:ascii="宋体" w:hAnsi="宋体" w:cs="宋体"/>
                <w:color w:val="auto"/>
                <w:spacing w:val="-6"/>
                <w:sz w:val="24"/>
                <w:szCs w:val="24"/>
              </w:rPr>
              <w:t>m</w:t>
            </w:r>
            <w:r>
              <w:rPr>
                <w:rFonts w:hint="eastAsia" w:ascii="宋体" w:hAnsi="宋体" w:cs="宋体"/>
                <w:color w:val="auto"/>
                <w:spacing w:val="-6"/>
                <w:sz w:val="24"/>
                <w:szCs w:val="24"/>
                <w:vertAlign w:val="superscript"/>
              </w:rPr>
              <w:t>2</w:t>
            </w:r>
            <w:r>
              <w:rPr>
                <w:rFonts w:hint="eastAsia" w:ascii="宋体" w:hAnsi="宋体" w:cs="宋体"/>
                <w:color w:val="auto"/>
                <w:spacing w:val="-6"/>
                <w:sz w:val="24"/>
                <w:szCs w:val="24"/>
                <w:vertAlign w:val="baseline"/>
                <w:lang w:eastAsia="zh-CN"/>
              </w:rPr>
              <w:t>，因东海路和兴铜路延长线道路平面线形调整，机动车停车位由</w:t>
            </w:r>
            <w:r>
              <w:rPr>
                <w:rFonts w:hint="default" w:ascii="宋体" w:hAnsi="宋体" w:cs="宋体"/>
                <w:color w:val="auto"/>
                <w:spacing w:val="-6"/>
                <w:sz w:val="24"/>
                <w:szCs w:val="24"/>
                <w:vertAlign w:val="baseline"/>
                <w:lang w:val="en-US" w:eastAsia="zh-CN"/>
              </w:rPr>
              <w:t>167</w:t>
            </w:r>
            <w:r>
              <w:rPr>
                <w:rFonts w:hint="eastAsia" w:ascii="宋体" w:hAnsi="宋体" w:cs="宋体"/>
                <w:color w:val="auto"/>
                <w:spacing w:val="-6"/>
                <w:sz w:val="24"/>
                <w:szCs w:val="24"/>
                <w:vertAlign w:val="baseline"/>
                <w:lang w:val="en-US" w:eastAsia="zh-CN"/>
              </w:rPr>
              <w:t>个减少为</w:t>
            </w:r>
            <w:r>
              <w:rPr>
                <w:rFonts w:hint="default" w:ascii="宋体" w:hAnsi="宋体" w:cs="宋体"/>
                <w:color w:val="auto"/>
                <w:spacing w:val="-6"/>
                <w:sz w:val="24"/>
                <w:szCs w:val="24"/>
                <w:vertAlign w:val="baseline"/>
                <w:lang w:val="en-US" w:eastAsia="zh-CN"/>
              </w:rPr>
              <w:t>154</w:t>
            </w:r>
            <w:r>
              <w:rPr>
                <w:rFonts w:hint="eastAsia" w:ascii="宋体" w:hAnsi="宋体" w:cs="宋体"/>
                <w:color w:val="auto"/>
                <w:spacing w:val="-6"/>
                <w:sz w:val="24"/>
                <w:szCs w:val="24"/>
                <w:vertAlign w:val="baseline"/>
                <w:lang w:val="en-US" w:eastAsia="zh-CN"/>
              </w:rPr>
              <w:t>个，面积减少</w:t>
            </w:r>
            <w:r>
              <w:rPr>
                <w:rFonts w:hint="default" w:ascii="宋体" w:hAnsi="宋体" w:cs="宋体"/>
                <w:color w:val="auto"/>
                <w:spacing w:val="-6"/>
                <w:sz w:val="24"/>
                <w:szCs w:val="24"/>
                <w:vertAlign w:val="baseline"/>
                <w:lang w:val="en-US" w:eastAsia="zh-CN"/>
              </w:rPr>
              <w:t>117.07</w:t>
            </w:r>
            <w:r>
              <w:rPr>
                <w:rFonts w:hint="eastAsia" w:ascii="宋体" w:hAnsi="宋体" w:cs="宋体"/>
                <w:color w:val="auto"/>
                <w:spacing w:val="-6"/>
                <w:sz w:val="24"/>
                <w:szCs w:val="24"/>
              </w:rPr>
              <w:t>m</w:t>
            </w:r>
            <w:r>
              <w:rPr>
                <w:rFonts w:hint="eastAsia" w:ascii="宋体" w:hAnsi="宋体" w:cs="宋体"/>
                <w:color w:val="auto"/>
                <w:spacing w:val="-6"/>
                <w:sz w:val="24"/>
                <w:szCs w:val="24"/>
                <w:vertAlign w:val="superscript"/>
              </w:rPr>
              <w:t>2</w:t>
            </w:r>
            <w:r>
              <w:rPr>
                <w:rFonts w:hint="eastAsia" w:ascii="宋体" w:hAnsi="宋体" w:cs="宋体"/>
                <w:color w:val="auto"/>
                <w:spacing w:val="-6"/>
                <w:sz w:val="24"/>
                <w:szCs w:val="24"/>
                <w:vertAlign w:val="baseline"/>
                <w:lang w:eastAsia="zh-CN"/>
              </w:rPr>
              <w:t>）</w:t>
            </w:r>
            <w:r>
              <w:rPr>
                <w:rFonts w:hint="default" w:ascii="Times New Roman" w:hAnsi="Times New Roman" w:cs="Times New Roman"/>
                <w:color w:val="auto"/>
                <w:sz w:val="24"/>
                <w:szCs w:val="24"/>
              </w:rPr>
              <w:t>，建筑面积为16878.82m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，设置床位2</w:t>
            </w:r>
            <w:r>
              <w:rPr>
                <w:rFonts w:hint="default" w:ascii="Times New Roman" w:hAnsi="Times New Roman" w:cs="Times New Roman"/>
                <w:color w:val="auto"/>
                <w:sz w:val="24"/>
                <w:szCs w:val="24"/>
                <w:lang w:val="en-US"/>
              </w:rPr>
              <w:t>5</w:t>
            </w:r>
            <w:r>
              <w:rPr>
                <w:rFonts w:hint="default" w:ascii="Times New Roman" w:hAnsi="Times New Roman" w:cs="Times New Roman"/>
                <w:color w:val="auto"/>
                <w:sz w:val="24"/>
                <w:szCs w:val="24"/>
              </w:rPr>
              <w:t>0张。项目不设传染科，不设口腔科，另外辐射类设备不纳入本次评价，应单独办理相关环评手续。</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据《中华人民共和国环境保护法》、《中华人民共和国环境影响评价法》的规定，本项目应该进行环境影响评价。经查阅《建设项目环境影响评价分类管理名录》（2021年版），项目属于“专科疾病防治院（所、站）8432”中“其他（住院床位20张以下的除外）”，对应的环境影响文件类型为报告表。受昆明市东川区精神病院委托，我公司承担了该项目的环境影响评价工作，接受委托后，我公司组织有关技术人员进行现场踏勘和调查，并收集与本项目有关的资料，在此基础上按照环境影响评价导则的要求，本着“客观、公正、科学、规范”的原则，编制了《昆明市东川区精神病院整体迁建建设项目环境影响报告表》，供建设单位上报审批。</w:t>
            </w:r>
          </w:p>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二、项目建设内容</w:t>
            </w:r>
          </w:p>
          <w:p>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1、项目名称、性质、建设地点</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项目名称：昆明市东川区精神病院整体迁建建设项目</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建设单位：昆明市东川区精神病院</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建设性质：</w:t>
            </w:r>
            <w:r>
              <w:rPr>
                <w:rFonts w:hint="eastAsia" w:ascii="Times New Roman" w:hAnsi="Times New Roman" w:cs="Times New Roman"/>
                <w:color w:val="auto"/>
                <w:sz w:val="24"/>
                <w:szCs w:val="24"/>
                <w:lang w:eastAsia="zh-CN"/>
              </w:rPr>
              <w:t>迁</w:t>
            </w:r>
            <w:r>
              <w:rPr>
                <w:rFonts w:hint="default" w:ascii="Times New Roman" w:hAnsi="Times New Roman" w:cs="Times New Roman"/>
                <w:color w:val="auto"/>
                <w:sz w:val="24"/>
                <w:szCs w:val="24"/>
              </w:rPr>
              <w:t>建</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建设地点：云南省昆明市东川区城区西南角，规划道路东海路南延长线东侧，兴铜路西延长线南侧交汇路口</w:t>
            </w:r>
            <w:r>
              <w:rPr>
                <w:rFonts w:hint="eastAsia" w:ascii="宋体" w:hAnsi="宋体" w:cs="宋体"/>
                <w:color w:val="auto"/>
                <w:kern w:val="0"/>
                <w:sz w:val="24"/>
                <w:szCs w:val="24"/>
                <w:lang w:eastAsia="zh-CN"/>
              </w:rPr>
              <w:t>（原东川区精神病院西北侧</w:t>
            </w:r>
            <w:r>
              <w:rPr>
                <w:rFonts w:hint="default" w:ascii="宋体" w:hAnsi="宋体" w:cs="宋体"/>
                <w:color w:val="auto"/>
                <w:kern w:val="0"/>
                <w:sz w:val="24"/>
                <w:szCs w:val="24"/>
                <w:lang w:val="en-US" w:eastAsia="zh-CN"/>
              </w:rPr>
              <w:t>80m</w:t>
            </w:r>
            <w:r>
              <w:rPr>
                <w:rFonts w:hint="eastAsia" w:ascii="宋体" w:hAnsi="宋体" w:cs="宋体"/>
                <w:color w:val="auto"/>
                <w:kern w:val="0"/>
                <w:sz w:val="24"/>
                <w:szCs w:val="24"/>
                <w:lang w:eastAsia="zh-CN"/>
              </w:rPr>
              <w:t>）</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eastAsia="zh-CN"/>
              </w:rPr>
              <w:t>占地面积</w:t>
            </w:r>
            <w:r>
              <w:rPr>
                <w:rFonts w:hint="default" w:ascii="宋体" w:hAnsi="宋体" w:cs="宋体"/>
                <w:color w:val="auto"/>
                <w:sz w:val="24"/>
                <w:szCs w:val="24"/>
                <w:lang w:val="en-US"/>
              </w:rPr>
              <w:t>13215.92</w:t>
            </w:r>
            <w:r>
              <w:rPr>
                <w:rFonts w:hint="eastAsia" w:ascii="宋体" w:hAnsi="宋体" w:cs="宋体"/>
                <w:color w:val="auto"/>
                <w:sz w:val="24"/>
                <w:szCs w:val="24"/>
                <w:lang w:val="en-US" w:eastAsia="zh-CN"/>
              </w:rPr>
              <w:t>（选址时用地面积为</w:t>
            </w:r>
            <w:r>
              <w:rPr>
                <w:rFonts w:hint="default" w:ascii="宋体" w:hAnsi="宋体" w:cs="宋体"/>
                <w:color w:val="auto"/>
                <w:sz w:val="24"/>
                <w:szCs w:val="24"/>
                <w:lang w:val="en-US" w:eastAsia="zh-CN"/>
              </w:rPr>
              <w:t>13332.99</w:t>
            </w:r>
            <w:r>
              <w:rPr>
                <w:rFonts w:hint="eastAsia" w:ascii="宋体" w:hAnsi="宋体" w:cs="宋体"/>
                <w:color w:val="auto"/>
                <w:spacing w:val="-6"/>
                <w:sz w:val="24"/>
                <w:szCs w:val="24"/>
              </w:rPr>
              <w:t>m</w:t>
            </w:r>
            <w:r>
              <w:rPr>
                <w:rFonts w:hint="eastAsia" w:ascii="宋体" w:hAnsi="宋体" w:cs="宋体"/>
                <w:color w:val="auto"/>
                <w:spacing w:val="-6"/>
                <w:sz w:val="24"/>
                <w:szCs w:val="24"/>
                <w:vertAlign w:val="superscript"/>
              </w:rPr>
              <w:t>2</w:t>
            </w:r>
            <w:r>
              <w:rPr>
                <w:rFonts w:hint="eastAsia" w:ascii="宋体" w:hAnsi="宋体" w:cs="宋体"/>
                <w:color w:val="auto"/>
                <w:spacing w:val="-6"/>
                <w:sz w:val="24"/>
                <w:szCs w:val="24"/>
                <w:vertAlign w:val="baseline"/>
                <w:lang w:eastAsia="zh-CN"/>
              </w:rPr>
              <w:t>，因东海路和兴铜路延长线道路平面线形调整，机动车停车位由</w:t>
            </w:r>
            <w:r>
              <w:rPr>
                <w:rFonts w:hint="default" w:ascii="宋体" w:hAnsi="宋体" w:cs="宋体"/>
                <w:color w:val="auto"/>
                <w:spacing w:val="-6"/>
                <w:sz w:val="24"/>
                <w:szCs w:val="24"/>
                <w:vertAlign w:val="baseline"/>
                <w:lang w:val="en-US" w:eastAsia="zh-CN"/>
              </w:rPr>
              <w:t>167</w:t>
            </w:r>
            <w:r>
              <w:rPr>
                <w:rFonts w:hint="eastAsia" w:ascii="宋体" w:hAnsi="宋体" w:cs="宋体"/>
                <w:color w:val="auto"/>
                <w:spacing w:val="-6"/>
                <w:sz w:val="24"/>
                <w:szCs w:val="24"/>
                <w:vertAlign w:val="baseline"/>
                <w:lang w:val="en-US" w:eastAsia="zh-CN"/>
              </w:rPr>
              <w:t>个减少为</w:t>
            </w:r>
            <w:r>
              <w:rPr>
                <w:rFonts w:hint="default" w:ascii="宋体" w:hAnsi="宋体" w:cs="宋体"/>
                <w:color w:val="auto"/>
                <w:spacing w:val="-6"/>
                <w:sz w:val="24"/>
                <w:szCs w:val="24"/>
                <w:vertAlign w:val="baseline"/>
                <w:lang w:val="en-US" w:eastAsia="zh-CN"/>
              </w:rPr>
              <w:t>154</w:t>
            </w:r>
            <w:r>
              <w:rPr>
                <w:rFonts w:hint="eastAsia" w:ascii="宋体" w:hAnsi="宋体" w:cs="宋体"/>
                <w:color w:val="auto"/>
                <w:spacing w:val="-6"/>
                <w:sz w:val="24"/>
                <w:szCs w:val="24"/>
                <w:vertAlign w:val="baseline"/>
                <w:lang w:val="en-US" w:eastAsia="zh-CN"/>
              </w:rPr>
              <w:t>个，面积减少</w:t>
            </w:r>
            <w:r>
              <w:rPr>
                <w:rFonts w:hint="default" w:ascii="宋体" w:hAnsi="宋体" w:cs="宋体"/>
                <w:color w:val="auto"/>
                <w:spacing w:val="-6"/>
                <w:sz w:val="24"/>
                <w:szCs w:val="24"/>
                <w:vertAlign w:val="baseline"/>
                <w:lang w:val="en-US" w:eastAsia="zh-CN"/>
              </w:rPr>
              <w:t>117.07</w:t>
            </w:r>
            <w:r>
              <w:rPr>
                <w:rFonts w:hint="eastAsia" w:ascii="宋体" w:hAnsi="宋体" w:cs="宋体"/>
                <w:color w:val="auto"/>
                <w:spacing w:val="-6"/>
                <w:sz w:val="24"/>
                <w:szCs w:val="24"/>
              </w:rPr>
              <w:t>m</w:t>
            </w:r>
            <w:r>
              <w:rPr>
                <w:rFonts w:hint="eastAsia" w:ascii="宋体" w:hAnsi="宋体" w:cs="宋体"/>
                <w:color w:val="auto"/>
                <w:spacing w:val="-6"/>
                <w:sz w:val="24"/>
                <w:szCs w:val="24"/>
                <w:vertAlign w:val="superscript"/>
              </w:rPr>
              <w:t>2</w:t>
            </w:r>
            <w:r>
              <w:rPr>
                <w:rFonts w:hint="eastAsia" w:ascii="宋体" w:hAnsi="宋体" w:cs="宋体"/>
                <w:color w:val="auto"/>
                <w:spacing w:val="-6"/>
                <w:sz w:val="24"/>
                <w:szCs w:val="24"/>
                <w:vertAlign w:val="baseline"/>
                <w:lang w:eastAsia="zh-CN"/>
              </w:rPr>
              <w:t>）</w:t>
            </w:r>
            <w:r>
              <w:rPr>
                <w:rFonts w:hint="default" w:ascii="Times New Roman" w:hAnsi="Times New Roman" w:cs="Times New Roman"/>
                <w:color w:val="auto"/>
                <w:sz w:val="24"/>
                <w:szCs w:val="24"/>
              </w:rPr>
              <w:t>，建筑面积为16878.82㎡。项目地理中心坐标为：经度经度103°10′42.608″，纬度：26°4′9.695″。</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本项目地理位置见附图1。</w:t>
            </w:r>
          </w:p>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2、建设内容</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据《国家卫生健康委办公厅关于取消部分医疗机构&lt;设置医疗机构批准书&gt;核发加强事中事后监管工作的通知》，“除三级医院、三级妇幼保健院、急救中心、急救站、临床检验中心、中外合资合作医疗机构、港澳台独资医疗机构外，举办其他医疗机构的，卫生健康行政部门不再核发《设置医疗机构批准书》，在执业登记时发放《医疗机构执业许可证》”。昆明市东川区精神病院为二级精神病医院，待项目建设完成后，经政府相关部门考察审核后下发正式《医疗机构执业许可证》。</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本项目科室设置包括：精神科(内含急诊室、心理咨询室)、 精神科男病区、精神科女病区、康复病区、隔离观察病区、工娱疗室、康复训练室、职业技能训练、磁疗室、生物反馈治疗室、集体教育室、康复社区手工艺术展示室、</w:t>
            </w:r>
            <w:r>
              <w:rPr>
                <w:rFonts w:hint="eastAsia" w:ascii="Times New Roman" w:hAnsi="Times New Roman" w:cs="Times New Roman"/>
                <w:color w:val="auto"/>
                <w:sz w:val="24"/>
                <w:szCs w:val="24"/>
                <w:lang w:eastAsia="zh-CN"/>
              </w:rPr>
              <w:t>中医科、</w:t>
            </w:r>
            <w:r>
              <w:rPr>
                <w:rFonts w:hint="default" w:ascii="Times New Roman" w:hAnsi="Times New Roman" w:cs="Times New Roman"/>
                <w:color w:val="auto"/>
                <w:sz w:val="24"/>
                <w:szCs w:val="24"/>
              </w:rPr>
              <w:t>预防保健室、会议室等。需设有药房、化验室、X光室、心电图、脑电图室、消毒供应室、资料室、病案室等。</w:t>
            </w:r>
            <w:r>
              <w:rPr>
                <w:rFonts w:hint="eastAsia" w:cs="Times New Roman"/>
                <w:color w:val="auto"/>
                <w:sz w:val="24"/>
                <w:szCs w:val="24"/>
                <w:lang w:eastAsia="zh-CN"/>
              </w:rPr>
              <w:t>本项目不设传染科、口腔科，无重金属废水产生；</w:t>
            </w:r>
            <w:r>
              <w:rPr>
                <w:rFonts w:hint="default" w:ascii="Times New Roman" w:hAnsi="Times New Roman" w:cs="Times New Roman"/>
                <w:color w:val="auto"/>
                <w:sz w:val="24"/>
                <w:szCs w:val="24"/>
              </w:rPr>
              <w:t>辐射类设备不纳入本次评价，</w:t>
            </w:r>
            <w:r>
              <w:rPr>
                <w:rFonts w:hint="eastAsia" w:cs="Times New Roman"/>
                <w:color w:val="auto"/>
                <w:sz w:val="24"/>
                <w:szCs w:val="24"/>
                <w:lang w:eastAsia="zh-CN"/>
              </w:rPr>
              <w:t>需</w:t>
            </w:r>
            <w:r>
              <w:rPr>
                <w:rFonts w:hint="default" w:ascii="Times New Roman" w:hAnsi="Times New Roman" w:cs="Times New Roman"/>
                <w:color w:val="auto"/>
                <w:sz w:val="24"/>
                <w:szCs w:val="24"/>
              </w:rPr>
              <w:t>单独办理相关环评手续。</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本项目建设内容包括主体工程、公用工程、辅助工程、环保工程。项目工程组成情况见表2-1。</w:t>
            </w:r>
          </w:p>
          <w:p>
            <w:pPr>
              <w:keepNext w:val="0"/>
              <w:keepLines w:val="0"/>
              <w:suppressLineNumbers w:val="0"/>
              <w:spacing w:before="0" w:beforeAutospacing="0" w:after="0" w:afterAutospacing="0"/>
              <w:ind w:left="0" w:right="0"/>
              <w:jc w:val="center"/>
              <w:rPr>
                <w:rFonts w:hint="eastAsia" w:ascii="Calibri" w:hAnsi="Calibri" w:cs="Times New Roman"/>
                <w:b/>
                <w:bCs/>
                <w:color w:val="auto"/>
                <w:sz w:val="24"/>
                <w:szCs w:val="24"/>
              </w:rPr>
            </w:pPr>
            <w:r>
              <w:rPr>
                <w:rFonts w:hint="eastAsia" w:ascii="Calibri" w:hAnsi="Calibri" w:cs="Times New Roman"/>
                <w:b/>
                <w:bCs/>
                <w:color w:val="auto"/>
                <w:sz w:val="24"/>
                <w:szCs w:val="24"/>
              </w:rPr>
              <w:t>表2-1 工程建设内容一览表</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998"/>
              <w:gridCol w:w="6135"/>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424"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工程类型</w:t>
                  </w:r>
                </w:p>
              </w:tc>
              <w:tc>
                <w:tcPr>
                  <w:tcW w:w="4044" w:type="pct"/>
                  <w:gridSpan w:val="2"/>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建设内容/规模</w:t>
                  </w:r>
                </w:p>
              </w:tc>
              <w:tc>
                <w:tcPr>
                  <w:tcW w:w="530"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424" w:type="pct"/>
                  <w:vMerge w:val="restar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主体工程</w:t>
                  </w:r>
                </w:p>
              </w:tc>
              <w:tc>
                <w:tcPr>
                  <w:tcW w:w="566"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cs="Times New Roman"/>
                      <w:color w:val="auto"/>
                    </w:rPr>
                    <w:t>门诊楼</w:t>
                  </w:r>
                </w:p>
              </w:tc>
              <w:tc>
                <w:tcPr>
                  <w:tcW w:w="3478" w:type="pct"/>
                  <w:noWrap w:val="0"/>
                  <w:vAlign w:val="center"/>
                </w:tcPr>
                <w:p>
                  <w:pPr>
                    <w:pStyle w:val="21"/>
                    <w:keepNext w:val="0"/>
                    <w:keepLines w:val="0"/>
                    <w:suppressLineNumbers w:val="0"/>
                    <w:adjustRightInd w:val="0"/>
                    <w:snapToGrid w:val="0"/>
                    <w:spacing w:beforeAutospacing="0" w:after="0" w:afterAutospacing="0"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门诊楼为5F的框架结构建筑，1F设置诊室、输液室、抢救室、隔离室、西药房、药库、生活水泵房、消防控制室、变配电室、柴油发电机房、盥洗室、卫生间；2F设置检验科、办公室、会议室、候诊区、脑电图室、B超室、DR室、心电图室、观察室、NECT室、盥洗室、卫生间；3F设置消毒供应室、档案室、行为矫正室、团体心量治疗室、感觉综合治疗室、睡眠监测间、沙盘治疗间、心理测查间、个体心理治疗室、诊室、盥洗室、卫生间；4F设置诊室、中医康复室、脑生特反馈治疗室、经颅磁治疗室、熏蒸室、理疗室、中医诊室、煨药室、盥洗室、卫生间；5F设置行政办公区。</w:t>
                  </w:r>
                </w:p>
              </w:tc>
              <w:tc>
                <w:tcPr>
                  <w:tcW w:w="530" w:type="pct"/>
                  <w:vMerge w:val="restar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4" w:type="pct"/>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p>
              </w:tc>
              <w:tc>
                <w:tcPr>
                  <w:tcW w:w="566"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住院楼</w:t>
                  </w:r>
                </w:p>
              </w:tc>
              <w:tc>
                <w:tcPr>
                  <w:tcW w:w="3478" w:type="pct"/>
                  <w:noWrap w:val="0"/>
                  <w:vAlign w:val="center"/>
                </w:tcPr>
                <w:p>
                  <w:pPr>
                    <w:pStyle w:val="21"/>
                    <w:keepNext w:val="0"/>
                    <w:keepLines w:val="0"/>
                    <w:suppressLineNumbers w:val="0"/>
                    <w:adjustRightInd w:val="0"/>
                    <w:snapToGrid w:val="0"/>
                    <w:spacing w:beforeAutospacing="0" w:after="0" w:afterAutospacing="0"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住院楼为6F的框架结构建筑，1F设置中心供氧机房、洗衣房、住院病房、住院部药房、功能检查科室、盥洗室、卫生间；2F-6F设置住院病房、餐厅、盥洗室、卫生间。</w:t>
                  </w:r>
                </w:p>
              </w:tc>
              <w:tc>
                <w:tcPr>
                  <w:tcW w:w="530" w:type="pct"/>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4" w:type="pct"/>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p>
              </w:tc>
              <w:tc>
                <w:tcPr>
                  <w:tcW w:w="566"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后勤楼</w:t>
                  </w:r>
                </w:p>
              </w:tc>
              <w:tc>
                <w:tcPr>
                  <w:tcW w:w="3478" w:type="pct"/>
                  <w:noWrap w:val="0"/>
                  <w:vAlign w:val="center"/>
                </w:tcPr>
                <w:p>
                  <w:pPr>
                    <w:pStyle w:val="21"/>
                    <w:keepNext w:val="0"/>
                    <w:keepLines w:val="0"/>
                    <w:suppressLineNumbers w:val="0"/>
                    <w:adjustRightInd w:val="0"/>
                    <w:snapToGrid w:val="0"/>
                    <w:spacing w:beforeAutospacing="0" w:after="0" w:afterAutospacing="0"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后勤楼为3F的框架结构建筑，1F设置厨房、餐厅、卫生间；2F设置餐厅；3F设置大会议室。</w:t>
                  </w:r>
                </w:p>
              </w:tc>
              <w:tc>
                <w:tcPr>
                  <w:tcW w:w="530"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Times New Roman" w:hAnsi="Times New Roman" w:eastAsia="宋体" w:cs="Times New Roman"/>
                      <w:color w:val="auto"/>
                      <w:lang w:eastAsia="zh-CN"/>
                    </w:rPr>
                  </w:pPr>
                  <w:r>
                    <w:rPr>
                      <w:rFonts w:hint="eastAsia" w:cs="Times New Roman"/>
                      <w:color w:val="auto"/>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trPr>
              <w:tc>
                <w:tcPr>
                  <w:tcW w:w="424" w:type="pct"/>
                  <w:vMerge w:val="restar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公用工程</w:t>
                  </w:r>
                </w:p>
              </w:tc>
              <w:tc>
                <w:tcPr>
                  <w:tcW w:w="566"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给水</w:t>
                  </w:r>
                </w:p>
              </w:tc>
              <w:tc>
                <w:tcPr>
                  <w:tcW w:w="3478" w:type="pct"/>
                  <w:noWrap w:val="0"/>
                  <w:vAlign w:val="center"/>
                </w:tcPr>
                <w:p>
                  <w:pPr>
                    <w:pStyle w:val="21"/>
                    <w:keepNext w:val="0"/>
                    <w:keepLines w:val="0"/>
                    <w:suppressLineNumbers w:val="0"/>
                    <w:adjustRightInd w:val="0"/>
                    <w:snapToGrid w:val="0"/>
                    <w:spacing w:beforeAutospacing="0" w:after="0" w:afterAutospacing="0"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由市政管网供给</w:t>
                  </w:r>
                </w:p>
              </w:tc>
              <w:tc>
                <w:tcPr>
                  <w:tcW w:w="530" w:type="pct"/>
                  <w:vMerge w:val="restar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Times New Roman" w:hAnsi="Times New Roman" w:eastAsia="宋体" w:cs="Times New Roman"/>
                      <w:color w:val="auto"/>
                      <w:lang w:eastAsia="zh-CN"/>
                    </w:rPr>
                  </w:pPr>
                  <w:r>
                    <w:rPr>
                      <w:rFonts w:hint="eastAsia" w:cs="Times New Roman"/>
                      <w:color w:val="auto"/>
                      <w:lang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trPr>
              <w:tc>
                <w:tcPr>
                  <w:tcW w:w="424" w:type="pct"/>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p>
              </w:tc>
              <w:tc>
                <w:tcPr>
                  <w:tcW w:w="566"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排水</w:t>
                  </w:r>
                </w:p>
              </w:tc>
              <w:tc>
                <w:tcPr>
                  <w:tcW w:w="3478" w:type="pct"/>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排入市政污水管网</w:t>
                  </w:r>
                </w:p>
              </w:tc>
              <w:tc>
                <w:tcPr>
                  <w:tcW w:w="530" w:type="pct"/>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trPr>
              <w:tc>
                <w:tcPr>
                  <w:tcW w:w="424" w:type="pct"/>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p>
              </w:tc>
              <w:tc>
                <w:tcPr>
                  <w:tcW w:w="566"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供电</w:t>
                  </w:r>
                </w:p>
              </w:tc>
              <w:tc>
                <w:tcPr>
                  <w:tcW w:w="3478" w:type="pct"/>
                  <w:noWrap w:val="0"/>
                  <w:vAlign w:val="center"/>
                </w:tcPr>
                <w:p>
                  <w:pPr>
                    <w:pStyle w:val="21"/>
                    <w:keepNext w:val="0"/>
                    <w:keepLines w:val="0"/>
                    <w:suppressLineNumbers w:val="0"/>
                    <w:adjustRightInd w:val="0"/>
                    <w:snapToGrid w:val="0"/>
                    <w:spacing w:beforeAutospacing="0" w:after="0" w:afterAutospacing="0"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从市政电网引入，断电期间由项目备用发电机供电</w:t>
                  </w:r>
                </w:p>
              </w:tc>
              <w:tc>
                <w:tcPr>
                  <w:tcW w:w="530" w:type="pct"/>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424" w:type="pct"/>
                  <w:vMerge w:val="restar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辅助工程</w:t>
                  </w:r>
                </w:p>
              </w:tc>
              <w:tc>
                <w:tcPr>
                  <w:tcW w:w="566"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厨房</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餐厅</w:t>
                  </w:r>
                </w:p>
              </w:tc>
              <w:tc>
                <w:tcPr>
                  <w:tcW w:w="3478"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项目厨房布置在后勤楼1F，餐厅布置在后勤楼1F、2F。</w:t>
                  </w:r>
                </w:p>
              </w:tc>
              <w:tc>
                <w:tcPr>
                  <w:tcW w:w="530"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24" w:type="pct"/>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p>
              </w:tc>
              <w:tc>
                <w:tcPr>
                  <w:tcW w:w="566"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办公区</w:t>
                  </w:r>
                </w:p>
              </w:tc>
              <w:tc>
                <w:tcPr>
                  <w:tcW w:w="3478"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cs="Times New Roman"/>
                      <w:color w:val="auto"/>
                    </w:rPr>
                    <w:t>布置在门诊楼5F。项目区不设医护人员住宿。</w:t>
                  </w:r>
                </w:p>
              </w:tc>
              <w:tc>
                <w:tcPr>
                  <w:tcW w:w="530"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24" w:type="pct"/>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p>
              </w:tc>
              <w:tc>
                <w:tcPr>
                  <w:tcW w:w="566"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备用发电机房</w:t>
                  </w:r>
                </w:p>
              </w:tc>
              <w:tc>
                <w:tcPr>
                  <w:tcW w:w="3478"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cs="Times New Roman"/>
                      <w:color w:val="auto"/>
                    </w:rPr>
                    <w:t>放置1台备用发电机，柴油最大储存量1t。</w:t>
                  </w:r>
                </w:p>
              </w:tc>
              <w:tc>
                <w:tcPr>
                  <w:tcW w:w="530"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24" w:type="pct"/>
                  <w:vMerge w:val="restar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环保工程</w:t>
                  </w:r>
                </w:p>
              </w:tc>
              <w:tc>
                <w:tcPr>
                  <w:tcW w:w="566"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废水处理措施</w:t>
                  </w:r>
                </w:p>
              </w:tc>
              <w:tc>
                <w:tcPr>
                  <w:tcW w:w="3478"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cs="Times New Roman"/>
                      <w:color w:val="auto"/>
                    </w:rPr>
                    <w:t>①项目配备1个化粪池，布置在</w:t>
                  </w:r>
                  <w:r>
                    <w:rPr>
                      <w:rFonts w:hint="eastAsia" w:ascii="Times New Roman" w:hAnsi="Times New Roman" w:cs="Times New Roman"/>
                      <w:color w:val="auto"/>
                      <w:lang w:eastAsia="zh-CN"/>
                    </w:rPr>
                    <w:t>住院楼南侧</w:t>
                  </w:r>
                  <w:r>
                    <w:rPr>
                      <w:rFonts w:hint="default" w:ascii="Times New Roman" w:hAnsi="Times New Roman" w:cs="Times New Roman"/>
                      <w:color w:val="auto"/>
                    </w:rPr>
                    <w:t>，化粪池容积</w:t>
                  </w:r>
                  <w:r>
                    <w:rPr>
                      <w:rFonts w:hint="default" w:ascii="Times New Roman" w:hAnsi="Times New Roman" w:cs="Times New Roman"/>
                      <w:color w:val="auto"/>
                      <w:lang w:val="en-US"/>
                    </w:rPr>
                    <w:t>10</w:t>
                  </w:r>
                  <w:r>
                    <w:rPr>
                      <w:rFonts w:hint="default" w:ascii="Times New Roman" w:hAnsi="Times New Roman" w:cs="Times New Roman"/>
                      <w:color w:val="auto"/>
                    </w:rPr>
                    <w:t>0m</w:t>
                  </w:r>
                  <w:r>
                    <w:rPr>
                      <w:rFonts w:hint="default" w:cs="Times New Roman"/>
                      <w:color w:val="auto"/>
                      <w:vertAlign w:val="superscript"/>
                      <w:lang w:val="en-US"/>
                    </w:rPr>
                    <w:t>3</w:t>
                  </w:r>
                  <w:r>
                    <w:rPr>
                      <w:rFonts w:hint="default" w:ascii="Times New Roman" w:hAnsi="Times New Roman" w:cs="Times New Roman"/>
                      <w:color w:val="auto"/>
                    </w:rPr>
                    <w:t>。</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cs="Times New Roman"/>
                      <w:color w:val="auto"/>
                    </w:rPr>
                    <w:t>②厨房外侧配备1个隔油池，</w:t>
                  </w:r>
                  <w:r>
                    <w:rPr>
                      <w:rFonts w:hint="eastAsia" w:cs="Times New Roman"/>
                      <w:color w:val="auto"/>
                      <w:lang w:eastAsia="zh-CN"/>
                    </w:rPr>
                    <w:t>容积</w:t>
                  </w:r>
                  <w:r>
                    <w:rPr>
                      <w:rFonts w:hint="default" w:ascii="Times New Roman" w:hAnsi="Times New Roman" w:cs="Times New Roman"/>
                      <w:color w:val="auto"/>
                      <w:sz w:val="24"/>
                    </w:rPr>
                    <w:t>1m</w:t>
                  </w:r>
                  <w:r>
                    <w:rPr>
                      <w:rFonts w:hint="default" w:ascii="Times New Roman" w:hAnsi="Times New Roman" w:cs="Times New Roman"/>
                      <w:color w:val="auto"/>
                      <w:sz w:val="24"/>
                      <w:vertAlign w:val="superscript"/>
                    </w:rPr>
                    <w:t>3</w:t>
                  </w:r>
                  <w:r>
                    <w:rPr>
                      <w:rFonts w:hint="eastAsia" w:cs="Times New Roman"/>
                      <w:color w:val="auto"/>
                      <w:lang w:eastAsia="zh-CN"/>
                    </w:rPr>
                    <w:t>，</w:t>
                  </w:r>
                  <w:r>
                    <w:rPr>
                      <w:rFonts w:hint="default" w:ascii="Times New Roman" w:hAnsi="Times New Roman" w:cs="Times New Roman"/>
                      <w:color w:val="auto"/>
                    </w:rPr>
                    <w:t>用于厨房废水的隔油处理。</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cs="Times New Roman"/>
                      <w:color w:val="auto"/>
                    </w:rPr>
                    <w:t>③新建1套</w:t>
                  </w:r>
                  <w:r>
                    <w:rPr>
                      <w:rFonts w:hint="default" w:ascii="Times New Roman" w:hAnsi="Times New Roman" w:cs="Times New Roman"/>
                      <w:color w:val="auto"/>
                      <w:lang w:val="en-US"/>
                    </w:rPr>
                    <w:t>13</w:t>
                  </w:r>
                  <w:r>
                    <w:rPr>
                      <w:rFonts w:hint="default" w:cs="Times New Roman"/>
                      <w:color w:val="auto"/>
                      <w:lang w:val="en-US"/>
                    </w:rPr>
                    <w:t>5</w:t>
                  </w:r>
                  <w:r>
                    <w:rPr>
                      <w:rFonts w:hint="default" w:ascii="Times New Roman" w:hAnsi="Times New Roman" w:cs="Times New Roman"/>
                      <w:color w:val="auto"/>
                    </w:rPr>
                    <w:t>m</w:t>
                  </w:r>
                  <w:r>
                    <w:rPr>
                      <w:rFonts w:hint="default" w:ascii="Times New Roman" w:hAnsi="Times New Roman" w:cs="Times New Roman"/>
                      <w:color w:val="auto"/>
                      <w:vertAlign w:val="superscript"/>
                    </w:rPr>
                    <w:t>3</w:t>
                  </w:r>
                  <w:r>
                    <w:rPr>
                      <w:rFonts w:hint="default" w:ascii="Times New Roman" w:hAnsi="Times New Roman" w:cs="Times New Roman"/>
                      <w:color w:val="auto"/>
                    </w:rPr>
                    <w:t>/d的一体化污水处理站进行处理，</w:t>
                  </w:r>
                  <w:r>
                    <w:rPr>
                      <w:rFonts w:hint="eastAsia" w:ascii="Times New Roman" w:hAnsi="Times New Roman" w:cs="Times New Roman"/>
                      <w:color w:val="auto"/>
                      <w:lang w:eastAsia="zh-CN"/>
                    </w:rPr>
                    <w:t>位于项目区西侧，</w:t>
                  </w:r>
                  <w:r>
                    <w:rPr>
                      <w:rFonts w:hint="default" w:ascii="Times New Roman" w:hAnsi="Times New Roman" w:cs="Times New Roman"/>
                      <w:color w:val="auto"/>
                    </w:rPr>
                    <w:t>采用SBR+次氯酸钠消毒工艺。</w:t>
                  </w:r>
                </w:p>
              </w:tc>
              <w:tc>
                <w:tcPr>
                  <w:tcW w:w="530"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0" w:hRule="atLeast"/>
              </w:trPr>
              <w:tc>
                <w:tcPr>
                  <w:tcW w:w="424" w:type="pct"/>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p>
              </w:tc>
              <w:tc>
                <w:tcPr>
                  <w:tcW w:w="566"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废气污染物防治措施</w:t>
                  </w:r>
                </w:p>
              </w:tc>
              <w:tc>
                <w:tcPr>
                  <w:tcW w:w="3478"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cs="Times New Roman"/>
                      <w:color w:val="auto"/>
                    </w:rPr>
                    <w:t>生活垃圾使用带盖垃圾桶，及时收集清运；医疗废物袋装收集后放置在密闭的专用的医疗废物暂存间内；污水处理站SBR反应池采用全封闭建设；</w:t>
                  </w:r>
                </w:p>
                <w:p>
                  <w:pPr>
                    <w:pStyle w:val="34"/>
                    <w:keepNext w:val="0"/>
                    <w:keepLines w:val="0"/>
                    <w:suppressLineNumbers w:val="0"/>
                    <w:adjustRightInd w:val="0"/>
                    <w:snapToGrid w:val="0"/>
                    <w:spacing w:before="0" w:beforeAutospacing="0" w:after="0" w:afterAutospacing="0" w:line="240" w:lineRule="auto"/>
                    <w:ind w:left="0" w:right="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厨房使用电能等清洁能源作为燃料，油烟使用1套油烟净化器进行净化处理。</w:t>
                  </w:r>
                </w:p>
              </w:tc>
              <w:tc>
                <w:tcPr>
                  <w:tcW w:w="530"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trPr>
              <w:tc>
                <w:tcPr>
                  <w:tcW w:w="424" w:type="pct"/>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p>
              </w:tc>
              <w:tc>
                <w:tcPr>
                  <w:tcW w:w="566" w:type="pct"/>
                  <w:vMerge w:val="restar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固体废物防治设施</w:t>
                  </w:r>
                </w:p>
              </w:tc>
              <w:tc>
                <w:tcPr>
                  <w:tcW w:w="3478"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cs="Times New Roman"/>
                      <w:color w:val="auto"/>
                    </w:rPr>
                    <w:t>生活垃圾使用带盖垃圾桶集中收集。</w:t>
                  </w:r>
                </w:p>
              </w:tc>
              <w:tc>
                <w:tcPr>
                  <w:tcW w:w="530" w:type="pct"/>
                  <w:vMerge w:val="restar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424" w:type="pct"/>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p>
              </w:tc>
              <w:tc>
                <w:tcPr>
                  <w:tcW w:w="566" w:type="pct"/>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p>
              </w:tc>
              <w:tc>
                <w:tcPr>
                  <w:tcW w:w="3478" w:type="pct"/>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在项目东南角单独建设1</w:t>
                  </w:r>
                  <w:r>
                    <w:rPr>
                      <w:rFonts w:hint="eastAsia" w:cs="Times New Roman"/>
                      <w:color w:val="auto"/>
                      <w:lang w:eastAsia="zh-CN"/>
                    </w:rPr>
                    <w:t>间医废间</w:t>
                  </w:r>
                  <w:r>
                    <w:rPr>
                      <w:rFonts w:hint="default" w:ascii="Times New Roman" w:hAnsi="Times New Roman" w:cs="Times New Roman"/>
                      <w:color w:val="auto"/>
                    </w:rPr>
                    <w:t>，面积43.8m</w:t>
                  </w:r>
                  <w:r>
                    <w:rPr>
                      <w:rFonts w:hint="default" w:ascii="Times New Roman" w:hAnsi="Times New Roman" w:cs="Times New Roman"/>
                      <w:color w:val="auto"/>
                      <w:vertAlign w:val="superscript"/>
                    </w:rPr>
                    <w:t>2</w:t>
                  </w:r>
                  <w:r>
                    <w:rPr>
                      <w:rFonts w:hint="default" w:ascii="Times New Roman" w:hAnsi="Times New Roman" w:cs="Times New Roman"/>
                      <w:color w:val="auto"/>
                    </w:rPr>
                    <w:t>，暂存医疗废物，委托有资质单位定期处置。</w:t>
                  </w:r>
                </w:p>
              </w:tc>
              <w:tc>
                <w:tcPr>
                  <w:tcW w:w="530" w:type="pct"/>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trPr>
              <w:tc>
                <w:tcPr>
                  <w:tcW w:w="424" w:type="pct"/>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p>
              </w:tc>
              <w:tc>
                <w:tcPr>
                  <w:tcW w:w="566" w:type="pct"/>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p>
              </w:tc>
              <w:tc>
                <w:tcPr>
                  <w:tcW w:w="3478" w:type="pct"/>
                  <w:noWrap w:val="0"/>
                  <w:vAlign w:val="center"/>
                </w:tcPr>
                <w:p>
                  <w:pPr>
                    <w:pStyle w:val="9"/>
                    <w:keepNext w:val="0"/>
                    <w:keepLines w:val="0"/>
                    <w:suppressLineNumbers w:val="0"/>
                    <w:adjustRightInd w:val="0"/>
                    <w:spacing w:before="0" w:beforeAutospacing="0" w:after="0" w:afterAutospacing="0" w:line="240" w:lineRule="auto"/>
                    <w:ind w:left="0" w:right="0"/>
                    <w:rPr>
                      <w:rFonts w:hint="eastAsia" w:ascii="Times New Roman" w:hAnsi="Times New Roman" w:eastAsia="宋体" w:cs="Times New Roman"/>
                      <w:color w:val="auto"/>
                      <w:kern w:val="0"/>
                      <w:szCs w:val="21"/>
                      <w:lang w:eastAsia="zh-CN"/>
                    </w:rPr>
                  </w:pPr>
                  <w:r>
                    <w:rPr>
                      <w:rFonts w:hint="default" w:ascii="Times New Roman" w:hAnsi="Times New Roman" w:cs="Times New Roman"/>
                      <w:color w:val="auto"/>
                      <w:szCs w:val="21"/>
                    </w:rPr>
                    <w:t>格栅、化粪池及污水处理站污泥委托有资质单位进行处置</w:t>
                  </w:r>
                  <w:r>
                    <w:rPr>
                      <w:rFonts w:hint="eastAsia" w:ascii="Times New Roman" w:hAnsi="Times New Roman" w:cs="Times New Roman"/>
                      <w:color w:val="auto"/>
                      <w:szCs w:val="21"/>
                      <w:lang w:eastAsia="zh-CN"/>
                    </w:rPr>
                    <w:t>，污泥清掏后由有资质单位现场消毒、脱水后清运。</w:t>
                  </w:r>
                </w:p>
              </w:tc>
              <w:tc>
                <w:tcPr>
                  <w:tcW w:w="530" w:type="pct"/>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24" w:type="pct"/>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p>
              </w:tc>
              <w:tc>
                <w:tcPr>
                  <w:tcW w:w="566" w:type="pct"/>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噪声防治措施</w:t>
                  </w:r>
                </w:p>
              </w:tc>
              <w:tc>
                <w:tcPr>
                  <w:tcW w:w="3478" w:type="pct"/>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1.调节池水泵设置为潜水泵，污水处理站水泵放置在</w:t>
                  </w:r>
                  <w:r>
                    <w:rPr>
                      <w:rFonts w:hint="eastAsia" w:ascii="Times New Roman" w:hAnsi="Times New Roman" w:cs="Times New Roman"/>
                      <w:color w:val="auto"/>
                      <w:lang w:eastAsia="zh-CN"/>
                    </w:rPr>
                    <w:t>地埋式池体内部</w:t>
                  </w:r>
                  <w:r>
                    <w:rPr>
                      <w:rFonts w:hint="default" w:ascii="Times New Roman" w:hAnsi="Times New Roman" w:cs="Times New Roman"/>
                      <w:color w:val="auto"/>
                    </w:rPr>
                    <w:t>。污水处理站利用建筑物隔声。</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2.在医院车流入口处放置提示标语院内禁止鸣笛或低速慢行等标语。</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3.医院内部贴标语“禁止大声喧哗”等，提醒病患和其他人员。</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4.备用发电机置于单独的发电室内，并采取基础减震、构筑设施隔声、距离衰减。</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5.在使用备用发电机时使用减震垫，在密闭的发电室内工作。</w:t>
                  </w:r>
                </w:p>
              </w:tc>
              <w:tc>
                <w:tcPr>
                  <w:tcW w:w="530"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24" w:type="pct"/>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p>
              </w:tc>
              <w:tc>
                <w:tcPr>
                  <w:tcW w:w="566" w:type="pct"/>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环境风险防范措施</w:t>
                  </w:r>
                </w:p>
              </w:tc>
              <w:tc>
                <w:tcPr>
                  <w:tcW w:w="3478" w:type="pct"/>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rPr>
                    <w:t>1.</w:t>
                  </w:r>
                  <w:r>
                    <w:rPr>
                      <w:rFonts w:hint="eastAsia" w:ascii="Times New Roman" w:hAnsi="Times New Roman" w:cs="Times New Roman"/>
                      <w:color w:val="auto"/>
                      <w:lang w:val="en-US" w:eastAsia="zh-CN"/>
                    </w:rPr>
                    <w:t>项目设置</w:t>
                  </w: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个事故应急池，容积为</w:t>
                  </w:r>
                  <w:r>
                    <w:rPr>
                      <w:rFonts w:hint="default" w:ascii="Times New Roman" w:hAnsi="Times New Roman" w:cs="Times New Roman"/>
                      <w:color w:val="auto"/>
                      <w:lang w:val="en-US" w:eastAsia="zh-CN"/>
                    </w:rPr>
                    <w:t>13</w:t>
                  </w:r>
                  <w:r>
                    <w:rPr>
                      <w:rFonts w:hint="default" w:cs="Times New Roman"/>
                      <w:color w:val="auto"/>
                      <w:lang w:val="en-US" w:eastAsia="zh-CN"/>
                    </w:rPr>
                    <w:t>5</w:t>
                  </w:r>
                  <w:r>
                    <w:rPr>
                      <w:rFonts w:hint="default" w:ascii="Times New Roman" w:hAnsi="Times New Roman" w:cs="Times New Roman"/>
                      <w:color w:val="auto"/>
                      <w:lang w:val="en-US" w:eastAsia="zh-CN"/>
                    </w:rPr>
                    <w:t>m</w:t>
                  </w:r>
                  <w:r>
                    <w:rPr>
                      <w:rFonts w:hint="default" w:ascii="Times New Roman" w:hAnsi="Times New Roman" w:cs="Times New Roman"/>
                      <w:color w:val="auto"/>
                      <w:vertAlign w:val="superscript"/>
                      <w:lang w:val="en-US" w:eastAsia="zh-CN"/>
                    </w:rPr>
                    <w:t>3</w:t>
                  </w:r>
                  <w:r>
                    <w:rPr>
                      <w:rFonts w:hint="eastAsia" w:ascii="Times New Roman" w:hAnsi="Times New Roman" w:cs="Times New Roman"/>
                      <w:color w:val="auto"/>
                      <w:lang w:val="en-US" w:eastAsia="zh-CN"/>
                    </w:rPr>
                    <w:t>，位于住院楼西南角。</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lang w:val="en-US"/>
                    </w:rPr>
                    <w:t>2.</w:t>
                  </w:r>
                  <w:r>
                    <w:rPr>
                      <w:rFonts w:hint="default" w:ascii="Times New Roman" w:hAnsi="Times New Roman" w:cs="Times New Roman"/>
                      <w:color w:val="auto"/>
                    </w:rPr>
                    <w:t>编制突发环境事件应急预案；消毒剂为次氯酸钠，专人管理，加强污水处理设施运行维护管理。</w:t>
                  </w:r>
                </w:p>
              </w:tc>
              <w:tc>
                <w:tcPr>
                  <w:tcW w:w="530"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24" w:type="pct"/>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p>
              </w:tc>
              <w:tc>
                <w:tcPr>
                  <w:tcW w:w="566" w:type="pct"/>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绿化</w:t>
                  </w:r>
                </w:p>
              </w:tc>
              <w:tc>
                <w:tcPr>
                  <w:tcW w:w="3478"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绿化面积3334.80</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2</w:t>
                  </w:r>
                </w:p>
              </w:tc>
              <w:tc>
                <w:tcPr>
                  <w:tcW w:w="530"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Times New Roman" w:hAnsi="Times New Roman" w:eastAsia="宋体" w:cs="Times New Roman"/>
                      <w:color w:val="auto"/>
                      <w:lang w:eastAsia="zh-CN"/>
                    </w:rPr>
                  </w:pPr>
                  <w:r>
                    <w:rPr>
                      <w:rFonts w:hint="eastAsia" w:cs="Times New Roman"/>
                      <w:color w:val="auto"/>
                      <w:lang w:eastAsia="zh-CN"/>
                    </w:rPr>
                    <w:t>新建</w:t>
                  </w:r>
                </w:p>
              </w:tc>
            </w:tr>
          </w:tbl>
          <w:p>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3、项目平面布置</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本项目占地面积为13332.99㎡，建筑面积为16878.82㎡。</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项目住院楼布置在项目北侧，门诊楼布置在项目南侧，后勤楼布置在项目东南侧。</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项目医废楼布置在院区东南角；</w:t>
            </w:r>
            <w:r>
              <w:rPr>
                <w:rFonts w:hint="eastAsia" w:ascii="Times New Roman" w:hAnsi="Times New Roman" w:cs="Times New Roman"/>
                <w:color w:val="auto"/>
                <w:sz w:val="24"/>
                <w:szCs w:val="24"/>
                <w:lang w:eastAsia="zh-CN"/>
              </w:rPr>
              <w:t>隔油池</w:t>
            </w:r>
            <w:r>
              <w:rPr>
                <w:rFonts w:hint="default" w:ascii="Times New Roman" w:hAnsi="Times New Roman" w:cs="Times New Roman"/>
                <w:color w:val="auto"/>
                <w:sz w:val="24"/>
                <w:szCs w:val="24"/>
              </w:rPr>
              <w:t>位于厨房外侧，污水处理站位于项目西侧院区地势最低处，便于废水通过密闭管道收集到污水处理设施。项目总平面布置图见图2。</w:t>
            </w:r>
          </w:p>
          <w:p>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4、工作制度及劳动定员</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医护人员全年工作365天，实行8小时工作制，3班倒；管理人员年工作时间为300天，实行8小时工作制，每天一班。</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医护人员共计110名。据建设单位提供的资料，本工程建成运营后门诊接</w:t>
            </w:r>
            <w:r>
              <w:rPr>
                <w:rFonts w:hint="default" w:ascii="Times New Roman" w:hAnsi="Times New Roman" w:cs="Times New Roman"/>
                <w:color w:val="auto"/>
                <w:sz w:val="24"/>
                <w:szCs w:val="24"/>
                <w:highlight w:val="none"/>
              </w:rPr>
              <w:t>诊人数</w:t>
            </w:r>
            <w:r>
              <w:rPr>
                <w:rFonts w:hint="default" w:ascii="Times New Roman" w:hAnsi="Times New Roman" w:cs="Times New Roman"/>
                <w:color w:val="auto"/>
                <w:sz w:val="24"/>
                <w:szCs w:val="24"/>
                <w:highlight w:val="none"/>
                <w:lang w:val="en-US"/>
              </w:rPr>
              <w:t>80</w:t>
            </w:r>
            <w:r>
              <w:rPr>
                <w:rFonts w:hint="default" w:ascii="Times New Roman" w:hAnsi="Times New Roman" w:cs="Times New Roman"/>
                <w:color w:val="auto"/>
                <w:sz w:val="24"/>
                <w:szCs w:val="24"/>
                <w:highlight w:val="none"/>
              </w:rPr>
              <w:t>人/天</w:t>
            </w:r>
            <w:r>
              <w:rPr>
                <w:rFonts w:hint="default" w:ascii="Times New Roman" w:hAnsi="Times New Roman" w:cs="Times New Roman"/>
                <w:color w:val="auto"/>
                <w:sz w:val="24"/>
                <w:szCs w:val="24"/>
              </w:rPr>
              <w:t>。</w:t>
            </w:r>
          </w:p>
          <w:p>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5、项目建设工期</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项目预计202</w:t>
            </w:r>
            <w:r>
              <w:rPr>
                <w:rFonts w:hint="default" w:cs="Times New Roman"/>
                <w:color w:val="auto"/>
                <w:sz w:val="24"/>
                <w:szCs w:val="24"/>
                <w:lang w:val="en-US"/>
              </w:rPr>
              <w:t>3</w:t>
            </w:r>
            <w:r>
              <w:rPr>
                <w:rFonts w:hint="default" w:ascii="Times New Roman" w:hAnsi="Times New Roman" w:cs="Times New Roman"/>
                <w:color w:val="auto"/>
                <w:sz w:val="24"/>
                <w:szCs w:val="24"/>
              </w:rPr>
              <w:t>年</w:t>
            </w:r>
            <w:r>
              <w:rPr>
                <w:rFonts w:hint="default" w:cs="Times New Roman"/>
                <w:color w:val="auto"/>
                <w:sz w:val="24"/>
                <w:szCs w:val="24"/>
                <w:lang w:val="en-US"/>
              </w:rPr>
              <w:t>12</w:t>
            </w:r>
            <w:r>
              <w:rPr>
                <w:rFonts w:hint="default" w:ascii="Times New Roman" w:hAnsi="Times New Roman" w:cs="Times New Roman"/>
                <w:color w:val="auto"/>
                <w:sz w:val="24"/>
                <w:szCs w:val="24"/>
              </w:rPr>
              <w:t>月-2024年</w:t>
            </w:r>
            <w:r>
              <w:rPr>
                <w:rFonts w:hint="default" w:ascii="Times New Roman" w:hAnsi="Times New Roman" w:cs="Times New Roman"/>
                <w:color w:val="auto"/>
                <w:sz w:val="24"/>
                <w:szCs w:val="24"/>
                <w:lang w:val="en-US"/>
              </w:rPr>
              <w:t>10</w:t>
            </w:r>
            <w:r>
              <w:rPr>
                <w:rFonts w:hint="default" w:ascii="Times New Roman" w:hAnsi="Times New Roman" w:cs="Times New Roman"/>
                <w:color w:val="auto"/>
                <w:sz w:val="24"/>
                <w:szCs w:val="24"/>
              </w:rPr>
              <w:t>月开工建设，施工工期</w:t>
            </w:r>
            <w:r>
              <w:rPr>
                <w:rFonts w:hint="default" w:cs="Times New Roman"/>
                <w:color w:val="auto"/>
                <w:sz w:val="24"/>
                <w:szCs w:val="24"/>
                <w:lang w:val="en-US"/>
              </w:rPr>
              <w:t>10</w:t>
            </w:r>
            <w:r>
              <w:rPr>
                <w:rFonts w:hint="default" w:ascii="Times New Roman" w:hAnsi="Times New Roman" w:cs="Times New Roman"/>
                <w:color w:val="auto"/>
                <w:sz w:val="24"/>
                <w:szCs w:val="24"/>
              </w:rPr>
              <w:t>个月。</w:t>
            </w:r>
          </w:p>
          <w:p>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6、公辅工程</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（1）供电</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从市政供电系统引入，设置1间变配电室供给各用电单元。</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（2）供水</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项目用水从市政给水管网引入。</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（3）排水</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项目区采用雨污分流制度，雨水沿雨水</w:t>
            </w:r>
            <w:r>
              <w:rPr>
                <w:rFonts w:hint="eastAsia" w:cs="Times New Roman"/>
                <w:color w:val="auto"/>
                <w:sz w:val="24"/>
                <w:szCs w:val="24"/>
                <w:lang w:eastAsia="zh-CN"/>
              </w:rPr>
              <w:t>沟</w:t>
            </w:r>
            <w:r>
              <w:rPr>
                <w:rFonts w:hint="default" w:ascii="Times New Roman" w:hAnsi="Times New Roman" w:cs="Times New Roman"/>
                <w:color w:val="auto"/>
                <w:sz w:val="24"/>
                <w:szCs w:val="24"/>
              </w:rPr>
              <w:t>汇集后就近排入市政雨水管网。</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食堂废水经隔油池处理，生活污水和医疗废水经化粪池处理后，一并进入1套1</w:t>
            </w:r>
            <w:r>
              <w:rPr>
                <w:rFonts w:hint="default" w:ascii="Times New Roman" w:hAnsi="Times New Roman" w:cs="Times New Roman"/>
                <w:color w:val="auto"/>
                <w:sz w:val="24"/>
                <w:szCs w:val="24"/>
                <w:lang w:val="en-US"/>
              </w:rPr>
              <w:t>3</w:t>
            </w:r>
            <w:r>
              <w:rPr>
                <w:rFonts w:hint="default" w:cs="Times New Roman"/>
                <w:color w:val="auto"/>
                <w:sz w:val="24"/>
                <w:szCs w:val="24"/>
                <w:lang w:val="en-US"/>
              </w:rPr>
              <w:t>5</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/d的一体化污水处理站进行处理，采用SBR+次氯酸钠消毒工艺，达标排入市政污水管网，最终进东川区污水处理厂进行处理。</w:t>
            </w:r>
          </w:p>
          <w:p>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7、原辅料消耗</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本项目原辅材料消耗情况见下表。</w:t>
            </w:r>
          </w:p>
          <w:p>
            <w:pPr>
              <w:keepNext w:val="0"/>
              <w:keepLines w:val="0"/>
              <w:suppressLineNumbers w:val="0"/>
              <w:spacing w:before="0" w:beforeAutospacing="0" w:after="0" w:afterAutospacing="0"/>
              <w:ind w:left="0" w:right="0" w:firstLine="482"/>
              <w:jc w:val="center"/>
              <w:rPr>
                <w:rFonts w:hint="eastAsia" w:ascii="Calibri" w:hAnsi="Calibri" w:cs="Times New Roman"/>
                <w:b/>
                <w:bCs/>
                <w:color w:val="auto"/>
              </w:rPr>
            </w:pPr>
            <w:r>
              <w:rPr>
                <w:rFonts w:hint="eastAsia" w:ascii="Calibri" w:hAnsi="Calibri" w:cs="Times New Roman"/>
                <w:b/>
                <w:bCs/>
                <w:color w:val="auto"/>
                <w:sz w:val="24"/>
                <w:szCs w:val="24"/>
              </w:rPr>
              <w:t>表2-</w:t>
            </w:r>
            <w:r>
              <w:rPr>
                <w:rFonts w:hint="default" w:ascii="Calibri" w:hAnsi="Calibri" w:cs="Times New Roman"/>
                <w:b/>
                <w:bCs/>
                <w:color w:val="auto"/>
                <w:sz w:val="24"/>
                <w:szCs w:val="24"/>
              </w:rPr>
              <w:t>2</w:t>
            </w:r>
            <w:r>
              <w:rPr>
                <w:rFonts w:hint="eastAsia" w:ascii="Calibri" w:hAnsi="Calibri" w:cs="Times New Roman"/>
                <w:b/>
                <w:bCs/>
                <w:color w:val="auto"/>
                <w:sz w:val="24"/>
                <w:szCs w:val="24"/>
              </w:rPr>
              <w:t xml:space="preserve"> 项目原辅材料消耗情况一览表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3043"/>
              <w:gridCol w:w="2343"/>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1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序号</w:t>
                  </w:r>
                </w:p>
              </w:tc>
              <w:tc>
                <w:tcPr>
                  <w:tcW w:w="172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名称</w:t>
                  </w:r>
                </w:p>
              </w:tc>
              <w:tc>
                <w:tcPr>
                  <w:tcW w:w="132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用量</w:t>
                  </w:r>
                </w:p>
              </w:tc>
              <w:tc>
                <w:tcPr>
                  <w:tcW w:w="123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来源/用途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w:t>
                  </w:r>
                </w:p>
              </w:tc>
              <w:tc>
                <w:tcPr>
                  <w:tcW w:w="172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针剂药品</w:t>
                  </w:r>
                </w:p>
              </w:tc>
              <w:tc>
                <w:tcPr>
                  <w:tcW w:w="132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21900套/年</w:t>
                  </w:r>
                </w:p>
              </w:tc>
              <w:tc>
                <w:tcPr>
                  <w:tcW w:w="1233"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类比同类型医院折算，视具体经营情况而定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2</w:t>
                  </w:r>
                </w:p>
              </w:tc>
              <w:tc>
                <w:tcPr>
                  <w:tcW w:w="172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片剂药剂</w:t>
                  </w:r>
                </w:p>
              </w:tc>
              <w:tc>
                <w:tcPr>
                  <w:tcW w:w="132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328500片/年</w:t>
                  </w:r>
                </w:p>
              </w:tc>
              <w:tc>
                <w:tcPr>
                  <w:tcW w:w="1233"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1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3</w:t>
                  </w:r>
                </w:p>
              </w:tc>
              <w:tc>
                <w:tcPr>
                  <w:tcW w:w="172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胶囊药剂</w:t>
                  </w:r>
                </w:p>
              </w:tc>
              <w:tc>
                <w:tcPr>
                  <w:tcW w:w="132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219000片/年</w:t>
                  </w:r>
                </w:p>
              </w:tc>
              <w:tc>
                <w:tcPr>
                  <w:tcW w:w="1233"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1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4</w:t>
                  </w:r>
                </w:p>
              </w:tc>
              <w:tc>
                <w:tcPr>
                  <w:tcW w:w="172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溶液剂</w:t>
                  </w:r>
                </w:p>
              </w:tc>
              <w:tc>
                <w:tcPr>
                  <w:tcW w:w="132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600支/年</w:t>
                  </w:r>
                </w:p>
              </w:tc>
              <w:tc>
                <w:tcPr>
                  <w:tcW w:w="1233"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1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5</w:t>
                  </w:r>
                </w:p>
              </w:tc>
              <w:tc>
                <w:tcPr>
                  <w:tcW w:w="172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粉剂</w:t>
                  </w:r>
                </w:p>
              </w:tc>
              <w:tc>
                <w:tcPr>
                  <w:tcW w:w="132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800包/年</w:t>
                  </w:r>
                </w:p>
              </w:tc>
              <w:tc>
                <w:tcPr>
                  <w:tcW w:w="1233"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1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6</w:t>
                  </w:r>
                </w:p>
              </w:tc>
              <w:tc>
                <w:tcPr>
                  <w:tcW w:w="172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一次性空针、输液管</w:t>
                  </w:r>
                </w:p>
              </w:tc>
              <w:tc>
                <w:tcPr>
                  <w:tcW w:w="132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22万套/年</w:t>
                  </w:r>
                </w:p>
              </w:tc>
              <w:tc>
                <w:tcPr>
                  <w:tcW w:w="1233"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1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7</w:t>
                  </w:r>
                </w:p>
              </w:tc>
              <w:tc>
                <w:tcPr>
                  <w:tcW w:w="172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一次性垫单</w:t>
                  </w:r>
                </w:p>
              </w:tc>
              <w:tc>
                <w:tcPr>
                  <w:tcW w:w="132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30000套/年</w:t>
                  </w:r>
                </w:p>
              </w:tc>
              <w:tc>
                <w:tcPr>
                  <w:tcW w:w="1233"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1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8</w:t>
                  </w:r>
                </w:p>
              </w:tc>
              <w:tc>
                <w:tcPr>
                  <w:tcW w:w="172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一次性手套</w:t>
                  </w:r>
                </w:p>
              </w:tc>
              <w:tc>
                <w:tcPr>
                  <w:tcW w:w="132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60000套/年</w:t>
                  </w:r>
                </w:p>
              </w:tc>
              <w:tc>
                <w:tcPr>
                  <w:tcW w:w="1233"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1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9</w:t>
                  </w:r>
                </w:p>
              </w:tc>
              <w:tc>
                <w:tcPr>
                  <w:tcW w:w="172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一次性尿袋、尿管</w:t>
                  </w:r>
                </w:p>
              </w:tc>
              <w:tc>
                <w:tcPr>
                  <w:tcW w:w="132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3000个/年</w:t>
                  </w:r>
                </w:p>
              </w:tc>
              <w:tc>
                <w:tcPr>
                  <w:tcW w:w="1233"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1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10</w:t>
                  </w:r>
                </w:p>
              </w:tc>
              <w:tc>
                <w:tcPr>
                  <w:tcW w:w="172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碘酒</w:t>
                  </w:r>
                </w:p>
              </w:tc>
              <w:tc>
                <w:tcPr>
                  <w:tcW w:w="132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300瓶/年</w:t>
                  </w:r>
                </w:p>
              </w:tc>
              <w:tc>
                <w:tcPr>
                  <w:tcW w:w="1233"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1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11</w:t>
                  </w:r>
                </w:p>
              </w:tc>
              <w:tc>
                <w:tcPr>
                  <w:tcW w:w="172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双氧水</w:t>
                  </w:r>
                </w:p>
              </w:tc>
              <w:tc>
                <w:tcPr>
                  <w:tcW w:w="132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300瓶/年</w:t>
                  </w:r>
                </w:p>
              </w:tc>
              <w:tc>
                <w:tcPr>
                  <w:tcW w:w="1233"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1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12</w:t>
                  </w:r>
                </w:p>
              </w:tc>
              <w:tc>
                <w:tcPr>
                  <w:tcW w:w="172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纱布、绷带</w:t>
                  </w:r>
                </w:p>
              </w:tc>
              <w:tc>
                <w:tcPr>
                  <w:tcW w:w="132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500包/年</w:t>
                  </w:r>
                </w:p>
              </w:tc>
              <w:tc>
                <w:tcPr>
                  <w:tcW w:w="1233"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1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13</w:t>
                  </w:r>
                </w:p>
              </w:tc>
              <w:tc>
                <w:tcPr>
                  <w:tcW w:w="172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一次性真空采血管</w:t>
                  </w:r>
                </w:p>
              </w:tc>
              <w:tc>
                <w:tcPr>
                  <w:tcW w:w="132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6000盒/年</w:t>
                  </w:r>
                </w:p>
              </w:tc>
              <w:tc>
                <w:tcPr>
                  <w:tcW w:w="1233"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1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14</w:t>
                  </w:r>
                </w:p>
              </w:tc>
              <w:tc>
                <w:tcPr>
                  <w:tcW w:w="172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一次性空采血针</w:t>
                  </w:r>
                </w:p>
              </w:tc>
              <w:tc>
                <w:tcPr>
                  <w:tcW w:w="132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14600套</w:t>
                  </w:r>
                  <w:r>
                    <w:rPr>
                      <w:rFonts w:hint="default" w:ascii="Times New Roman" w:hAnsi="Times New Roman" w:cs="Times New Roman"/>
                      <w:color w:val="auto"/>
                    </w:rPr>
                    <w:cr/>
                  </w:r>
                  <w:r>
                    <w:rPr>
                      <w:rFonts w:hint="default" w:ascii="Times New Roman" w:hAnsi="Times New Roman" w:cs="Times New Roman"/>
                      <w:color w:val="auto"/>
                    </w:rPr>
                    <w:t>年</w:t>
                  </w:r>
                </w:p>
              </w:tc>
              <w:tc>
                <w:tcPr>
                  <w:tcW w:w="1233"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1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15</w:t>
                  </w:r>
                </w:p>
              </w:tc>
              <w:tc>
                <w:tcPr>
                  <w:tcW w:w="172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样品杯</w:t>
                  </w:r>
                </w:p>
              </w:tc>
              <w:tc>
                <w:tcPr>
                  <w:tcW w:w="132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1200个/年</w:t>
                  </w:r>
                </w:p>
              </w:tc>
              <w:tc>
                <w:tcPr>
                  <w:tcW w:w="1233"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1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cs="Times New Roman"/>
                      <w:color w:val="auto"/>
                      <w:lang w:val="en-US"/>
                    </w:rPr>
                    <w:t>16</w:t>
                  </w:r>
                </w:p>
              </w:tc>
              <w:tc>
                <w:tcPr>
                  <w:tcW w:w="1725"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eastAsia="zh-CN"/>
                    </w:rPr>
                    <w:t>检验试剂</w:t>
                  </w:r>
                </w:p>
              </w:tc>
              <w:tc>
                <w:tcPr>
                  <w:tcW w:w="132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rPr>
                    <w:t>1200</w:t>
                  </w:r>
                  <w:r>
                    <w:rPr>
                      <w:rFonts w:hint="eastAsia" w:ascii="Times New Roman" w:hAnsi="Times New Roman" w:cs="Times New Roman"/>
                      <w:color w:val="auto"/>
                      <w:lang w:val="en-US" w:eastAsia="zh-CN"/>
                    </w:rPr>
                    <w:t>套</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年</w:t>
                  </w:r>
                </w:p>
              </w:tc>
              <w:tc>
                <w:tcPr>
                  <w:tcW w:w="123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eastAsia="zh-CN"/>
                    </w:rPr>
                    <w:t>外购，最大存储量</w:t>
                  </w:r>
                  <w:r>
                    <w:rPr>
                      <w:rFonts w:hint="default" w:ascii="Times New Roman" w:hAnsi="Times New Roman" w:cs="Times New Roman"/>
                      <w:color w:val="auto"/>
                      <w:lang w:val="en-US" w:eastAsia="zh-CN"/>
                    </w:rPr>
                    <w:t>0.1t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1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rPr>
                    <w:t>7</w:t>
                  </w:r>
                </w:p>
              </w:tc>
              <w:tc>
                <w:tcPr>
                  <w:tcW w:w="172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次氯酸钠消毒剂</w:t>
                  </w:r>
                </w:p>
              </w:tc>
              <w:tc>
                <w:tcPr>
                  <w:tcW w:w="132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1t/年</w:t>
                  </w:r>
                </w:p>
              </w:tc>
              <w:tc>
                <w:tcPr>
                  <w:tcW w:w="123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外购，最大储存量0.5t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1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lang w:val="en-US"/>
                    </w:rPr>
                  </w:pPr>
                  <w:r>
                    <w:rPr>
                      <w:rFonts w:hint="default" w:cs="Times New Roman"/>
                      <w:color w:val="auto"/>
                      <w:lang w:val="en-US"/>
                    </w:rPr>
                    <w:t>18</w:t>
                  </w:r>
                </w:p>
              </w:tc>
              <w:tc>
                <w:tcPr>
                  <w:tcW w:w="1725"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lang w:eastAsia="zh-CN"/>
                    </w:rPr>
                  </w:pPr>
                  <w:r>
                    <w:rPr>
                      <w:rFonts w:hint="eastAsia" w:cs="Times New Roman"/>
                      <w:color w:val="auto"/>
                      <w:lang w:eastAsia="zh-CN"/>
                    </w:rPr>
                    <w:t>乙醇消毒液</w:t>
                  </w:r>
                </w:p>
              </w:tc>
              <w:tc>
                <w:tcPr>
                  <w:tcW w:w="1328"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lang w:val="en-US" w:eastAsia="zh-CN"/>
                    </w:rPr>
                  </w:pPr>
                  <w:r>
                    <w:rPr>
                      <w:rFonts w:hint="default" w:cs="Times New Roman"/>
                      <w:color w:val="auto"/>
                      <w:lang w:val="en-US"/>
                    </w:rPr>
                    <w:t>0.5t/</w:t>
                  </w:r>
                  <w:r>
                    <w:rPr>
                      <w:rFonts w:hint="eastAsia" w:cs="Times New Roman"/>
                      <w:color w:val="auto"/>
                      <w:lang w:val="en-US" w:eastAsia="zh-CN"/>
                    </w:rPr>
                    <w:t>年</w:t>
                  </w:r>
                </w:p>
              </w:tc>
              <w:tc>
                <w:tcPr>
                  <w:tcW w:w="123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外购，最大储存量0.5t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1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cs="Times New Roman"/>
                      <w:color w:val="auto"/>
                    </w:rPr>
                    <w:t>1</w:t>
                  </w:r>
                  <w:r>
                    <w:rPr>
                      <w:rFonts w:hint="default" w:cs="Times New Roman"/>
                      <w:color w:val="auto"/>
                      <w:lang w:val="en-US"/>
                    </w:rPr>
                    <w:t>9</w:t>
                  </w:r>
                </w:p>
              </w:tc>
              <w:tc>
                <w:tcPr>
                  <w:tcW w:w="172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柴油</w:t>
                  </w:r>
                </w:p>
              </w:tc>
              <w:tc>
                <w:tcPr>
                  <w:tcW w:w="132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1t/年</w:t>
                  </w:r>
                </w:p>
              </w:tc>
              <w:tc>
                <w:tcPr>
                  <w:tcW w:w="123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外购，最大储存量</w:t>
                  </w:r>
                  <w:r>
                    <w:rPr>
                      <w:rFonts w:hint="default" w:ascii="Times New Roman" w:hAnsi="Times New Roman" w:cs="Times New Roman"/>
                      <w:color w:val="auto"/>
                      <w:lang w:val="en-US"/>
                    </w:rPr>
                    <w:t>0.2</w:t>
                  </w:r>
                  <w:r>
                    <w:rPr>
                      <w:rFonts w:hint="default" w:ascii="Times New Roman" w:hAnsi="Times New Roman" w:cs="Times New Roman"/>
                      <w:color w:val="auto"/>
                    </w:rPr>
                    <w:t>t</w:t>
                  </w:r>
                </w:p>
              </w:tc>
            </w:tr>
          </w:tbl>
          <w:p>
            <w:pPr>
              <w:keepNext w:val="0"/>
              <w:keepLines w:val="0"/>
              <w:suppressLineNumbers w:val="0"/>
              <w:spacing w:before="0" w:beforeAutospacing="0" w:after="0" w:afterAutospacing="0" w:line="36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8、主要设备</w:t>
            </w:r>
          </w:p>
          <w:p>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本项目主要设备见表2-3。</w:t>
            </w:r>
          </w:p>
          <w:p>
            <w:pPr>
              <w:keepNext w:val="0"/>
              <w:keepLines w:val="0"/>
              <w:suppressLineNumbers w:val="0"/>
              <w:spacing w:before="0" w:beforeAutospacing="0" w:after="0" w:afterAutospacing="0"/>
              <w:ind w:left="0" w:right="0" w:firstLine="482"/>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表2-3 项目主要设备一览表</w:t>
            </w:r>
          </w:p>
          <w:tbl>
            <w:tblPr>
              <w:tblStyle w:val="26"/>
              <w:tblW w:w="1093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8"/>
              <w:gridCol w:w="4081"/>
              <w:gridCol w:w="2195"/>
              <w:gridCol w:w="1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51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设备名称</w:t>
                  </w:r>
                </w:p>
              </w:tc>
              <w:tc>
                <w:tcPr>
                  <w:tcW w:w="2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厂家</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全自动生化分析仪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迪瑞医疗科技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CS-T300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全自动血液分析仪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迈瑞</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BC-5380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尿液分析仪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优利特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优利特-180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离心机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时代北利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全自动电解质分析仪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梅州康利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K-Lite8H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纯水机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四川优普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UPS-I-20L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生物显微镜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奥林巴斯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CX22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半自动血球仪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迈瑞</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BC2900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全自动化学法发光免疫分析仪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迪瑞医疗科技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CM-180</w:t>
                  </w:r>
                </w:p>
              </w:tc>
            </w:tr>
          </w:tbl>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9、用水情况</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（1）门诊用水</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据建设单位提供的资料，本项目建成运营后预计每日门诊量80人</w:t>
            </w:r>
            <w:r>
              <w:rPr>
                <w:rFonts w:hint="eastAsia" w:ascii="Times New Roman" w:hAnsi="Times New Roman" w:cs="Times New Roman"/>
                <w:color w:val="auto"/>
                <w:sz w:val="24"/>
                <w:szCs w:val="24"/>
                <w:lang w:eastAsia="zh-CN"/>
              </w:rPr>
              <w:t>（医护人员用水按住院病房用水核算）</w:t>
            </w:r>
            <w:r>
              <w:rPr>
                <w:rFonts w:hint="default" w:ascii="Times New Roman" w:hAnsi="Times New Roman" w:cs="Times New Roman"/>
                <w:color w:val="auto"/>
                <w:sz w:val="24"/>
                <w:szCs w:val="24"/>
              </w:rPr>
              <w:t>，据《云南省用水定额》（DB53/T 168-</w:t>
            </w:r>
            <w:r>
              <w:rPr>
                <w:rFonts w:hint="eastAsia" w:cs="Times New Roman"/>
                <w:color w:val="auto"/>
                <w:sz w:val="24"/>
                <w:szCs w:val="24"/>
                <w:lang w:eastAsia="zh-CN"/>
              </w:rPr>
              <w:t>****</w:t>
            </w:r>
            <w:r>
              <w:rPr>
                <w:rFonts w:hint="default" w:ascii="Times New Roman" w:hAnsi="Times New Roman" w:cs="Times New Roman"/>
                <w:color w:val="auto"/>
                <w:sz w:val="24"/>
                <w:szCs w:val="24"/>
              </w:rPr>
              <w:t>），用水量按20L/(人•次)计，则门诊用水量1.6m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（2）住院病房用水</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本项目设有2</w:t>
            </w:r>
            <w:r>
              <w:rPr>
                <w:rFonts w:hint="default" w:ascii="Times New Roman" w:hAnsi="Times New Roman" w:cs="Times New Roman"/>
                <w:color w:val="auto"/>
                <w:sz w:val="24"/>
                <w:szCs w:val="24"/>
                <w:lang w:val="en-US"/>
              </w:rPr>
              <w:t>5</w:t>
            </w:r>
            <w:r>
              <w:rPr>
                <w:rFonts w:hint="default" w:ascii="Times New Roman" w:hAnsi="Times New Roman" w:cs="Times New Roman"/>
                <w:color w:val="auto"/>
                <w:sz w:val="24"/>
                <w:szCs w:val="24"/>
              </w:rPr>
              <w:t>0床位，据《云南省用水定额》（DB53/T 168-</w:t>
            </w:r>
            <w:r>
              <w:rPr>
                <w:rFonts w:hint="eastAsia" w:cs="Times New Roman"/>
                <w:color w:val="auto"/>
                <w:sz w:val="24"/>
                <w:szCs w:val="24"/>
                <w:lang w:eastAsia="zh-CN"/>
              </w:rPr>
              <w:t>****</w:t>
            </w:r>
            <w:r>
              <w:rPr>
                <w:rFonts w:hint="default" w:ascii="Times New Roman" w:hAnsi="Times New Roman" w:cs="Times New Roman"/>
                <w:color w:val="auto"/>
                <w:sz w:val="24"/>
                <w:szCs w:val="24"/>
              </w:rPr>
              <w:t>），“病房内带洗浴（含行政及医护人员、附属设施等用水）”用水定额为300L/（床·d），住院病房用水量为7</w:t>
            </w:r>
            <w:r>
              <w:rPr>
                <w:rFonts w:hint="default" w:ascii="Times New Roman" w:hAnsi="Times New Roman" w:cs="Times New Roman"/>
                <w:color w:val="auto"/>
                <w:sz w:val="24"/>
                <w:szCs w:val="24"/>
                <w:lang w:val="en-US"/>
              </w:rPr>
              <w:t>5</w:t>
            </w:r>
            <w:r>
              <w:rPr>
                <w:rFonts w:hint="default" w:ascii="Times New Roman" w:hAnsi="Times New Roman" w:cs="Times New Roman"/>
                <w:color w:val="auto"/>
                <w:sz w:val="24"/>
                <w:szCs w:val="24"/>
              </w:rPr>
              <w:t>m³/d。</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（3）厨房用水</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项目食堂设置于</w:t>
            </w:r>
            <w:r>
              <w:rPr>
                <w:rFonts w:hint="eastAsia" w:ascii="Times New Roman" w:hAnsi="Times New Roman" w:cs="Times New Roman"/>
                <w:color w:val="auto"/>
                <w:sz w:val="24"/>
                <w:szCs w:val="24"/>
                <w:lang w:eastAsia="zh-CN"/>
              </w:rPr>
              <w:t>后勤楼</w:t>
            </w:r>
            <w:r>
              <w:rPr>
                <w:rFonts w:hint="default" w:ascii="Times New Roman" w:hAnsi="Times New Roman" w:cs="Times New Roman"/>
                <w:color w:val="auto"/>
                <w:sz w:val="24"/>
                <w:szCs w:val="24"/>
                <w:lang w:val="en-US" w:eastAsia="zh-CN"/>
              </w:rPr>
              <w:t>1F</w:t>
            </w:r>
            <w:r>
              <w:rPr>
                <w:rFonts w:hint="default" w:ascii="Times New Roman" w:hAnsi="Times New Roman" w:cs="Times New Roman"/>
                <w:color w:val="auto"/>
                <w:sz w:val="24"/>
                <w:szCs w:val="24"/>
              </w:rPr>
              <w:t>，建筑面积98.28m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。根据《云南省地方标准用水定额》（DB53/T-</w:t>
            </w:r>
            <w:r>
              <w:rPr>
                <w:rFonts w:hint="eastAsia" w:cs="Times New Roman"/>
                <w:color w:val="auto"/>
                <w:sz w:val="24"/>
                <w:szCs w:val="24"/>
                <w:lang w:eastAsia="zh-CN"/>
              </w:rPr>
              <w:t>****</w:t>
            </w:r>
            <w:r>
              <w:rPr>
                <w:rFonts w:hint="default" w:ascii="Times New Roman" w:hAnsi="Times New Roman" w:cs="Times New Roman"/>
                <w:color w:val="auto"/>
                <w:sz w:val="24"/>
                <w:szCs w:val="24"/>
              </w:rPr>
              <w:t>）中规定的参考数据：“营业面积≤200m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的用水定额为35L/m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·d”，则食堂用水量为3.44m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（4）检验科用水</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检验科需要进行血液、细菌等检验，使用检验试剂盒进行检验，使用药剂不涉及重金属，用水环节主要为检验设备的清洗。</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项目日接</w:t>
            </w:r>
            <w:r>
              <w:rPr>
                <w:rFonts w:hint="default" w:ascii="Times New Roman" w:hAnsi="Times New Roman" w:cs="Times New Roman"/>
                <w:color w:val="auto"/>
                <w:sz w:val="24"/>
                <w:szCs w:val="24"/>
                <w:highlight w:val="none"/>
              </w:rPr>
              <w:t>诊80人</w:t>
            </w:r>
            <w:r>
              <w:rPr>
                <w:rFonts w:hint="default" w:ascii="Times New Roman" w:hAnsi="Times New Roman" w:cs="Times New Roman"/>
                <w:color w:val="auto"/>
                <w:sz w:val="24"/>
                <w:szCs w:val="24"/>
              </w:rPr>
              <w:t>，根据经验数值约有30%的病人需要进行检验，检验科用水量按2L/人·次计算，则检验科用水量约为0.05m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（5）洗衣房用水</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项目产生的床单及工作服在项目洗衣房进行清洗、消毒。根据建设方提供经验数据，医院洗衣量约2kg/床·d，用水量参照《综合医院建筑设计规范》GB 51039-2014医院生活用水定额，洗衣用水取80L/kg，按医院床位规</w:t>
            </w:r>
            <w:r>
              <w:rPr>
                <w:rFonts w:hint="default" w:ascii="Times New Roman" w:hAnsi="Times New Roman" w:cs="Times New Roman"/>
                <w:color w:val="auto"/>
                <w:sz w:val="24"/>
                <w:szCs w:val="24"/>
                <w:highlight w:val="none"/>
              </w:rPr>
              <w:t>模2</w:t>
            </w:r>
            <w:r>
              <w:rPr>
                <w:rFonts w:hint="default" w:ascii="Times New Roman" w:hAnsi="Times New Roman" w:cs="Times New Roman"/>
                <w:color w:val="auto"/>
                <w:sz w:val="24"/>
                <w:szCs w:val="24"/>
                <w:highlight w:val="none"/>
                <w:lang w:val="en-US"/>
              </w:rPr>
              <w:t>5</w:t>
            </w:r>
            <w:r>
              <w:rPr>
                <w:rFonts w:hint="default" w:ascii="Times New Roman" w:hAnsi="Times New Roman" w:cs="Times New Roman"/>
                <w:color w:val="auto"/>
                <w:sz w:val="24"/>
                <w:szCs w:val="24"/>
                <w:highlight w:val="none"/>
              </w:rPr>
              <w:t>0</w:t>
            </w:r>
            <w:r>
              <w:rPr>
                <w:rFonts w:hint="default" w:ascii="Times New Roman" w:hAnsi="Times New Roman" w:cs="Times New Roman"/>
                <w:color w:val="auto"/>
                <w:sz w:val="24"/>
                <w:szCs w:val="24"/>
              </w:rPr>
              <w:t>床核算，洗衣房用水量为</w:t>
            </w:r>
            <w:r>
              <w:rPr>
                <w:rFonts w:hint="default" w:ascii="Times New Roman" w:hAnsi="Times New Roman" w:cs="Times New Roman"/>
                <w:color w:val="auto"/>
                <w:sz w:val="24"/>
                <w:szCs w:val="24"/>
                <w:lang w:val="en-US"/>
              </w:rPr>
              <w:t>40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（6）地面清洁</w:t>
            </w:r>
            <w:r>
              <w:rPr>
                <w:rFonts w:hint="eastAsia" w:cs="Times New Roman"/>
                <w:color w:val="auto"/>
                <w:sz w:val="24"/>
                <w:szCs w:val="24"/>
                <w:lang w:eastAsia="zh-CN"/>
              </w:rPr>
              <w:t>用</w:t>
            </w:r>
            <w:r>
              <w:rPr>
                <w:rFonts w:hint="default" w:ascii="Times New Roman" w:hAnsi="Times New Roman" w:cs="Times New Roman"/>
                <w:color w:val="auto"/>
                <w:sz w:val="24"/>
                <w:szCs w:val="24"/>
              </w:rPr>
              <w:t>水</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eastAsia" w:cs="Times New Roman"/>
                <w:color w:val="auto"/>
                <w:sz w:val="24"/>
                <w:szCs w:val="24"/>
                <w:lang w:eastAsia="zh-CN"/>
              </w:rPr>
              <w:t>医院</w:t>
            </w:r>
            <w:r>
              <w:rPr>
                <w:rFonts w:hint="default" w:ascii="Times New Roman" w:hAnsi="Times New Roman" w:cs="Times New Roman"/>
                <w:color w:val="auto"/>
                <w:sz w:val="24"/>
                <w:szCs w:val="24"/>
              </w:rPr>
              <w:t>每天均需进行地面清洁消毒，直接采用拖布拖地，不进行冲洗，医院使用消毒液进行消毒（将消毒液加入清洁用水中），根据常规经验，用水量约为20L/（100m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·d），本项目建筑面积16878.82m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，部分由于设备等占用，需要清洁的建筑面积约占50%，则项目区地面清洁用水量为</w:t>
            </w:r>
            <w:r>
              <w:rPr>
                <w:rFonts w:hint="default" w:cs="Times New Roman"/>
                <w:color w:val="auto"/>
                <w:sz w:val="24"/>
                <w:szCs w:val="24"/>
                <w:lang w:val="en-US"/>
              </w:rPr>
              <w:t>1.688</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r>
              <w:rPr>
                <w:rFonts w:hint="default" w:cs="Times New Roman"/>
                <w:color w:val="auto"/>
                <w:sz w:val="24"/>
                <w:szCs w:val="24"/>
                <w:lang w:val="en-US"/>
              </w:rPr>
              <w:t>616.12</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eastAsia" w:cs="Times New Roman"/>
                <w:color w:val="auto"/>
                <w:sz w:val="24"/>
                <w:szCs w:val="24"/>
                <w:lang w:eastAsia="zh-CN"/>
              </w:rPr>
              <w:t>（</w:t>
            </w:r>
            <w:r>
              <w:rPr>
                <w:rFonts w:hint="default" w:cs="Times New Roman"/>
                <w:color w:val="auto"/>
                <w:sz w:val="24"/>
                <w:szCs w:val="24"/>
                <w:lang w:val="en-US" w:eastAsia="zh-CN"/>
              </w:rPr>
              <w:t>7</w:t>
            </w:r>
            <w:r>
              <w:rPr>
                <w:rFonts w:hint="eastAsia" w:cs="Times New Roman"/>
                <w:color w:val="auto"/>
                <w:sz w:val="24"/>
                <w:szCs w:val="24"/>
                <w:lang w:val="en-US" w:eastAsia="zh-CN"/>
              </w:rPr>
              <w:t>）</w:t>
            </w:r>
            <w:r>
              <w:rPr>
                <w:rFonts w:hint="default" w:ascii="Times New Roman" w:hAnsi="Times New Roman" w:cs="Times New Roman"/>
                <w:color w:val="auto"/>
                <w:sz w:val="24"/>
                <w:szCs w:val="24"/>
              </w:rPr>
              <w:t>绿化用水</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项目建成后，绿化面积为3334.8m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，根据《云南省地方标准用水定额》（DB53/T168-</w:t>
            </w:r>
            <w:r>
              <w:rPr>
                <w:rFonts w:hint="eastAsia" w:cs="Times New Roman"/>
                <w:color w:val="auto"/>
                <w:sz w:val="24"/>
                <w:szCs w:val="24"/>
                <w:lang w:eastAsia="zh-CN"/>
              </w:rPr>
              <w:t>****</w:t>
            </w:r>
            <w:r>
              <w:rPr>
                <w:rFonts w:hint="default" w:ascii="Times New Roman" w:hAnsi="Times New Roman" w:cs="Times New Roman"/>
                <w:color w:val="auto"/>
                <w:sz w:val="24"/>
                <w:szCs w:val="24"/>
              </w:rPr>
              <w:t>），绿化用水为3L/（m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·次），则项目绿化用水为10m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/d，根据气象局提供资料可知，东川区多年平均旱季天数为234天/年，则项目全年绿化用水量为2340m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w:t>
            </w:r>
          </w:p>
          <w:p>
            <w:pPr>
              <w:pStyle w:val="9"/>
              <w:keepNext w:val="0"/>
              <w:keepLines w:val="0"/>
              <w:suppressLineNumbers w:val="0"/>
              <w:adjustRightInd w:val="0"/>
              <w:spacing w:before="0" w:beforeAutospacing="0" w:after="0" w:afterAutospacing="0" w:line="360" w:lineRule="auto"/>
              <w:ind w:left="0" w:right="0"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综上所述，项目非雨天用水量为</w:t>
            </w:r>
            <w:r>
              <w:rPr>
                <w:rFonts w:hint="default" w:cs="Times New Roman"/>
                <w:color w:val="auto"/>
                <w:kern w:val="0"/>
                <w:sz w:val="24"/>
                <w:lang w:val="en-US"/>
              </w:rPr>
              <w:t>131.778</w:t>
            </w:r>
            <w:r>
              <w:rPr>
                <w:rFonts w:hint="default" w:ascii="Times New Roman" w:hAnsi="Times New Roman" w:cs="Times New Roman"/>
                <w:color w:val="auto"/>
                <w:kern w:val="0"/>
                <w:sz w:val="24"/>
              </w:rPr>
              <w:t>m</w:t>
            </w:r>
            <w:r>
              <w:rPr>
                <w:rFonts w:hint="default" w:ascii="Times New Roman" w:hAnsi="Times New Roman" w:cs="Times New Roman"/>
                <w:color w:val="auto"/>
                <w:kern w:val="0"/>
                <w:sz w:val="24"/>
                <w:vertAlign w:val="superscript"/>
              </w:rPr>
              <w:t>3</w:t>
            </w:r>
            <w:r>
              <w:rPr>
                <w:rFonts w:hint="default" w:ascii="Times New Roman" w:hAnsi="Times New Roman" w:cs="Times New Roman"/>
                <w:color w:val="auto"/>
                <w:kern w:val="0"/>
                <w:sz w:val="24"/>
              </w:rPr>
              <w:t>/d，雨天用水量为</w:t>
            </w:r>
            <w:r>
              <w:rPr>
                <w:rFonts w:hint="default" w:cs="Times New Roman"/>
                <w:color w:val="auto"/>
                <w:kern w:val="0"/>
                <w:sz w:val="24"/>
                <w:lang w:val="en-US"/>
              </w:rPr>
              <w:t>121.778</w:t>
            </w:r>
            <w:r>
              <w:rPr>
                <w:rFonts w:hint="default" w:ascii="Times New Roman" w:hAnsi="Times New Roman" w:cs="Times New Roman"/>
                <w:color w:val="auto"/>
                <w:kern w:val="0"/>
                <w:sz w:val="24"/>
              </w:rPr>
              <w:t>m</w:t>
            </w:r>
            <w:r>
              <w:rPr>
                <w:rFonts w:hint="default" w:ascii="Times New Roman" w:hAnsi="Times New Roman" w:cs="Times New Roman"/>
                <w:color w:val="auto"/>
                <w:kern w:val="0"/>
                <w:sz w:val="24"/>
                <w:vertAlign w:val="superscript"/>
              </w:rPr>
              <w:t>3</w:t>
            </w:r>
            <w:r>
              <w:rPr>
                <w:rFonts w:hint="default" w:ascii="Times New Roman" w:hAnsi="Times New Roman" w:cs="Times New Roman"/>
                <w:color w:val="auto"/>
                <w:kern w:val="0"/>
                <w:sz w:val="24"/>
              </w:rPr>
              <w:t>/d。</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（7）排水情况</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1）门诊污水</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本项目门诊用水量1.6m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/d，门诊废水排放量按用水量的</w:t>
            </w:r>
            <w:r>
              <w:rPr>
                <w:rFonts w:hint="default" w:ascii="Times New Roman" w:hAnsi="Times New Roman" w:cs="Times New Roman"/>
                <w:color w:val="auto"/>
                <w:sz w:val="24"/>
                <w:szCs w:val="24"/>
                <w:lang w:val="en-US"/>
              </w:rPr>
              <w:t>9</w:t>
            </w:r>
            <w:r>
              <w:rPr>
                <w:rFonts w:hint="default" w:ascii="Times New Roman" w:hAnsi="Times New Roman" w:cs="Times New Roman"/>
                <w:color w:val="auto"/>
                <w:sz w:val="24"/>
                <w:szCs w:val="24"/>
              </w:rPr>
              <w:t>0%计算，则排放量为1.</w:t>
            </w:r>
            <w:r>
              <w:rPr>
                <w:rFonts w:hint="default" w:ascii="Times New Roman" w:hAnsi="Times New Roman" w:cs="Times New Roman"/>
                <w:color w:val="auto"/>
                <w:sz w:val="24"/>
                <w:szCs w:val="24"/>
                <w:lang w:val="en-US"/>
              </w:rPr>
              <w:t>44</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r>
              <w:rPr>
                <w:rFonts w:hint="default" w:ascii="Times New Roman" w:hAnsi="Times New Roman" w:cs="Times New Roman"/>
                <w:color w:val="auto"/>
                <w:sz w:val="24"/>
                <w:szCs w:val="24"/>
                <w:lang w:val="en-US"/>
              </w:rPr>
              <w:t>525.6</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2）住院病房污水</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本项目有2</w:t>
            </w:r>
            <w:r>
              <w:rPr>
                <w:rFonts w:hint="default" w:ascii="Times New Roman" w:hAnsi="Times New Roman" w:cs="Times New Roman"/>
                <w:color w:val="auto"/>
                <w:sz w:val="24"/>
                <w:szCs w:val="24"/>
                <w:lang w:val="en-US"/>
              </w:rPr>
              <w:t>5</w:t>
            </w:r>
            <w:r>
              <w:rPr>
                <w:rFonts w:hint="default" w:ascii="Times New Roman" w:hAnsi="Times New Roman" w:cs="Times New Roman"/>
                <w:color w:val="auto"/>
                <w:sz w:val="24"/>
                <w:szCs w:val="24"/>
              </w:rPr>
              <w:t>0个床位，住院病房用水量为7</w:t>
            </w:r>
            <w:r>
              <w:rPr>
                <w:rFonts w:hint="default" w:ascii="Times New Roman" w:hAnsi="Times New Roman" w:cs="Times New Roman"/>
                <w:color w:val="auto"/>
                <w:sz w:val="24"/>
                <w:szCs w:val="24"/>
                <w:lang w:val="en-US"/>
              </w:rPr>
              <w:t>5</w:t>
            </w:r>
            <w:r>
              <w:rPr>
                <w:rFonts w:hint="default" w:ascii="Times New Roman" w:hAnsi="Times New Roman" w:cs="Times New Roman"/>
                <w:color w:val="auto"/>
                <w:sz w:val="24"/>
                <w:szCs w:val="24"/>
              </w:rPr>
              <w:t>m³/d，废水排放量按用水量的</w:t>
            </w:r>
            <w:r>
              <w:rPr>
                <w:rFonts w:hint="default" w:ascii="Times New Roman" w:hAnsi="Times New Roman" w:cs="Times New Roman"/>
                <w:color w:val="auto"/>
                <w:sz w:val="24"/>
                <w:szCs w:val="24"/>
                <w:lang w:val="en-US"/>
              </w:rPr>
              <w:t>9</w:t>
            </w:r>
            <w:r>
              <w:rPr>
                <w:rFonts w:hint="default" w:ascii="Times New Roman" w:hAnsi="Times New Roman" w:cs="Times New Roman"/>
                <w:color w:val="auto"/>
                <w:sz w:val="24"/>
                <w:szCs w:val="24"/>
              </w:rPr>
              <w:t>0%计算，则排放量为</w:t>
            </w:r>
            <w:r>
              <w:rPr>
                <w:rFonts w:hint="default" w:ascii="Times New Roman" w:hAnsi="Times New Roman" w:cs="Times New Roman"/>
                <w:color w:val="auto"/>
                <w:sz w:val="24"/>
                <w:szCs w:val="24"/>
                <w:lang w:val="en-US"/>
              </w:rPr>
              <w:t>67.5</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r>
              <w:rPr>
                <w:rFonts w:hint="default" w:ascii="Times New Roman" w:hAnsi="Times New Roman" w:cs="Times New Roman"/>
                <w:color w:val="auto"/>
                <w:sz w:val="24"/>
                <w:szCs w:val="24"/>
                <w:lang w:val="en-US"/>
              </w:rPr>
              <w:t>24637.5</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w:t>
            </w:r>
          </w:p>
          <w:p>
            <w:pPr>
              <w:pStyle w:val="9"/>
              <w:keepNext w:val="0"/>
              <w:keepLines w:val="0"/>
              <w:suppressLineNumbers w:val="0"/>
              <w:adjustRightInd w:val="0"/>
              <w:spacing w:before="0" w:beforeAutospacing="0" w:after="0" w:afterAutospacing="0" w:line="360" w:lineRule="auto"/>
              <w:ind w:left="0" w:right="0"/>
              <w:rPr>
                <w:rFonts w:hint="default" w:ascii="Times New Roman" w:hAnsi="Times New Roman" w:cs="Times New Roman"/>
                <w:color w:val="auto"/>
                <w:kern w:val="0"/>
                <w:sz w:val="24"/>
              </w:rPr>
            </w:pPr>
            <w:r>
              <w:rPr>
                <w:rFonts w:hint="default" w:ascii="Times New Roman" w:hAnsi="Times New Roman" w:cs="Times New Roman"/>
                <w:color w:val="auto"/>
                <w:kern w:val="0"/>
                <w:sz w:val="24"/>
              </w:rPr>
              <w:t>3）厨房污水</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厨房用水量为3.44m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/d，产污系数按90%计，污水排放量约为3.096m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/d，1130.04m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4）检验废水</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本项目</w:t>
            </w:r>
            <w:r>
              <w:rPr>
                <w:rFonts w:hint="eastAsia" w:cs="Times New Roman"/>
                <w:color w:val="auto"/>
                <w:sz w:val="24"/>
                <w:szCs w:val="24"/>
                <w:lang w:eastAsia="zh-CN"/>
              </w:rPr>
              <w:t>检验废液用专用收集桶收集后暂存于医废暂存间，委托有资质单位处置。</w:t>
            </w:r>
            <w:r>
              <w:rPr>
                <w:rFonts w:hint="default" w:ascii="Times New Roman" w:hAnsi="Times New Roman" w:cs="Times New Roman"/>
                <w:color w:val="auto"/>
                <w:sz w:val="24"/>
                <w:szCs w:val="24"/>
              </w:rPr>
              <w:t>检验科清洗用水量约为0.05m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/d，不涉及重金属，</w:t>
            </w:r>
            <w:r>
              <w:rPr>
                <w:rFonts w:hint="eastAsia" w:cs="Times New Roman"/>
                <w:color w:val="auto"/>
                <w:sz w:val="24"/>
                <w:szCs w:val="24"/>
                <w:lang w:eastAsia="zh-CN"/>
              </w:rPr>
              <w:t>清洗废水经酸碱中和后排入化粪池预处理，</w:t>
            </w:r>
            <w:r>
              <w:rPr>
                <w:rFonts w:hint="default" w:ascii="Times New Roman" w:hAnsi="Times New Roman" w:cs="Times New Roman"/>
                <w:color w:val="auto"/>
                <w:sz w:val="24"/>
                <w:szCs w:val="24"/>
              </w:rPr>
              <w:t>排污系数0.9，检验科污水产生量0.045m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/d，16.425m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w:t>
            </w:r>
          </w:p>
          <w:p>
            <w:pPr>
              <w:pStyle w:val="9"/>
              <w:keepNext w:val="0"/>
              <w:keepLines w:val="0"/>
              <w:suppressLineNumbers w:val="0"/>
              <w:adjustRightInd w:val="0"/>
              <w:spacing w:before="0" w:beforeAutospacing="0" w:after="0" w:afterAutospacing="0" w:line="360" w:lineRule="auto"/>
              <w:ind w:left="0" w:right="0"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5）洗衣房废水</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洗衣房用水量为</w:t>
            </w:r>
            <w:r>
              <w:rPr>
                <w:rFonts w:hint="default" w:ascii="Times New Roman" w:hAnsi="Times New Roman" w:cs="Times New Roman"/>
                <w:color w:val="auto"/>
                <w:sz w:val="24"/>
                <w:szCs w:val="24"/>
                <w:lang w:val="en-US"/>
              </w:rPr>
              <w:t>40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/d，污水产生系数按0.</w:t>
            </w:r>
            <w:r>
              <w:rPr>
                <w:rFonts w:hint="default" w:ascii="Times New Roman" w:hAnsi="Times New Roman" w:cs="Times New Roman"/>
                <w:color w:val="auto"/>
                <w:sz w:val="24"/>
                <w:szCs w:val="24"/>
                <w:lang w:val="en-US"/>
              </w:rPr>
              <w:t>9</w:t>
            </w:r>
            <w:r>
              <w:rPr>
                <w:rFonts w:hint="default" w:ascii="Times New Roman" w:hAnsi="Times New Roman" w:cs="Times New Roman"/>
                <w:color w:val="auto"/>
                <w:sz w:val="24"/>
                <w:szCs w:val="24"/>
              </w:rPr>
              <w:t>计，产生的洗涤污水量为</w:t>
            </w:r>
            <w:r>
              <w:rPr>
                <w:rFonts w:hint="default" w:ascii="Times New Roman" w:hAnsi="Times New Roman" w:cs="Times New Roman"/>
                <w:color w:val="auto"/>
                <w:sz w:val="24"/>
                <w:szCs w:val="24"/>
                <w:lang w:val="en-US"/>
              </w:rPr>
              <w:t>36</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r>
              <w:rPr>
                <w:rFonts w:hint="default" w:ascii="Times New Roman" w:hAnsi="Times New Roman" w:cs="Times New Roman"/>
                <w:color w:val="auto"/>
                <w:sz w:val="24"/>
                <w:szCs w:val="24"/>
                <w:lang w:val="en-US"/>
              </w:rPr>
              <w:t>13140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Times New Roman" w:hAnsi="Times New Roman" w:eastAsia="宋体" w:cs="Times New Roman"/>
                <w:color w:val="auto"/>
                <w:sz w:val="24"/>
                <w:szCs w:val="24"/>
                <w:lang w:val="en-US" w:eastAsia="zh-CN"/>
              </w:rPr>
            </w:pPr>
            <w:r>
              <w:rPr>
                <w:rFonts w:hint="default" w:cs="Times New Roman"/>
                <w:color w:val="auto"/>
                <w:sz w:val="24"/>
                <w:szCs w:val="24"/>
                <w:lang w:val="en-US"/>
              </w:rPr>
              <w:t>6</w:t>
            </w:r>
            <w:r>
              <w:rPr>
                <w:rFonts w:hint="eastAsia" w:cs="Times New Roman"/>
                <w:color w:val="auto"/>
                <w:sz w:val="24"/>
                <w:szCs w:val="24"/>
                <w:lang w:val="en-US" w:eastAsia="zh-CN"/>
              </w:rPr>
              <w:t>）</w:t>
            </w:r>
            <w:r>
              <w:rPr>
                <w:rFonts w:hint="default" w:ascii="Times New Roman" w:hAnsi="Times New Roman" w:cs="Times New Roman"/>
                <w:color w:val="auto"/>
                <w:sz w:val="24"/>
                <w:szCs w:val="24"/>
              </w:rPr>
              <w:t>地面清洁废水</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项目区地面清洁用水量为</w:t>
            </w:r>
            <w:r>
              <w:rPr>
                <w:rFonts w:hint="default" w:cs="Times New Roman"/>
                <w:color w:val="auto"/>
                <w:sz w:val="24"/>
                <w:szCs w:val="24"/>
                <w:lang w:val="en-US"/>
              </w:rPr>
              <w:t>1.688</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r>
              <w:rPr>
                <w:rFonts w:hint="eastAsia" w:cs="Times New Roman"/>
                <w:color w:val="auto"/>
                <w:sz w:val="24"/>
                <w:szCs w:val="24"/>
                <w:lang w:eastAsia="zh-CN"/>
              </w:rPr>
              <w:t>产</w:t>
            </w:r>
            <w:r>
              <w:rPr>
                <w:rFonts w:hint="default" w:ascii="Times New Roman" w:hAnsi="Times New Roman" w:cs="Times New Roman"/>
                <w:color w:val="auto"/>
                <w:sz w:val="24"/>
                <w:szCs w:val="24"/>
              </w:rPr>
              <w:t>污系数以0.8计， 则地面清洁废水产生量为</w:t>
            </w:r>
            <w:r>
              <w:rPr>
                <w:rFonts w:hint="default" w:cs="Times New Roman"/>
                <w:color w:val="auto"/>
                <w:sz w:val="24"/>
                <w:szCs w:val="24"/>
                <w:lang w:val="en-US"/>
              </w:rPr>
              <w:t>1.35</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r>
              <w:rPr>
                <w:rFonts w:hint="default" w:cs="Times New Roman"/>
                <w:color w:val="auto"/>
                <w:sz w:val="24"/>
                <w:szCs w:val="24"/>
                <w:lang w:val="en-US"/>
              </w:rPr>
              <w:t>492.75</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项目用水、排水情况见表2-4。</w:t>
            </w:r>
          </w:p>
          <w:p>
            <w:pPr>
              <w:keepNext w:val="0"/>
              <w:keepLines w:val="0"/>
              <w:suppressLineNumbers w:val="0"/>
              <w:adjustRightInd w:val="0"/>
              <w:snapToGrid w:val="0"/>
              <w:spacing w:before="0" w:beforeAutospacing="0" w:after="0" w:afterAutospacing="0"/>
              <w:ind w:left="0" w:right="0"/>
              <w:jc w:val="center"/>
              <w:rPr>
                <w:rFonts w:hint="eastAsia" w:ascii="Calibri" w:hAnsi="Calibri" w:cs="Times New Roman"/>
                <w:b/>
                <w:bCs/>
                <w:color w:val="auto"/>
                <w:sz w:val="24"/>
                <w:szCs w:val="24"/>
              </w:rPr>
            </w:pPr>
            <w:r>
              <w:rPr>
                <w:rFonts w:hint="eastAsia" w:ascii="Calibri" w:hAnsi="Calibri" w:cs="Times New Roman"/>
                <w:b/>
                <w:bCs/>
                <w:color w:val="auto"/>
                <w:sz w:val="24"/>
                <w:szCs w:val="24"/>
              </w:rPr>
              <w:t>表2-</w:t>
            </w:r>
            <w:r>
              <w:rPr>
                <w:rFonts w:hint="default" w:ascii="Calibri" w:hAnsi="Calibri" w:cs="Times New Roman"/>
                <w:b/>
                <w:bCs/>
                <w:color w:val="auto"/>
                <w:sz w:val="24"/>
                <w:szCs w:val="24"/>
              </w:rPr>
              <w:t>4</w:t>
            </w:r>
            <w:r>
              <w:rPr>
                <w:rFonts w:hint="eastAsia" w:ascii="Calibri" w:hAnsi="Calibri" w:cs="Times New Roman"/>
                <w:b/>
                <w:bCs/>
                <w:color w:val="auto"/>
                <w:sz w:val="24"/>
                <w:szCs w:val="24"/>
              </w:rPr>
              <w:t xml:space="preserve"> 项目用排水情况统计表</w:t>
            </w:r>
          </w:p>
          <w:tbl>
            <w:tblPr>
              <w:tblStyle w:val="26"/>
              <w:tblpPr w:leftFromText="180" w:rightFromText="180" w:vertAnchor="text" w:horzAnchor="page" w:tblpXSpec="center" w:tblpY="148"/>
              <w:tblOverlap w:val="never"/>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98"/>
              <w:gridCol w:w="924"/>
              <w:gridCol w:w="1382"/>
              <w:gridCol w:w="1375"/>
              <w:gridCol w:w="1375"/>
              <w:gridCol w:w="1714"/>
              <w:gridCol w:w="11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1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用水项目</w:t>
                  </w:r>
                </w:p>
              </w:tc>
              <w:tc>
                <w:tcPr>
                  <w:tcW w:w="49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规模</w:t>
                  </w:r>
                </w:p>
              </w:tc>
              <w:tc>
                <w:tcPr>
                  <w:tcW w:w="78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用水量标准</w:t>
                  </w:r>
                </w:p>
              </w:tc>
              <w:tc>
                <w:tcPr>
                  <w:tcW w:w="7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用水量（m</w:t>
                  </w:r>
                  <w:r>
                    <w:rPr>
                      <w:rFonts w:hint="default" w:ascii="Calibri" w:hAnsi="Calibri" w:cs="Times New Roman"/>
                      <w:color w:val="auto"/>
                      <w:vertAlign w:val="superscript"/>
                    </w:rPr>
                    <w:t>3</w:t>
                  </w:r>
                  <w:r>
                    <w:rPr>
                      <w:rFonts w:hint="default" w:ascii="Calibri" w:hAnsi="Calibri" w:cs="Times New Roman"/>
                      <w:color w:val="auto"/>
                    </w:rPr>
                    <w:t>/d）</w:t>
                  </w:r>
                </w:p>
              </w:tc>
              <w:tc>
                <w:tcPr>
                  <w:tcW w:w="7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eastAsia" w:ascii="Calibri" w:hAnsi="Calibri" w:cs="Times New Roman"/>
                      <w:color w:val="auto"/>
                    </w:rPr>
                    <w:t>损耗</w:t>
                  </w:r>
                  <w:r>
                    <w:rPr>
                      <w:rFonts w:hint="default" w:ascii="Calibri" w:hAnsi="Calibri" w:cs="Times New Roman"/>
                      <w:color w:val="auto"/>
                    </w:rPr>
                    <w:t>量（m</w:t>
                  </w:r>
                  <w:r>
                    <w:rPr>
                      <w:rFonts w:hint="default" w:ascii="Calibri" w:hAnsi="Calibri" w:cs="Times New Roman"/>
                      <w:color w:val="auto"/>
                      <w:vertAlign w:val="superscript"/>
                    </w:rPr>
                    <w:t>3</w:t>
                  </w:r>
                  <w:r>
                    <w:rPr>
                      <w:rFonts w:hint="default" w:ascii="Calibri" w:hAnsi="Calibri" w:cs="Times New Roman"/>
                      <w:color w:val="auto"/>
                    </w:rPr>
                    <w:t>/d）</w:t>
                  </w:r>
                </w:p>
              </w:tc>
              <w:tc>
                <w:tcPr>
                  <w:tcW w:w="976"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废水产生量（m</w:t>
                  </w:r>
                  <w:r>
                    <w:rPr>
                      <w:rFonts w:hint="default" w:ascii="Calibri" w:hAnsi="Calibri" w:cs="Times New Roman"/>
                      <w:color w:val="auto"/>
                      <w:vertAlign w:val="superscript"/>
                    </w:rPr>
                    <w:t>3</w:t>
                  </w:r>
                  <w:r>
                    <w:rPr>
                      <w:rFonts w:hint="default" w:ascii="Calibri" w:hAnsi="Calibri" w:cs="Times New Roman"/>
                      <w:color w:val="auto"/>
                    </w:rPr>
                    <w:t>/d）</w:t>
                  </w:r>
                </w:p>
              </w:tc>
              <w:tc>
                <w:tcPr>
                  <w:tcW w:w="65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14"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Calibri" w:hAnsi="Calibri" w:cs="Times New Roman"/>
                      <w:color w:val="auto"/>
                    </w:rPr>
                  </w:pPr>
                  <w:r>
                    <w:rPr>
                      <w:rFonts w:hint="default" w:ascii="Calibri" w:hAnsi="Calibri" w:cs="Times New Roman"/>
                      <w:color w:val="auto"/>
                    </w:rPr>
                    <w:t>门诊</w:t>
                  </w:r>
                </w:p>
              </w:tc>
              <w:tc>
                <w:tcPr>
                  <w:tcW w:w="49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80人/d</w:t>
                  </w:r>
                </w:p>
              </w:tc>
              <w:tc>
                <w:tcPr>
                  <w:tcW w:w="78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20L/（人·次）</w:t>
                  </w:r>
                </w:p>
              </w:tc>
              <w:tc>
                <w:tcPr>
                  <w:tcW w:w="7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1.6</w:t>
                  </w:r>
                </w:p>
              </w:tc>
              <w:tc>
                <w:tcPr>
                  <w:tcW w:w="7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lang w:val="en-US"/>
                    </w:rPr>
                  </w:pPr>
                  <w:r>
                    <w:rPr>
                      <w:rFonts w:hint="default" w:ascii="Calibri" w:hAnsi="Calibri" w:cs="Times New Roman"/>
                      <w:color w:val="auto"/>
                      <w:lang w:val="en-US"/>
                    </w:rPr>
                    <w:t>0.16</w:t>
                  </w:r>
                </w:p>
              </w:tc>
              <w:tc>
                <w:tcPr>
                  <w:tcW w:w="976"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lang w:val="en-US"/>
                    </w:rPr>
                  </w:pPr>
                  <w:r>
                    <w:rPr>
                      <w:rFonts w:hint="default" w:ascii="Calibri" w:hAnsi="Calibri" w:cs="Times New Roman"/>
                      <w:color w:val="auto"/>
                      <w:lang w:val="en-US"/>
                    </w:rPr>
                    <w:t>1.44</w:t>
                  </w:r>
                </w:p>
              </w:tc>
              <w:tc>
                <w:tcPr>
                  <w:tcW w:w="658" w:type="pct"/>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均来自自来水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14"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Calibri" w:hAnsi="Calibri" w:cs="Times New Roman"/>
                      <w:color w:val="auto"/>
                    </w:rPr>
                  </w:pPr>
                  <w:r>
                    <w:rPr>
                      <w:rFonts w:hint="eastAsia" w:ascii="Calibri" w:hAnsi="Calibri" w:cs="Times New Roman"/>
                      <w:color w:val="auto"/>
                    </w:rPr>
                    <w:t>住院区废水</w:t>
                  </w:r>
                </w:p>
              </w:tc>
              <w:tc>
                <w:tcPr>
                  <w:tcW w:w="49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2</w:t>
                  </w:r>
                  <w:r>
                    <w:rPr>
                      <w:rFonts w:hint="default" w:ascii="Calibri" w:hAnsi="Calibri" w:cs="Times New Roman"/>
                      <w:color w:val="auto"/>
                      <w:lang w:val="en-US"/>
                    </w:rPr>
                    <w:t>5</w:t>
                  </w:r>
                  <w:r>
                    <w:rPr>
                      <w:rFonts w:hint="default" w:ascii="Calibri" w:hAnsi="Calibri" w:cs="Times New Roman"/>
                      <w:color w:val="auto"/>
                    </w:rPr>
                    <w:t>0</w:t>
                  </w:r>
                </w:p>
              </w:tc>
              <w:tc>
                <w:tcPr>
                  <w:tcW w:w="78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300L/（床·人）</w:t>
                  </w:r>
                </w:p>
              </w:tc>
              <w:tc>
                <w:tcPr>
                  <w:tcW w:w="7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7</w:t>
                  </w:r>
                  <w:r>
                    <w:rPr>
                      <w:rFonts w:hint="default" w:ascii="Calibri" w:hAnsi="Calibri" w:cs="Times New Roman"/>
                      <w:color w:val="auto"/>
                      <w:lang w:val="en-US"/>
                    </w:rPr>
                    <w:t>5</w:t>
                  </w:r>
                </w:p>
              </w:tc>
              <w:tc>
                <w:tcPr>
                  <w:tcW w:w="7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lang w:val="en-US"/>
                    </w:rPr>
                  </w:pPr>
                  <w:r>
                    <w:rPr>
                      <w:rFonts w:hint="default" w:ascii="Calibri" w:hAnsi="Calibri" w:cs="Times New Roman"/>
                      <w:color w:val="auto"/>
                      <w:lang w:val="en-US"/>
                    </w:rPr>
                    <w:t>7.5</w:t>
                  </w:r>
                </w:p>
              </w:tc>
              <w:tc>
                <w:tcPr>
                  <w:tcW w:w="976"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lang w:val="en-US"/>
                    </w:rPr>
                  </w:pPr>
                  <w:r>
                    <w:rPr>
                      <w:rFonts w:hint="default" w:ascii="Calibri" w:hAnsi="Calibri" w:cs="Times New Roman"/>
                      <w:color w:val="auto"/>
                      <w:lang w:val="en-US"/>
                    </w:rPr>
                    <w:t>67.5</w:t>
                  </w:r>
                </w:p>
              </w:tc>
              <w:tc>
                <w:tcPr>
                  <w:tcW w:w="658"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14"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Calibri" w:hAnsi="Calibri" w:cs="Times New Roman"/>
                      <w:color w:val="auto"/>
                    </w:rPr>
                  </w:pPr>
                  <w:r>
                    <w:rPr>
                      <w:rFonts w:hint="default" w:ascii="Calibri" w:hAnsi="Calibri" w:cs="Times New Roman"/>
                      <w:color w:val="auto"/>
                    </w:rPr>
                    <w:t>检验科</w:t>
                  </w:r>
                </w:p>
              </w:tc>
              <w:tc>
                <w:tcPr>
                  <w:tcW w:w="49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w:t>
                  </w:r>
                </w:p>
              </w:tc>
              <w:tc>
                <w:tcPr>
                  <w:tcW w:w="78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w:t>
                  </w:r>
                </w:p>
              </w:tc>
              <w:tc>
                <w:tcPr>
                  <w:tcW w:w="7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0.05</w:t>
                  </w:r>
                </w:p>
              </w:tc>
              <w:tc>
                <w:tcPr>
                  <w:tcW w:w="7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0.005</w:t>
                  </w:r>
                </w:p>
              </w:tc>
              <w:tc>
                <w:tcPr>
                  <w:tcW w:w="976"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0.045</w:t>
                  </w:r>
                </w:p>
              </w:tc>
              <w:tc>
                <w:tcPr>
                  <w:tcW w:w="658"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1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食堂</w:t>
                  </w:r>
                </w:p>
              </w:tc>
              <w:tc>
                <w:tcPr>
                  <w:tcW w:w="49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98.28m</w:t>
                  </w:r>
                  <w:r>
                    <w:rPr>
                      <w:rFonts w:hint="default" w:ascii="Calibri" w:hAnsi="Calibri" w:cs="Times New Roman"/>
                      <w:color w:val="auto"/>
                      <w:vertAlign w:val="superscript"/>
                    </w:rPr>
                    <w:t>2</w:t>
                  </w:r>
                </w:p>
              </w:tc>
              <w:tc>
                <w:tcPr>
                  <w:tcW w:w="78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35L/m</w:t>
                  </w:r>
                  <w:r>
                    <w:rPr>
                      <w:rFonts w:hint="default" w:ascii="Calibri" w:hAnsi="Calibri" w:cs="Times New Roman"/>
                      <w:color w:val="auto"/>
                      <w:vertAlign w:val="superscript"/>
                    </w:rPr>
                    <w:t>2</w:t>
                  </w:r>
                  <w:r>
                    <w:rPr>
                      <w:rFonts w:hint="default" w:ascii="Calibri" w:hAnsi="Calibri" w:cs="Times New Roman"/>
                      <w:color w:val="auto"/>
                    </w:rPr>
                    <w:t>·d</w:t>
                  </w:r>
                </w:p>
              </w:tc>
              <w:tc>
                <w:tcPr>
                  <w:tcW w:w="7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3.44</w:t>
                  </w:r>
                </w:p>
              </w:tc>
              <w:tc>
                <w:tcPr>
                  <w:tcW w:w="7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0.344</w:t>
                  </w:r>
                </w:p>
              </w:tc>
              <w:tc>
                <w:tcPr>
                  <w:tcW w:w="976"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3.096</w:t>
                  </w:r>
                </w:p>
              </w:tc>
              <w:tc>
                <w:tcPr>
                  <w:tcW w:w="658"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1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eastAsia" w:ascii="Calibri" w:hAnsi="Calibri" w:cs="Times New Roman"/>
                      <w:color w:val="auto"/>
                    </w:rPr>
                    <w:t>洗衣间</w:t>
                  </w:r>
                </w:p>
              </w:tc>
              <w:tc>
                <w:tcPr>
                  <w:tcW w:w="49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2</w:t>
                  </w:r>
                  <w:r>
                    <w:rPr>
                      <w:rFonts w:hint="default" w:ascii="Calibri" w:hAnsi="Calibri" w:cs="Times New Roman"/>
                      <w:color w:val="auto"/>
                      <w:lang w:val="en-US"/>
                    </w:rPr>
                    <w:t>5</w:t>
                  </w:r>
                  <w:r>
                    <w:rPr>
                      <w:rFonts w:hint="default" w:ascii="Calibri" w:hAnsi="Calibri" w:cs="Times New Roman"/>
                      <w:color w:val="auto"/>
                    </w:rPr>
                    <w:t>0床</w:t>
                  </w:r>
                </w:p>
              </w:tc>
              <w:tc>
                <w:tcPr>
                  <w:tcW w:w="78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160L/床</w:t>
                  </w:r>
                </w:p>
              </w:tc>
              <w:tc>
                <w:tcPr>
                  <w:tcW w:w="7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lang w:val="en-US"/>
                    </w:rPr>
                  </w:pPr>
                  <w:r>
                    <w:rPr>
                      <w:rFonts w:hint="default" w:ascii="Calibri" w:hAnsi="Calibri" w:cs="Times New Roman"/>
                      <w:color w:val="auto"/>
                      <w:lang w:val="en-US"/>
                    </w:rPr>
                    <w:t>40</w:t>
                  </w:r>
                </w:p>
              </w:tc>
              <w:tc>
                <w:tcPr>
                  <w:tcW w:w="7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lang w:val="en-US"/>
                    </w:rPr>
                    <w:t>4</w:t>
                  </w:r>
                </w:p>
              </w:tc>
              <w:tc>
                <w:tcPr>
                  <w:tcW w:w="976"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lang w:val="en-US"/>
                    </w:rPr>
                  </w:pPr>
                  <w:r>
                    <w:rPr>
                      <w:rFonts w:hint="default" w:ascii="Calibri" w:hAnsi="Calibri" w:cs="Times New Roman"/>
                      <w:color w:val="auto"/>
                      <w:lang w:val="en-US"/>
                    </w:rPr>
                    <w:t>36</w:t>
                  </w:r>
                </w:p>
              </w:tc>
              <w:tc>
                <w:tcPr>
                  <w:tcW w:w="658"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14"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Calibri" w:hAnsi="Calibri" w:eastAsia="宋体" w:cs="Times New Roman"/>
                      <w:color w:val="auto"/>
                      <w:lang w:eastAsia="zh-CN"/>
                    </w:rPr>
                  </w:pPr>
                  <w:r>
                    <w:rPr>
                      <w:rFonts w:hint="eastAsia" w:ascii="Calibri" w:hAnsi="Calibri" w:cs="Times New Roman"/>
                      <w:color w:val="auto"/>
                      <w:lang w:eastAsia="zh-CN"/>
                    </w:rPr>
                    <w:t>清洁废水</w:t>
                  </w:r>
                </w:p>
              </w:tc>
              <w:tc>
                <w:tcPr>
                  <w:tcW w:w="49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cs="Times New Roman"/>
                      <w:color w:val="auto"/>
                      <w:sz w:val="21"/>
                      <w:szCs w:val="21"/>
                      <w:lang w:val="en-US"/>
                    </w:rPr>
                    <w:t>8439.41</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2</w:t>
                  </w:r>
                </w:p>
              </w:tc>
              <w:tc>
                <w:tcPr>
                  <w:tcW w:w="78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sz w:val="21"/>
                      <w:szCs w:val="21"/>
                      <w:lang w:val="en-US"/>
                    </w:rPr>
                  </w:pPr>
                  <w:r>
                    <w:rPr>
                      <w:rFonts w:hint="default" w:ascii="Times New Roman" w:hAnsi="Times New Roman" w:cs="Times New Roman"/>
                      <w:color w:val="auto"/>
                      <w:sz w:val="21"/>
                      <w:szCs w:val="21"/>
                    </w:rPr>
                    <w:t>20L/（100m</w:t>
                  </w:r>
                  <w:r>
                    <w:rPr>
                      <w:rFonts w:hint="default" w:ascii="Times New Roman" w:hAnsi="Times New Roman" w:cs="Times New Roman"/>
                      <w:color w:val="auto"/>
                      <w:sz w:val="21"/>
                      <w:szCs w:val="21"/>
                      <w:vertAlign w:val="superscript"/>
                    </w:rPr>
                    <w:t>2</w:t>
                  </w:r>
                  <w:r>
                    <w:rPr>
                      <w:rFonts w:hint="default" w:ascii="Times New Roman" w:hAnsi="Times New Roman" w:cs="Times New Roman"/>
                      <w:color w:val="auto"/>
                      <w:sz w:val="21"/>
                      <w:szCs w:val="21"/>
                    </w:rPr>
                    <w:t>·d）</w:t>
                  </w:r>
                </w:p>
              </w:tc>
              <w:tc>
                <w:tcPr>
                  <w:tcW w:w="7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sz w:val="21"/>
                      <w:szCs w:val="21"/>
                      <w:lang w:val="en-US"/>
                    </w:rPr>
                  </w:pPr>
                  <w:r>
                    <w:rPr>
                      <w:rFonts w:hint="default" w:ascii="Calibri" w:hAnsi="Calibri" w:cs="Times New Roman"/>
                      <w:color w:val="auto"/>
                      <w:sz w:val="21"/>
                      <w:szCs w:val="21"/>
                      <w:lang w:val="en-US"/>
                    </w:rPr>
                    <w:t>1.688</w:t>
                  </w:r>
                </w:p>
              </w:tc>
              <w:tc>
                <w:tcPr>
                  <w:tcW w:w="7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lang w:val="en-US"/>
                    </w:rPr>
                  </w:pPr>
                  <w:r>
                    <w:rPr>
                      <w:rFonts w:hint="default" w:ascii="Calibri" w:hAnsi="Calibri" w:cs="Times New Roman"/>
                      <w:color w:val="auto"/>
                      <w:lang w:val="en-US"/>
                    </w:rPr>
                    <w:t>0.338</w:t>
                  </w:r>
                </w:p>
              </w:tc>
              <w:tc>
                <w:tcPr>
                  <w:tcW w:w="976"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lang w:val="en-US"/>
                    </w:rPr>
                  </w:pPr>
                  <w:r>
                    <w:rPr>
                      <w:rFonts w:hint="default" w:ascii="Calibri" w:hAnsi="Calibri" w:cs="Times New Roman"/>
                      <w:color w:val="auto"/>
                      <w:lang w:val="en-US"/>
                    </w:rPr>
                    <w:t>1.35</w:t>
                  </w:r>
                </w:p>
              </w:tc>
              <w:tc>
                <w:tcPr>
                  <w:tcW w:w="658"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1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绿化</w:t>
                  </w:r>
                </w:p>
              </w:tc>
              <w:tc>
                <w:tcPr>
                  <w:tcW w:w="49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3334.8m</w:t>
                  </w:r>
                  <w:r>
                    <w:rPr>
                      <w:rFonts w:hint="default" w:ascii="Calibri" w:hAnsi="Calibri" w:cs="Times New Roman"/>
                      <w:color w:val="auto"/>
                      <w:vertAlign w:val="superscript"/>
                    </w:rPr>
                    <w:t>2</w:t>
                  </w:r>
                </w:p>
              </w:tc>
              <w:tc>
                <w:tcPr>
                  <w:tcW w:w="78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3L/（m</w:t>
                  </w:r>
                  <w:r>
                    <w:rPr>
                      <w:rFonts w:hint="default" w:ascii="Calibri" w:hAnsi="Calibri" w:cs="Times New Roman"/>
                      <w:color w:val="auto"/>
                      <w:vertAlign w:val="superscript"/>
                    </w:rPr>
                    <w:t>2</w:t>
                  </w:r>
                  <w:r>
                    <w:rPr>
                      <w:rFonts w:hint="default" w:ascii="Calibri" w:hAnsi="Calibri" w:cs="Times New Roman"/>
                      <w:color w:val="auto"/>
                    </w:rPr>
                    <w:t>·次）</w:t>
                  </w:r>
                </w:p>
              </w:tc>
              <w:tc>
                <w:tcPr>
                  <w:tcW w:w="7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10</w:t>
                  </w:r>
                </w:p>
              </w:tc>
              <w:tc>
                <w:tcPr>
                  <w:tcW w:w="7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w:t>
                  </w:r>
                </w:p>
              </w:tc>
              <w:tc>
                <w:tcPr>
                  <w:tcW w:w="976"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w:t>
                  </w:r>
                </w:p>
              </w:tc>
              <w:tc>
                <w:tcPr>
                  <w:tcW w:w="658"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796" w:type="pct"/>
                  <w:gridSpan w:val="3"/>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合计</w:t>
                  </w:r>
                </w:p>
              </w:tc>
              <w:tc>
                <w:tcPr>
                  <w:tcW w:w="7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lang w:val="en-US"/>
                    </w:rPr>
                  </w:pPr>
                  <w:r>
                    <w:rPr>
                      <w:rFonts w:hint="default" w:ascii="Calibri" w:hAnsi="Calibri" w:cs="Times New Roman"/>
                      <w:color w:val="auto"/>
                    </w:rPr>
                    <w:t>旱季：</w:t>
                  </w:r>
                  <w:r>
                    <w:rPr>
                      <w:rFonts w:hint="default" w:ascii="Calibri" w:hAnsi="Calibri" w:cs="Times New Roman"/>
                      <w:color w:val="auto"/>
                      <w:lang w:val="en-US"/>
                    </w:rPr>
                    <w:t>131.778</w:t>
                  </w:r>
                </w:p>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lang w:val="en-US"/>
                    </w:rPr>
                  </w:pPr>
                  <w:r>
                    <w:rPr>
                      <w:rFonts w:hint="default" w:ascii="Calibri" w:hAnsi="Calibri" w:cs="Times New Roman"/>
                      <w:color w:val="auto"/>
                    </w:rPr>
                    <w:t>雨季：</w:t>
                  </w:r>
                  <w:r>
                    <w:rPr>
                      <w:rFonts w:hint="default" w:ascii="Calibri" w:hAnsi="Calibri" w:cs="Times New Roman"/>
                      <w:color w:val="auto"/>
                      <w:lang w:val="en-US"/>
                    </w:rPr>
                    <w:t>121.778</w:t>
                  </w:r>
                </w:p>
              </w:tc>
              <w:tc>
                <w:tcPr>
                  <w:tcW w:w="7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w:t>
                  </w:r>
                </w:p>
              </w:tc>
              <w:tc>
                <w:tcPr>
                  <w:tcW w:w="976"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lang w:val="en-US"/>
                    </w:rPr>
                  </w:pPr>
                  <w:r>
                    <w:rPr>
                      <w:rFonts w:hint="default" w:ascii="Calibri" w:hAnsi="Calibri" w:cs="Times New Roman"/>
                      <w:color w:val="auto"/>
                      <w:lang w:val="en-US"/>
                    </w:rPr>
                    <w:t>109.431</w:t>
                  </w:r>
                </w:p>
              </w:tc>
              <w:tc>
                <w:tcPr>
                  <w:tcW w:w="65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w:t>
                  </w:r>
                </w:p>
              </w:tc>
            </w:tr>
          </w:tbl>
          <w:p>
            <w:pPr>
              <w:pStyle w:val="14"/>
              <w:keepNext w:val="0"/>
              <w:keepLines w:val="0"/>
              <w:suppressLineNumbers w:val="0"/>
              <w:spacing w:before="0" w:beforeAutospacing="0" w:after="0" w:afterAutospacing="0" w:line="360" w:lineRule="auto"/>
              <w:ind w:left="0" w:right="0" w:firstLine="480" w:firstLineChars="200"/>
              <w:rPr>
                <w:rFonts w:hint="eastAsia" w:ascii="Calibri" w:hAnsi="Calibri" w:cs="Times New Roman"/>
                <w:color w:val="auto"/>
                <w:sz w:val="24"/>
                <w:szCs w:val="24"/>
              </w:rPr>
            </w:pPr>
            <w:r>
              <w:rPr>
                <w:rFonts w:hint="eastAsia" w:ascii="Calibri" w:hAnsi="Calibri" w:cs="Times New Roman"/>
                <w:color w:val="auto"/>
                <w:sz w:val="24"/>
                <w:szCs w:val="24"/>
              </w:rPr>
              <w:t>本项目水量平衡图如下图所示：</w:t>
            </w:r>
          </w:p>
          <w:p>
            <w:pPr>
              <w:pStyle w:val="9"/>
              <w:keepNext w:val="0"/>
              <w:keepLines w:val="0"/>
              <w:suppressLineNumbers w:val="0"/>
              <w:spacing w:beforeAutospacing="0" w:afterAutospacing="0"/>
              <w:ind w:left="0"/>
              <w:jc w:val="center"/>
              <w:rPr>
                <w:rFonts w:hint="eastAsia" w:ascii="Calibri" w:hAnsi="Calibri" w:cs="Times New Roman"/>
                <w:color w:val="auto"/>
                <w:kern w:val="0"/>
                <w:sz w:val="18"/>
                <w:szCs w:val="20"/>
              </w:rPr>
            </w:pPr>
            <w:r>
              <w:rPr>
                <w:rFonts w:hint="default" w:ascii="Calibri" w:hAnsi="Calibri" w:cs="Times New Roman"/>
                <w:color w:val="auto"/>
                <w:kern w:val="0"/>
                <w:sz w:val="18"/>
                <w:szCs w:val="20"/>
              </w:rPr>
              <mc:AlternateContent>
                <mc:Choice Requires="wps">
                  <w:drawing>
                    <wp:anchor distT="0" distB="0" distL="114300" distR="114300" simplePos="0" relativeHeight="251659264" behindDoc="1" locked="0" layoutInCell="1" allowOverlap="1">
                      <wp:simplePos x="0" y="0"/>
                      <wp:positionH relativeFrom="column">
                        <wp:posOffset>2044065</wp:posOffset>
                      </wp:positionH>
                      <wp:positionV relativeFrom="paragraph">
                        <wp:posOffset>2082165</wp:posOffset>
                      </wp:positionV>
                      <wp:extent cx="524510" cy="243840"/>
                      <wp:effectExtent l="4445" t="4445" r="23495" b="18415"/>
                      <wp:wrapNone/>
                      <wp:docPr id="1" name="文本框 321"/>
                      <wp:cNvGraphicFramePr/>
                      <a:graphic xmlns:a="http://schemas.openxmlformats.org/drawingml/2006/main">
                        <a:graphicData uri="http://schemas.microsoft.com/office/word/2010/wordprocessingShape">
                          <wps:wsp>
                            <wps:cNvSpPr txBox="1"/>
                            <wps:spPr>
                              <a:xfrm>
                                <a:off x="0" y="0"/>
                                <a:ext cx="524510" cy="24384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wrap="square" upright="1"/>
                          </wps:wsp>
                        </a:graphicData>
                      </a:graphic>
                    </wp:anchor>
                  </w:drawing>
                </mc:Choice>
                <mc:Fallback>
                  <w:pict>
                    <v:shape id="文本框 321" o:spid="_x0000_s1026" o:spt="202" type="#_x0000_t202" style="position:absolute;left:0pt;margin-left:160.95pt;margin-top:163.95pt;height:19.2pt;width:41.3pt;z-index:-251657216;mso-width-relative:page;mso-height-relative:page;" fillcolor="#FFFFFF" filled="t" stroked="t" coordsize="21600,21600" o:gfxdata="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RioYdgAAAALAQAADwAAAAAA&#10;AAABACAAAAAiAAAAZHJzL2Rvd25yZXYueG1sUEsBAhQAFAAAAAgAh07iQE/G0asTAgAARQQAAA4A&#10;AAAAAAAAAQAgAAAAJwEAAGRycy9lMm9Eb2MueG1sUEsFBgAAAAAGAAYAWQEAAKwFAAAAAA==&#10;">
                      <v:fill on="t" focussize="0,0"/>
                      <v:stroke color="#FFFFFF" joinstyle="miter"/>
                      <v:imagedata o:title=""/>
                      <o:lock v:ext="edit" aspectratio="f"/>
                      <v:textbox>
                        <w:txbxContent>
                          <w:p/>
                        </w:txbxContent>
                      </v:textbox>
                    </v:shape>
                  </w:pict>
                </mc:Fallback>
              </mc:AlternateContent>
            </w:r>
            <w:r>
              <w:rPr>
                <w:rFonts w:hint="eastAsia" w:ascii="Calibri" w:hAnsi="Calibri" w:cs="Times New Roman"/>
                <w:color w:val="auto"/>
                <w:kern w:val="0"/>
                <w:sz w:val="18"/>
                <w:szCs w:val="20"/>
              </w:rPr>
              <w:object>
                <v:shape id="_x0000_i1025" o:spt="75" type="#_x0000_t75" style="height:244.3pt;width:429pt;" o:ole="t" filled="f" o:preferrelative="t" stroked="f" coordsize="21600,21600">
                  <v:path/>
                  <v:fill on="f" focussize="0,0"/>
                  <v:stroke on="f"/>
                  <v:imagedata r:id="rId18" o:title=""/>
                  <o:lock v:ext="edit" aspectratio="f"/>
                  <w10:wrap type="none"/>
                  <w10:anchorlock/>
                </v:shape>
                <o:OLEObject Type="Embed" ProgID="Visio.Drawing.15" ShapeID="_x0000_i1025" DrawAspect="Content" ObjectID="_1468075725" r:id="rId17">
                  <o:LockedField>false</o:LockedField>
                </o:OLEObject>
              </w:object>
            </w:r>
            <w:r>
              <w:rPr>
                <w:rFonts w:hint="eastAsia" w:ascii="Calibri" w:hAnsi="Calibri" w:cs="Times New Roman"/>
                <w:b/>
                <w:bCs/>
                <w:color w:val="auto"/>
                <w:kern w:val="0"/>
                <w:sz w:val="24"/>
              </w:rPr>
              <w:t>图2-1  本项目运营期非雨天水量平衡图 单位：m³/d</w:t>
            </w:r>
          </w:p>
          <w:p>
            <w:pPr>
              <w:pStyle w:val="9"/>
              <w:keepNext w:val="0"/>
              <w:keepLines w:val="0"/>
              <w:suppressLineNumbers w:val="0"/>
              <w:spacing w:beforeAutospacing="0" w:afterAutospacing="0"/>
              <w:ind w:left="0"/>
              <w:jc w:val="center"/>
              <w:rPr>
                <w:rFonts w:hint="default" w:ascii="Calibri" w:hAnsi="Calibri" w:cs="Times New Roman"/>
                <w:color w:val="auto"/>
                <w:kern w:val="0"/>
                <w:sz w:val="18"/>
                <w:szCs w:val="20"/>
              </w:rPr>
            </w:pPr>
            <w:r>
              <w:rPr>
                <w:rFonts w:hint="default" w:ascii="Calibri" w:hAnsi="Calibri" w:cs="Times New Roman"/>
                <w:color w:val="auto"/>
                <w:kern w:val="0"/>
                <w:sz w:val="18"/>
                <w:szCs w:val="20"/>
              </w:rPr>
              <w:object>
                <v:shape id="_x0000_i1026" o:spt="75" type="#_x0000_t75" style="height:198pt;width:429.7pt;" o:ole="t" filled="f" o:preferrelative="t" stroked="f" coordsize="21600,21600">
                  <v:path/>
                  <v:fill on="f" focussize="0,0"/>
                  <v:stroke on="f"/>
                  <v:imagedata r:id="rId20" o:title=""/>
                  <o:lock v:ext="edit" aspectratio="f"/>
                  <w10:wrap type="none"/>
                  <w10:anchorlock/>
                </v:shape>
                <o:OLEObject Type="Embed" ProgID="Visio.Drawing.15" ShapeID="_x0000_i1026" DrawAspect="Content" ObjectID="_1468075726" r:id="rId19">
                  <o:LockedField>false</o:LockedField>
                </o:OLEObject>
              </w:object>
            </w:r>
            <w:r>
              <w:rPr>
                <w:rFonts w:hint="eastAsia" w:ascii="Calibri" w:hAnsi="Calibri" w:cs="Times New Roman"/>
                <w:b/>
                <w:bCs/>
                <w:color w:val="auto"/>
                <w:kern w:val="0"/>
                <w:sz w:val="24"/>
              </w:rPr>
              <w:t>图2-</w:t>
            </w:r>
            <w:r>
              <w:rPr>
                <w:rFonts w:hint="default" w:ascii="Calibri" w:hAnsi="Calibri" w:cs="Times New Roman"/>
                <w:b/>
                <w:bCs/>
                <w:color w:val="auto"/>
                <w:kern w:val="0"/>
                <w:sz w:val="24"/>
              </w:rPr>
              <w:t>2</w:t>
            </w:r>
            <w:r>
              <w:rPr>
                <w:rFonts w:hint="eastAsia" w:ascii="Calibri" w:hAnsi="Calibri" w:cs="Times New Roman"/>
                <w:b/>
                <w:bCs/>
                <w:color w:val="auto"/>
                <w:kern w:val="0"/>
                <w:sz w:val="24"/>
              </w:rPr>
              <w:t xml:space="preserve">  本项目运营期雨天水量平衡图 单位：m³/d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3" w:type="dxa"/>
            <w:tcBorders>
              <w:top w:val="single" w:color="auto" w:sz="4" w:space="0"/>
              <w:bottom w:val="single" w:color="auto" w:sz="4" w:space="0"/>
            </w:tcBorders>
            <w:shd w:val="clear" w:color="auto" w:fill="auto"/>
            <w:noWrap w:val="0"/>
            <w:vAlign w:val="center"/>
          </w:tcPr>
          <w:p>
            <w:pPr>
              <w:pStyle w:val="22"/>
              <w:keepNext w:val="0"/>
              <w:keepLines w:val="0"/>
              <w:suppressLineNumbers w:val="0"/>
              <w:adjustRightInd w:val="0"/>
              <w:snapToGrid w:val="0"/>
              <w:spacing w:before="0" w:beforeAutospacing="0" w:after="0" w:afterAutospacing="0"/>
              <w:ind w:left="0" w:right="0"/>
              <w:jc w:val="center"/>
              <w:rPr>
                <w:rFonts w:hint="eastAsia" w:cs="宋体"/>
                <w:b/>
                <w:bCs/>
                <w:color w:val="auto"/>
                <w:szCs w:val="24"/>
              </w:rPr>
            </w:pPr>
            <w:r>
              <w:rPr>
                <w:rFonts w:hint="eastAsia" w:cs="宋体"/>
                <w:b/>
                <w:bCs/>
                <w:color w:val="auto"/>
                <w:szCs w:val="24"/>
              </w:rPr>
              <w:t>工艺流程和产排污环节</w:t>
            </w:r>
          </w:p>
        </w:tc>
        <w:tc>
          <w:tcPr>
            <w:tcW w:w="9004" w:type="dxa"/>
            <w:tcBorders>
              <w:top w:val="single" w:color="auto" w:sz="4" w:space="0"/>
              <w:bottom w:val="single" w:color="auto" w:sz="4" w:space="0"/>
            </w:tcBorders>
            <w:shd w:val="clear" w:color="auto" w:fill="FFFFFF"/>
            <w:noWrap w:val="0"/>
            <w:vAlign w:val="top"/>
          </w:tcPr>
          <w:p>
            <w:pPr>
              <w:pStyle w:val="9"/>
              <w:keepNext w:val="0"/>
              <w:keepLines w:val="0"/>
              <w:suppressLineNumbers w:val="0"/>
              <w:adjustRightInd w:val="0"/>
              <w:spacing w:beforeAutospacing="0" w:after="40" w:afterAutospacing="0" w:line="360" w:lineRule="auto"/>
              <w:ind w:left="0"/>
              <w:rPr>
                <w:rFonts w:hint="eastAsia" w:ascii="宋体" w:hAnsi="宋体" w:cs="宋体"/>
                <w:b/>
                <w:bCs/>
                <w:color w:val="auto"/>
                <w:kern w:val="0"/>
                <w:sz w:val="24"/>
              </w:rPr>
            </w:pPr>
            <w:r>
              <w:rPr>
                <w:rFonts w:hint="eastAsia" w:ascii="宋体" w:hAnsi="宋体" w:cs="宋体"/>
                <w:b/>
                <w:bCs/>
                <w:color w:val="auto"/>
                <w:kern w:val="0"/>
                <w:sz w:val="24"/>
              </w:rPr>
              <w:t>一、施工期</w:t>
            </w:r>
          </w:p>
          <w:p>
            <w:pPr>
              <w:keepNext w:val="0"/>
              <w:keepLines w:val="0"/>
              <w:suppressLineNumbers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本项目需要进行场地平整、地面建筑、房屋内外部装修和设备安装、绿化，</w:t>
            </w:r>
            <w:r>
              <w:rPr>
                <w:rFonts w:hint="eastAsia" w:ascii="宋体" w:hAnsi="宋体" w:cs="宋体"/>
                <w:bCs/>
                <w:color w:val="auto"/>
                <w:kern w:val="0"/>
                <w:sz w:val="24"/>
                <w:szCs w:val="24"/>
              </w:rPr>
              <w:t>施工期</w:t>
            </w:r>
            <w:r>
              <w:rPr>
                <w:rFonts w:hint="eastAsia" w:ascii="宋体" w:hAnsi="宋体" w:cs="宋体"/>
                <w:bCs/>
                <w:color w:val="auto"/>
                <w:sz w:val="24"/>
                <w:szCs w:val="24"/>
                <w:lang w:bidi="ar"/>
              </w:rPr>
              <w:t>主要产生施工废气、噪声、</w:t>
            </w:r>
            <w:r>
              <w:rPr>
                <w:rFonts w:hint="eastAsia" w:ascii="宋体" w:hAnsi="宋体" w:cs="宋体"/>
                <w:color w:val="auto"/>
                <w:sz w:val="24"/>
                <w:szCs w:val="24"/>
              </w:rPr>
              <w:t>生活垃圾、建筑垃圾、废弃土石方及生活污水等。</w:t>
            </w:r>
            <w:r>
              <w:rPr>
                <w:rFonts w:hint="eastAsia" w:ascii="宋体" w:hAnsi="宋体" w:cs="宋体"/>
                <w:bCs/>
                <w:color w:val="auto"/>
                <w:sz w:val="24"/>
                <w:szCs w:val="24"/>
              </w:rPr>
              <w:t xml:space="preserve"> </w:t>
            </w:r>
            <w:r>
              <w:rPr>
                <w:rFonts w:hint="eastAsia" w:ascii="宋体" w:hAnsi="宋体" w:cs="宋体"/>
                <w:color w:val="auto"/>
                <w:sz w:val="24"/>
                <w:szCs w:val="24"/>
              </w:rPr>
              <w:t>本工程施工期工艺流程及污染工序如下图所示。</w:t>
            </w:r>
          </w:p>
          <w:p>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szCs w:val="24"/>
              </w:rPr>
            </w:pPr>
            <w:r>
              <w:rPr>
                <w:rFonts w:hint="eastAsia" w:ascii="宋体" w:hAnsi="宋体" w:cs="宋体"/>
                <w:color w:val="auto"/>
                <w:kern w:val="0"/>
                <w:sz w:val="24"/>
                <w:szCs w:val="24"/>
                <w:lang w:bidi="ar"/>
              </w:rPr>
              <w:object>
                <v:shape id="_x0000_i1027" o:spt="75" type="#_x0000_t75" style="height:141.05pt;width:255.55pt;" o:ole="t" filled="f" o:preferrelative="t" stroked="f" coordsize="21600,21600">
                  <v:path/>
                  <v:fill on="f" focussize="0,0"/>
                  <v:stroke on="f"/>
                  <v:imagedata r:id="rId22" o:title=""/>
                  <o:lock v:ext="edit" aspectratio="f"/>
                  <w10:wrap type="none"/>
                  <w10:anchorlock/>
                </v:shape>
                <o:OLEObject Type="Embed" ProgID="Visio.Drawing.15" ShapeID="_x0000_i1027" DrawAspect="Content" ObjectID="_1468075727" r:id="rId21">
                  <o:LockedField>false</o:LockedField>
                </o:OLEObject>
              </w:object>
            </w:r>
          </w:p>
          <w:p>
            <w:pPr>
              <w:keepNext w:val="0"/>
              <w:keepLines w:val="0"/>
              <w:suppressLineNumbers w:val="0"/>
              <w:snapToGrid w:val="0"/>
              <w:spacing w:before="0" w:beforeAutospacing="0" w:after="0" w:afterAutospacing="0" w:line="360" w:lineRule="auto"/>
              <w:ind w:left="0" w:right="0"/>
              <w:jc w:val="center"/>
              <w:rPr>
                <w:rFonts w:hint="eastAsia" w:ascii="宋体" w:hAnsi="宋体" w:cs="宋体"/>
                <w:b/>
                <w:bCs/>
                <w:color w:val="auto"/>
                <w:sz w:val="24"/>
                <w:szCs w:val="24"/>
              </w:rPr>
            </w:pPr>
            <w:r>
              <w:rPr>
                <w:rFonts w:hint="eastAsia" w:ascii="宋体" w:hAnsi="宋体" w:cs="宋体"/>
                <w:b/>
                <w:bCs/>
                <w:color w:val="auto"/>
                <w:sz w:val="24"/>
                <w:szCs w:val="24"/>
              </w:rPr>
              <w:t>图2-</w:t>
            </w:r>
            <w:r>
              <w:rPr>
                <w:rFonts w:hint="default" w:ascii="宋体" w:hAnsi="宋体" w:cs="宋体"/>
                <w:b/>
                <w:bCs/>
                <w:color w:val="auto"/>
                <w:sz w:val="24"/>
                <w:szCs w:val="24"/>
              </w:rPr>
              <w:t xml:space="preserve">3 </w:t>
            </w:r>
            <w:r>
              <w:rPr>
                <w:rFonts w:hint="eastAsia" w:ascii="宋体" w:hAnsi="宋体" w:cs="宋体"/>
                <w:b/>
                <w:bCs/>
                <w:color w:val="auto"/>
                <w:sz w:val="24"/>
                <w:szCs w:val="24"/>
              </w:rPr>
              <w:t>施工期工艺流程及产污环节示意图</w:t>
            </w:r>
          </w:p>
          <w:p>
            <w:pPr>
              <w:pStyle w:val="9"/>
              <w:keepNext w:val="0"/>
              <w:keepLines w:val="0"/>
              <w:suppressLineNumbers w:val="0"/>
              <w:adjustRightInd w:val="0"/>
              <w:spacing w:beforeAutospacing="0" w:after="40" w:afterAutospacing="0" w:line="360" w:lineRule="auto"/>
              <w:ind w:left="0"/>
              <w:rPr>
                <w:rFonts w:hint="eastAsia" w:ascii="宋体" w:hAnsi="宋体" w:cs="宋体"/>
                <w:b/>
                <w:bCs/>
                <w:color w:val="auto"/>
                <w:kern w:val="0"/>
                <w:sz w:val="24"/>
              </w:rPr>
            </w:pPr>
            <w:r>
              <w:rPr>
                <w:rFonts w:hint="eastAsia" w:ascii="宋体" w:hAnsi="宋体" w:cs="宋体"/>
                <w:b/>
                <w:bCs/>
                <w:color w:val="auto"/>
                <w:kern w:val="0"/>
                <w:sz w:val="24"/>
              </w:rPr>
              <w:t>二、运行期</w:t>
            </w:r>
          </w:p>
          <w:p>
            <w:pPr>
              <w:keepNext w:val="0"/>
              <w:keepLines w:val="0"/>
              <w:suppressLineNumbers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（1）医院就医流程及产污环节</w:t>
            </w:r>
          </w:p>
          <w:p>
            <w:pPr>
              <w:keepNext w:val="0"/>
              <w:keepLines w:val="0"/>
              <w:suppressLineNumbers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本项目为精神病专科医院，在对就诊患者进行检查诊疗过程中，与污染物排放有关的时段主要在检验、检查及门诊、住院治疗期间的手术等阶段。运营期流程及产污环节见图2-3。</w:t>
            </w:r>
          </w:p>
          <w:p>
            <w:pPr>
              <w:keepNext w:val="0"/>
              <w:keepLines w:val="0"/>
              <w:suppressLineNumbers w:val="0"/>
              <w:snapToGrid w:val="0"/>
              <w:spacing w:before="0" w:beforeAutospacing="0" w:after="0" w:afterAutospacing="0" w:line="360" w:lineRule="auto"/>
              <w:ind w:left="0" w:right="0"/>
              <w:jc w:val="center"/>
              <w:rPr>
                <w:rFonts w:hint="eastAsia" w:ascii="宋体" w:hAnsi="宋体" w:cs="宋体"/>
                <w:b/>
                <w:bCs/>
                <w:color w:val="auto"/>
                <w:sz w:val="24"/>
                <w:szCs w:val="24"/>
              </w:rPr>
            </w:pPr>
            <w:r>
              <w:rPr>
                <w:rFonts w:hint="eastAsia" w:ascii="宋体" w:hAnsi="宋体" w:cs="宋体"/>
                <w:color w:val="auto"/>
                <w:sz w:val="24"/>
                <w:szCs w:val="24"/>
              </w:rPr>
              <w:object>
                <v:shape id="_x0000_i1028" o:spt="75" type="#_x0000_t75" style="height:144.75pt;width:436.9pt;" o:ole="t" filled="f" o:preferrelative="t" stroked="f" coordsize="21600,21600">
                  <v:path/>
                  <v:fill on="f" focussize="0,0"/>
                  <v:stroke on="f"/>
                  <v:imagedata r:id="rId24" o:title=""/>
                  <o:lock v:ext="edit" aspectratio="f"/>
                  <w10:wrap type="none"/>
                  <w10:anchorlock/>
                </v:shape>
                <o:OLEObject Type="Embed" ProgID="Visio.Drawing.15" ShapeID="_x0000_i1028" DrawAspect="Content" ObjectID="_1468075728" r:id="rId23">
                  <o:LockedField>false</o:LockedField>
                </o:OLEObject>
              </w:object>
            </w:r>
            <w:r>
              <w:rPr>
                <w:rFonts w:hint="eastAsia" w:ascii="宋体" w:hAnsi="宋体" w:cs="宋体"/>
                <w:b/>
                <w:bCs/>
                <w:color w:val="auto"/>
                <w:sz w:val="24"/>
                <w:szCs w:val="24"/>
              </w:rPr>
              <w:t>图2-</w:t>
            </w:r>
            <w:r>
              <w:rPr>
                <w:rFonts w:hint="default" w:ascii="宋体" w:hAnsi="宋体" w:cs="宋体"/>
                <w:b/>
                <w:bCs/>
                <w:color w:val="auto"/>
                <w:sz w:val="24"/>
                <w:szCs w:val="24"/>
              </w:rPr>
              <w:t>4</w:t>
            </w:r>
            <w:r>
              <w:rPr>
                <w:rFonts w:hint="eastAsia" w:ascii="宋体" w:hAnsi="宋体" w:cs="宋体"/>
                <w:b/>
                <w:bCs/>
                <w:color w:val="auto"/>
                <w:sz w:val="24"/>
                <w:szCs w:val="24"/>
              </w:rPr>
              <w:t xml:space="preserve">  运行期就医流程图</w:t>
            </w:r>
          </w:p>
          <w:p>
            <w:pPr>
              <w:keepNext w:val="0"/>
              <w:keepLines w:val="0"/>
              <w:suppressLineNumbers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就诊患者前来接受医生的咨询、问诊等，必要时进行抽血检查化验，最终确定诊疗方案，在诊断室实施。</w:t>
            </w:r>
          </w:p>
          <w:p>
            <w:pPr>
              <w:keepNext w:val="0"/>
              <w:keepLines w:val="0"/>
              <w:suppressLineNumbers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运行期产物节点见下图。</w:t>
            </w:r>
          </w:p>
          <w:p>
            <w:pPr>
              <w:keepNext w:val="0"/>
              <w:keepLines w:val="0"/>
              <w:suppressLineNumbers w:val="0"/>
              <w:snapToGrid w:val="0"/>
              <w:spacing w:before="0" w:beforeAutospacing="0" w:after="0" w:afterAutospacing="0" w:line="360" w:lineRule="auto"/>
              <w:ind w:left="0" w:right="0"/>
              <w:jc w:val="center"/>
              <w:rPr>
                <w:rFonts w:hint="eastAsia" w:ascii="宋体" w:hAnsi="宋体" w:cs="宋体"/>
                <w:b/>
                <w:bCs/>
                <w:color w:val="auto"/>
                <w:sz w:val="24"/>
                <w:szCs w:val="24"/>
              </w:rPr>
            </w:pPr>
            <w:r>
              <w:rPr>
                <w:rFonts w:hint="eastAsia" w:ascii="宋体" w:hAnsi="宋体" w:cs="宋体"/>
                <w:color w:val="auto"/>
                <w:sz w:val="24"/>
                <w:szCs w:val="24"/>
              </w:rPr>
              <w:object>
                <v:shape id="_x0000_i1029" o:spt="75" type="#_x0000_t75" style="height:435.05pt;width:442.1pt;" o:ole="t" filled="f" o:preferrelative="t" stroked="f" coordsize="21600,21600">
                  <v:path/>
                  <v:fill on="f" focussize="0,0"/>
                  <v:stroke on="f"/>
                  <v:imagedata r:id="rId26" o:title=""/>
                  <o:lock v:ext="edit" aspectratio="f"/>
                  <w10:wrap type="none"/>
                  <w10:anchorlock/>
                </v:shape>
                <o:OLEObject Type="Embed" ProgID="Visio.Drawing.15" ShapeID="_x0000_i1029" DrawAspect="Content" ObjectID="_1468075729" r:id="rId25">
                  <o:LockedField>false</o:LockedField>
                </o:OLEObject>
              </w:object>
            </w:r>
            <w:r>
              <w:rPr>
                <w:rFonts w:hint="eastAsia" w:ascii="宋体" w:hAnsi="宋体" w:cs="宋体"/>
                <w:b/>
                <w:bCs/>
                <w:color w:val="auto"/>
                <w:sz w:val="24"/>
                <w:szCs w:val="24"/>
              </w:rPr>
              <w:t>图2-</w:t>
            </w:r>
            <w:r>
              <w:rPr>
                <w:rFonts w:hint="default" w:ascii="宋体" w:hAnsi="宋体" w:cs="宋体"/>
                <w:b/>
                <w:bCs/>
                <w:color w:val="auto"/>
                <w:sz w:val="24"/>
                <w:szCs w:val="24"/>
              </w:rPr>
              <w:t>5</w:t>
            </w:r>
            <w:r>
              <w:rPr>
                <w:rFonts w:hint="eastAsia" w:ascii="宋体" w:hAnsi="宋体" w:cs="宋体"/>
                <w:b/>
                <w:bCs/>
                <w:color w:val="auto"/>
                <w:sz w:val="24"/>
                <w:szCs w:val="24"/>
              </w:rPr>
              <w:t xml:space="preserve">  运营期产污节点图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3" w:type="dxa"/>
            <w:tcBorders>
              <w:top w:val="single" w:color="auto" w:sz="4" w:space="0"/>
              <w:bottom w:val="single" w:color="auto" w:sz="4" w:space="0"/>
            </w:tcBorders>
            <w:shd w:val="clear" w:color="auto" w:fill="auto"/>
            <w:noWrap w:val="0"/>
            <w:vAlign w:val="center"/>
          </w:tcPr>
          <w:p>
            <w:pPr>
              <w:pStyle w:val="22"/>
              <w:keepNext w:val="0"/>
              <w:keepLines w:val="0"/>
              <w:suppressLineNumbers w:val="0"/>
              <w:adjustRightInd w:val="0"/>
              <w:snapToGrid w:val="0"/>
              <w:spacing w:before="0" w:beforeAutospacing="0" w:after="0" w:afterAutospacing="0"/>
              <w:ind w:left="0" w:right="0"/>
              <w:jc w:val="center"/>
              <w:rPr>
                <w:rFonts w:hint="eastAsia" w:eastAsia="宋体" w:cs="宋体"/>
                <w:b/>
                <w:bCs/>
                <w:color w:val="auto"/>
                <w:szCs w:val="24"/>
                <w:lang w:eastAsia="zh-CN"/>
              </w:rPr>
            </w:pPr>
            <w:r>
              <w:rPr>
                <w:rFonts w:hint="eastAsia" w:cs="宋体"/>
                <w:b/>
                <w:bCs/>
                <w:color w:val="auto"/>
                <w:szCs w:val="24"/>
                <w:lang w:eastAsia="zh-CN"/>
              </w:rPr>
              <w:t>与项目有关的原有环境污染问题</w:t>
            </w:r>
          </w:p>
        </w:tc>
        <w:tc>
          <w:tcPr>
            <w:tcW w:w="9004" w:type="dxa"/>
            <w:tcBorders>
              <w:top w:val="single" w:color="auto" w:sz="4" w:space="0"/>
              <w:bottom w:val="single" w:color="auto" w:sz="4" w:space="0"/>
            </w:tcBorders>
            <w:shd w:val="clear" w:color="auto" w:fill="FFFFFF"/>
            <w:noWrap w:val="0"/>
            <w:vAlign w:val="top"/>
          </w:tcPr>
          <w:p>
            <w:pPr>
              <w:keepNext w:val="0"/>
              <w:keepLines w:val="0"/>
              <w:pageBreakBefore w:val="0"/>
              <w:numPr>
                <w:ilvl w:val="0"/>
                <w:numId w:val="0"/>
              </w:numPr>
              <w:suppressLineNumbers w:val="0"/>
              <w:kinsoku/>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ascii="Times New Roman" w:hAnsi="Times New Roman" w:eastAsia="宋体" w:cs="Times New Roman"/>
                <w:b w:val="0"/>
                <w:bCs w:val="0"/>
                <w:i w:val="0"/>
                <w:iCs w:val="0"/>
                <w:color w:val="auto"/>
                <w:sz w:val="24"/>
                <w:szCs w:val="24"/>
                <w:lang w:val="en-US" w:eastAsia="zh-CN"/>
              </w:rPr>
            </w:pPr>
            <w:r>
              <w:rPr>
                <w:rFonts w:hint="default" w:ascii="Times New Roman" w:hAnsi="Times New Roman" w:eastAsia="宋体" w:cs="Times New Roman"/>
                <w:b/>
                <w:bCs/>
                <w:i w:val="0"/>
                <w:iCs w:val="0"/>
                <w:color w:val="auto"/>
                <w:sz w:val="24"/>
                <w:szCs w:val="24"/>
                <w:lang w:val="en-US" w:eastAsia="zh-CN"/>
              </w:rPr>
              <w:t>1、原项目名称、建设地点、规模</w:t>
            </w:r>
          </w:p>
          <w:p>
            <w:pPr>
              <w:pStyle w:val="9"/>
              <w:keepNext w:val="0"/>
              <w:keepLines w:val="0"/>
              <w:pageBreakBefore w:val="0"/>
              <w:numPr>
                <w:ilvl w:val="0"/>
                <w:numId w:val="0"/>
              </w:numPr>
              <w:suppressLineNumbers w:val="0"/>
              <w:kinsoku/>
              <w:overflowPunct/>
              <w:topLinePunct w:val="0"/>
              <w:autoSpaceDE/>
              <w:autoSpaceDN/>
              <w:bidi w:val="0"/>
              <w:adjustRightInd w:val="0"/>
              <w:snapToGrid w:val="0"/>
              <w:spacing w:before="0" w:beforeAutospacing="0" w:after="0" w:afterAutospacing="0" w:line="360" w:lineRule="auto"/>
              <w:ind w:left="0" w:right="0" w:rightChars="0" w:firstLine="480" w:firstLineChars="200"/>
              <w:textAlignment w:val="auto"/>
              <w:rPr>
                <w:rFonts w:hint="default" w:ascii="Times New Roman" w:hAnsi="Times New Roman" w:eastAsia="宋体" w:cs="Times New Roman"/>
                <w:b w:val="0"/>
                <w:bCs w:val="0"/>
                <w:i w:val="0"/>
                <w:iCs w:val="0"/>
                <w:color w:val="auto"/>
                <w:sz w:val="24"/>
                <w:szCs w:val="24"/>
                <w:lang w:eastAsia="zh-CN"/>
              </w:rPr>
            </w:pPr>
            <w:r>
              <w:rPr>
                <w:rFonts w:hint="default" w:ascii="Times New Roman" w:hAnsi="Times New Roman" w:eastAsia="宋体" w:cs="Times New Roman"/>
                <w:b w:val="0"/>
                <w:bCs w:val="0"/>
                <w:i w:val="0"/>
                <w:iCs w:val="0"/>
                <w:color w:val="auto"/>
                <w:sz w:val="24"/>
                <w:szCs w:val="24"/>
                <w:lang w:eastAsia="zh-CN"/>
              </w:rPr>
              <w:t>项目名称：</w:t>
            </w:r>
            <w:r>
              <w:rPr>
                <w:rFonts w:hint="default" w:ascii="Times New Roman" w:hAnsi="Times New Roman" w:eastAsia="宋体" w:cs="Times New Roman"/>
                <w:i w:val="0"/>
                <w:iCs w:val="0"/>
                <w:color w:val="auto"/>
                <w:sz w:val="24"/>
                <w:szCs w:val="24"/>
              </w:rPr>
              <w:t>昆明市东川区精神病院</w:t>
            </w:r>
          </w:p>
          <w:p>
            <w:pPr>
              <w:pStyle w:val="10"/>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default" w:ascii="Times New Roman" w:hAnsi="Times New Roman" w:eastAsia="宋体" w:cs="Times New Roman"/>
                <w:i w:val="0"/>
                <w:iCs w:val="0"/>
                <w:color w:val="auto"/>
                <w:sz w:val="24"/>
                <w:szCs w:val="24"/>
              </w:rPr>
            </w:pPr>
            <w:r>
              <w:rPr>
                <w:rFonts w:hint="default" w:ascii="Times New Roman" w:hAnsi="Times New Roman" w:eastAsia="宋体" w:cs="Times New Roman"/>
                <w:b w:val="0"/>
                <w:bCs w:val="0"/>
                <w:i w:val="0"/>
                <w:iCs w:val="0"/>
                <w:color w:val="auto"/>
                <w:sz w:val="24"/>
                <w:szCs w:val="24"/>
                <w:lang w:eastAsia="zh-CN"/>
              </w:rPr>
              <w:t>建设地点：</w:t>
            </w:r>
            <w:r>
              <w:rPr>
                <w:rFonts w:hint="default" w:ascii="Times New Roman" w:hAnsi="Times New Roman" w:eastAsia="宋体" w:cs="Times New Roman"/>
                <w:i w:val="0"/>
                <w:iCs w:val="0"/>
                <w:color w:val="auto"/>
                <w:sz w:val="24"/>
                <w:szCs w:val="24"/>
              </w:rPr>
              <w:t>东川区铜都街道凯通路延长线石羊社区</w:t>
            </w:r>
          </w:p>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i w:val="0"/>
                <w:iCs w:val="0"/>
                <w:color w:val="auto"/>
                <w:sz w:val="24"/>
                <w:szCs w:val="24"/>
                <w:lang w:val="en-US" w:eastAsia="zh-CN"/>
              </w:rPr>
            </w:pPr>
            <w:r>
              <w:rPr>
                <w:rFonts w:hint="default" w:ascii="Times New Roman" w:hAnsi="Times New Roman" w:eastAsia="宋体" w:cs="Times New Roman"/>
                <w:i w:val="0"/>
                <w:iCs w:val="0"/>
                <w:color w:val="auto"/>
                <w:sz w:val="24"/>
                <w:szCs w:val="24"/>
                <w:lang w:eastAsia="zh-CN"/>
              </w:rPr>
              <w:t>规模：</w:t>
            </w:r>
            <w:r>
              <w:rPr>
                <w:rFonts w:hint="default" w:ascii="Times New Roman" w:hAnsi="Times New Roman" w:eastAsia="宋体" w:cs="Times New Roman"/>
                <w:i w:val="0"/>
                <w:iCs w:val="0"/>
                <w:color w:val="auto"/>
                <w:sz w:val="24"/>
                <w:szCs w:val="24"/>
                <w:lang w:val="en-US" w:eastAsia="zh-CN"/>
              </w:rPr>
              <w:t>105张床位</w:t>
            </w:r>
          </w:p>
          <w:p>
            <w:pPr>
              <w:pStyle w:val="10"/>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default" w:ascii="Times New Roman" w:hAnsi="Times New Roman" w:eastAsia="宋体" w:cs="Times New Roman"/>
                <w:b/>
                <w:bCs/>
                <w:i w:val="0"/>
                <w:iCs w:val="0"/>
                <w:color w:val="auto"/>
                <w:sz w:val="24"/>
                <w:szCs w:val="24"/>
                <w:lang w:val="en-US" w:eastAsia="zh-CN"/>
              </w:rPr>
            </w:pPr>
            <w:r>
              <w:rPr>
                <w:rFonts w:hint="default" w:ascii="Times New Roman" w:hAnsi="Times New Roman" w:eastAsia="宋体" w:cs="Times New Roman"/>
                <w:b/>
                <w:bCs/>
                <w:i w:val="0"/>
                <w:iCs w:val="0"/>
                <w:color w:val="auto"/>
                <w:sz w:val="24"/>
                <w:szCs w:val="24"/>
                <w:lang w:val="en-US" w:eastAsia="zh-CN"/>
              </w:rPr>
              <w:t>2、原项目主要设备</w:t>
            </w:r>
          </w:p>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i w:val="0"/>
                <w:iCs w:val="0"/>
                <w:color w:val="auto"/>
                <w:sz w:val="24"/>
                <w:szCs w:val="24"/>
                <w:lang w:eastAsia="zh-CN"/>
              </w:rPr>
            </w:pPr>
            <w:r>
              <w:rPr>
                <w:rFonts w:hint="default" w:ascii="Times New Roman" w:hAnsi="Times New Roman" w:eastAsia="宋体" w:cs="Times New Roman"/>
                <w:b w:val="0"/>
                <w:bCs w:val="0"/>
                <w:i w:val="0"/>
                <w:iCs w:val="0"/>
                <w:color w:val="auto"/>
                <w:sz w:val="24"/>
                <w:szCs w:val="24"/>
                <w:lang w:eastAsia="zh-CN"/>
              </w:rPr>
              <w:t>原项目主要设备见下表。</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i w:val="0"/>
                <w:iCs w:val="0"/>
                <w:color w:val="auto"/>
                <w:sz w:val="24"/>
                <w:szCs w:val="24"/>
                <w:lang w:val="en-US" w:eastAsia="zh-CN"/>
              </w:rPr>
            </w:pPr>
            <w:r>
              <w:rPr>
                <w:rFonts w:hint="eastAsia" w:ascii="Times New Roman" w:hAnsi="Times New Roman" w:eastAsia="宋体" w:cs="Times New Roman"/>
                <w:b/>
                <w:bCs/>
                <w:i w:val="0"/>
                <w:iCs w:val="0"/>
                <w:color w:val="auto"/>
                <w:sz w:val="24"/>
                <w:szCs w:val="24"/>
                <w:lang w:eastAsia="zh-CN"/>
              </w:rPr>
              <w:t>表</w:t>
            </w:r>
            <w:r>
              <w:rPr>
                <w:rFonts w:hint="default" w:ascii="Times New Roman" w:hAnsi="Times New Roman" w:eastAsia="宋体" w:cs="Times New Roman"/>
                <w:b/>
                <w:bCs/>
                <w:i w:val="0"/>
                <w:iCs w:val="0"/>
                <w:color w:val="auto"/>
                <w:sz w:val="24"/>
                <w:szCs w:val="24"/>
                <w:lang w:val="en-US" w:eastAsia="zh-CN"/>
              </w:rPr>
              <w:t xml:space="preserve">2-5 </w:t>
            </w:r>
            <w:r>
              <w:rPr>
                <w:rFonts w:hint="eastAsia" w:ascii="Times New Roman" w:hAnsi="Times New Roman" w:eastAsia="宋体" w:cs="Times New Roman"/>
                <w:b/>
                <w:bCs/>
                <w:i w:val="0"/>
                <w:iCs w:val="0"/>
                <w:color w:val="auto"/>
                <w:sz w:val="24"/>
                <w:szCs w:val="24"/>
                <w:lang w:val="en-US" w:eastAsia="zh-CN"/>
              </w:rPr>
              <w:t>原项目主要设备表</w:t>
            </w:r>
          </w:p>
          <w:tbl>
            <w:tblPr>
              <w:tblStyle w:val="26"/>
              <w:tblW w:w="1093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8"/>
              <w:gridCol w:w="4081"/>
              <w:gridCol w:w="2195"/>
              <w:gridCol w:w="1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51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设备名称</w:t>
                  </w:r>
                </w:p>
              </w:tc>
              <w:tc>
                <w:tcPr>
                  <w:tcW w:w="2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厂家</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全自动生化分析仪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迪瑞医疗科技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CS-T300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全自动血液分析仪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迈瑞</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BC-5380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尿液分析仪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优利特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优利特-180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离心机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时代北利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全自动电解质分析仪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梅州康利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K-Lite8H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纯水机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四川优普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UPS-I-20L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生物显微镜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奥林巴斯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CX22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半自动血球仪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迈瑞</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BC2900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全自动化学法发光免疫分析仪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迪瑞医疗科技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CM-180</w:t>
                  </w:r>
                </w:p>
              </w:tc>
            </w:tr>
          </w:tbl>
          <w:p>
            <w:pPr>
              <w:pStyle w:val="9"/>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宋体" w:cs="Times New Roman"/>
                <w:b/>
                <w:bCs/>
                <w:i w:val="0"/>
                <w:iCs w:val="0"/>
                <w:color w:val="auto"/>
                <w:sz w:val="24"/>
                <w:szCs w:val="24"/>
                <w:lang w:val="en-US" w:eastAsia="zh-CN"/>
              </w:rPr>
            </w:pPr>
            <w:r>
              <w:rPr>
                <w:rFonts w:hint="default" w:ascii="Times New Roman" w:hAnsi="Times New Roman" w:eastAsia="宋体" w:cs="Times New Roman"/>
                <w:b/>
                <w:bCs/>
                <w:i w:val="0"/>
                <w:iCs w:val="0"/>
                <w:color w:val="auto"/>
                <w:sz w:val="24"/>
                <w:szCs w:val="24"/>
                <w:lang w:val="en-US" w:eastAsia="zh-CN"/>
              </w:rPr>
              <w:t>3、原项目劳动定员</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医护人员全年工作365天，实行8小时工作制，3班倒；管理人员年工作时间为300天，实行8小时工作制，每天一班。</w:t>
            </w:r>
          </w:p>
          <w:p>
            <w:pPr>
              <w:pStyle w:val="9"/>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imes New Roman" w:hAnsi="Times New Roman" w:eastAsia="宋体" w:cs="Times New Roman"/>
                <w:b w:val="0"/>
                <w:bCs w:val="0"/>
                <w:i w:val="0"/>
                <w:iCs w:val="0"/>
                <w:color w:val="auto"/>
                <w:sz w:val="24"/>
                <w:szCs w:val="24"/>
                <w:lang w:val="en-US" w:eastAsia="zh-CN"/>
              </w:rPr>
            </w:pPr>
            <w:r>
              <w:rPr>
                <w:rFonts w:hint="default" w:ascii="Times New Roman" w:hAnsi="Times New Roman" w:cs="Times New Roman"/>
                <w:color w:val="auto"/>
                <w:sz w:val="24"/>
                <w:szCs w:val="24"/>
              </w:rPr>
              <w:t>医护人员共计</w:t>
            </w:r>
            <w:r>
              <w:rPr>
                <w:rFonts w:hint="default" w:ascii="Times New Roman" w:hAnsi="Times New Roman" w:cs="Times New Roman"/>
                <w:color w:val="auto"/>
                <w:sz w:val="24"/>
                <w:szCs w:val="24"/>
                <w:lang w:val="en-US"/>
              </w:rPr>
              <w:t>56</w:t>
            </w:r>
            <w:r>
              <w:rPr>
                <w:rFonts w:hint="default" w:ascii="Times New Roman" w:hAnsi="Times New Roman" w:cs="Times New Roman"/>
                <w:color w:val="auto"/>
                <w:sz w:val="24"/>
                <w:szCs w:val="24"/>
              </w:rPr>
              <w:t>名。据建设单位提供的资料，</w:t>
            </w:r>
            <w:r>
              <w:rPr>
                <w:rFonts w:hint="eastAsia" w:ascii="Times New Roman" w:hAnsi="Times New Roman" w:cs="Times New Roman"/>
                <w:color w:val="auto"/>
                <w:sz w:val="24"/>
                <w:szCs w:val="24"/>
                <w:lang w:eastAsia="zh-CN"/>
              </w:rPr>
              <w:t>原项目</w:t>
            </w:r>
            <w:r>
              <w:rPr>
                <w:rFonts w:hint="default" w:ascii="Times New Roman" w:hAnsi="Times New Roman" w:cs="Times New Roman"/>
                <w:color w:val="auto"/>
                <w:sz w:val="24"/>
                <w:szCs w:val="24"/>
              </w:rPr>
              <w:t>门诊接</w:t>
            </w:r>
            <w:r>
              <w:rPr>
                <w:rFonts w:hint="default" w:ascii="Times New Roman" w:hAnsi="Times New Roman" w:cs="Times New Roman"/>
                <w:color w:val="auto"/>
                <w:sz w:val="24"/>
                <w:szCs w:val="24"/>
                <w:highlight w:val="none"/>
              </w:rPr>
              <w:t>诊人数</w:t>
            </w:r>
            <w:r>
              <w:rPr>
                <w:rFonts w:hint="default" w:ascii="Times New Roman" w:hAnsi="Times New Roman" w:cs="Times New Roman"/>
                <w:color w:val="auto"/>
                <w:sz w:val="24"/>
                <w:szCs w:val="24"/>
                <w:highlight w:val="none"/>
                <w:lang w:val="en-US"/>
              </w:rPr>
              <w:t>35</w:t>
            </w:r>
            <w:r>
              <w:rPr>
                <w:rFonts w:hint="default" w:ascii="Times New Roman" w:hAnsi="Times New Roman" w:cs="Times New Roman"/>
                <w:color w:val="auto"/>
                <w:sz w:val="24"/>
                <w:szCs w:val="24"/>
                <w:highlight w:val="none"/>
              </w:rPr>
              <w:t>人/天</w:t>
            </w:r>
            <w:r>
              <w:rPr>
                <w:rFonts w:hint="eastAsia" w:ascii="Times New Roman" w:hAnsi="Times New Roman" w:cs="Times New Roman"/>
                <w:color w:val="auto"/>
                <w:sz w:val="24"/>
                <w:szCs w:val="24"/>
                <w:highlight w:val="none"/>
                <w:lang w:eastAsia="zh-CN"/>
              </w:rPr>
              <w:t>。</w:t>
            </w:r>
          </w:p>
          <w:p>
            <w:pPr>
              <w:pStyle w:val="9"/>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textAlignment w:val="auto"/>
              <w:rPr>
                <w:rFonts w:hint="default" w:ascii="Times New Roman" w:hAnsi="Times New Roman" w:eastAsia="宋体" w:cs="Times New Roman"/>
                <w:b/>
                <w:bCs/>
                <w:i w:val="0"/>
                <w:iCs w:val="0"/>
                <w:color w:val="auto"/>
                <w:sz w:val="24"/>
                <w:szCs w:val="24"/>
                <w:lang w:val="en-US" w:eastAsia="zh-CN"/>
              </w:rPr>
            </w:pPr>
            <w:r>
              <w:rPr>
                <w:rFonts w:hint="default" w:ascii="Times New Roman" w:hAnsi="Times New Roman" w:eastAsia="宋体" w:cs="Times New Roman"/>
                <w:b/>
                <w:bCs/>
                <w:i w:val="0"/>
                <w:iCs w:val="0"/>
                <w:color w:val="auto"/>
                <w:sz w:val="24"/>
                <w:szCs w:val="24"/>
                <w:lang w:val="en-US" w:eastAsia="zh-CN"/>
              </w:rPr>
              <w:t>4</w:t>
            </w:r>
            <w:r>
              <w:rPr>
                <w:rFonts w:hint="eastAsia" w:ascii="Times New Roman" w:hAnsi="Times New Roman" w:eastAsia="宋体" w:cs="Times New Roman"/>
                <w:b/>
                <w:bCs/>
                <w:i w:val="0"/>
                <w:iCs w:val="0"/>
                <w:color w:val="auto"/>
                <w:sz w:val="24"/>
                <w:szCs w:val="24"/>
                <w:lang w:val="en-US" w:eastAsia="zh-CN"/>
              </w:rPr>
              <w:t>、</w:t>
            </w:r>
            <w:r>
              <w:rPr>
                <w:rFonts w:hint="default" w:ascii="Times New Roman" w:hAnsi="Times New Roman" w:eastAsia="宋体" w:cs="Times New Roman"/>
                <w:b/>
                <w:bCs/>
                <w:i w:val="0"/>
                <w:iCs w:val="0"/>
                <w:color w:val="auto"/>
                <w:sz w:val="24"/>
                <w:szCs w:val="24"/>
                <w:lang w:val="en-US" w:eastAsia="zh-CN"/>
              </w:rPr>
              <w:t>原项目工艺流程</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原</w:t>
            </w:r>
            <w:r>
              <w:rPr>
                <w:rFonts w:hint="eastAsia" w:ascii="宋体" w:hAnsi="宋体" w:cs="宋体"/>
                <w:color w:val="auto"/>
                <w:sz w:val="24"/>
                <w:szCs w:val="24"/>
              </w:rPr>
              <w:t>项目为精神病专科医院，在对就诊患者进行检查诊疗过程中，与污染物排放有关的时段主要在检验、检查及门诊、住院治疗期间的手术等阶段。</w:t>
            </w:r>
            <w:r>
              <w:rPr>
                <w:rFonts w:hint="eastAsia" w:ascii="宋体" w:hAnsi="宋体" w:cs="宋体"/>
                <w:color w:val="auto"/>
                <w:sz w:val="24"/>
                <w:szCs w:val="24"/>
                <w:lang w:eastAsia="zh-CN"/>
              </w:rPr>
              <w:t>工艺</w:t>
            </w:r>
            <w:r>
              <w:rPr>
                <w:rFonts w:hint="eastAsia" w:ascii="宋体" w:hAnsi="宋体" w:cs="宋体"/>
                <w:color w:val="auto"/>
                <w:sz w:val="24"/>
                <w:szCs w:val="24"/>
              </w:rPr>
              <w:t>流程</w:t>
            </w:r>
            <w:r>
              <w:rPr>
                <w:rFonts w:hint="eastAsia" w:ascii="宋体" w:hAnsi="宋体" w:cs="宋体"/>
                <w:color w:val="auto"/>
                <w:sz w:val="24"/>
                <w:szCs w:val="24"/>
                <w:lang w:eastAsia="zh-CN"/>
              </w:rPr>
              <w:t>见下图</w:t>
            </w:r>
            <w:r>
              <w:rPr>
                <w:rFonts w:hint="eastAsia" w:ascii="宋体" w:hAnsi="宋体" w:cs="宋体"/>
                <w:color w:val="auto"/>
                <w:sz w:val="24"/>
                <w:szCs w:val="24"/>
              </w:rPr>
              <w:t>。</w:t>
            </w:r>
          </w:p>
          <w:p>
            <w:pPr>
              <w:keepNext w:val="0"/>
              <w:keepLines w:val="0"/>
              <w:suppressLineNumbers w:val="0"/>
              <w:snapToGrid w:val="0"/>
              <w:spacing w:before="0" w:beforeAutospacing="0" w:after="0" w:afterAutospacing="0" w:line="360" w:lineRule="auto"/>
              <w:ind w:left="0" w:right="0"/>
              <w:jc w:val="center"/>
              <w:rPr>
                <w:rFonts w:hint="eastAsia" w:ascii="宋体" w:hAnsi="宋体" w:cs="宋体"/>
                <w:b/>
                <w:bCs/>
                <w:color w:val="auto"/>
                <w:sz w:val="24"/>
                <w:szCs w:val="24"/>
              </w:rPr>
            </w:pPr>
            <w:r>
              <w:rPr>
                <w:rFonts w:hint="eastAsia" w:ascii="宋体" w:hAnsi="宋体" w:cs="宋体"/>
                <w:color w:val="auto"/>
                <w:sz w:val="24"/>
                <w:szCs w:val="24"/>
              </w:rPr>
              <w:object>
                <v:shape id="_x0000_i1030" o:spt="75" type="#_x0000_t75" style="height:144.75pt;width:436.9pt;" o:ole="t" filled="f" o:preferrelative="t" stroked="f" coordsize="21600,21600">
                  <v:path/>
                  <v:fill on="f" focussize="0,0"/>
                  <v:stroke on="f"/>
                  <v:imagedata r:id="rId24" o:title=""/>
                  <o:lock v:ext="edit" aspectratio="f"/>
                  <w10:wrap type="none"/>
                  <w10:anchorlock/>
                </v:shape>
                <o:OLEObject Type="Embed" ProgID="Visio.Drawing.15" ShapeID="_x0000_i1030" DrawAspect="Content" ObjectID="_1468075730" r:id="rId27">
                  <o:LockedField>false</o:LockedField>
                </o:OLEObject>
              </w:object>
            </w:r>
            <w:r>
              <w:rPr>
                <w:rFonts w:hint="eastAsia" w:ascii="宋体" w:hAnsi="宋体" w:cs="宋体"/>
                <w:b/>
                <w:bCs/>
                <w:color w:val="auto"/>
                <w:sz w:val="24"/>
                <w:szCs w:val="24"/>
              </w:rPr>
              <w:t>图2-</w:t>
            </w:r>
            <w:r>
              <w:rPr>
                <w:rFonts w:hint="default" w:ascii="宋体" w:hAnsi="宋体" w:cs="宋体"/>
                <w:b/>
                <w:bCs/>
                <w:color w:val="auto"/>
                <w:sz w:val="24"/>
                <w:szCs w:val="24"/>
                <w:lang w:val="en-US"/>
              </w:rPr>
              <w:t>6</w:t>
            </w:r>
            <w:r>
              <w:rPr>
                <w:rFonts w:hint="eastAsia" w:ascii="宋体" w:hAnsi="宋体" w:cs="宋体"/>
                <w:b/>
                <w:bCs/>
                <w:color w:val="auto"/>
                <w:sz w:val="24"/>
                <w:szCs w:val="24"/>
              </w:rPr>
              <w:t xml:space="preserve"> 运行期就医流程图</w:t>
            </w:r>
          </w:p>
          <w:p>
            <w:pPr>
              <w:pStyle w:val="10"/>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right="0" w:rightChars="0" w:firstLine="480" w:firstLineChars="200"/>
              <w:jc w:val="left"/>
              <w:textAlignment w:val="auto"/>
              <w:rPr>
                <w:rFonts w:hint="default" w:ascii="宋体" w:hAnsi="宋体" w:eastAsia="宋体" w:cs="宋体"/>
                <w:i w:val="0"/>
                <w:color w:val="auto"/>
                <w:kern w:val="2"/>
                <w:sz w:val="24"/>
                <w:szCs w:val="24"/>
                <w:lang w:val="en-US" w:eastAsia="zh-CN" w:bidi="ar-SA"/>
              </w:rPr>
            </w:pPr>
            <w:r>
              <w:rPr>
                <w:rFonts w:hint="eastAsia" w:ascii="宋体" w:hAnsi="宋体" w:eastAsia="宋体" w:cs="宋体"/>
                <w:i w:val="0"/>
                <w:color w:val="auto"/>
                <w:kern w:val="2"/>
                <w:sz w:val="24"/>
                <w:szCs w:val="24"/>
                <w:lang w:val="en-US" w:eastAsia="zh-CN" w:bidi="ar-SA"/>
              </w:rPr>
              <w:t>就诊患者前来接受医生的咨询、问诊等，必要时进行抽血检查化验，最终确定诊疗方案，在诊断室实施。</w:t>
            </w:r>
          </w:p>
          <w:p>
            <w:pPr>
              <w:pStyle w:val="10"/>
              <w:keepNext w:val="0"/>
              <w:keepLines w:val="0"/>
              <w:pageBreakBefore w:val="0"/>
              <w:widowControl/>
              <w:numPr>
                <w:ilvl w:val="0"/>
                <w:numId w:val="0"/>
              </w:numPr>
              <w:suppressLineNumbers w:val="0"/>
              <w:kinsoku/>
              <w:overflowPunct/>
              <w:topLinePunct w:val="0"/>
              <w:autoSpaceDE/>
              <w:autoSpaceDN/>
              <w:bidi w:val="0"/>
              <w:adjustRightInd w:val="0"/>
              <w:snapToGrid/>
              <w:spacing w:before="0" w:beforeAutospacing="0" w:after="0" w:afterAutospacing="0" w:line="360" w:lineRule="auto"/>
              <w:ind w:left="0" w:right="0" w:rightChars="0"/>
              <w:jc w:val="both"/>
              <w:textAlignment w:val="auto"/>
              <w:rPr>
                <w:rFonts w:hint="default" w:ascii="Times New Roman" w:hAnsi="Times New Roman" w:eastAsia="宋体" w:cs="Times New Roman"/>
                <w:b/>
                <w:bCs/>
                <w:i w:val="0"/>
                <w:iCs w:val="0"/>
                <w:color w:val="auto"/>
                <w:sz w:val="24"/>
                <w:szCs w:val="24"/>
                <w:lang w:val="en-US" w:eastAsia="zh-CN"/>
              </w:rPr>
            </w:pPr>
            <w:r>
              <w:rPr>
                <w:rFonts w:hint="default" w:ascii="Times New Roman" w:hAnsi="Times New Roman" w:eastAsia="宋体" w:cs="Times New Roman"/>
                <w:b/>
                <w:bCs/>
                <w:i w:val="0"/>
                <w:iCs w:val="0"/>
                <w:color w:val="auto"/>
                <w:sz w:val="24"/>
                <w:szCs w:val="24"/>
                <w:lang w:val="en-US" w:eastAsia="zh-CN"/>
              </w:rPr>
              <w:t>5、原项目污染物产排情况</w:t>
            </w:r>
          </w:p>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宋体" w:cs="Times New Roman"/>
                <w:b w:val="0"/>
                <w:bCs w:val="0"/>
                <w:i w:val="0"/>
                <w:iCs w:val="0"/>
                <w:color w:val="auto"/>
                <w:sz w:val="24"/>
                <w:szCs w:val="24"/>
                <w:lang w:val="en-US" w:eastAsia="zh-CN"/>
              </w:rPr>
            </w:pPr>
            <w:r>
              <w:rPr>
                <w:rFonts w:hint="default" w:ascii="Times New Roman" w:hAnsi="Times New Roman" w:eastAsia="宋体" w:cs="Times New Roman"/>
                <w:b w:val="0"/>
                <w:bCs w:val="0"/>
                <w:i w:val="0"/>
                <w:iCs w:val="0"/>
                <w:color w:val="auto"/>
                <w:sz w:val="24"/>
                <w:szCs w:val="24"/>
                <w:lang w:val="en-US" w:eastAsia="zh-CN"/>
              </w:rPr>
              <w:t>（1）废水</w:t>
            </w:r>
          </w:p>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i w:val="0"/>
                <w:iCs w:val="0"/>
                <w:color w:val="auto"/>
                <w:sz w:val="24"/>
                <w:szCs w:val="24"/>
              </w:rPr>
            </w:pPr>
            <w:r>
              <w:rPr>
                <w:rFonts w:hint="default" w:ascii="Times New Roman" w:hAnsi="Times New Roman" w:eastAsia="宋体" w:cs="Times New Roman"/>
                <w:i w:val="0"/>
                <w:iCs w:val="0"/>
                <w:color w:val="auto"/>
                <w:sz w:val="24"/>
                <w:szCs w:val="24"/>
              </w:rPr>
              <w:t>1）门诊污水</w:t>
            </w:r>
          </w:p>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i w:val="0"/>
                <w:iCs w:val="0"/>
                <w:color w:val="auto"/>
                <w:sz w:val="24"/>
                <w:szCs w:val="24"/>
              </w:rPr>
            </w:pPr>
            <w:r>
              <w:rPr>
                <w:rFonts w:hint="default" w:ascii="Times New Roman" w:hAnsi="Times New Roman" w:eastAsia="宋体" w:cs="Times New Roman"/>
                <w:i w:val="0"/>
                <w:iCs w:val="0"/>
                <w:color w:val="auto"/>
                <w:sz w:val="24"/>
                <w:szCs w:val="24"/>
              </w:rPr>
              <w:t>本项目门诊用水量</w:t>
            </w:r>
            <w:r>
              <w:rPr>
                <w:rFonts w:hint="default" w:ascii="Times New Roman" w:hAnsi="Times New Roman" w:eastAsia="宋体" w:cs="Times New Roman"/>
                <w:i w:val="0"/>
                <w:iCs w:val="0"/>
                <w:color w:val="auto"/>
                <w:sz w:val="24"/>
                <w:szCs w:val="24"/>
                <w:lang w:val="en-US"/>
              </w:rPr>
              <w:t>0.7</w:t>
            </w:r>
            <w:r>
              <w:rPr>
                <w:rFonts w:hint="default" w:ascii="Times New Roman" w:hAnsi="Times New Roman" w:eastAsia="宋体" w:cs="Times New Roman"/>
                <w:i w:val="0"/>
                <w:iCs w:val="0"/>
                <w:color w:val="auto"/>
                <w:sz w:val="24"/>
                <w:szCs w:val="24"/>
              </w:rPr>
              <w:t>m</w:t>
            </w:r>
            <w:r>
              <w:rPr>
                <w:rFonts w:hint="default" w:ascii="Times New Roman" w:hAnsi="Times New Roman" w:eastAsia="宋体" w:cs="Times New Roman"/>
                <w:i w:val="0"/>
                <w:iCs w:val="0"/>
                <w:color w:val="auto"/>
                <w:sz w:val="24"/>
                <w:szCs w:val="24"/>
                <w:vertAlign w:val="superscript"/>
              </w:rPr>
              <w:t>3</w:t>
            </w:r>
            <w:r>
              <w:rPr>
                <w:rFonts w:hint="default" w:ascii="Times New Roman" w:hAnsi="Times New Roman" w:eastAsia="宋体" w:cs="Times New Roman"/>
                <w:i w:val="0"/>
                <w:iCs w:val="0"/>
                <w:color w:val="auto"/>
                <w:sz w:val="24"/>
                <w:szCs w:val="24"/>
              </w:rPr>
              <w:t>/d，门诊废水排放量按用水量的</w:t>
            </w:r>
            <w:r>
              <w:rPr>
                <w:rFonts w:hint="default" w:ascii="Times New Roman" w:hAnsi="Times New Roman" w:eastAsia="宋体" w:cs="Times New Roman"/>
                <w:i w:val="0"/>
                <w:iCs w:val="0"/>
                <w:color w:val="auto"/>
                <w:sz w:val="24"/>
                <w:szCs w:val="24"/>
                <w:lang w:val="en-US"/>
              </w:rPr>
              <w:t>9</w:t>
            </w:r>
            <w:r>
              <w:rPr>
                <w:rFonts w:hint="default" w:ascii="Times New Roman" w:hAnsi="Times New Roman" w:eastAsia="宋体" w:cs="Times New Roman"/>
                <w:i w:val="0"/>
                <w:iCs w:val="0"/>
                <w:color w:val="auto"/>
                <w:sz w:val="24"/>
                <w:szCs w:val="24"/>
              </w:rPr>
              <w:t>0%计算，则排放量为</w:t>
            </w:r>
            <w:r>
              <w:rPr>
                <w:rFonts w:hint="default" w:ascii="Times New Roman" w:hAnsi="Times New Roman" w:eastAsia="宋体" w:cs="Times New Roman"/>
                <w:i w:val="0"/>
                <w:iCs w:val="0"/>
                <w:color w:val="auto"/>
                <w:sz w:val="24"/>
                <w:szCs w:val="24"/>
                <w:lang w:val="en-US"/>
              </w:rPr>
              <w:t>0.63</w:t>
            </w:r>
            <w:r>
              <w:rPr>
                <w:rFonts w:hint="default" w:ascii="Times New Roman" w:hAnsi="Times New Roman" w:eastAsia="宋体" w:cs="Times New Roman"/>
                <w:i w:val="0"/>
                <w:iCs w:val="0"/>
                <w:color w:val="auto"/>
                <w:sz w:val="24"/>
                <w:szCs w:val="24"/>
              </w:rPr>
              <w:t>m</w:t>
            </w:r>
            <w:r>
              <w:rPr>
                <w:rFonts w:hint="default" w:ascii="Times New Roman" w:hAnsi="Times New Roman" w:eastAsia="宋体" w:cs="Times New Roman"/>
                <w:i w:val="0"/>
                <w:iCs w:val="0"/>
                <w:color w:val="auto"/>
                <w:sz w:val="24"/>
                <w:szCs w:val="24"/>
                <w:vertAlign w:val="superscript"/>
              </w:rPr>
              <w:t>3</w:t>
            </w:r>
            <w:r>
              <w:rPr>
                <w:rFonts w:hint="default" w:ascii="Times New Roman" w:hAnsi="Times New Roman" w:eastAsia="宋体" w:cs="Times New Roman"/>
                <w:i w:val="0"/>
                <w:iCs w:val="0"/>
                <w:color w:val="auto"/>
                <w:sz w:val="24"/>
                <w:szCs w:val="24"/>
              </w:rPr>
              <w:t>/d，</w:t>
            </w:r>
            <w:r>
              <w:rPr>
                <w:rFonts w:hint="default" w:ascii="Times New Roman" w:hAnsi="Times New Roman" w:eastAsia="宋体" w:cs="Times New Roman"/>
                <w:i w:val="0"/>
                <w:iCs w:val="0"/>
                <w:color w:val="auto"/>
                <w:sz w:val="24"/>
                <w:szCs w:val="24"/>
                <w:lang w:val="en-US"/>
              </w:rPr>
              <w:t>229.95</w:t>
            </w:r>
            <w:r>
              <w:rPr>
                <w:rFonts w:hint="default" w:ascii="Times New Roman" w:hAnsi="Times New Roman" w:eastAsia="宋体" w:cs="Times New Roman"/>
                <w:i w:val="0"/>
                <w:iCs w:val="0"/>
                <w:color w:val="auto"/>
                <w:sz w:val="24"/>
                <w:szCs w:val="24"/>
              </w:rPr>
              <w:t>m</w:t>
            </w:r>
            <w:r>
              <w:rPr>
                <w:rFonts w:hint="default" w:ascii="Times New Roman" w:hAnsi="Times New Roman" w:eastAsia="宋体" w:cs="Times New Roman"/>
                <w:i w:val="0"/>
                <w:iCs w:val="0"/>
                <w:color w:val="auto"/>
                <w:sz w:val="24"/>
                <w:szCs w:val="24"/>
                <w:vertAlign w:val="superscript"/>
              </w:rPr>
              <w:t>3</w:t>
            </w:r>
            <w:r>
              <w:rPr>
                <w:rFonts w:hint="default" w:ascii="Times New Roman" w:hAnsi="Times New Roman" w:eastAsia="宋体" w:cs="Times New Roman"/>
                <w:i w:val="0"/>
                <w:iCs w:val="0"/>
                <w:color w:val="auto"/>
                <w:sz w:val="24"/>
                <w:szCs w:val="24"/>
              </w:rPr>
              <w:t>/a。</w:t>
            </w:r>
          </w:p>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i w:val="0"/>
                <w:iCs w:val="0"/>
                <w:color w:val="auto"/>
                <w:sz w:val="24"/>
                <w:szCs w:val="24"/>
              </w:rPr>
            </w:pPr>
            <w:r>
              <w:rPr>
                <w:rFonts w:hint="default" w:ascii="Times New Roman" w:hAnsi="Times New Roman" w:eastAsia="宋体" w:cs="Times New Roman"/>
                <w:i w:val="0"/>
                <w:iCs w:val="0"/>
                <w:color w:val="auto"/>
                <w:sz w:val="24"/>
                <w:szCs w:val="24"/>
              </w:rPr>
              <w:t>2）住院病房污水</w:t>
            </w:r>
          </w:p>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i w:val="0"/>
                <w:iCs w:val="0"/>
                <w:color w:val="auto"/>
                <w:sz w:val="24"/>
                <w:szCs w:val="24"/>
              </w:rPr>
            </w:pPr>
            <w:r>
              <w:rPr>
                <w:rFonts w:hint="default" w:ascii="Times New Roman" w:hAnsi="Times New Roman" w:eastAsia="宋体" w:cs="Times New Roman"/>
                <w:i w:val="0"/>
                <w:iCs w:val="0"/>
                <w:color w:val="auto"/>
                <w:sz w:val="24"/>
                <w:szCs w:val="24"/>
                <w:lang w:eastAsia="zh-CN"/>
              </w:rPr>
              <w:t>原</w:t>
            </w:r>
            <w:r>
              <w:rPr>
                <w:rFonts w:hint="default" w:ascii="Times New Roman" w:hAnsi="Times New Roman" w:eastAsia="宋体" w:cs="Times New Roman"/>
                <w:i w:val="0"/>
                <w:iCs w:val="0"/>
                <w:color w:val="auto"/>
                <w:sz w:val="24"/>
                <w:szCs w:val="24"/>
              </w:rPr>
              <w:t>项目有</w:t>
            </w:r>
            <w:r>
              <w:rPr>
                <w:rFonts w:hint="default" w:ascii="Times New Roman" w:hAnsi="Times New Roman" w:eastAsia="宋体" w:cs="Times New Roman"/>
                <w:i w:val="0"/>
                <w:iCs w:val="0"/>
                <w:color w:val="auto"/>
                <w:sz w:val="24"/>
                <w:szCs w:val="24"/>
                <w:lang w:val="en-US"/>
              </w:rPr>
              <w:t>105</w:t>
            </w:r>
            <w:r>
              <w:rPr>
                <w:rFonts w:hint="default" w:ascii="Times New Roman" w:hAnsi="Times New Roman" w:eastAsia="宋体" w:cs="Times New Roman"/>
                <w:i w:val="0"/>
                <w:iCs w:val="0"/>
                <w:color w:val="auto"/>
                <w:sz w:val="24"/>
                <w:szCs w:val="24"/>
              </w:rPr>
              <w:t>个床位，住院病房用水量为</w:t>
            </w:r>
            <w:r>
              <w:rPr>
                <w:rFonts w:hint="default" w:ascii="Times New Roman" w:hAnsi="Times New Roman" w:eastAsia="宋体" w:cs="Times New Roman"/>
                <w:i w:val="0"/>
                <w:iCs w:val="0"/>
                <w:color w:val="auto"/>
                <w:sz w:val="24"/>
                <w:szCs w:val="24"/>
                <w:lang w:val="en-US"/>
              </w:rPr>
              <w:t>31.5</w:t>
            </w:r>
            <w:r>
              <w:rPr>
                <w:rFonts w:hint="default" w:ascii="Times New Roman" w:hAnsi="Times New Roman" w:eastAsia="宋体" w:cs="Times New Roman"/>
                <w:i w:val="0"/>
                <w:iCs w:val="0"/>
                <w:color w:val="auto"/>
                <w:sz w:val="24"/>
                <w:szCs w:val="24"/>
              </w:rPr>
              <w:t>m³/d，废水排放量按用水量的</w:t>
            </w:r>
            <w:r>
              <w:rPr>
                <w:rFonts w:hint="default" w:ascii="Times New Roman" w:hAnsi="Times New Roman" w:eastAsia="宋体" w:cs="Times New Roman"/>
                <w:i w:val="0"/>
                <w:iCs w:val="0"/>
                <w:color w:val="auto"/>
                <w:sz w:val="24"/>
                <w:szCs w:val="24"/>
                <w:lang w:val="en-US"/>
              </w:rPr>
              <w:t>9</w:t>
            </w:r>
            <w:r>
              <w:rPr>
                <w:rFonts w:hint="default" w:ascii="Times New Roman" w:hAnsi="Times New Roman" w:eastAsia="宋体" w:cs="Times New Roman"/>
                <w:i w:val="0"/>
                <w:iCs w:val="0"/>
                <w:color w:val="auto"/>
                <w:sz w:val="24"/>
                <w:szCs w:val="24"/>
              </w:rPr>
              <w:t>0%计算，则排放量为</w:t>
            </w:r>
            <w:r>
              <w:rPr>
                <w:rFonts w:hint="default" w:ascii="Times New Roman" w:hAnsi="Times New Roman" w:eastAsia="宋体" w:cs="Times New Roman"/>
                <w:i w:val="0"/>
                <w:iCs w:val="0"/>
                <w:color w:val="auto"/>
                <w:sz w:val="24"/>
                <w:szCs w:val="24"/>
                <w:lang w:val="en-US"/>
              </w:rPr>
              <w:t>28.35</w:t>
            </w:r>
            <w:r>
              <w:rPr>
                <w:rFonts w:hint="default" w:ascii="Times New Roman" w:hAnsi="Times New Roman" w:eastAsia="宋体" w:cs="Times New Roman"/>
                <w:i w:val="0"/>
                <w:iCs w:val="0"/>
                <w:color w:val="auto"/>
                <w:sz w:val="24"/>
                <w:szCs w:val="24"/>
              </w:rPr>
              <w:t>m</w:t>
            </w:r>
            <w:r>
              <w:rPr>
                <w:rFonts w:hint="default" w:ascii="Times New Roman" w:hAnsi="Times New Roman" w:eastAsia="宋体" w:cs="Times New Roman"/>
                <w:i w:val="0"/>
                <w:iCs w:val="0"/>
                <w:color w:val="auto"/>
                <w:sz w:val="24"/>
                <w:szCs w:val="24"/>
                <w:vertAlign w:val="superscript"/>
              </w:rPr>
              <w:t>3</w:t>
            </w:r>
            <w:r>
              <w:rPr>
                <w:rFonts w:hint="default" w:ascii="Times New Roman" w:hAnsi="Times New Roman" w:eastAsia="宋体" w:cs="Times New Roman"/>
                <w:i w:val="0"/>
                <w:iCs w:val="0"/>
                <w:color w:val="auto"/>
                <w:sz w:val="24"/>
                <w:szCs w:val="24"/>
              </w:rPr>
              <w:t>/d，</w:t>
            </w:r>
            <w:r>
              <w:rPr>
                <w:rFonts w:hint="default" w:ascii="Times New Roman" w:hAnsi="Times New Roman" w:eastAsia="宋体" w:cs="Times New Roman"/>
                <w:i w:val="0"/>
                <w:iCs w:val="0"/>
                <w:color w:val="auto"/>
                <w:sz w:val="24"/>
                <w:szCs w:val="24"/>
                <w:lang w:val="en-US"/>
              </w:rPr>
              <w:t>10347.75</w:t>
            </w:r>
            <w:r>
              <w:rPr>
                <w:rFonts w:hint="default" w:ascii="Times New Roman" w:hAnsi="Times New Roman" w:eastAsia="宋体" w:cs="Times New Roman"/>
                <w:i w:val="0"/>
                <w:iCs w:val="0"/>
                <w:color w:val="auto"/>
                <w:sz w:val="24"/>
                <w:szCs w:val="24"/>
              </w:rPr>
              <w:t>m</w:t>
            </w:r>
            <w:r>
              <w:rPr>
                <w:rFonts w:hint="default" w:ascii="Times New Roman" w:hAnsi="Times New Roman" w:eastAsia="宋体" w:cs="Times New Roman"/>
                <w:i w:val="0"/>
                <w:iCs w:val="0"/>
                <w:color w:val="auto"/>
                <w:sz w:val="24"/>
                <w:szCs w:val="24"/>
                <w:vertAlign w:val="superscript"/>
              </w:rPr>
              <w:t>3</w:t>
            </w:r>
            <w:r>
              <w:rPr>
                <w:rFonts w:hint="default" w:ascii="Times New Roman" w:hAnsi="Times New Roman" w:eastAsia="宋体" w:cs="Times New Roman"/>
                <w:i w:val="0"/>
                <w:iCs w:val="0"/>
                <w:color w:val="auto"/>
                <w:sz w:val="24"/>
                <w:szCs w:val="24"/>
              </w:rPr>
              <w:t>/a。</w:t>
            </w:r>
          </w:p>
          <w:p>
            <w:pPr>
              <w:pStyle w:val="9"/>
              <w:keepNext w:val="0"/>
              <w:keepLines w:val="0"/>
              <w:pageBreakBefore w:val="0"/>
              <w:suppressLineNumbers w:val="0"/>
              <w:kinsoku/>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宋体" w:cs="Times New Roman"/>
                <w:i w:val="0"/>
                <w:iCs w:val="0"/>
                <w:color w:val="auto"/>
                <w:kern w:val="0"/>
                <w:sz w:val="24"/>
                <w:szCs w:val="24"/>
              </w:rPr>
            </w:pPr>
            <w:r>
              <w:rPr>
                <w:rFonts w:hint="default" w:ascii="Times New Roman" w:hAnsi="Times New Roman" w:eastAsia="宋体" w:cs="Times New Roman"/>
                <w:i w:val="0"/>
                <w:iCs w:val="0"/>
                <w:color w:val="auto"/>
                <w:kern w:val="0"/>
                <w:sz w:val="24"/>
                <w:szCs w:val="24"/>
              </w:rPr>
              <w:t>3）厨房污水</w:t>
            </w:r>
          </w:p>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i w:val="0"/>
                <w:iCs w:val="0"/>
                <w:color w:val="auto"/>
                <w:sz w:val="24"/>
                <w:szCs w:val="24"/>
              </w:rPr>
            </w:pPr>
            <w:r>
              <w:rPr>
                <w:rFonts w:hint="default" w:ascii="Times New Roman" w:hAnsi="Times New Roman" w:eastAsia="宋体" w:cs="Times New Roman"/>
                <w:i w:val="0"/>
                <w:iCs w:val="0"/>
                <w:color w:val="auto"/>
                <w:sz w:val="24"/>
                <w:szCs w:val="24"/>
              </w:rPr>
              <w:t>厨房用水量为</w:t>
            </w:r>
            <w:r>
              <w:rPr>
                <w:rFonts w:hint="default" w:ascii="Times New Roman" w:hAnsi="Times New Roman" w:eastAsia="宋体" w:cs="Times New Roman"/>
                <w:i w:val="0"/>
                <w:iCs w:val="0"/>
                <w:color w:val="auto"/>
                <w:sz w:val="24"/>
                <w:szCs w:val="24"/>
                <w:lang w:val="en-US"/>
              </w:rPr>
              <w:t>2.6</w:t>
            </w:r>
            <w:r>
              <w:rPr>
                <w:rFonts w:hint="default" w:ascii="Times New Roman" w:hAnsi="Times New Roman" w:eastAsia="宋体" w:cs="Times New Roman"/>
                <w:i w:val="0"/>
                <w:iCs w:val="0"/>
                <w:color w:val="auto"/>
                <w:sz w:val="24"/>
                <w:szCs w:val="24"/>
              </w:rPr>
              <w:t>m</w:t>
            </w:r>
            <w:r>
              <w:rPr>
                <w:rFonts w:hint="default" w:ascii="Times New Roman" w:hAnsi="Times New Roman" w:eastAsia="宋体" w:cs="Times New Roman"/>
                <w:i w:val="0"/>
                <w:iCs w:val="0"/>
                <w:color w:val="auto"/>
                <w:sz w:val="24"/>
                <w:szCs w:val="24"/>
                <w:vertAlign w:val="superscript"/>
              </w:rPr>
              <w:t>3</w:t>
            </w:r>
            <w:r>
              <w:rPr>
                <w:rFonts w:hint="default" w:ascii="Times New Roman" w:hAnsi="Times New Roman" w:eastAsia="宋体" w:cs="Times New Roman"/>
                <w:i w:val="0"/>
                <w:iCs w:val="0"/>
                <w:color w:val="auto"/>
                <w:sz w:val="24"/>
                <w:szCs w:val="24"/>
              </w:rPr>
              <w:t>/d，产污系数按90%计，污水排放量约为</w:t>
            </w:r>
            <w:r>
              <w:rPr>
                <w:rFonts w:hint="default" w:ascii="Times New Roman" w:hAnsi="Times New Roman" w:eastAsia="宋体" w:cs="Times New Roman"/>
                <w:i w:val="0"/>
                <w:iCs w:val="0"/>
                <w:color w:val="auto"/>
                <w:sz w:val="24"/>
                <w:szCs w:val="24"/>
                <w:lang w:val="en-US"/>
              </w:rPr>
              <w:t>2.34</w:t>
            </w:r>
            <w:r>
              <w:rPr>
                <w:rFonts w:hint="default" w:ascii="Times New Roman" w:hAnsi="Times New Roman" w:eastAsia="宋体" w:cs="Times New Roman"/>
                <w:i w:val="0"/>
                <w:iCs w:val="0"/>
                <w:color w:val="auto"/>
                <w:sz w:val="24"/>
                <w:szCs w:val="24"/>
              </w:rPr>
              <w:t>m</w:t>
            </w:r>
            <w:r>
              <w:rPr>
                <w:rFonts w:hint="default" w:ascii="Times New Roman" w:hAnsi="Times New Roman" w:eastAsia="宋体" w:cs="Times New Roman"/>
                <w:i w:val="0"/>
                <w:iCs w:val="0"/>
                <w:color w:val="auto"/>
                <w:sz w:val="24"/>
                <w:szCs w:val="24"/>
                <w:vertAlign w:val="superscript"/>
              </w:rPr>
              <w:t>3</w:t>
            </w:r>
            <w:r>
              <w:rPr>
                <w:rFonts w:hint="default" w:ascii="Times New Roman" w:hAnsi="Times New Roman" w:eastAsia="宋体" w:cs="Times New Roman"/>
                <w:i w:val="0"/>
                <w:iCs w:val="0"/>
                <w:color w:val="auto"/>
                <w:sz w:val="24"/>
                <w:szCs w:val="24"/>
              </w:rPr>
              <w:t>/d，1130.04m3/a。</w:t>
            </w:r>
          </w:p>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i w:val="0"/>
                <w:iCs w:val="0"/>
                <w:color w:val="auto"/>
                <w:sz w:val="24"/>
                <w:szCs w:val="24"/>
              </w:rPr>
            </w:pPr>
            <w:r>
              <w:rPr>
                <w:rFonts w:hint="default" w:ascii="Times New Roman" w:hAnsi="Times New Roman" w:eastAsia="宋体" w:cs="Times New Roman"/>
                <w:i w:val="0"/>
                <w:iCs w:val="0"/>
                <w:color w:val="auto"/>
                <w:sz w:val="24"/>
                <w:szCs w:val="24"/>
              </w:rPr>
              <w:t>4）检验废水</w:t>
            </w:r>
          </w:p>
          <w:p>
            <w:pPr>
              <w:pStyle w:val="9"/>
              <w:keepNext w:val="0"/>
              <w:keepLines w:val="0"/>
              <w:pageBreakBefore w:val="0"/>
              <w:suppressLineNumbers w:val="0"/>
              <w:kinsoku/>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i w:val="0"/>
                <w:iCs w:val="0"/>
                <w:color w:val="auto"/>
                <w:sz w:val="24"/>
                <w:szCs w:val="24"/>
              </w:rPr>
            </w:pPr>
            <w:r>
              <w:rPr>
                <w:rFonts w:hint="default" w:ascii="Times New Roman" w:hAnsi="Times New Roman" w:eastAsia="宋体" w:cs="Times New Roman"/>
                <w:i w:val="0"/>
                <w:iCs w:val="0"/>
                <w:color w:val="auto"/>
                <w:sz w:val="24"/>
                <w:szCs w:val="24"/>
              </w:rPr>
              <w:t>本项目检验清洗用水量约为0.05m</w:t>
            </w:r>
            <w:r>
              <w:rPr>
                <w:rFonts w:hint="default" w:ascii="Times New Roman" w:hAnsi="Times New Roman" w:eastAsia="宋体" w:cs="Times New Roman"/>
                <w:i w:val="0"/>
                <w:iCs w:val="0"/>
                <w:color w:val="auto"/>
                <w:sz w:val="24"/>
                <w:szCs w:val="24"/>
                <w:vertAlign w:val="superscript"/>
              </w:rPr>
              <w:t>3</w:t>
            </w:r>
            <w:r>
              <w:rPr>
                <w:rFonts w:hint="default" w:ascii="Times New Roman" w:hAnsi="Times New Roman" w:eastAsia="宋体" w:cs="Times New Roman"/>
                <w:i w:val="0"/>
                <w:iCs w:val="0"/>
                <w:color w:val="auto"/>
                <w:sz w:val="24"/>
                <w:szCs w:val="24"/>
              </w:rPr>
              <w:t>/d，不涉及重金属，排污系数0.9，检验污水产生量0.045m</w:t>
            </w:r>
            <w:r>
              <w:rPr>
                <w:rFonts w:hint="default" w:ascii="Times New Roman" w:hAnsi="Times New Roman" w:eastAsia="宋体" w:cs="Times New Roman"/>
                <w:i w:val="0"/>
                <w:iCs w:val="0"/>
                <w:color w:val="auto"/>
                <w:sz w:val="24"/>
                <w:szCs w:val="24"/>
                <w:vertAlign w:val="superscript"/>
              </w:rPr>
              <w:t>3</w:t>
            </w:r>
            <w:r>
              <w:rPr>
                <w:rFonts w:hint="default" w:ascii="Times New Roman" w:hAnsi="Times New Roman" w:eastAsia="宋体" w:cs="Times New Roman"/>
                <w:i w:val="0"/>
                <w:iCs w:val="0"/>
                <w:color w:val="auto"/>
                <w:sz w:val="24"/>
                <w:szCs w:val="24"/>
              </w:rPr>
              <w:t>/d，16.425m</w:t>
            </w:r>
            <w:r>
              <w:rPr>
                <w:rFonts w:hint="default" w:ascii="Times New Roman" w:hAnsi="Times New Roman" w:eastAsia="宋体" w:cs="Times New Roman"/>
                <w:i w:val="0"/>
                <w:iCs w:val="0"/>
                <w:color w:val="auto"/>
                <w:sz w:val="24"/>
                <w:szCs w:val="24"/>
                <w:vertAlign w:val="superscript"/>
              </w:rPr>
              <w:t>3</w:t>
            </w:r>
            <w:r>
              <w:rPr>
                <w:rFonts w:hint="default" w:ascii="Times New Roman" w:hAnsi="Times New Roman" w:eastAsia="宋体" w:cs="Times New Roman"/>
                <w:i w:val="0"/>
                <w:iCs w:val="0"/>
                <w:color w:val="auto"/>
                <w:sz w:val="24"/>
                <w:szCs w:val="24"/>
              </w:rPr>
              <w:t>/a。</w:t>
            </w:r>
          </w:p>
          <w:p>
            <w:pPr>
              <w:pStyle w:val="10"/>
              <w:keepNext w:val="0"/>
              <w:keepLines w:val="0"/>
              <w:pageBreakBefore w:val="0"/>
              <w:widowControl/>
              <w:numPr>
                <w:ilvl w:val="0"/>
                <w:numId w:val="0"/>
              </w:numPr>
              <w:suppressLineNumbers w:val="0"/>
              <w:kinsoku/>
              <w:overflowPunct/>
              <w:topLinePunct w:val="0"/>
              <w:autoSpaceDE/>
              <w:autoSpaceDN/>
              <w:bidi w:val="0"/>
              <w:adjustRightInd w:val="0"/>
              <w:snapToGrid w:val="0"/>
              <w:spacing w:before="0" w:beforeAutospacing="0" w:after="0" w:afterAutospacing="0" w:line="360" w:lineRule="auto"/>
              <w:ind w:leftChars="0" w:right="0" w:rightChars="0"/>
              <w:jc w:val="both"/>
              <w:textAlignment w:val="auto"/>
              <w:rPr>
                <w:rFonts w:hint="default" w:ascii="Times New Roman" w:hAnsi="Times New Roman" w:eastAsia="宋体" w:cs="Times New Roman"/>
                <w:i w:val="0"/>
                <w:iCs w:val="0"/>
                <w:color w:val="auto"/>
                <w:sz w:val="24"/>
                <w:szCs w:val="24"/>
                <w:lang w:val="en-US" w:eastAsia="zh-CN"/>
              </w:rPr>
            </w:pPr>
            <w:r>
              <w:rPr>
                <w:rFonts w:hint="default" w:ascii="Times New Roman" w:hAnsi="Times New Roman" w:eastAsia="宋体" w:cs="Times New Roman"/>
                <w:i w:val="0"/>
                <w:iCs w:val="0"/>
                <w:color w:val="auto"/>
                <w:sz w:val="24"/>
                <w:szCs w:val="24"/>
                <w:lang w:val="en-US" w:eastAsia="zh-CN"/>
              </w:rPr>
              <w:t>（2）废气</w:t>
            </w:r>
          </w:p>
          <w:p>
            <w:pPr>
              <w:keepNext w:val="0"/>
              <w:keepLines w:val="0"/>
              <w:pageBreakBefore w:val="0"/>
              <w:numPr>
                <w:ilvl w:val="0"/>
                <w:numId w:val="0"/>
              </w:numPr>
              <w:suppressLineNumbers w:val="0"/>
              <w:kinsoku/>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i w:val="0"/>
                <w:iCs w:val="0"/>
                <w:color w:val="auto"/>
                <w:sz w:val="24"/>
                <w:szCs w:val="24"/>
                <w:lang w:val="en-US" w:eastAsia="zh-CN"/>
              </w:rPr>
            </w:pPr>
            <w:r>
              <w:rPr>
                <w:rFonts w:hint="default" w:ascii="Times New Roman" w:hAnsi="Times New Roman" w:eastAsia="宋体" w:cs="Times New Roman"/>
                <w:i w:val="0"/>
                <w:iCs w:val="0"/>
                <w:color w:val="auto"/>
                <w:sz w:val="24"/>
                <w:szCs w:val="24"/>
                <w:lang w:val="en-US" w:eastAsia="zh-CN"/>
              </w:rPr>
              <w:t>原项目运营过程中产生的废气主要为污水处理站异味、厨房油烟和备用发电机尾气。废气产生量较小，无组织排放，根据东川精神病院2023年第一季度自行监测报告，项目污水处理站周界无组织废气满足</w:t>
            </w:r>
            <w:r>
              <w:rPr>
                <w:rFonts w:hint="default" w:ascii="Times New Roman" w:hAnsi="Times New Roman" w:eastAsia="宋体" w:cs="Times New Roman"/>
                <w:i w:val="0"/>
                <w:iCs w:val="0"/>
                <w:color w:val="auto"/>
                <w:sz w:val="24"/>
                <w:szCs w:val="24"/>
              </w:rPr>
              <w:t>《医疗机构水污染物排放标准》（GB</w:t>
            </w:r>
            <w:r>
              <w:rPr>
                <w:rFonts w:hint="eastAsia" w:cs="Times New Roman"/>
                <w:i w:val="0"/>
                <w:iCs w:val="0"/>
                <w:color w:val="auto"/>
                <w:sz w:val="24"/>
                <w:szCs w:val="24"/>
                <w:lang w:eastAsia="zh-CN"/>
              </w:rPr>
              <w:t>*****</w:t>
            </w:r>
            <w:r>
              <w:rPr>
                <w:rFonts w:hint="default" w:ascii="Times New Roman" w:hAnsi="Times New Roman" w:eastAsia="宋体" w:cs="Times New Roman"/>
                <w:i w:val="0"/>
                <w:iCs w:val="0"/>
                <w:color w:val="auto"/>
                <w:sz w:val="24"/>
                <w:szCs w:val="24"/>
              </w:rPr>
              <w:t>-2005）表3标准</w:t>
            </w:r>
            <w:r>
              <w:rPr>
                <w:rFonts w:hint="default" w:ascii="Times New Roman" w:hAnsi="Times New Roman" w:eastAsia="宋体" w:cs="Times New Roman"/>
                <w:i w:val="0"/>
                <w:iCs w:val="0"/>
                <w:color w:val="auto"/>
                <w:sz w:val="24"/>
                <w:szCs w:val="24"/>
                <w:lang w:eastAsia="zh-CN"/>
              </w:rPr>
              <w:t>，</w:t>
            </w:r>
            <w:r>
              <w:rPr>
                <w:rFonts w:hint="default" w:ascii="Times New Roman" w:hAnsi="Times New Roman" w:eastAsia="宋体" w:cs="Times New Roman"/>
                <w:i w:val="0"/>
                <w:iCs w:val="0"/>
                <w:color w:val="auto"/>
                <w:sz w:val="24"/>
                <w:szCs w:val="24"/>
                <w:lang w:val="en-US" w:eastAsia="zh-CN"/>
              </w:rPr>
              <w:t>对环境影响较小。</w:t>
            </w:r>
          </w:p>
          <w:p>
            <w:pPr>
              <w:pStyle w:val="9"/>
              <w:keepNext w:val="0"/>
              <w:keepLines w:val="0"/>
              <w:pageBreakBefore w:val="0"/>
              <w:suppressLineNumbers w:val="0"/>
              <w:kinsoku/>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宋体" w:cs="Times New Roman"/>
                <w:i w:val="0"/>
                <w:iCs w:val="0"/>
                <w:color w:val="auto"/>
                <w:sz w:val="24"/>
                <w:szCs w:val="24"/>
                <w:lang w:val="en-US" w:eastAsia="zh-CN"/>
              </w:rPr>
            </w:pPr>
            <w:r>
              <w:rPr>
                <w:rFonts w:hint="default" w:ascii="Times New Roman" w:hAnsi="Times New Roman" w:eastAsia="宋体" w:cs="Times New Roman"/>
                <w:i w:val="0"/>
                <w:iCs w:val="0"/>
                <w:color w:val="auto"/>
                <w:sz w:val="24"/>
                <w:szCs w:val="24"/>
                <w:lang w:val="en-US" w:eastAsia="zh-CN"/>
              </w:rPr>
              <w:t>（3）噪声</w:t>
            </w:r>
          </w:p>
          <w:p>
            <w:pPr>
              <w:pStyle w:val="10"/>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default" w:ascii="Times New Roman" w:hAnsi="Times New Roman" w:eastAsia="宋体" w:cs="Times New Roman"/>
                <w:i w:val="0"/>
                <w:iCs w:val="0"/>
                <w:color w:val="auto"/>
                <w:sz w:val="24"/>
                <w:szCs w:val="24"/>
                <w:lang w:val="en-US" w:eastAsia="zh-CN"/>
              </w:rPr>
            </w:pPr>
            <w:r>
              <w:rPr>
                <w:rFonts w:hint="default" w:ascii="Times New Roman" w:hAnsi="Times New Roman" w:eastAsia="宋体" w:cs="Times New Roman"/>
                <w:i w:val="0"/>
                <w:iCs w:val="0"/>
                <w:color w:val="auto"/>
                <w:sz w:val="24"/>
                <w:szCs w:val="24"/>
                <w:lang w:val="en-US" w:eastAsia="zh-CN"/>
              </w:rPr>
              <w:t>根据东川精神病院2023年第一季度自行监测报告，项目厂界噪声满足《</w:t>
            </w:r>
            <w:r>
              <w:rPr>
                <w:rFonts w:hint="default" w:ascii="Times New Roman" w:hAnsi="Times New Roman" w:eastAsia="宋体" w:cs="Times New Roman"/>
                <w:i w:val="0"/>
                <w:iCs w:val="0"/>
                <w:color w:val="auto"/>
                <w:sz w:val="24"/>
                <w:szCs w:val="24"/>
                <w:lang w:val="en-US" w:eastAsia="zh-CN"/>
              </w:rPr>
              <w:fldChar w:fldCharType="begin"/>
            </w:r>
            <w:r>
              <w:rPr>
                <w:rFonts w:hint="default" w:ascii="Times New Roman" w:hAnsi="Times New Roman" w:eastAsia="宋体" w:cs="Times New Roman"/>
                <w:i w:val="0"/>
                <w:iCs w:val="0"/>
                <w:color w:val="auto"/>
                <w:sz w:val="24"/>
                <w:szCs w:val="24"/>
                <w:lang w:val="en-US" w:eastAsia="zh-CN"/>
              </w:rPr>
              <w:instrText xml:space="preserve"> HYPERLINK "https://www.mee.gov.cn/ywgz/fgbz/bz/bzwb/wlhj/hjzspfbz/200809/W020111121353694435553.pdf" </w:instrText>
            </w:r>
            <w:r>
              <w:rPr>
                <w:rFonts w:hint="default" w:ascii="Times New Roman" w:hAnsi="Times New Roman" w:eastAsia="宋体" w:cs="Times New Roman"/>
                <w:i w:val="0"/>
                <w:iCs w:val="0"/>
                <w:color w:val="auto"/>
                <w:sz w:val="24"/>
                <w:szCs w:val="24"/>
                <w:lang w:val="en-US" w:eastAsia="zh-CN"/>
              </w:rPr>
              <w:fldChar w:fldCharType="separate"/>
            </w:r>
            <w:r>
              <w:rPr>
                <w:rFonts w:hint="eastAsia" w:ascii="Times New Roman" w:hAnsi="Times New Roman" w:eastAsia="宋体" w:cs="Times New Roman"/>
                <w:i w:val="0"/>
                <w:iCs w:val="0"/>
                <w:color w:val="auto"/>
                <w:sz w:val="24"/>
                <w:szCs w:val="24"/>
                <w:lang w:val="en-US" w:eastAsia="zh-CN"/>
              </w:rPr>
              <w:t>社会生活环境噪声排放标准（GB 22337</w:t>
            </w:r>
            <w:r>
              <w:rPr>
                <w:rFonts w:hint="default" w:ascii="Times New Roman" w:hAnsi="Times New Roman" w:eastAsia="宋体" w:cs="Times New Roman"/>
                <w:i w:val="0"/>
                <w:iCs w:val="0"/>
                <w:color w:val="auto"/>
                <w:sz w:val="24"/>
                <w:szCs w:val="24"/>
                <w:lang w:val="en-US" w:eastAsia="zh-CN"/>
              </w:rPr>
              <w:t>-</w:t>
            </w:r>
            <w:r>
              <w:rPr>
                <w:rFonts w:hint="eastAsia" w:ascii="Times New Roman" w:hAnsi="Times New Roman" w:eastAsia="宋体" w:cs="Times New Roman"/>
                <w:i w:val="0"/>
                <w:iCs w:val="0"/>
                <w:color w:val="auto"/>
                <w:sz w:val="24"/>
                <w:szCs w:val="24"/>
                <w:lang w:val="en-US" w:eastAsia="zh-CN"/>
              </w:rPr>
              <w:t>2008）</w:t>
            </w:r>
            <w:r>
              <w:rPr>
                <w:rFonts w:hint="eastAsia" w:ascii="Times New Roman" w:hAnsi="Times New Roman" w:eastAsia="宋体" w:cs="Times New Roman"/>
                <w:i w:val="0"/>
                <w:iCs w:val="0"/>
                <w:color w:val="auto"/>
                <w:sz w:val="24"/>
                <w:szCs w:val="24"/>
                <w:lang w:val="en-US" w:eastAsia="zh-CN"/>
              </w:rPr>
              <w:fldChar w:fldCharType="end"/>
            </w:r>
            <w:r>
              <w:rPr>
                <w:rFonts w:hint="default" w:ascii="Times New Roman" w:hAnsi="Times New Roman" w:eastAsia="宋体" w:cs="Times New Roman"/>
                <w:i w:val="0"/>
                <w:iCs w:val="0"/>
                <w:color w:val="auto"/>
                <w:sz w:val="24"/>
                <w:szCs w:val="24"/>
              </w:rPr>
              <w:t>2类标准</w:t>
            </w:r>
            <w:r>
              <w:rPr>
                <w:rFonts w:hint="default" w:ascii="Times New Roman" w:hAnsi="Times New Roman" w:eastAsia="宋体" w:cs="Times New Roman"/>
                <w:i w:val="0"/>
                <w:iCs w:val="0"/>
                <w:color w:val="auto"/>
                <w:sz w:val="24"/>
                <w:szCs w:val="24"/>
                <w:lang w:eastAsia="zh-CN"/>
              </w:rPr>
              <w:t>。</w:t>
            </w:r>
          </w:p>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宋体" w:cs="Times New Roman"/>
                <w:i w:val="0"/>
                <w:iCs w:val="0"/>
                <w:color w:val="auto"/>
                <w:sz w:val="24"/>
                <w:szCs w:val="24"/>
                <w:lang w:val="en-US" w:eastAsia="zh-CN"/>
              </w:rPr>
            </w:pPr>
            <w:r>
              <w:rPr>
                <w:rFonts w:hint="default" w:ascii="Times New Roman" w:hAnsi="Times New Roman" w:eastAsia="宋体" w:cs="Times New Roman"/>
                <w:i w:val="0"/>
                <w:iCs w:val="0"/>
                <w:color w:val="auto"/>
                <w:sz w:val="24"/>
                <w:szCs w:val="24"/>
                <w:lang w:val="en-US" w:eastAsia="zh-CN"/>
              </w:rPr>
              <w:t>（4）固废</w:t>
            </w:r>
          </w:p>
          <w:p>
            <w:pPr>
              <w:pStyle w:val="9"/>
              <w:keepNext w:val="0"/>
              <w:keepLines w:val="0"/>
              <w:pageBreakBefore w:val="0"/>
              <w:suppressLineNumbers w:val="0"/>
              <w:kinsoku/>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Calibri" w:hAnsi="Calibri" w:cs="Times New Roman"/>
                <w:color w:val="auto"/>
                <w:lang w:val="en-US" w:eastAsia="zh-CN"/>
              </w:rPr>
            </w:pPr>
            <w:r>
              <w:rPr>
                <w:rFonts w:hint="default" w:ascii="Times New Roman" w:hAnsi="Times New Roman" w:eastAsia="宋体" w:cs="Times New Roman"/>
                <w:i w:val="0"/>
                <w:iCs w:val="0"/>
                <w:color w:val="auto"/>
                <w:sz w:val="24"/>
                <w:szCs w:val="24"/>
                <w:lang w:val="en-US" w:eastAsia="zh-CN"/>
              </w:rPr>
              <w:t>原项目生活垃圾委托环卫部门清运，医疗废物暂存于医疗废物暂存间内，委托有资质单位清运处置。项目固废处置率为100%。</w:t>
            </w:r>
          </w:p>
          <w:p>
            <w:pPr>
              <w:pStyle w:val="9"/>
              <w:keepNext w:val="0"/>
              <w:keepLines w:val="0"/>
              <w:pageBreakBefore w:val="0"/>
              <w:suppressLineNumbers w:val="0"/>
              <w:kinsoku/>
              <w:overflowPunct/>
              <w:topLinePunct w:val="0"/>
              <w:autoSpaceDE/>
              <w:autoSpaceDN/>
              <w:bidi w:val="0"/>
              <w:adjustRightInd w:val="0"/>
              <w:snapToGrid/>
              <w:spacing w:before="0" w:beforeAutospacing="0" w:after="0" w:afterAutospacing="0" w:line="360" w:lineRule="auto"/>
              <w:ind w:left="0" w:right="0"/>
              <w:textAlignment w:val="auto"/>
              <w:rPr>
                <w:rFonts w:hint="default" w:ascii="Times New Roman" w:hAnsi="Times New Roman" w:eastAsia="宋体" w:cs="Times New Roman"/>
                <w:b/>
                <w:bCs/>
                <w:i w:val="0"/>
                <w:iCs w:val="0"/>
                <w:color w:val="auto"/>
                <w:sz w:val="24"/>
                <w:szCs w:val="24"/>
                <w:lang w:val="en-US" w:eastAsia="zh-CN"/>
              </w:rPr>
            </w:pPr>
            <w:r>
              <w:rPr>
                <w:rFonts w:hint="default" w:ascii="Times New Roman" w:hAnsi="Times New Roman" w:eastAsia="宋体" w:cs="Times New Roman"/>
                <w:b/>
                <w:bCs/>
                <w:i w:val="0"/>
                <w:iCs w:val="0"/>
                <w:color w:val="auto"/>
                <w:sz w:val="24"/>
                <w:szCs w:val="24"/>
                <w:lang w:val="en-US" w:eastAsia="zh-CN"/>
              </w:rPr>
              <w:t>6、</w:t>
            </w:r>
            <w:r>
              <w:rPr>
                <w:rFonts w:hint="eastAsia" w:ascii="Times New Roman" w:hAnsi="Times New Roman" w:eastAsia="宋体" w:cs="Times New Roman"/>
                <w:b/>
                <w:bCs/>
                <w:i w:val="0"/>
                <w:iCs w:val="0"/>
                <w:color w:val="auto"/>
                <w:sz w:val="24"/>
                <w:szCs w:val="24"/>
                <w:lang w:val="en-US" w:eastAsia="zh-CN"/>
              </w:rPr>
              <w:t>原项目场地处置情况</w:t>
            </w:r>
          </w:p>
          <w:p>
            <w:pPr>
              <w:pStyle w:val="9"/>
              <w:keepNext w:val="0"/>
              <w:keepLines w:val="0"/>
              <w:pageBreakBefore w:val="0"/>
              <w:suppressLineNumbers w:val="0"/>
              <w:kinsoku/>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 w:val="0"/>
                <w:bCs w:val="0"/>
                <w:i w:val="0"/>
                <w:iCs w:val="0"/>
                <w:color w:val="auto"/>
                <w:sz w:val="24"/>
                <w:szCs w:val="24"/>
                <w:lang w:val="en-US" w:eastAsia="zh-CN"/>
              </w:rPr>
            </w:pPr>
            <w:r>
              <w:rPr>
                <w:rFonts w:hint="eastAsia" w:ascii="Times New Roman" w:hAnsi="Times New Roman" w:eastAsia="宋体" w:cs="Times New Roman"/>
                <w:b w:val="0"/>
                <w:bCs w:val="0"/>
                <w:i w:val="0"/>
                <w:iCs w:val="0"/>
                <w:color w:val="auto"/>
                <w:sz w:val="24"/>
                <w:szCs w:val="24"/>
                <w:lang w:val="en-US" w:eastAsia="zh-CN"/>
              </w:rPr>
              <w:t>本项目建设完成后，原东川精神病院搬迁至本项目，原项目</w:t>
            </w:r>
            <w:r>
              <w:rPr>
                <w:rFonts w:hint="default" w:ascii="Times New Roman" w:hAnsi="Times New Roman" w:cs="Times New Roman"/>
                <w:color w:val="auto"/>
                <w:sz w:val="24"/>
                <w:szCs w:val="24"/>
              </w:rPr>
              <w:t>租用廉租房小区一、二楼18间房屋</w:t>
            </w:r>
            <w:r>
              <w:rPr>
                <w:rFonts w:hint="eastAsia" w:ascii="Times New Roman" w:hAnsi="Times New Roman" w:cs="Times New Roman"/>
                <w:color w:val="auto"/>
                <w:sz w:val="24"/>
                <w:szCs w:val="24"/>
                <w:lang w:eastAsia="zh-CN"/>
              </w:rPr>
              <w:t>退还，自建建筑物闲置。</w:t>
            </w:r>
          </w:p>
          <w:p>
            <w:pPr>
              <w:pStyle w:val="9"/>
              <w:keepNext w:val="0"/>
              <w:keepLines w:val="0"/>
              <w:pageBreakBefore w:val="0"/>
              <w:suppressLineNumbers w:val="0"/>
              <w:kinsoku/>
              <w:overflowPunct/>
              <w:topLinePunct w:val="0"/>
              <w:autoSpaceDE/>
              <w:autoSpaceDN/>
              <w:bidi w:val="0"/>
              <w:adjustRightInd w:val="0"/>
              <w:snapToGrid/>
              <w:spacing w:before="0" w:beforeAutospacing="0" w:after="0" w:afterAutospacing="0" w:line="360" w:lineRule="auto"/>
              <w:ind w:left="0" w:right="0"/>
              <w:textAlignment w:val="auto"/>
              <w:rPr>
                <w:rFonts w:hint="default" w:ascii="Times New Roman" w:hAnsi="Times New Roman" w:eastAsia="宋体" w:cs="Times New Roman"/>
                <w:b w:val="0"/>
                <w:bCs w:val="0"/>
                <w:i w:val="0"/>
                <w:iCs w:val="0"/>
                <w:color w:val="auto"/>
                <w:sz w:val="24"/>
                <w:szCs w:val="24"/>
                <w:lang w:val="en-US" w:eastAsia="zh-CN"/>
              </w:rPr>
            </w:pPr>
            <w:r>
              <w:rPr>
                <w:rFonts w:hint="default" w:ascii="Times New Roman" w:hAnsi="Times New Roman" w:eastAsia="宋体" w:cs="Times New Roman"/>
                <w:b/>
                <w:bCs/>
                <w:i w:val="0"/>
                <w:iCs w:val="0"/>
                <w:color w:val="auto"/>
                <w:sz w:val="24"/>
                <w:szCs w:val="24"/>
                <w:lang w:val="en-US" w:eastAsia="zh-CN"/>
              </w:rPr>
              <w:t>7</w:t>
            </w:r>
            <w:r>
              <w:rPr>
                <w:rFonts w:hint="eastAsia" w:ascii="Times New Roman" w:hAnsi="Times New Roman" w:eastAsia="宋体" w:cs="Times New Roman"/>
                <w:b/>
                <w:bCs/>
                <w:i w:val="0"/>
                <w:iCs w:val="0"/>
                <w:color w:val="auto"/>
                <w:sz w:val="24"/>
                <w:szCs w:val="24"/>
                <w:lang w:val="en-US" w:eastAsia="zh-CN"/>
              </w:rPr>
              <w:t>、</w:t>
            </w:r>
            <w:r>
              <w:rPr>
                <w:rFonts w:hint="default" w:ascii="Times New Roman" w:hAnsi="Times New Roman" w:eastAsia="宋体" w:cs="Times New Roman"/>
                <w:b/>
                <w:bCs/>
                <w:i w:val="0"/>
                <w:iCs w:val="0"/>
                <w:color w:val="auto"/>
                <w:kern w:val="2"/>
                <w:sz w:val="24"/>
                <w:szCs w:val="24"/>
              </w:rPr>
              <w:t>与项目有关的</w:t>
            </w:r>
            <w:r>
              <w:rPr>
                <w:rFonts w:hint="default" w:ascii="Times New Roman" w:hAnsi="Times New Roman" w:eastAsia="宋体" w:cs="Times New Roman"/>
                <w:b/>
                <w:bCs/>
                <w:i w:val="0"/>
                <w:iCs w:val="0"/>
                <w:color w:val="auto"/>
                <w:kern w:val="2"/>
                <w:sz w:val="24"/>
                <w:szCs w:val="24"/>
                <w:lang w:val="en-US" w:eastAsia="zh-CN"/>
              </w:rPr>
              <w:t>主要</w:t>
            </w:r>
            <w:r>
              <w:rPr>
                <w:rFonts w:hint="default" w:ascii="Times New Roman" w:hAnsi="Times New Roman" w:eastAsia="宋体" w:cs="Times New Roman"/>
                <w:b/>
                <w:bCs/>
                <w:i w:val="0"/>
                <w:iCs w:val="0"/>
                <w:color w:val="auto"/>
                <w:kern w:val="2"/>
                <w:sz w:val="24"/>
                <w:szCs w:val="24"/>
              </w:rPr>
              <w:t>环境问题</w:t>
            </w:r>
            <w:r>
              <w:rPr>
                <w:rFonts w:hint="default" w:ascii="Times New Roman" w:hAnsi="Times New Roman" w:eastAsia="宋体" w:cs="Times New Roman"/>
                <w:b/>
                <w:bCs/>
                <w:i w:val="0"/>
                <w:iCs w:val="0"/>
                <w:color w:val="auto"/>
                <w:kern w:val="2"/>
                <w:sz w:val="24"/>
                <w:szCs w:val="24"/>
                <w:lang w:val="en-US" w:eastAsia="zh-CN"/>
              </w:rPr>
              <w:t>及整改措施</w:t>
            </w:r>
          </w:p>
          <w:p>
            <w:pPr>
              <w:keepNext w:val="0"/>
              <w:keepLines w:val="0"/>
              <w:pageBreakBefore w:val="0"/>
              <w:suppressLineNumbers w:val="0"/>
              <w:kinsoku/>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i w:val="0"/>
                <w:iCs w:val="0"/>
                <w:color w:val="auto"/>
                <w:sz w:val="24"/>
                <w:szCs w:val="24"/>
                <w:lang w:val="en-US" w:eastAsia="zh-CN"/>
              </w:rPr>
            </w:pPr>
            <w:r>
              <w:rPr>
                <w:rFonts w:hint="eastAsia" w:ascii="Times New Roman" w:hAnsi="Times New Roman" w:eastAsia="宋体" w:cs="Times New Roman"/>
                <w:b w:val="0"/>
                <w:bCs w:val="0"/>
                <w:i w:val="0"/>
                <w:iCs w:val="0"/>
                <w:color w:val="auto"/>
                <w:sz w:val="24"/>
                <w:szCs w:val="24"/>
                <w:lang w:val="en-US" w:eastAsia="zh-CN"/>
              </w:rPr>
              <w:t>本项目建设用地原为</w:t>
            </w:r>
            <w:r>
              <w:rPr>
                <w:rFonts w:hint="eastAsia" w:cs="Times New Roman"/>
                <w:b w:val="0"/>
                <w:bCs w:val="0"/>
                <w:i w:val="0"/>
                <w:iCs w:val="0"/>
                <w:color w:val="auto"/>
                <w:sz w:val="24"/>
                <w:szCs w:val="24"/>
                <w:lang w:val="en-US" w:eastAsia="zh-CN"/>
              </w:rPr>
              <w:t>闲置用地</w:t>
            </w:r>
            <w:r>
              <w:rPr>
                <w:rFonts w:hint="eastAsia" w:ascii="Times New Roman" w:hAnsi="Times New Roman" w:eastAsia="宋体" w:cs="Times New Roman"/>
                <w:b w:val="0"/>
                <w:bCs w:val="0"/>
                <w:i w:val="0"/>
                <w:iCs w:val="0"/>
                <w:color w:val="auto"/>
                <w:sz w:val="24"/>
                <w:szCs w:val="24"/>
                <w:lang w:val="en-US" w:eastAsia="zh-CN"/>
              </w:rPr>
              <w:t>，无</w:t>
            </w:r>
            <w:r>
              <w:rPr>
                <w:rFonts w:hint="eastAsia" w:cs="Times New Roman"/>
                <w:b w:val="0"/>
                <w:bCs w:val="0"/>
                <w:i w:val="0"/>
                <w:iCs w:val="0"/>
                <w:color w:val="auto"/>
                <w:sz w:val="24"/>
                <w:szCs w:val="24"/>
                <w:lang w:val="en-US" w:eastAsia="zh-CN"/>
              </w:rPr>
              <w:t>有关</w:t>
            </w:r>
            <w:r>
              <w:rPr>
                <w:rFonts w:hint="eastAsia" w:ascii="Times New Roman" w:hAnsi="Times New Roman" w:eastAsia="宋体" w:cs="Times New Roman"/>
                <w:b w:val="0"/>
                <w:bCs w:val="0"/>
                <w:i w:val="0"/>
                <w:iCs w:val="0"/>
                <w:color w:val="auto"/>
                <w:sz w:val="24"/>
                <w:szCs w:val="24"/>
                <w:lang w:val="en-US" w:eastAsia="zh-CN"/>
              </w:rPr>
              <w:t>环境污染问题。</w:t>
            </w:r>
          </w:p>
        </w:tc>
      </w:tr>
    </w:tbl>
    <w:p>
      <w:pPr>
        <w:pStyle w:val="22"/>
        <w:jc w:val="both"/>
        <w:rPr>
          <w:rFonts w:ascii="Times New Roman" w:hAnsi="Times New Roman" w:eastAsia="黑体"/>
          <w:snapToGrid w:val="0"/>
          <w:color w:val="auto"/>
          <w:sz w:val="36"/>
          <w:szCs w:val="36"/>
        </w:rPr>
        <w:sectPr>
          <w:footerReference r:id="rId6" w:type="default"/>
          <w:pgSz w:w="11906" w:h="16838"/>
          <w:pgMar w:top="1304" w:right="1134" w:bottom="1304" w:left="1531" w:header="851" w:footer="851" w:gutter="0"/>
          <w:pgNumType w:start="1"/>
          <w:cols w:space="720" w:num="1"/>
          <w:docGrid w:linePitch="312" w:charSpace="0"/>
        </w:sectPr>
      </w:pPr>
    </w:p>
    <w:p>
      <w:pPr>
        <w:pStyle w:val="3"/>
        <w:jc w:val="center"/>
        <w:rPr>
          <w:rFonts w:hint="eastAsia" w:ascii="Calibri" w:hAnsi="Calibri" w:cs="Calibri"/>
          <w:color w:val="auto"/>
        </w:rPr>
      </w:pPr>
      <w:bookmarkStart w:id="4" w:name="_Toc16870"/>
      <w:r>
        <w:rPr>
          <w:rFonts w:hint="eastAsia" w:ascii="Calibri" w:hAnsi="Calibri" w:cs="Calibri"/>
          <w:color w:val="auto"/>
        </w:rPr>
        <w:t>三、区域环境质量现状、环境保护目标及评价标准</w:t>
      </w:r>
      <w:bookmarkEnd w:id="4"/>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84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6" w:hRule="atLeast"/>
          <w:jc w:val="center"/>
        </w:trPr>
        <w:tc>
          <w:tcPr>
            <w:tcW w:w="709"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
                <w:bCs/>
                <w:color w:val="auto"/>
                <w:kern w:val="0"/>
                <w:sz w:val="24"/>
                <w:szCs w:val="24"/>
              </w:rPr>
            </w:pPr>
            <w:r>
              <w:rPr>
                <w:rFonts w:hint="eastAsia" w:ascii="Calibri" w:hAnsi="Calibri" w:cs="Times New Roman"/>
                <w:b/>
                <w:bCs/>
                <w:color w:val="auto"/>
                <w:kern w:val="0"/>
                <w:sz w:val="24"/>
                <w:szCs w:val="24"/>
              </w:rPr>
              <w:t>环境质量标准及</w:t>
            </w:r>
            <w:r>
              <w:rPr>
                <w:rFonts w:hint="default" w:ascii="Calibri" w:hAnsi="Calibri" w:cs="Times New Roman"/>
                <w:b/>
                <w:bCs/>
                <w:color w:val="auto"/>
                <w:kern w:val="0"/>
                <w:sz w:val="24"/>
                <w:szCs w:val="24"/>
              </w:rPr>
              <w:t>区域</w:t>
            </w:r>
          </w:p>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
                <w:bCs/>
                <w:color w:val="auto"/>
                <w:kern w:val="0"/>
                <w:sz w:val="24"/>
                <w:szCs w:val="24"/>
              </w:rPr>
            </w:pPr>
            <w:r>
              <w:rPr>
                <w:rFonts w:hint="default" w:ascii="Calibri" w:hAnsi="Calibri" w:cs="Times New Roman"/>
                <w:b/>
                <w:bCs/>
                <w:color w:val="auto"/>
                <w:kern w:val="0"/>
                <w:sz w:val="24"/>
                <w:szCs w:val="24"/>
              </w:rPr>
              <w:t>环境</w:t>
            </w:r>
          </w:p>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
                <w:bCs/>
                <w:color w:val="auto"/>
                <w:kern w:val="0"/>
                <w:sz w:val="24"/>
                <w:szCs w:val="24"/>
              </w:rPr>
            </w:pPr>
            <w:r>
              <w:rPr>
                <w:rFonts w:hint="default" w:ascii="Calibri" w:hAnsi="Calibri" w:cs="Times New Roman"/>
                <w:b/>
                <w:bCs/>
                <w:color w:val="auto"/>
                <w:kern w:val="0"/>
                <w:sz w:val="24"/>
                <w:szCs w:val="24"/>
              </w:rPr>
              <w:t>质量</w:t>
            </w:r>
          </w:p>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
                <w:bCs/>
                <w:color w:val="auto"/>
                <w:kern w:val="0"/>
                <w:sz w:val="24"/>
                <w:szCs w:val="24"/>
              </w:rPr>
            </w:pPr>
            <w:r>
              <w:rPr>
                <w:rFonts w:hint="default" w:ascii="Calibri" w:hAnsi="Calibri" w:cs="Times New Roman"/>
                <w:b/>
                <w:bCs/>
                <w:color w:val="auto"/>
                <w:kern w:val="0"/>
                <w:sz w:val="24"/>
                <w:szCs w:val="24"/>
              </w:rPr>
              <w:t>现状</w:t>
            </w:r>
          </w:p>
        </w:tc>
        <w:tc>
          <w:tcPr>
            <w:tcW w:w="8482" w:type="dxa"/>
            <w:noWrap w:val="0"/>
            <w:vAlign w:val="center"/>
          </w:tcPr>
          <w:p>
            <w:pPr>
              <w:keepNext w:val="0"/>
              <w:keepLines w:val="0"/>
              <w:numPr>
                <w:ilvl w:val="0"/>
                <w:numId w:val="2"/>
              </w:numPr>
              <w:suppressLineNumbers w:val="0"/>
              <w:snapToGrid w:val="0"/>
              <w:spacing w:before="0" w:beforeAutospacing="0" w:after="0" w:afterAutospacing="0" w:line="360" w:lineRule="auto"/>
              <w:ind w:left="0" w:right="0"/>
              <w:rPr>
                <w:rFonts w:hint="eastAsia" w:ascii="Calibri" w:hAnsi="Calibri" w:cs="Times New Roman"/>
                <w:b/>
                <w:bCs/>
                <w:color w:val="auto"/>
                <w:sz w:val="24"/>
              </w:rPr>
            </w:pPr>
            <w:r>
              <w:rPr>
                <w:rFonts w:hint="default" w:ascii="Calibri" w:hAnsi="Calibri" w:cs="Times New Roman"/>
                <w:b/>
                <w:bCs/>
                <w:color w:val="auto"/>
                <w:sz w:val="24"/>
              </w:rPr>
              <w:t>环境空气</w:t>
            </w:r>
            <w:r>
              <w:rPr>
                <w:rFonts w:hint="eastAsia" w:ascii="Calibri" w:hAnsi="Calibri" w:cs="Times New Roman"/>
                <w:b/>
                <w:bCs/>
                <w:color w:val="auto"/>
                <w:sz w:val="24"/>
              </w:rPr>
              <w:t>质量现状及标准</w:t>
            </w:r>
          </w:p>
          <w:p>
            <w:pPr>
              <w:pStyle w:val="9"/>
              <w:keepNext w:val="0"/>
              <w:keepLines w:val="0"/>
              <w:suppressLineNumbers w:val="0"/>
              <w:spacing w:beforeAutospacing="0" w:afterAutospacing="0"/>
              <w:ind w:left="0" w:firstLine="241" w:firstLineChars="100"/>
              <w:rPr>
                <w:rFonts w:hint="default" w:ascii="Calibri" w:hAnsi="Calibri" w:cs="Times New Roman"/>
                <w:b/>
                <w:bCs/>
                <w:color w:val="auto"/>
                <w:kern w:val="0"/>
                <w:sz w:val="24"/>
              </w:rPr>
            </w:pPr>
            <w:r>
              <w:rPr>
                <w:rFonts w:hint="eastAsia" w:ascii="Calibri" w:hAnsi="Calibri" w:cs="Times New Roman"/>
                <w:b/>
                <w:bCs/>
                <w:color w:val="auto"/>
                <w:kern w:val="0"/>
                <w:sz w:val="24"/>
              </w:rPr>
              <w:t>（1）环境空气质量标准</w:t>
            </w:r>
          </w:p>
          <w:p>
            <w:pPr>
              <w:keepNext w:val="0"/>
              <w:keepLines w:val="0"/>
              <w:suppressLineNumbers w:val="0"/>
              <w:snapToGrid w:val="0"/>
              <w:spacing w:before="0" w:beforeAutospacing="0" w:after="0" w:afterAutospacing="0" w:line="360" w:lineRule="auto"/>
              <w:ind w:left="0" w:right="0" w:firstLine="480" w:firstLineChars="200"/>
              <w:rPr>
                <w:rFonts w:hint="eastAsia" w:ascii="宋体" w:hAnsi="宋体" w:cs="Times New Roman"/>
                <w:color w:val="auto"/>
                <w:sz w:val="24"/>
                <w:szCs w:val="24"/>
              </w:rPr>
            </w:pPr>
            <w:r>
              <w:rPr>
                <w:rFonts w:hint="eastAsia" w:ascii="宋体" w:hAnsi="宋体" w:cs="Times New Roman"/>
                <w:color w:val="auto"/>
                <w:sz w:val="24"/>
                <w:szCs w:val="24"/>
              </w:rPr>
              <w:t>本</w:t>
            </w:r>
            <w:r>
              <w:rPr>
                <w:rFonts w:hint="default" w:ascii="宋体" w:hAnsi="宋体" w:cs="Times New Roman"/>
                <w:color w:val="auto"/>
                <w:sz w:val="24"/>
                <w:szCs w:val="24"/>
              </w:rPr>
              <w:t>项目位于</w:t>
            </w:r>
            <w:r>
              <w:rPr>
                <w:rFonts w:hint="eastAsia" w:ascii="Calibri" w:hAnsi="Calibri" w:cs="Times New Roman"/>
                <w:color w:val="auto"/>
                <w:sz w:val="24"/>
                <w:szCs w:val="24"/>
              </w:rPr>
              <w:t>云南省昆明市东川区城区西南角，规划道路东海路南延长线东侧，兴铜路西延长线南侧交汇路口</w:t>
            </w:r>
            <w:r>
              <w:rPr>
                <w:rFonts w:hint="default" w:ascii="宋体" w:hAnsi="宋体" w:cs="Times New Roman"/>
                <w:color w:val="auto"/>
                <w:sz w:val="24"/>
                <w:szCs w:val="24"/>
              </w:rPr>
              <w:t>，</w:t>
            </w:r>
            <w:r>
              <w:rPr>
                <w:rFonts w:hint="eastAsia" w:ascii="宋体" w:hAnsi="宋体" w:cs="Times New Roman"/>
                <w:color w:val="auto"/>
                <w:sz w:val="24"/>
                <w:szCs w:val="24"/>
              </w:rPr>
              <w:t>本项目所在地为环境空气质量二类区，执行《环境空气质量标准》（GB</w:t>
            </w:r>
            <w:r>
              <w:rPr>
                <w:rFonts w:hint="eastAsia" w:ascii="宋体" w:hAnsi="宋体" w:cs="Times New Roman"/>
                <w:color w:val="auto"/>
                <w:sz w:val="24"/>
                <w:szCs w:val="24"/>
                <w:lang w:eastAsia="zh-CN"/>
              </w:rPr>
              <w:t>****</w:t>
            </w:r>
            <w:r>
              <w:rPr>
                <w:rFonts w:hint="eastAsia" w:ascii="宋体" w:hAnsi="宋体" w:cs="Times New Roman"/>
                <w:color w:val="auto"/>
                <w:sz w:val="24"/>
                <w:szCs w:val="24"/>
              </w:rPr>
              <w:t>-2012）二级标准。</w:t>
            </w:r>
          </w:p>
          <w:p>
            <w:pPr>
              <w:pStyle w:val="9"/>
              <w:keepNext w:val="0"/>
              <w:keepLines w:val="0"/>
              <w:suppressLineNumbers w:val="0"/>
              <w:spacing w:beforeAutospacing="0" w:afterAutospacing="0"/>
              <w:ind w:left="0" w:firstLine="241" w:firstLineChars="100"/>
              <w:rPr>
                <w:rFonts w:hint="default" w:ascii="Calibri" w:hAnsi="Calibri" w:cs="Times New Roman"/>
                <w:b/>
                <w:bCs/>
                <w:color w:val="auto"/>
                <w:kern w:val="0"/>
                <w:sz w:val="18"/>
                <w:szCs w:val="20"/>
              </w:rPr>
            </w:pPr>
            <w:r>
              <w:rPr>
                <w:rFonts w:hint="eastAsia" w:ascii="宋体" w:hAnsi="宋体" w:cs="Times New Roman"/>
                <w:b/>
                <w:bCs/>
                <w:color w:val="auto"/>
                <w:kern w:val="0"/>
                <w:sz w:val="24"/>
              </w:rPr>
              <w:t>（2）环境空气质量现状</w:t>
            </w:r>
          </w:p>
          <w:p>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Times New Roman"/>
                <w:color w:val="auto"/>
                <w:sz w:val="24"/>
                <w:szCs w:val="24"/>
                <w:lang w:eastAsia="zh-CN"/>
              </w:rPr>
            </w:pPr>
            <w:r>
              <w:rPr>
                <w:rFonts w:hint="eastAsia" w:ascii="宋体" w:hAnsi="宋体" w:cs="Times New Roman"/>
                <w:color w:val="auto"/>
                <w:sz w:val="24"/>
                <w:szCs w:val="24"/>
              </w:rPr>
              <w:t>据《202</w:t>
            </w:r>
            <w:r>
              <w:rPr>
                <w:rFonts w:hint="default" w:ascii="宋体" w:hAnsi="宋体" w:cs="Times New Roman"/>
                <w:color w:val="auto"/>
                <w:sz w:val="24"/>
                <w:szCs w:val="24"/>
                <w:lang w:val="en-US"/>
              </w:rPr>
              <w:t>2</w:t>
            </w:r>
            <w:r>
              <w:rPr>
                <w:rFonts w:hint="eastAsia" w:ascii="宋体" w:hAnsi="宋体" w:cs="Times New Roman"/>
                <w:color w:val="auto"/>
                <w:sz w:val="24"/>
                <w:szCs w:val="24"/>
              </w:rPr>
              <w:t>年度昆明市生态环境状况公报》，各县(市)区环境空气质量总体保持良好。与2021年相比，安宁市、禄劝县、石林县、嵩明县、富民县、宜良县、寻甸县环境空气综合污染指数有所下降，东川区环境空气综合污染指数有所上升。</w:t>
            </w:r>
            <w:r>
              <w:rPr>
                <w:rFonts w:hint="eastAsia" w:ascii="宋体" w:hAnsi="宋体" w:cs="Times New Roman"/>
                <w:color w:val="auto"/>
                <w:sz w:val="24"/>
                <w:szCs w:val="24"/>
                <w:lang w:eastAsia="zh-CN"/>
              </w:rPr>
              <w:t>项目位于</w:t>
            </w:r>
            <w:r>
              <w:rPr>
                <w:rFonts w:hint="eastAsia" w:ascii="Calibri" w:hAnsi="Calibri" w:cs="Times New Roman"/>
                <w:color w:val="auto"/>
                <w:sz w:val="24"/>
                <w:szCs w:val="24"/>
              </w:rPr>
              <w:t>东川区城区西南角</w:t>
            </w:r>
            <w:r>
              <w:rPr>
                <w:rFonts w:hint="eastAsia" w:ascii="Calibri" w:hAnsi="Calibri" w:cs="Times New Roman"/>
                <w:color w:val="auto"/>
                <w:sz w:val="24"/>
                <w:szCs w:val="24"/>
                <w:lang w:eastAsia="zh-CN"/>
              </w:rPr>
              <w:t>，属于环境空气达标区。</w:t>
            </w:r>
          </w:p>
          <w:p>
            <w:pPr>
              <w:pStyle w:val="9"/>
              <w:keepNext w:val="0"/>
              <w:keepLines w:val="0"/>
              <w:suppressLineNumbers w:val="0"/>
              <w:spacing w:beforeAutospacing="0" w:afterAutospacing="0"/>
              <w:ind w:left="0"/>
              <w:rPr>
                <w:rFonts w:hint="default" w:ascii="宋体" w:hAnsi="宋体" w:cs="Times New Roman"/>
                <w:b/>
                <w:bCs/>
                <w:color w:val="auto"/>
                <w:kern w:val="0"/>
                <w:sz w:val="24"/>
              </w:rPr>
            </w:pPr>
            <w:r>
              <w:rPr>
                <w:rFonts w:hint="eastAsia" w:ascii="宋体" w:hAnsi="宋体" w:cs="Times New Roman"/>
                <w:b/>
                <w:bCs/>
                <w:color w:val="auto"/>
                <w:kern w:val="0"/>
                <w:sz w:val="24"/>
              </w:rPr>
              <w:t>2</w:t>
            </w:r>
            <w:r>
              <w:rPr>
                <w:rFonts w:hint="default" w:ascii="宋体" w:hAnsi="宋体" w:cs="Times New Roman"/>
                <w:b/>
                <w:bCs/>
                <w:color w:val="auto"/>
                <w:kern w:val="0"/>
                <w:sz w:val="24"/>
              </w:rPr>
              <w:t>、声环境</w:t>
            </w:r>
            <w:r>
              <w:rPr>
                <w:rFonts w:hint="eastAsia" w:ascii="Calibri" w:hAnsi="Calibri" w:cs="Times New Roman"/>
                <w:b/>
                <w:bCs/>
                <w:color w:val="auto"/>
                <w:kern w:val="0"/>
                <w:sz w:val="24"/>
                <w:szCs w:val="20"/>
              </w:rPr>
              <w:t>质量现状及标准</w:t>
            </w:r>
          </w:p>
          <w:p>
            <w:pPr>
              <w:keepNext w:val="0"/>
              <w:keepLines w:val="0"/>
              <w:suppressLineNumbers w:val="0"/>
              <w:snapToGrid w:val="0"/>
              <w:spacing w:before="0" w:beforeAutospacing="0" w:after="0" w:afterAutospacing="0" w:line="360" w:lineRule="auto"/>
              <w:ind w:left="0" w:right="0" w:firstLine="482" w:firstLineChars="200"/>
              <w:rPr>
                <w:rFonts w:hint="eastAsia" w:ascii="宋体" w:hAnsi="宋体" w:cs="Times New Roman"/>
                <w:b/>
                <w:bCs/>
                <w:color w:val="auto"/>
                <w:sz w:val="24"/>
                <w:szCs w:val="24"/>
              </w:rPr>
            </w:pPr>
            <w:r>
              <w:rPr>
                <w:rFonts w:hint="eastAsia" w:ascii="宋体" w:hAnsi="宋体" w:cs="Times New Roman"/>
                <w:b/>
                <w:bCs/>
                <w:color w:val="auto"/>
                <w:sz w:val="24"/>
                <w:szCs w:val="24"/>
              </w:rPr>
              <w:t>（1）声环境质量标准</w:t>
            </w:r>
          </w:p>
          <w:p>
            <w:pPr>
              <w:keepNext w:val="0"/>
              <w:keepLines w:val="0"/>
              <w:suppressLineNumbers w:val="0"/>
              <w:snapToGrid w:val="0"/>
              <w:spacing w:before="0" w:beforeAutospacing="0" w:after="0" w:afterAutospacing="0" w:line="360" w:lineRule="auto"/>
              <w:ind w:left="0" w:right="0" w:firstLine="480" w:firstLineChars="200"/>
              <w:rPr>
                <w:rFonts w:hint="eastAsia" w:ascii="宋体" w:hAnsi="宋体" w:cs="Times New Roman"/>
                <w:color w:val="auto"/>
                <w:sz w:val="24"/>
                <w:szCs w:val="24"/>
              </w:rPr>
            </w:pPr>
            <w:r>
              <w:rPr>
                <w:rFonts w:hint="eastAsia" w:ascii="宋体" w:hAnsi="宋体" w:cs="Times New Roman"/>
                <w:color w:val="auto"/>
                <w:sz w:val="24"/>
                <w:szCs w:val="24"/>
              </w:rPr>
              <w:t>本</w:t>
            </w:r>
            <w:r>
              <w:rPr>
                <w:rFonts w:hint="default" w:ascii="宋体" w:hAnsi="宋体" w:cs="Times New Roman"/>
                <w:color w:val="auto"/>
                <w:sz w:val="24"/>
                <w:szCs w:val="24"/>
              </w:rPr>
              <w:t>项目</w:t>
            </w:r>
            <w:r>
              <w:rPr>
                <w:rFonts w:hint="eastAsia" w:ascii="宋体" w:hAnsi="宋体" w:cs="Times New Roman"/>
                <w:color w:val="auto"/>
                <w:sz w:val="24"/>
                <w:szCs w:val="24"/>
                <w:lang w:eastAsia="zh-CN"/>
              </w:rPr>
              <w:t>所在区域</w:t>
            </w:r>
            <w:r>
              <w:rPr>
                <w:rFonts w:hint="default" w:ascii="宋体" w:hAnsi="宋体" w:cs="Times New Roman"/>
                <w:color w:val="auto"/>
                <w:sz w:val="24"/>
                <w:szCs w:val="24"/>
              </w:rPr>
              <w:t>声环境</w:t>
            </w:r>
            <w:r>
              <w:rPr>
                <w:rFonts w:hint="eastAsia" w:ascii="宋体" w:hAnsi="宋体" w:cs="Times New Roman"/>
                <w:color w:val="auto"/>
                <w:sz w:val="24"/>
                <w:szCs w:val="24"/>
              </w:rPr>
              <w:t>执行</w:t>
            </w:r>
            <w:r>
              <w:rPr>
                <w:rFonts w:hint="default" w:ascii="宋体" w:hAnsi="宋体" w:cs="Times New Roman"/>
                <w:color w:val="auto"/>
                <w:sz w:val="24"/>
                <w:szCs w:val="24"/>
              </w:rPr>
              <w:t>《声环境质量标准》（GB</w:t>
            </w:r>
            <w:r>
              <w:rPr>
                <w:rFonts w:hint="eastAsia" w:ascii="宋体" w:hAnsi="宋体" w:cs="Times New Roman"/>
                <w:color w:val="auto"/>
                <w:sz w:val="24"/>
                <w:szCs w:val="24"/>
                <w:lang w:eastAsia="zh-CN"/>
              </w:rPr>
              <w:t>****</w:t>
            </w:r>
            <w:r>
              <w:rPr>
                <w:rFonts w:hint="default" w:ascii="宋体" w:hAnsi="宋体" w:cs="Times New Roman"/>
                <w:color w:val="auto"/>
                <w:sz w:val="24"/>
                <w:szCs w:val="24"/>
              </w:rPr>
              <w:t>-2008）</w:t>
            </w:r>
            <w:r>
              <w:rPr>
                <w:rFonts w:hint="default" w:ascii="宋体" w:hAnsi="宋体" w:cs="Times New Roman"/>
                <w:color w:val="auto"/>
                <w:sz w:val="24"/>
                <w:szCs w:val="24"/>
                <w:lang w:val="en-US"/>
              </w:rPr>
              <w:t>2</w:t>
            </w:r>
            <w:r>
              <w:rPr>
                <w:rFonts w:hint="default" w:ascii="宋体" w:hAnsi="宋体" w:cs="Times New Roman"/>
                <w:color w:val="auto"/>
                <w:sz w:val="24"/>
                <w:szCs w:val="24"/>
              </w:rPr>
              <w:t>类</w:t>
            </w:r>
            <w:r>
              <w:rPr>
                <w:rFonts w:hint="eastAsia" w:ascii="宋体" w:hAnsi="宋体" w:cs="Times New Roman"/>
                <w:color w:val="auto"/>
                <w:sz w:val="24"/>
                <w:szCs w:val="24"/>
                <w:lang w:eastAsia="zh-CN"/>
              </w:rPr>
              <w:t>标准</w:t>
            </w:r>
            <w:r>
              <w:rPr>
                <w:rFonts w:hint="default" w:ascii="宋体" w:hAnsi="宋体" w:cs="Times New Roman"/>
                <w:color w:val="auto"/>
                <w:sz w:val="24"/>
                <w:szCs w:val="24"/>
              </w:rPr>
              <w:t>。</w:t>
            </w:r>
            <w:r>
              <w:rPr>
                <w:rFonts w:hint="eastAsia" w:ascii="宋体" w:hAnsi="宋体" w:cs="Times New Roman"/>
                <w:color w:val="auto"/>
                <w:sz w:val="24"/>
                <w:szCs w:val="24"/>
              </w:rPr>
              <w:t>见表3-</w:t>
            </w:r>
            <w:r>
              <w:rPr>
                <w:rFonts w:hint="default" w:ascii="宋体" w:hAnsi="宋体" w:cs="Times New Roman"/>
                <w:color w:val="auto"/>
                <w:sz w:val="24"/>
                <w:szCs w:val="24"/>
              </w:rPr>
              <w:t>1</w:t>
            </w:r>
            <w:r>
              <w:rPr>
                <w:rFonts w:hint="eastAsia" w:ascii="宋体" w:hAnsi="宋体" w:cs="Times New Roman"/>
                <w:color w:val="auto"/>
                <w:sz w:val="24"/>
                <w:szCs w:val="24"/>
              </w:rPr>
              <w:t>。</w:t>
            </w:r>
          </w:p>
          <w:p>
            <w:pPr>
              <w:keepNext w:val="0"/>
              <w:keepLines w:val="0"/>
              <w:widowControl/>
              <w:suppressLineNumbers w:val="0"/>
              <w:spacing w:before="0" w:beforeAutospacing="0" w:after="0" w:afterAutospacing="0"/>
              <w:ind w:left="0" w:right="0" w:firstLine="723" w:firstLineChars="300"/>
              <w:jc w:val="center"/>
              <w:rPr>
                <w:rFonts w:hint="eastAsia" w:ascii="宋体" w:hAnsi="宋体" w:cs="宋体"/>
                <w:b/>
                <w:bCs/>
                <w:color w:val="auto"/>
                <w:kern w:val="0"/>
                <w:sz w:val="24"/>
                <w:szCs w:val="24"/>
              </w:rPr>
            </w:pPr>
            <w:r>
              <w:rPr>
                <w:rFonts w:hint="eastAsia" w:ascii="宋体" w:hAnsi="宋体" w:cs="宋体"/>
                <w:b/>
                <w:bCs/>
                <w:color w:val="auto"/>
                <w:kern w:val="0"/>
                <w:sz w:val="24"/>
                <w:szCs w:val="24"/>
                <w:lang w:bidi="ar"/>
              </w:rPr>
              <w:t>表3-</w:t>
            </w:r>
            <w:r>
              <w:rPr>
                <w:rFonts w:hint="default" w:ascii="宋体" w:hAnsi="宋体" w:cs="宋体"/>
                <w:b/>
                <w:bCs/>
                <w:color w:val="auto"/>
                <w:kern w:val="0"/>
                <w:sz w:val="24"/>
                <w:szCs w:val="24"/>
                <w:lang w:bidi="ar"/>
              </w:rPr>
              <w:t xml:space="preserve">1 </w:t>
            </w:r>
            <w:r>
              <w:rPr>
                <w:rFonts w:hint="eastAsia" w:ascii="宋体" w:hAnsi="宋体" w:cs="宋体"/>
                <w:b/>
                <w:bCs/>
                <w:color w:val="auto"/>
                <w:kern w:val="0"/>
                <w:sz w:val="24"/>
                <w:szCs w:val="24"/>
                <w:lang w:bidi="ar"/>
              </w:rPr>
              <w:t>声环境质量标准  单位：dB（A）</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448"/>
              <w:gridCol w:w="3581"/>
              <w:gridCol w:w="322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877" w:type="pct"/>
                  <w:tcBorders>
                    <w:top w:val="single" w:color="auto" w:sz="4" w:space="0"/>
                    <w:left w:val="single" w:color="auto" w:sz="4" w:space="0"/>
                    <w:bottom w:val="single" w:color="auto" w:sz="6" w:space="0"/>
                    <w:right w:val="single" w:color="auto" w:sz="4" w:space="0"/>
                  </w:tcBorders>
                  <w:noWrap w:val="0"/>
                  <w:vAlign w:val="center"/>
                </w:tcPr>
                <w:p>
                  <w:pPr>
                    <w:keepNext w:val="0"/>
                    <w:keepLines w:val="0"/>
                    <w:suppressLineNumbers w:val="0"/>
                    <w:tabs>
                      <w:tab w:val="right" w:pos="8306"/>
                    </w:tabs>
                    <w:spacing w:before="0" w:beforeAutospacing="0" w:after="0" w:afterAutospacing="0"/>
                    <w:ind w:left="0" w:right="0"/>
                    <w:jc w:val="center"/>
                    <w:rPr>
                      <w:rFonts w:hint="default" w:ascii="Calibri" w:hAnsi="Calibri" w:cs="Times New Roman"/>
                      <w:color w:val="auto"/>
                    </w:rPr>
                  </w:pPr>
                  <w:r>
                    <w:rPr>
                      <w:rFonts w:hint="eastAsia" w:ascii="Calibri" w:hAnsi="Calibri" w:cs="Times New Roman"/>
                      <w:color w:val="auto"/>
                    </w:rPr>
                    <w:t>适用区域</w:t>
                  </w:r>
                </w:p>
              </w:tc>
              <w:tc>
                <w:tcPr>
                  <w:tcW w:w="2169" w:type="pct"/>
                  <w:tcBorders>
                    <w:top w:val="single" w:color="auto" w:sz="4" w:space="0"/>
                    <w:left w:val="single" w:color="auto" w:sz="4" w:space="0"/>
                    <w:bottom w:val="single" w:color="auto" w:sz="6" w:space="0"/>
                    <w:right w:val="single" w:color="auto" w:sz="6" w:space="0"/>
                  </w:tcBorders>
                  <w:noWrap w:val="0"/>
                  <w:vAlign w:val="center"/>
                </w:tcPr>
                <w:p>
                  <w:pPr>
                    <w:keepNext w:val="0"/>
                    <w:keepLines w:val="0"/>
                    <w:suppressLineNumbers w:val="0"/>
                    <w:tabs>
                      <w:tab w:val="right" w:pos="8306"/>
                    </w:tabs>
                    <w:spacing w:before="0" w:beforeAutospacing="0" w:after="0" w:afterAutospacing="0"/>
                    <w:ind w:left="0" w:right="0"/>
                    <w:jc w:val="center"/>
                    <w:rPr>
                      <w:rFonts w:hint="eastAsia" w:ascii="Calibri" w:hAnsi="Calibri" w:cs="Times New Roman"/>
                      <w:color w:val="auto"/>
                    </w:rPr>
                  </w:pPr>
                  <w:r>
                    <w:rPr>
                      <w:rFonts w:hint="eastAsia" w:ascii="Times New Roman" w:hAnsi="Times New Roman" w:cs="宋体"/>
                      <w:color w:val="auto"/>
                      <w:lang w:bidi="ar"/>
                    </w:rPr>
                    <w:t>昼间</w:t>
                  </w:r>
                </w:p>
              </w:tc>
              <w:tc>
                <w:tcPr>
                  <w:tcW w:w="1953" w:type="pct"/>
                  <w:tcBorders>
                    <w:top w:val="single" w:color="auto" w:sz="4" w:space="0"/>
                    <w:left w:val="single" w:color="auto" w:sz="6" w:space="0"/>
                    <w:bottom w:val="single" w:color="auto" w:sz="6" w:space="0"/>
                    <w:right w:val="single" w:color="auto" w:sz="4" w:space="0"/>
                  </w:tcBorders>
                  <w:noWrap w:val="0"/>
                  <w:vAlign w:val="center"/>
                </w:tcPr>
                <w:p>
                  <w:pPr>
                    <w:keepNext w:val="0"/>
                    <w:keepLines w:val="0"/>
                    <w:suppressLineNumbers w:val="0"/>
                    <w:tabs>
                      <w:tab w:val="right" w:pos="8306"/>
                    </w:tabs>
                    <w:spacing w:before="0" w:beforeAutospacing="0" w:after="0" w:afterAutospacing="0"/>
                    <w:ind w:left="0" w:right="0"/>
                    <w:jc w:val="center"/>
                    <w:rPr>
                      <w:rFonts w:hint="default" w:ascii="Calibri" w:hAnsi="Calibri" w:cs="Times New Roman"/>
                      <w:color w:val="auto"/>
                    </w:rPr>
                  </w:pPr>
                  <w:r>
                    <w:rPr>
                      <w:rFonts w:hint="eastAsia" w:ascii="Times New Roman" w:hAnsi="Times New Roman" w:cs="宋体"/>
                      <w:color w:val="auto"/>
                      <w:lang w:bidi="ar"/>
                    </w:rPr>
                    <w:t>夜间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77" w:type="pct"/>
                  <w:tcBorders>
                    <w:top w:val="single" w:color="auto" w:sz="6" w:space="0"/>
                    <w:left w:val="single" w:color="auto" w:sz="4" w:space="0"/>
                    <w:bottom w:val="single" w:color="auto" w:sz="6" w:space="0"/>
                    <w:right w:val="single" w:color="auto" w:sz="4" w:space="0"/>
                  </w:tcBorders>
                  <w:noWrap w:val="0"/>
                  <w:vAlign w:val="center"/>
                </w:tcPr>
                <w:p>
                  <w:pPr>
                    <w:keepNext w:val="0"/>
                    <w:keepLines w:val="0"/>
                    <w:suppressLineNumbers w:val="0"/>
                    <w:tabs>
                      <w:tab w:val="right" w:pos="8306"/>
                    </w:tabs>
                    <w:spacing w:before="0" w:beforeAutospacing="0" w:after="0" w:afterAutospacing="0"/>
                    <w:ind w:left="0" w:right="0"/>
                    <w:jc w:val="center"/>
                    <w:rPr>
                      <w:rFonts w:hint="default" w:ascii="Times New Roman" w:hAnsi="Times New Roman" w:cs="Times New Roman"/>
                      <w:color w:val="auto"/>
                      <w:lang w:bidi="ar"/>
                    </w:rPr>
                  </w:pPr>
                  <w:r>
                    <w:rPr>
                      <w:rFonts w:hint="eastAsia" w:ascii="Times New Roman" w:hAnsi="Times New Roman" w:cs="Times New Roman"/>
                      <w:color w:val="auto"/>
                      <w:lang w:bidi="ar"/>
                    </w:rPr>
                    <w:t>2类</w:t>
                  </w:r>
                </w:p>
              </w:tc>
              <w:tc>
                <w:tcPr>
                  <w:tcW w:w="2169" w:type="pct"/>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tabs>
                      <w:tab w:val="right" w:pos="8306"/>
                    </w:tabs>
                    <w:spacing w:before="0" w:beforeAutospacing="0" w:after="0" w:afterAutospacing="0"/>
                    <w:ind w:left="0" w:right="0"/>
                    <w:jc w:val="center"/>
                    <w:rPr>
                      <w:rFonts w:hint="default" w:ascii="Calibri" w:hAnsi="Calibri" w:cs="Times New Roman"/>
                      <w:color w:val="auto"/>
                    </w:rPr>
                  </w:pPr>
                  <w:r>
                    <w:rPr>
                      <w:rFonts w:hint="default" w:ascii="Times New Roman" w:hAnsi="Times New Roman" w:cs="Times New Roman"/>
                      <w:color w:val="auto"/>
                      <w:lang w:bidi="ar"/>
                    </w:rPr>
                    <w:t>60</w:t>
                  </w:r>
                </w:p>
              </w:tc>
              <w:tc>
                <w:tcPr>
                  <w:tcW w:w="1953" w:type="pct"/>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tabs>
                      <w:tab w:val="right" w:pos="8306"/>
                    </w:tabs>
                    <w:spacing w:before="0" w:beforeAutospacing="0" w:after="0" w:afterAutospacing="0"/>
                    <w:ind w:left="0" w:right="0"/>
                    <w:jc w:val="center"/>
                    <w:rPr>
                      <w:rFonts w:hint="default" w:ascii="Calibri" w:hAnsi="Calibri" w:cs="Times New Roman"/>
                      <w:color w:val="auto"/>
                    </w:rPr>
                  </w:pPr>
                  <w:r>
                    <w:rPr>
                      <w:rFonts w:hint="default" w:ascii="Times New Roman" w:hAnsi="Times New Roman" w:cs="Times New Roman"/>
                      <w:color w:val="auto"/>
                      <w:lang w:bidi="ar"/>
                    </w:rPr>
                    <w:t>50</w:t>
                  </w:r>
                </w:p>
              </w:tc>
            </w:tr>
          </w:tbl>
          <w:p>
            <w:pPr>
              <w:pStyle w:val="9"/>
              <w:keepNext w:val="0"/>
              <w:keepLines w:val="0"/>
              <w:suppressLineNumbers w:val="0"/>
              <w:spacing w:beforeAutospacing="0" w:afterAutospacing="0"/>
              <w:ind w:left="0" w:firstLine="241" w:firstLineChars="100"/>
              <w:rPr>
                <w:rFonts w:hint="eastAsia" w:ascii="宋体" w:hAnsi="宋体" w:cs="Times New Roman"/>
                <w:b/>
                <w:bCs/>
                <w:color w:val="auto"/>
                <w:kern w:val="0"/>
                <w:sz w:val="24"/>
              </w:rPr>
            </w:pPr>
            <w:r>
              <w:rPr>
                <w:rFonts w:hint="eastAsia" w:ascii="宋体" w:hAnsi="宋体" w:cs="Times New Roman"/>
                <w:b/>
                <w:bCs/>
                <w:color w:val="auto"/>
                <w:kern w:val="0"/>
                <w:sz w:val="24"/>
              </w:rPr>
              <w:t>（2）声环境质量现状</w:t>
            </w:r>
          </w:p>
          <w:p>
            <w:pPr>
              <w:pStyle w:val="9"/>
              <w:keepNext w:val="0"/>
              <w:keepLines w:val="0"/>
              <w:suppressLineNumbers w:val="0"/>
              <w:spacing w:before="0" w:beforeAutospacing="0" w:after="0" w:afterAutospacing="0" w:line="360" w:lineRule="auto"/>
              <w:ind w:left="0" w:firstLine="480" w:firstLineChars="200"/>
              <w:rPr>
                <w:rFonts w:hint="eastAsia" w:ascii="宋体" w:hAnsi="宋体" w:cs="Times New Roman"/>
                <w:color w:val="auto"/>
                <w:kern w:val="0"/>
                <w:sz w:val="24"/>
              </w:rPr>
            </w:pPr>
            <w:r>
              <w:rPr>
                <w:rFonts w:hint="eastAsia" w:ascii="宋体" w:hAnsi="宋体" w:cs="Times New Roman"/>
                <w:color w:val="auto"/>
                <w:kern w:val="0"/>
                <w:sz w:val="24"/>
              </w:rPr>
              <w:t>据《202</w:t>
            </w:r>
            <w:r>
              <w:rPr>
                <w:rFonts w:hint="default" w:ascii="宋体" w:hAnsi="宋体" w:cs="Times New Roman"/>
                <w:color w:val="auto"/>
                <w:kern w:val="0"/>
                <w:sz w:val="24"/>
                <w:lang w:val="en-US"/>
              </w:rPr>
              <w:t>2</w:t>
            </w:r>
            <w:r>
              <w:rPr>
                <w:rFonts w:hint="eastAsia" w:ascii="宋体" w:hAnsi="宋体" w:cs="Times New Roman"/>
                <w:color w:val="auto"/>
                <w:kern w:val="0"/>
                <w:sz w:val="24"/>
              </w:rPr>
              <w:t>年度昆明市生态环境状况公报》，县(市)区区域环境声环境质量 2022年，各县(市)区间区域环境噪声平均等效声级分别为: 东川区53.6分贝，安宁市48.7分贝、宜良县53.3分贝，石林县48.8分贝，禄劝县54.2分贝，嵩明县52.5分贝，富民县52.7分贝，晋宁区50.9分贝，寻甸县48.6分贝。根据区域环境噪声质量划分等级进行评价，总体水平在一级(好)和二级(较好)之间。与2021年相比，安宁市、宜良县、禄劝县、嵩明县、富民县、晋宁区的尽间区域声环境质量平均等效声级下降，东川区、石林县、寻甸县的昼间区域声环境质量平均等效声级上升。</w:t>
            </w:r>
          </w:p>
          <w:p>
            <w:pPr>
              <w:pStyle w:val="9"/>
              <w:keepNext w:val="0"/>
              <w:keepLines w:val="0"/>
              <w:suppressLineNumbers w:val="0"/>
              <w:spacing w:before="0" w:beforeAutospacing="0" w:after="0" w:afterAutospacing="0" w:line="360" w:lineRule="auto"/>
              <w:ind w:left="0" w:firstLine="480" w:firstLineChars="200"/>
              <w:rPr>
                <w:rFonts w:hint="eastAsia" w:ascii="宋体" w:hAnsi="宋体" w:cs="Times New Roman"/>
                <w:color w:val="auto"/>
                <w:kern w:val="0"/>
                <w:sz w:val="24"/>
              </w:rPr>
            </w:pPr>
            <w:r>
              <w:rPr>
                <w:rFonts w:hint="eastAsia" w:ascii="宋体" w:hAnsi="宋体" w:cs="Times New Roman"/>
                <w:color w:val="auto"/>
                <w:kern w:val="0"/>
                <w:sz w:val="24"/>
              </w:rPr>
              <w:t>为更好的了解项目区域声环境区域质量，202</w:t>
            </w:r>
            <w:r>
              <w:rPr>
                <w:rFonts w:hint="default" w:ascii="宋体" w:hAnsi="宋体" w:cs="Times New Roman"/>
                <w:color w:val="auto"/>
                <w:kern w:val="0"/>
                <w:sz w:val="24"/>
              </w:rPr>
              <w:t>3</w:t>
            </w:r>
            <w:r>
              <w:rPr>
                <w:rFonts w:hint="eastAsia" w:ascii="宋体" w:hAnsi="宋体" w:cs="Times New Roman"/>
                <w:color w:val="auto"/>
                <w:kern w:val="0"/>
                <w:sz w:val="24"/>
              </w:rPr>
              <w:t>年</w:t>
            </w:r>
            <w:r>
              <w:rPr>
                <w:rFonts w:hint="default" w:ascii="宋体" w:hAnsi="宋体" w:cs="Times New Roman"/>
                <w:color w:val="auto"/>
                <w:kern w:val="0"/>
                <w:sz w:val="24"/>
              </w:rPr>
              <w:t>3</w:t>
            </w:r>
            <w:r>
              <w:rPr>
                <w:rFonts w:hint="eastAsia" w:ascii="宋体" w:hAnsi="宋体" w:cs="Times New Roman"/>
                <w:color w:val="auto"/>
                <w:kern w:val="0"/>
                <w:sz w:val="24"/>
              </w:rPr>
              <w:t>月2</w:t>
            </w:r>
            <w:r>
              <w:rPr>
                <w:rFonts w:hint="default" w:ascii="宋体" w:hAnsi="宋体" w:cs="Times New Roman"/>
                <w:color w:val="auto"/>
                <w:kern w:val="0"/>
                <w:sz w:val="24"/>
              </w:rPr>
              <w:t>0</w:t>
            </w:r>
            <w:r>
              <w:rPr>
                <w:rFonts w:hint="eastAsia" w:ascii="宋体" w:hAnsi="宋体" w:cs="Times New Roman"/>
                <w:color w:val="auto"/>
                <w:kern w:val="0"/>
                <w:sz w:val="24"/>
              </w:rPr>
              <w:t>日至</w:t>
            </w:r>
            <w:r>
              <w:rPr>
                <w:rFonts w:hint="default" w:ascii="宋体" w:hAnsi="宋体" w:cs="Times New Roman"/>
                <w:color w:val="auto"/>
                <w:kern w:val="0"/>
                <w:sz w:val="24"/>
              </w:rPr>
              <w:t>3</w:t>
            </w:r>
            <w:r>
              <w:rPr>
                <w:rFonts w:hint="eastAsia" w:ascii="宋体" w:hAnsi="宋体" w:cs="Times New Roman"/>
                <w:color w:val="auto"/>
                <w:kern w:val="0"/>
                <w:sz w:val="24"/>
              </w:rPr>
              <w:t>月</w:t>
            </w:r>
            <w:r>
              <w:rPr>
                <w:rFonts w:hint="default" w:ascii="宋体" w:hAnsi="宋体" w:cs="Times New Roman"/>
                <w:color w:val="auto"/>
                <w:kern w:val="0"/>
                <w:sz w:val="24"/>
              </w:rPr>
              <w:t>21</w:t>
            </w:r>
            <w:r>
              <w:rPr>
                <w:rFonts w:hint="eastAsia" w:ascii="宋体" w:hAnsi="宋体" w:cs="Times New Roman"/>
                <w:color w:val="auto"/>
                <w:kern w:val="0"/>
                <w:sz w:val="24"/>
              </w:rPr>
              <w:t>日，云南天倪检测有限公司对项目厂界</w:t>
            </w:r>
            <w:r>
              <w:rPr>
                <w:rFonts w:hint="eastAsia" w:ascii="宋体" w:hAnsi="宋体" w:cs="Times New Roman"/>
                <w:color w:val="auto"/>
                <w:kern w:val="0"/>
                <w:sz w:val="24"/>
                <w:lang w:eastAsia="zh-CN"/>
              </w:rPr>
              <w:t>及声环境保护目标</w:t>
            </w:r>
            <w:r>
              <w:rPr>
                <w:rFonts w:hint="eastAsia" w:ascii="宋体" w:hAnsi="宋体" w:cs="Times New Roman"/>
                <w:color w:val="auto"/>
                <w:kern w:val="0"/>
                <w:sz w:val="24"/>
              </w:rPr>
              <w:t>进行声环境现状监测，声环境现状监测结果见表3-</w:t>
            </w:r>
            <w:r>
              <w:rPr>
                <w:rFonts w:hint="default" w:ascii="宋体" w:hAnsi="宋体" w:cs="Times New Roman"/>
                <w:color w:val="auto"/>
                <w:kern w:val="0"/>
                <w:sz w:val="24"/>
              </w:rPr>
              <w:t>2</w:t>
            </w:r>
            <w:r>
              <w:rPr>
                <w:rFonts w:hint="eastAsia" w:ascii="宋体" w:hAnsi="宋体" w:cs="Times New Roman"/>
                <w:color w:val="auto"/>
                <w:kern w:val="0"/>
                <w:sz w:val="24"/>
              </w:rPr>
              <w:t xml:space="preserve">。    </w:t>
            </w:r>
          </w:p>
          <w:p>
            <w:pPr>
              <w:keepNext w:val="0"/>
              <w:keepLines w:val="0"/>
              <w:widowControl/>
              <w:suppressLineNumbers w:val="0"/>
              <w:spacing w:before="0" w:beforeAutospacing="0" w:after="0" w:afterAutospacing="0"/>
              <w:ind w:left="0" w:right="0" w:firstLine="723" w:firstLineChars="300"/>
              <w:jc w:val="center"/>
              <w:rPr>
                <w:rFonts w:hint="eastAsia" w:ascii="宋体" w:hAnsi="宋体" w:cs="宋体"/>
                <w:b/>
                <w:bCs/>
                <w:color w:val="auto"/>
                <w:kern w:val="0"/>
                <w:sz w:val="24"/>
                <w:szCs w:val="24"/>
                <w:lang w:bidi="ar"/>
              </w:rPr>
            </w:pPr>
            <w:r>
              <w:rPr>
                <w:rFonts w:hint="eastAsia" w:ascii="宋体" w:hAnsi="宋体" w:cs="宋体"/>
                <w:b/>
                <w:bCs/>
                <w:color w:val="auto"/>
                <w:kern w:val="0"/>
                <w:sz w:val="24"/>
                <w:szCs w:val="24"/>
                <w:lang w:bidi="ar"/>
              </w:rPr>
              <w:t>表3-</w:t>
            </w:r>
            <w:r>
              <w:rPr>
                <w:rFonts w:hint="default" w:ascii="宋体" w:hAnsi="宋体" w:cs="宋体"/>
                <w:b/>
                <w:bCs/>
                <w:color w:val="auto"/>
                <w:kern w:val="0"/>
                <w:sz w:val="24"/>
                <w:szCs w:val="24"/>
                <w:lang w:bidi="ar"/>
              </w:rPr>
              <w:t>2</w:t>
            </w:r>
            <w:r>
              <w:rPr>
                <w:rFonts w:hint="eastAsia" w:ascii="宋体" w:hAnsi="宋体" w:cs="宋体"/>
                <w:b/>
                <w:bCs/>
                <w:color w:val="auto"/>
                <w:kern w:val="0"/>
                <w:sz w:val="24"/>
                <w:szCs w:val="24"/>
                <w:lang w:bidi="ar"/>
              </w:rPr>
              <w:t xml:space="preserve"> 现状监测声环境监测结果</w:t>
            </w:r>
          </w:p>
          <w:tbl>
            <w:tblPr>
              <w:tblStyle w:val="26"/>
              <w:tblW w:w="47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233"/>
              <w:gridCol w:w="1233"/>
              <w:gridCol w:w="1233"/>
              <w:gridCol w:w="1233"/>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Calibri" w:hAnsi="Calibri" w:cs="Times New Roman"/>
                      <w:color w:val="auto"/>
                    </w:rPr>
                  </w:pPr>
                  <w:r>
                    <w:rPr>
                      <w:rFonts w:hint="eastAsia" w:ascii="Times New Roman" w:hAnsi="Times New Roman" w:cs="宋体"/>
                      <w:color w:val="auto"/>
                      <w:lang w:bidi="ar"/>
                    </w:rPr>
                    <w:t>监测时间</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监测点位</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时段</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噪声值</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标准值</w:t>
                  </w:r>
                </w:p>
              </w:tc>
              <w:tc>
                <w:tcPr>
                  <w:tcW w:w="8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达标评价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6"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2023.3.20</w:t>
                  </w:r>
                </w:p>
              </w:tc>
              <w:tc>
                <w:tcPr>
                  <w:tcW w:w="788" w:type="pct"/>
                  <w:vMerge w:val="restart"/>
                  <w:tcBorders>
                    <w:top w:val="single" w:color="auto" w:sz="4" w:space="0"/>
                    <w:left w:val="single" w:color="auto" w:sz="4" w:space="0"/>
                    <w:right w:val="single" w:color="auto" w:sz="4" w:space="0"/>
                  </w:tcBorders>
                  <w:noWrap w:val="0"/>
                  <w:vAlign w:val="center"/>
                </w:tcPr>
                <w:p>
                  <w:pPr>
                    <w:pStyle w:val="9"/>
                    <w:keepNext w:val="0"/>
                    <w:keepLines w:val="0"/>
                    <w:suppressLineNumbers w:val="0"/>
                    <w:adjustRightInd w:val="0"/>
                    <w:spacing w:before="0" w:beforeAutospacing="0" w:after="0" w:afterAutospacing="0" w:line="240" w:lineRule="auto"/>
                    <w:ind w:left="0" w:right="0"/>
                    <w:jc w:val="center"/>
                    <w:rPr>
                      <w:rFonts w:hint="default" w:ascii="Calibri" w:hAnsi="Calibri" w:cs="Times New Roman"/>
                      <w:color w:val="auto"/>
                      <w:kern w:val="0"/>
                      <w:sz w:val="18"/>
                      <w:szCs w:val="20"/>
                    </w:rPr>
                  </w:pPr>
                  <w:r>
                    <w:rPr>
                      <w:rFonts w:hint="eastAsia" w:ascii="Calibri" w:hAnsi="Calibri" w:cs="Times New Roman"/>
                      <w:color w:val="auto"/>
                      <w:kern w:val="0"/>
                      <w:sz w:val="18"/>
                      <w:szCs w:val="20"/>
                    </w:rPr>
                    <w:t>厂界</w:t>
                  </w:r>
                  <w:r>
                    <w:rPr>
                      <w:rFonts w:hint="default" w:ascii="Calibri" w:hAnsi="Calibri" w:cs="Times New Roman"/>
                      <w:color w:val="auto"/>
                      <w:kern w:val="0"/>
                      <w:sz w:val="18"/>
                      <w:szCs w:val="20"/>
                    </w:rPr>
                    <w:t>1#</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昼间</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51.8</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60</w:t>
                  </w:r>
                </w:p>
              </w:tc>
              <w:tc>
                <w:tcPr>
                  <w:tcW w:w="8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956"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p>
              </w:tc>
              <w:tc>
                <w:tcPr>
                  <w:tcW w:w="788"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夜间</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44.5</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50</w:t>
                  </w:r>
                </w:p>
              </w:tc>
              <w:tc>
                <w:tcPr>
                  <w:tcW w:w="8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956"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p>
              </w:tc>
              <w:tc>
                <w:tcPr>
                  <w:tcW w:w="788" w:type="pct"/>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厂界</w:t>
                  </w:r>
                  <w:r>
                    <w:rPr>
                      <w:rFonts w:hint="default" w:ascii="Times New Roman" w:hAnsi="Times New Roman" w:cs="Times New Roman"/>
                      <w:color w:val="auto"/>
                    </w:rPr>
                    <w:t>2#</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昼间</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52.5</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60</w:t>
                  </w:r>
                </w:p>
              </w:tc>
              <w:tc>
                <w:tcPr>
                  <w:tcW w:w="8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956"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p>
              </w:tc>
              <w:tc>
                <w:tcPr>
                  <w:tcW w:w="788"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夜间</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43.6</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50</w:t>
                  </w:r>
                </w:p>
              </w:tc>
              <w:tc>
                <w:tcPr>
                  <w:tcW w:w="8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956"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p>
              </w:tc>
              <w:tc>
                <w:tcPr>
                  <w:tcW w:w="788" w:type="pct"/>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厂界</w:t>
                  </w:r>
                  <w:r>
                    <w:rPr>
                      <w:rFonts w:hint="default" w:ascii="Times New Roman" w:hAnsi="Times New Roman" w:cs="Times New Roman"/>
                      <w:color w:val="auto"/>
                    </w:rPr>
                    <w:t>3#</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昼间</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53.5</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60</w:t>
                  </w:r>
                </w:p>
              </w:tc>
              <w:tc>
                <w:tcPr>
                  <w:tcW w:w="8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956"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p>
              </w:tc>
              <w:tc>
                <w:tcPr>
                  <w:tcW w:w="788"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夜间</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42.8</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50</w:t>
                  </w:r>
                </w:p>
              </w:tc>
              <w:tc>
                <w:tcPr>
                  <w:tcW w:w="8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956"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p>
              </w:tc>
              <w:tc>
                <w:tcPr>
                  <w:tcW w:w="788" w:type="pct"/>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厂界</w:t>
                  </w:r>
                  <w:r>
                    <w:rPr>
                      <w:rFonts w:hint="default" w:ascii="Times New Roman" w:hAnsi="Times New Roman" w:cs="Times New Roman"/>
                      <w:color w:val="auto"/>
                    </w:rPr>
                    <w:t>4#</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昼间</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53.7</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60</w:t>
                  </w:r>
                </w:p>
              </w:tc>
              <w:tc>
                <w:tcPr>
                  <w:tcW w:w="8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956"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p>
              </w:tc>
              <w:tc>
                <w:tcPr>
                  <w:tcW w:w="788"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夜间</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41.6</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50</w:t>
                  </w:r>
                </w:p>
              </w:tc>
              <w:tc>
                <w:tcPr>
                  <w:tcW w:w="8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956"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p>
              </w:tc>
              <w:tc>
                <w:tcPr>
                  <w:tcW w:w="788" w:type="pct"/>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eastAsia="zh-CN"/>
                    </w:rPr>
                    <w:t>石羊社区</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rPr>
                    <w:t>昼间</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cs="Times New Roman"/>
                      <w:color w:val="auto"/>
                      <w:lang w:val="en-US"/>
                    </w:rPr>
                    <w:t>51.1</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rPr>
                    <w:t>60</w:t>
                  </w:r>
                </w:p>
              </w:tc>
              <w:tc>
                <w:tcPr>
                  <w:tcW w:w="8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956"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p>
              </w:tc>
              <w:tc>
                <w:tcPr>
                  <w:tcW w:w="788"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rPr>
                    <w:t>夜间</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cs="Times New Roman"/>
                      <w:color w:val="auto"/>
                      <w:lang w:val="en-US"/>
                    </w:rPr>
                    <w:t>43.2</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rPr>
                    <w:t>50</w:t>
                  </w:r>
                </w:p>
              </w:tc>
              <w:tc>
                <w:tcPr>
                  <w:tcW w:w="8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956"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2023.3.21</w:t>
                  </w:r>
                </w:p>
              </w:tc>
              <w:tc>
                <w:tcPr>
                  <w:tcW w:w="788" w:type="pct"/>
                  <w:vMerge w:val="restart"/>
                  <w:tcBorders>
                    <w:left w:val="single" w:color="auto" w:sz="4" w:space="0"/>
                    <w:right w:val="single" w:color="auto" w:sz="4" w:space="0"/>
                  </w:tcBorders>
                  <w:noWrap w:val="0"/>
                  <w:vAlign w:val="center"/>
                </w:tcPr>
                <w:p>
                  <w:pPr>
                    <w:pStyle w:val="9"/>
                    <w:keepNext w:val="0"/>
                    <w:keepLines w:val="0"/>
                    <w:suppressLineNumbers w:val="0"/>
                    <w:adjustRightInd w:val="0"/>
                    <w:spacing w:before="0" w:beforeAutospacing="0" w:after="0" w:afterAutospacing="0" w:line="240" w:lineRule="auto"/>
                    <w:ind w:left="0" w:right="0"/>
                    <w:jc w:val="center"/>
                    <w:rPr>
                      <w:rFonts w:hint="default" w:ascii="Times New Roman" w:hAnsi="Times New Roman" w:cs="Times New Roman"/>
                      <w:color w:val="auto"/>
                      <w:kern w:val="0"/>
                      <w:sz w:val="18"/>
                      <w:szCs w:val="20"/>
                    </w:rPr>
                  </w:pPr>
                  <w:r>
                    <w:rPr>
                      <w:rFonts w:hint="eastAsia" w:ascii="Calibri" w:hAnsi="Calibri" w:cs="Times New Roman"/>
                      <w:color w:val="auto"/>
                      <w:kern w:val="0"/>
                      <w:sz w:val="18"/>
                      <w:szCs w:val="20"/>
                    </w:rPr>
                    <w:t>厂界</w:t>
                  </w:r>
                  <w:r>
                    <w:rPr>
                      <w:rFonts w:hint="default" w:ascii="Calibri" w:hAnsi="Calibri" w:cs="Times New Roman"/>
                      <w:color w:val="auto"/>
                      <w:kern w:val="0"/>
                      <w:sz w:val="18"/>
                      <w:szCs w:val="20"/>
                    </w:rPr>
                    <w:t>1#</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昼间</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52.2</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60</w:t>
                  </w:r>
                </w:p>
              </w:tc>
              <w:tc>
                <w:tcPr>
                  <w:tcW w:w="8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956"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p>
              </w:tc>
              <w:tc>
                <w:tcPr>
                  <w:tcW w:w="788"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夜间</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43.5</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50</w:t>
                  </w:r>
                </w:p>
              </w:tc>
              <w:tc>
                <w:tcPr>
                  <w:tcW w:w="8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956"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p>
              </w:tc>
              <w:tc>
                <w:tcPr>
                  <w:tcW w:w="788" w:type="pct"/>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厂界</w:t>
                  </w:r>
                  <w:r>
                    <w:rPr>
                      <w:rFonts w:hint="default" w:ascii="Times New Roman" w:hAnsi="Times New Roman" w:cs="Times New Roman"/>
                      <w:color w:val="auto"/>
                    </w:rPr>
                    <w:t>2#</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昼间</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51.0</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60</w:t>
                  </w:r>
                </w:p>
              </w:tc>
              <w:tc>
                <w:tcPr>
                  <w:tcW w:w="8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956"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p>
              </w:tc>
              <w:tc>
                <w:tcPr>
                  <w:tcW w:w="788"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夜间</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43.5</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50</w:t>
                  </w:r>
                </w:p>
              </w:tc>
              <w:tc>
                <w:tcPr>
                  <w:tcW w:w="8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956"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p>
              </w:tc>
              <w:tc>
                <w:tcPr>
                  <w:tcW w:w="788" w:type="pct"/>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厂界</w:t>
                  </w:r>
                  <w:r>
                    <w:rPr>
                      <w:rFonts w:hint="default" w:ascii="Times New Roman" w:hAnsi="Times New Roman" w:cs="Times New Roman"/>
                      <w:color w:val="auto"/>
                    </w:rPr>
                    <w:t>3#</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昼间</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53.9</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60</w:t>
                  </w:r>
                </w:p>
              </w:tc>
              <w:tc>
                <w:tcPr>
                  <w:tcW w:w="8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956"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p>
              </w:tc>
              <w:tc>
                <w:tcPr>
                  <w:tcW w:w="788"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夜间</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43.9</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50</w:t>
                  </w:r>
                </w:p>
              </w:tc>
              <w:tc>
                <w:tcPr>
                  <w:tcW w:w="8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956"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p>
              </w:tc>
              <w:tc>
                <w:tcPr>
                  <w:tcW w:w="788" w:type="pct"/>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厂界</w:t>
                  </w:r>
                  <w:r>
                    <w:rPr>
                      <w:rFonts w:hint="default" w:ascii="Times New Roman" w:hAnsi="Times New Roman" w:cs="Times New Roman"/>
                      <w:color w:val="auto"/>
                    </w:rPr>
                    <w:t>4#</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昼间</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54.5</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60</w:t>
                  </w:r>
                </w:p>
              </w:tc>
              <w:tc>
                <w:tcPr>
                  <w:tcW w:w="8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956"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p>
              </w:tc>
              <w:tc>
                <w:tcPr>
                  <w:tcW w:w="788"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夜间</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42.2</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50</w:t>
                  </w:r>
                </w:p>
              </w:tc>
              <w:tc>
                <w:tcPr>
                  <w:tcW w:w="8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956"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p>
              </w:tc>
              <w:tc>
                <w:tcPr>
                  <w:tcW w:w="788" w:type="pct"/>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lang w:eastAsia="zh-CN"/>
                    </w:rPr>
                    <w:t>石羊社区</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rPr>
                    <w:t>昼间</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cs="Times New Roman"/>
                      <w:color w:val="auto"/>
                      <w:lang w:val="en-US"/>
                    </w:rPr>
                    <w:t>53.0</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rPr>
                    <w:t>60</w:t>
                  </w:r>
                </w:p>
              </w:tc>
              <w:tc>
                <w:tcPr>
                  <w:tcW w:w="8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956"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p>
              </w:tc>
              <w:tc>
                <w:tcPr>
                  <w:tcW w:w="788"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rPr>
                    <w:t>夜间</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cs="Times New Roman"/>
                      <w:color w:val="auto"/>
                      <w:lang w:val="en-US"/>
                    </w:rPr>
                    <w:t>44.9</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rPr>
                    <w:t>50</w:t>
                  </w:r>
                </w:p>
              </w:tc>
              <w:tc>
                <w:tcPr>
                  <w:tcW w:w="8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rPr>
                    <w:t>达标</w:t>
                  </w:r>
                </w:p>
              </w:tc>
            </w:tr>
          </w:tbl>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Calibri" w:hAnsi="Calibri" w:cs="Times New Roman"/>
                <w:color w:val="auto"/>
                <w:sz w:val="24"/>
                <w:szCs w:val="24"/>
              </w:rPr>
            </w:pPr>
            <w:r>
              <w:rPr>
                <w:rFonts w:hint="eastAsia" w:ascii="Times New Roman" w:hAnsi="Times New Roman" w:cs="宋体"/>
                <w:color w:val="auto"/>
                <w:sz w:val="24"/>
                <w:szCs w:val="24"/>
                <w:lang w:bidi="ar"/>
              </w:rPr>
              <w:t>据监测结果，医院厂界四周</w:t>
            </w:r>
            <w:r>
              <w:rPr>
                <w:rFonts w:hint="eastAsia" w:cs="宋体"/>
                <w:color w:val="auto"/>
                <w:sz w:val="24"/>
                <w:szCs w:val="24"/>
                <w:lang w:eastAsia="zh-CN" w:bidi="ar"/>
              </w:rPr>
              <w:t>及声环境保护目标（石羊社区）</w:t>
            </w:r>
            <w:r>
              <w:rPr>
                <w:rFonts w:hint="eastAsia" w:ascii="Times New Roman" w:hAnsi="Times New Roman" w:cs="宋体"/>
                <w:color w:val="auto"/>
                <w:sz w:val="24"/>
                <w:szCs w:val="24"/>
                <w:lang w:bidi="ar"/>
              </w:rPr>
              <w:t>满足</w:t>
            </w:r>
            <w:r>
              <w:rPr>
                <w:rFonts w:hint="default" w:ascii="宋体" w:hAnsi="宋体" w:cs="Times New Roman"/>
                <w:color w:val="auto"/>
                <w:sz w:val="24"/>
                <w:szCs w:val="24"/>
              </w:rPr>
              <w:t>《声环境质量标准》（GB</w:t>
            </w:r>
            <w:r>
              <w:rPr>
                <w:rFonts w:hint="eastAsia" w:ascii="宋体" w:hAnsi="宋体" w:cs="Times New Roman"/>
                <w:color w:val="auto"/>
                <w:sz w:val="24"/>
                <w:szCs w:val="24"/>
                <w:lang w:eastAsia="zh-CN"/>
              </w:rPr>
              <w:t>****</w:t>
            </w:r>
            <w:r>
              <w:rPr>
                <w:rFonts w:hint="default" w:ascii="宋体" w:hAnsi="宋体" w:cs="Times New Roman"/>
                <w:color w:val="auto"/>
                <w:sz w:val="24"/>
                <w:szCs w:val="24"/>
              </w:rPr>
              <w:t>-2008）</w:t>
            </w:r>
            <w:r>
              <w:rPr>
                <w:rFonts w:hint="eastAsia" w:ascii="宋体" w:hAnsi="宋体" w:cs="Times New Roman"/>
                <w:color w:val="auto"/>
                <w:sz w:val="24"/>
                <w:szCs w:val="24"/>
              </w:rPr>
              <w:t>2类</w:t>
            </w:r>
            <w:r>
              <w:rPr>
                <w:rFonts w:hint="eastAsia" w:ascii="Times New Roman" w:hAnsi="Times New Roman" w:cs="宋体"/>
                <w:color w:val="auto"/>
                <w:sz w:val="24"/>
                <w:szCs w:val="24"/>
                <w:lang w:bidi="ar"/>
              </w:rPr>
              <w:t>标准要求。</w:t>
            </w:r>
          </w:p>
          <w:p>
            <w:pPr>
              <w:keepNext w:val="0"/>
              <w:keepLines w:val="0"/>
              <w:suppressLineNumbers w:val="0"/>
              <w:snapToGrid w:val="0"/>
              <w:spacing w:before="0" w:beforeAutospacing="0" w:after="0" w:afterAutospacing="0" w:line="360" w:lineRule="auto"/>
              <w:ind w:left="0" w:right="0"/>
              <w:rPr>
                <w:rFonts w:hint="eastAsia" w:ascii="Calibri" w:hAnsi="Calibri" w:cs="Times New Roman"/>
                <w:b/>
                <w:bCs/>
                <w:color w:val="auto"/>
                <w:sz w:val="24"/>
              </w:rPr>
            </w:pPr>
            <w:r>
              <w:rPr>
                <w:rFonts w:hint="eastAsia" w:ascii="Calibri" w:hAnsi="Calibri" w:cs="Times New Roman"/>
                <w:b/>
                <w:bCs/>
                <w:color w:val="auto"/>
                <w:sz w:val="24"/>
              </w:rPr>
              <w:t>3、地表水环境质量标准现状</w:t>
            </w:r>
          </w:p>
          <w:p>
            <w:pPr>
              <w:keepNext w:val="0"/>
              <w:keepLines w:val="0"/>
              <w:suppressLineNumbers w:val="0"/>
              <w:snapToGrid w:val="0"/>
              <w:spacing w:before="0" w:beforeAutospacing="0" w:after="0" w:afterAutospacing="0" w:line="360" w:lineRule="auto"/>
              <w:ind w:left="0" w:right="0" w:firstLine="482" w:firstLineChars="200"/>
              <w:rPr>
                <w:rFonts w:hint="default" w:ascii="宋体" w:hAnsi="宋体" w:cs="Times New Roman"/>
                <w:b/>
                <w:bCs/>
                <w:color w:val="auto"/>
                <w:sz w:val="24"/>
                <w:szCs w:val="24"/>
              </w:rPr>
            </w:pPr>
            <w:r>
              <w:rPr>
                <w:rFonts w:hint="eastAsia" w:ascii="宋体" w:hAnsi="宋体" w:cs="Times New Roman"/>
                <w:b/>
                <w:bCs/>
                <w:color w:val="auto"/>
                <w:sz w:val="24"/>
                <w:szCs w:val="24"/>
              </w:rPr>
              <w:t>（</w:t>
            </w:r>
            <w:r>
              <w:rPr>
                <w:rFonts w:hint="default" w:ascii="宋体" w:hAnsi="宋体" w:cs="Times New Roman"/>
                <w:b/>
                <w:bCs/>
                <w:color w:val="auto"/>
                <w:sz w:val="24"/>
                <w:szCs w:val="24"/>
              </w:rPr>
              <w:t>1</w:t>
            </w:r>
            <w:r>
              <w:rPr>
                <w:rFonts w:hint="eastAsia" w:ascii="宋体" w:hAnsi="宋体" w:cs="Times New Roman"/>
                <w:b/>
                <w:bCs/>
                <w:color w:val="auto"/>
                <w:sz w:val="24"/>
                <w:szCs w:val="24"/>
              </w:rPr>
              <w:t>）地表水环境质量标准</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r>
              <w:rPr>
                <w:rFonts w:hint="eastAsia" w:ascii="宋体" w:hAnsi="宋体" w:cs="Times New Roman"/>
                <w:color w:val="auto"/>
                <w:sz w:val="24"/>
                <w:szCs w:val="24"/>
              </w:rPr>
              <w:t>据调查，项目区最近的地表水体为项目西面</w:t>
            </w:r>
            <w:r>
              <w:rPr>
                <w:rFonts w:hint="default" w:ascii="宋体" w:hAnsi="宋体" w:cs="Times New Roman"/>
                <w:color w:val="auto"/>
                <w:sz w:val="24"/>
                <w:szCs w:val="24"/>
              </w:rPr>
              <w:t>1525</w:t>
            </w:r>
            <w:r>
              <w:rPr>
                <w:rFonts w:hint="eastAsia" w:ascii="宋体" w:hAnsi="宋体" w:cs="Times New Roman"/>
                <w:color w:val="auto"/>
                <w:sz w:val="24"/>
                <w:szCs w:val="24"/>
              </w:rPr>
              <w:t>m处的小江。根据《云南省水功能区划（</w:t>
            </w:r>
            <w:r>
              <w:rPr>
                <w:rFonts w:hint="default" w:ascii="宋体" w:hAnsi="宋体" w:cs="Times New Roman"/>
                <w:color w:val="auto"/>
                <w:sz w:val="24"/>
                <w:szCs w:val="24"/>
              </w:rPr>
              <w:t>2014</w:t>
            </w:r>
            <w:r>
              <w:rPr>
                <w:rFonts w:hint="eastAsia" w:ascii="宋体" w:hAnsi="宋体" w:cs="Times New Roman"/>
                <w:color w:val="auto"/>
                <w:sz w:val="24"/>
                <w:szCs w:val="24"/>
              </w:rPr>
              <w:t>年）》，项目区域水功能区属于小江（小江寻甸-东川保留区），2030年水质目标为Ⅲ类，执行《地表水环境质量标准》（</w:t>
            </w:r>
            <w:r>
              <w:rPr>
                <w:rFonts w:hint="default" w:ascii="宋体" w:hAnsi="宋体" w:cs="Times New Roman"/>
                <w:color w:val="auto"/>
                <w:sz w:val="24"/>
                <w:szCs w:val="24"/>
              </w:rPr>
              <w:t>GB</w:t>
            </w:r>
            <w:r>
              <w:rPr>
                <w:rFonts w:hint="eastAsia" w:ascii="宋体" w:hAnsi="宋体" w:cs="Times New Roman"/>
                <w:color w:val="auto"/>
                <w:sz w:val="24"/>
                <w:szCs w:val="24"/>
                <w:lang w:eastAsia="zh-CN"/>
              </w:rPr>
              <w:t>****</w:t>
            </w:r>
            <w:r>
              <w:rPr>
                <w:rFonts w:hint="default" w:ascii="宋体" w:hAnsi="宋体" w:cs="Times New Roman"/>
                <w:color w:val="auto"/>
                <w:sz w:val="24"/>
                <w:szCs w:val="24"/>
              </w:rPr>
              <w:t>-2002</w:t>
            </w:r>
            <w:r>
              <w:rPr>
                <w:rFonts w:hint="eastAsia" w:ascii="宋体" w:hAnsi="宋体" w:cs="Times New Roman"/>
                <w:color w:val="auto"/>
                <w:sz w:val="24"/>
                <w:szCs w:val="24"/>
              </w:rPr>
              <w:t>）</w:t>
            </w:r>
            <w:r>
              <w:rPr>
                <w:rFonts w:hint="eastAsia" w:ascii="宋体" w:hAnsi="宋体" w:cs="宋体"/>
                <w:color w:val="auto"/>
                <w:sz w:val="24"/>
                <w:szCs w:val="24"/>
              </w:rPr>
              <w:t>Ⅲ</w:t>
            </w:r>
            <w:r>
              <w:rPr>
                <w:rFonts w:hint="eastAsia" w:ascii="宋体" w:hAnsi="宋体" w:cs="Times New Roman"/>
                <w:color w:val="auto"/>
                <w:sz w:val="24"/>
                <w:szCs w:val="24"/>
              </w:rPr>
              <w:t>类标准。</w:t>
            </w:r>
            <w:r>
              <w:rPr>
                <w:rFonts w:hint="eastAsia" w:ascii="Times New Roman" w:hAnsi="Times New Roman" w:cs="Times New Roman"/>
                <w:color w:val="auto"/>
                <w:sz w:val="24"/>
                <w:szCs w:val="24"/>
              </w:rPr>
              <w:t xml:space="preserve"> </w:t>
            </w:r>
          </w:p>
          <w:p>
            <w:pPr>
              <w:keepNext w:val="0"/>
              <w:keepLines w:val="0"/>
              <w:suppressLineNumbers w:val="0"/>
              <w:snapToGrid w:val="0"/>
              <w:spacing w:before="0" w:beforeAutospacing="0" w:after="0" w:afterAutospacing="0" w:line="360" w:lineRule="auto"/>
              <w:ind w:left="0" w:right="0" w:firstLine="482" w:firstLineChars="200"/>
              <w:rPr>
                <w:rFonts w:hint="default" w:ascii="Times New Roman" w:hAnsi="Times New Roman" w:cs="Times New Roman"/>
                <w:b/>
                <w:bCs/>
                <w:color w:val="auto"/>
                <w:sz w:val="24"/>
                <w:szCs w:val="24"/>
              </w:rPr>
            </w:pPr>
            <w:r>
              <w:rPr>
                <w:rFonts w:hint="eastAsia" w:ascii="Times New Roman" w:hAnsi="Times New Roman" w:cs="Times New Roman"/>
                <w:b/>
                <w:bCs/>
                <w:color w:val="auto"/>
                <w:sz w:val="24"/>
                <w:szCs w:val="24"/>
              </w:rPr>
              <w:t>（</w:t>
            </w:r>
            <w:r>
              <w:rPr>
                <w:rFonts w:hint="default" w:ascii="Times New Roman" w:hAnsi="Times New Roman" w:cs="Times New Roman"/>
                <w:b/>
                <w:bCs/>
                <w:color w:val="auto"/>
                <w:sz w:val="24"/>
                <w:szCs w:val="24"/>
              </w:rPr>
              <w:t>2</w:t>
            </w:r>
            <w:r>
              <w:rPr>
                <w:rFonts w:hint="eastAsia" w:ascii="Times New Roman" w:hAnsi="Times New Roman" w:cs="Times New Roman"/>
                <w:b/>
                <w:bCs/>
                <w:color w:val="auto"/>
                <w:sz w:val="24"/>
                <w:szCs w:val="24"/>
              </w:rPr>
              <w:t>）</w:t>
            </w:r>
            <w:r>
              <w:rPr>
                <w:rFonts w:hint="eastAsia" w:ascii="宋体" w:hAnsi="宋体" w:cs="Times New Roman"/>
                <w:b/>
                <w:bCs/>
                <w:color w:val="auto"/>
                <w:sz w:val="24"/>
                <w:szCs w:val="24"/>
              </w:rPr>
              <w:t>地表水环境质量现状</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r>
              <w:rPr>
                <w:rFonts w:hint="eastAsia" w:ascii="宋体" w:hAnsi="宋体" w:cs="Times New Roman"/>
                <w:color w:val="auto"/>
                <w:sz w:val="24"/>
                <w:szCs w:val="24"/>
              </w:rPr>
              <w:t>据《202</w:t>
            </w:r>
            <w:r>
              <w:rPr>
                <w:rFonts w:hint="default" w:ascii="宋体" w:hAnsi="宋体" w:cs="Times New Roman"/>
                <w:color w:val="auto"/>
                <w:sz w:val="24"/>
                <w:szCs w:val="24"/>
                <w:lang w:val="en-US"/>
              </w:rPr>
              <w:t>2</w:t>
            </w:r>
            <w:r>
              <w:rPr>
                <w:rFonts w:hint="eastAsia" w:ascii="宋体" w:hAnsi="宋体" w:cs="Times New Roman"/>
                <w:color w:val="auto"/>
                <w:sz w:val="24"/>
                <w:szCs w:val="24"/>
              </w:rPr>
              <w:t>年度昆明市生态环境状况公报》</w:t>
            </w:r>
            <w:r>
              <w:rPr>
                <w:rFonts w:hint="eastAsia" w:ascii="Times New Roman" w:hAnsi="Times New Roman" w:cs="Times New Roman"/>
                <w:color w:val="auto"/>
                <w:sz w:val="24"/>
                <w:szCs w:val="24"/>
              </w:rPr>
              <w:t>，小江与2021年相比，四级站断面、阿旺(姑海)断面水质类别保持</w:t>
            </w:r>
            <w:r>
              <w:rPr>
                <w:rFonts w:hint="eastAsia" w:ascii="宋体" w:hAnsi="宋体" w:cs="宋体"/>
                <w:color w:val="auto"/>
                <w:sz w:val="24"/>
                <w:szCs w:val="24"/>
              </w:rPr>
              <w:t>Ⅱ</w:t>
            </w:r>
            <w:r>
              <w:rPr>
                <w:rFonts w:hint="eastAsia" w:ascii="Times New Roman" w:hAnsi="Times New Roman" w:cs="Times New Roman"/>
                <w:color w:val="auto"/>
                <w:sz w:val="24"/>
                <w:szCs w:val="24"/>
              </w:rPr>
              <w:t>类不变。属于地表水环境质量达标区。</w:t>
            </w:r>
          </w:p>
          <w:p>
            <w:pPr>
              <w:keepNext w:val="0"/>
              <w:keepLines w:val="0"/>
              <w:suppressLineNumbers w:val="0"/>
              <w:snapToGrid w:val="0"/>
              <w:spacing w:before="0" w:beforeAutospacing="0" w:after="0" w:afterAutospacing="0" w:line="360" w:lineRule="auto"/>
              <w:ind w:left="0" w:right="0"/>
              <w:rPr>
                <w:rFonts w:hint="default" w:ascii="Calibri" w:hAnsi="Calibri" w:cs="Times New Roman"/>
                <w:b/>
                <w:bCs/>
                <w:color w:val="auto"/>
                <w:sz w:val="24"/>
              </w:rPr>
            </w:pPr>
            <w:r>
              <w:rPr>
                <w:rFonts w:hint="eastAsia" w:ascii="Calibri" w:hAnsi="Calibri" w:cs="Times New Roman"/>
                <w:b/>
                <w:bCs/>
                <w:color w:val="auto"/>
                <w:sz w:val="24"/>
              </w:rPr>
              <w:t>4</w:t>
            </w:r>
            <w:r>
              <w:rPr>
                <w:rFonts w:hint="default" w:ascii="Calibri" w:hAnsi="Calibri" w:cs="Times New Roman"/>
                <w:b/>
                <w:bCs/>
                <w:color w:val="auto"/>
                <w:sz w:val="24"/>
              </w:rPr>
              <w:t>、生态环境现状</w:t>
            </w:r>
          </w:p>
          <w:p>
            <w:pPr>
              <w:keepNext w:val="0"/>
              <w:keepLines w:val="0"/>
              <w:suppressLineNumbers w:val="0"/>
              <w:snapToGrid w:val="0"/>
              <w:spacing w:before="0" w:beforeAutospacing="0" w:after="0" w:afterAutospacing="0" w:line="360" w:lineRule="auto"/>
              <w:ind w:left="0" w:right="0" w:firstLine="480" w:firstLineChars="200"/>
              <w:rPr>
                <w:rFonts w:hint="default" w:ascii="Calibri" w:hAnsi="Calibri" w:cs="Times New Roman"/>
                <w:color w:val="auto"/>
                <w:sz w:val="24"/>
                <w:szCs w:val="24"/>
              </w:rPr>
            </w:pPr>
            <w:r>
              <w:rPr>
                <w:rFonts w:hint="eastAsia" w:ascii="Times New Roman" w:hAnsi="Times New Roman" w:cs="Times New Roman"/>
                <w:color w:val="auto"/>
                <w:sz w:val="24"/>
                <w:szCs w:val="24"/>
              </w:rPr>
              <w:t>项目位于</w:t>
            </w:r>
            <w:r>
              <w:rPr>
                <w:rFonts w:hint="eastAsia" w:ascii="Calibri" w:hAnsi="Calibri" w:cs="Times New Roman"/>
                <w:color w:val="auto"/>
              </w:rPr>
              <w:t>云南省昆明市东川区城区西南角，规划道路东海路南延长线东侧，兴铜路西延长线南侧交汇路口</w:t>
            </w:r>
            <w:r>
              <w:rPr>
                <w:rFonts w:hint="eastAsia" w:ascii="Times New Roman" w:hAnsi="Times New Roman" w:cs="Times New Roman"/>
                <w:color w:val="auto"/>
                <w:sz w:val="24"/>
                <w:szCs w:val="24"/>
              </w:rPr>
              <w:t>，目前场地已平整，已无原生植被，场地周边主要为农作物，动物主要为老鼠、麻雀等，生物多样性单一。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709"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
                <w:bCs/>
                <w:color w:val="auto"/>
                <w:kern w:val="0"/>
                <w:sz w:val="24"/>
                <w:szCs w:val="24"/>
              </w:rPr>
            </w:pPr>
            <w:r>
              <w:rPr>
                <w:rFonts w:hint="default" w:ascii="Calibri" w:hAnsi="Calibri" w:cs="Times New Roman"/>
                <w:b/>
                <w:bCs/>
                <w:color w:val="auto"/>
                <w:kern w:val="0"/>
                <w:sz w:val="24"/>
                <w:szCs w:val="24"/>
              </w:rPr>
              <w:t>环境</w:t>
            </w:r>
          </w:p>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
                <w:bCs/>
                <w:color w:val="auto"/>
                <w:kern w:val="0"/>
                <w:sz w:val="24"/>
                <w:szCs w:val="24"/>
              </w:rPr>
            </w:pPr>
            <w:r>
              <w:rPr>
                <w:rFonts w:hint="default" w:ascii="Calibri" w:hAnsi="Calibri" w:cs="Times New Roman"/>
                <w:b/>
                <w:bCs/>
                <w:color w:val="auto"/>
                <w:kern w:val="0"/>
                <w:sz w:val="24"/>
                <w:szCs w:val="24"/>
              </w:rPr>
              <w:t>保护</w:t>
            </w:r>
          </w:p>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
                <w:bCs/>
                <w:color w:val="auto"/>
                <w:kern w:val="0"/>
                <w:sz w:val="24"/>
                <w:szCs w:val="24"/>
              </w:rPr>
            </w:pPr>
            <w:r>
              <w:rPr>
                <w:rFonts w:hint="default" w:ascii="Calibri" w:hAnsi="Calibri" w:cs="Times New Roman"/>
                <w:b/>
                <w:bCs/>
                <w:color w:val="auto"/>
                <w:kern w:val="0"/>
                <w:sz w:val="24"/>
                <w:szCs w:val="24"/>
              </w:rPr>
              <w:t>目标</w:t>
            </w:r>
          </w:p>
        </w:tc>
        <w:tc>
          <w:tcPr>
            <w:tcW w:w="8482" w:type="dxa"/>
            <w:noWrap w:val="0"/>
            <w:vAlign w:val="center"/>
          </w:tcPr>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b/>
                <w:bCs/>
                <w:color w:val="auto"/>
                <w:sz w:val="24"/>
                <w:szCs w:val="24"/>
              </w:rPr>
            </w:pPr>
            <w:r>
              <w:rPr>
                <w:rFonts w:hint="eastAsia" w:ascii="宋体" w:hAnsi="宋体" w:cs="宋体"/>
                <w:b/>
                <w:bCs/>
                <w:color w:val="auto"/>
                <w:sz w:val="24"/>
                <w:szCs w:val="24"/>
              </w:rPr>
              <w:t>1、大气环境保护目标</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据《建设项目环境影响报告表编制技术指南》（污染影响类）中“明确厂界外500m范围内的自然保护区、风景名胜区……”要求及现场踏勘，项目厂界外500m范围内没有自然保护区、风景名胜区、文化区等保护目标存在，项目大气环境保护目标如下：</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b w:val="0"/>
                <w:bCs w:val="0"/>
                <w:color w:val="auto"/>
                <w:sz w:val="24"/>
                <w:szCs w:val="24"/>
              </w:rPr>
              <w:t>东北侧</w:t>
            </w:r>
            <w:r>
              <w:rPr>
                <w:rFonts w:hint="default" w:ascii="宋体" w:hAnsi="宋体" w:cs="宋体"/>
                <w:b w:val="0"/>
                <w:bCs w:val="0"/>
                <w:color w:val="auto"/>
                <w:sz w:val="24"/>
                <w:szCs w:val="24"/>
                <w:lang w:val="en-US"/>
              </w:rPr>
              <w:t>48</w:t>
            </w:r>
            <w:r>
              <w:rPr>
                <w:rFonts w:hint="eastAsia" w:ascii="宋体" w:hAnsi="宋体" w:cs="宋体"/>
                <w:b w:val="0"/>
                <w:bCs w:val="0"/>
                <w:color w:val="auto"/>
                <w:sz w:val="24"/>
                <w:szCs w:val="24"/>
              </w:rPr>
              <w:t>米处的石羊社区；</w:t>
            </w:r>
            <w:r>
              <w:rPr>
                <w:rFonts w:hint="eastAsia" w:ascii="宋体" w:hAnsi="宋体" w:cs="宋体"/>
                <w:color w:val="auto"/>
                <w:sz w:val="24"/>
                <w:szCs w:val="24"/>
              </w:rPr>
              <w:t>东北侧</w:t>
            </w:r>
            <w:r>
              <w:rPr>
                <w:rFonts w:hint="default" w:ascii="宋体" w:hAnsi="宋体" w:cs="宋体"/>
                <w:color w:val="auto"/>
                <w:sz w:val="24"/>
                <w:szCs w:val="24"/>
              </w:rPr>
              <w:t>376</w:t>
            </w:r>
            <w:r>
              <w:rPr>
                <w:rFonts w:hint="eastAsia" w:ascii="宋体" w:hAnsi="宋体" w:cs="宋体"/>
                <w:color w:val="auto"/>
                <w:sz w:val="24"/>
                <w:szCs w:val="24"/>
              </w:rPr>
              <w:t>米处的金水花园一期；东侧</w:t>
            </w:r>
            <w:r>
              <w:rPr>
                <w:rFonts w:hint="default" w:ascii="宋体" w:hAnsi="宋体" w:cs="宋体"/>
                <w:color w:val="auto"/>
                <w:sz w:val="24"/>
                <w:szCs w:val="24"/>
              </w:rPr>
              <w:t>194</w:t>
            </w:r>
            <w:r>
              <w:rPr>
                <w:rFonts w:hint="eastAsia" w:ascii="宋体" w:hAnsi="宋体" w:cs="宋体"/>
                <w:color w:val="auto"/>
                <w:sz w:val="24"/>
                <w:szCs w:val="24"/>
              </w:rPr>
              <w:t>米处的金水花园二期；东侧</w:t>
            </w:r>
            <w:r>
              <w:rPr>
                <w:rFonts w:hint="default" w:ascii="宋体" w:hAnsi="宋体" w:cs="宋体"/>
                <w:color w:val="auto"/>
                <w:sz w:val="24"/>
                <w:szCs w:val="24"/>
              </w:rPr>
              <w:t>376</w:t>
            </w:r>
            <w:r>
              <w:rPr>
                <w:rFonts w:hint="eastAsia" w:ascii="宋体" w:hAnsi="宋体" w:cs="宋体"/>
                <w:color w:val="auto"/>
                <w:sz w:val="24"/>
                <w:szCs w:val="24"/>
              </w:rPr>
              <w:t>米处的金水地产北园；东侧</w:t>
            </w:r>
            <w:r>
              <w:rPr>
                <w:rFonts w:hint="default" w:ascii="宋体" w:hAnsi="宋体" w:cs="宋体"/>
                <w:color w:val="auto"/>
                <w:sz w:val="24"/>
                <w:szCs w:val="24"/>
              </w:rPr>
              <w:t>153</w:t>
            </w:r>
            <w:r>
              <w:rPr>
                <w:rFonts w:hint="eastAsia" w:ascii="宋体" w:hAnsi="宋体" w:cs="宋体"/>
                <w:color w:val="auto"/>
                <w:sz w:val="24"/>
                <w:szCs w:val="24"/>
              </w:rPr>
              <w:t>米处的金水花园三期；东南侧</w:t>
            </w:r>
            <w:r>
              <w:rPr>
                <w:rFonts w:hint="default" w:ascii="宋体" w:hAnsi="宋体" w:cs="宋体"/>
                <w:color w:val="auto"/>
                <w:sz w:val="24"/>
                <w:szCs w:val="24"/>
              </w:rPr>
              <w:t>197</w:t>
            </w:r>
            <w:r>
              <w:rPr>
                <w:rFonts w:hint="eastAsia" w:ascii="宋体" w:hAnsi="宋体" w:cs="宋体"/>
                <w:color w:val="auto"/>
                <w:sz w:val="24"/>
                <w:szCs w:val="24"/>
              </w:rPr>
              <w:t>米处的石羊小区，东南侧</w:t>
            </w:r>
            <w:r>
              <w:rPr>
                <w:rFonts w:hint="default" w:ascii="宋体" w:hAnsi="宋体" w:cs="宋体"/>
                <w:color w:val="auto"/>
                <w:sz w:val="24"/>
                <w:szCs w:val="24"/>
              </w:rPr>
              <w:t>254</w:t>
            </w:r>
            <w:r>
              <w:rPr>
                <w:rFonts w:hint="eastAsia" w:ascii="宋体" w:hAnsi="宋体" w:cs="宋体"/>
                <w:color w:val="auto"/>
                <w:sz w:val="24"/>
                <w:szCs w:val="24"/>
              </w:rPr>
              <w:t>米处的铜都中学，南侧1</w:t>
            </w:r>
            <w:r>
              <w:rPr>
                <w:rFonts w:hint="default" w:ascii="宋体" w:hAnsi="宋体" w:cs="宋体"/>
                <w:color w:val="auto"/>
                <w:sz w:val="24"/>
                <w:szCs w:val="24"/>
              </w:rPr>
              <w:t>3</w:t>
            </w:r>
            <w:r>
              <w:rPr>
                <w:rFonts w:hint="eastAsia" w:ascii="宋体" w:hAnsi="宋体" w:cs="宋体"/>
                <w:color w:val="auto"/>
                <w:sz w:val="24"/>
                <w:szCs w:val="24"/>
              </w:rPr>
              <w:t>0m处的达贝村。</w:t>
            </w:r>
          </w:p>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b/>
                <w:bCs/>
                <w:color w:val="auto"/>
                <w:sz w:val="24"/>
                <w:szCs w:val="24"/>
              </w:rPr>
            </w:pPr>
            <w:r>
              <w:rPr>
                <w:rFonts w:hint="eastAsia" w:ascii="宋体" w:hAnsi="宋体" w:cs="宋体"/>
                <w:b/>
                <w:bCs/>
                <w:color w:val="auto"/>
                <w:sz w:val="24"/>
                <w:szCs w:val="24"/>
              </w:rPr>
              <w:t>2、声环境环境保护目标</w:t>
            </w:r>
          </w:p>
          <w:p>
            <w:pPr>
              <w:keepNext w:val="0"/>
              <w:keepLines w:val="0"/>
              <w:suppressLineNumbers w:val="0"/>
              <w:snapToGrid w:val="0"/>
              <w:spacing w:before="0" w:beforeAutospacing="0" w:after="0" w:afterAutospacing="0" w:line="360" w:lineRule="auto"/>
              <w:ind w:left="0" w:right="0" w:firstLine="480" w:firstLineChars="200"/>
              <w:rPr>
                <w:rFonts w:hint="eastAsia" w:ascii="宋体" w:hAnsi="宋体" w:cs="Times New Roman"/>
                <w:color w:val="auto"/>
                <w:sz w:val="24"/>
                <w:szCs w:val="24"/>
              </w:rPr>
            </w:pPr>
            <w:r>
              <w:rPr>
                <w:rFonts w:hint="eastAsia" w:ascii="宋体" w:hAnsi="宋体" w:cs="Times New Roman"/>
                <w:color w:val="auto"/>
                <w:sz w:val="24"/>
                <w:szCs w:val="24"/>
              </w:rPr>
              <w:t>根据《建设项目环境影响报告表编制技术指南》（污染影响类）中“明确厂界外50m范围内的声环境保护目标”要求及现场踏勘，项目声环境保护目标</w:t>
            </w:r>
            <w:r>
              <w:rPr>
                <w:rFonts w:hint="eastAsia" w:ascii="宋体" w:hAnsi="宋体" w:cs="Times New Roman"/>
                <w:color w:val="auto"/>
                <w:sz w:val="24"/>
                <w:szCs w:val="24"/>
                <w:lang w:eastAsia="zh-CN"/>
              </w:rPr>
              <w:t>为</w:t>
            </w:r>
            <w:r>
              <w:rPr>
                <w:rFonts w:hint="eastAsia" w:ascii="宋体" w:hAnsi="宋体" w:cs="宋体"/>
                <w:color w:val="auto"/>
                <w:sz w:val="24"/>
                <w:szCs w:val="24"/>
              </w:rPr>
              <w:t>东北侧</w:t>
            </w:r>
            <w:r>
              <w:rPr>
                <w:rFonts w:hint="default" w:ascii="宋体" w:hAnsi="宋体" w:cs="宋体"/>
                <w:color w:val="auto"/>
                <w:sz w:val="24"/>
                <w:szCs w:val="24"/>
                <w:lang w:val="en-US"/>
              </w:rPr>
              <w:t>48</w:t>
            </w:r>
            <w:r>
              <w:rPr>
                <w:rFonts w:hint="eastAsia" w:ascii="宋体" w:hAnsi="宋体" w:cs="宋体"/>
                <w:color w:val="auto"/>
                <w:sz w:val="24"/>
                <w:szCs w:val="24"/>
              </w:rPr>
              <w:t>米处的石羊社区</w:t>
            </w:r>
            <w:r>
              <w:rPr>
                <w:rFonts w:hint="eastAsia" w:ascii="宋体" w:hAnsi="宋体" w:cs="Times New Roman"/>
                <w:color w:val="auto"/>
                <w:sz w:val="24"/>
                <w:szCs w:val="24"/>
              </w:rPr>
              <w:t>。</w:t>
            </w:r>
          </w:p>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b/>
                <w:bCs/>
                <w:color w:val="auto"/>
                <w:sz w:val="24"/>
                <w:szCs w:val="24"/>
              </w:rPr>
            </w:pPr>
            <w:r>
              <w:rPr>
                <w:rFonts w:hint="eastAsia" w:ascii="宋体" w:hAnsi="宋体" w:cs="宋体"/>
                <w:b/>
                <w:bCs/>
                <w:color w:val="auto"/>
                <w:sz w:val="24"/>
                <w:szCs w:val="24"/>
              </w:rPr>
              <w:t>3、地表水环境保护目标</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r>
              <w:rPr>
                <w:rFonts w:hint="eastAsia" w:ascii="宋体" w:hAnsi="宋体" w:cs="Times New Roman"/>
                <w:color w:val="auto"/>
                <w:sz w:val="24"/>
                <w:szCs w:val="24"/>
              </w:rPr>
              <w:t>据调查，项目区最近的地表水体为项目西面</w:t>
            </w:r>
            <w:r>
              <w:rPr>
                <w:rFonts w:hint="default" w:ascii="宋体" w:hAnsi="宋体" w:cs="Times New Roman"/>
                <w:color w:val="auto"/>
                <w:sz w:val="24"/>
                <w:szCs w:val="24"/>
              </w:rPr>
              <w:t>1525</w:t>
            </w:r>
            <w:r>
              <w:rPr>
                <w:rFonts w:hint="eastAsia" w:ascii="宋体" w:hAnsi="宋体" w:cs="Times New Roman"/>
                <w:color w:val="auto"/>
                <w:sz w:val="24"/>
                <w:szCs w:val="24"/>
              </w:rPr>
              <w:t>m 处的小江。根据《云南省水功能区划（</w:t>
            </w:r>
            <w:r>
              <w:rPr>
                <w:rFonts w:hint="default" w:ascii="宋体" w:hAnsi="宋体" w:cs="Times New Roman"/>
                <w:color w:val="auto"/>
                <w:sz w:val="24"/>
                <w:szCs w:val="24"/>
              </w:rPr>
              <w:t>2014</w:t>
            </w:r>
            <w:r>
              <w:rPr>
                <w:rFonts w:hint="eastAsia" w:ascii="宋体" w:hAnsi="宋体" w:cs="Times New Roman"/>
                <w:color w:val="auto"/>
                <w:sz w:val="24"/>
                <w:szCs w:val="24"/>
              </w:rPr>
              <w:t>年）》，小江（小江寻甸</w:t>
            </w:r>
            <w:r>
              <w:rPr>
                <w:rFonts w:hint="default" w:ascii="宋体" w:hAnsi="宋体" w:cs="Times New Roman"/>
                <w:color w:val="auto"/>
                <w:sz w:val="24"/>
                <w:szCs w:val="24"/>
              </w:rPr>
              <w:t>-</w:t>
            </w:r>
            <w:r>
              <w:rPr>
                <w:rFonts w:hint="eastAsia" w:ascii="宋体" w:hAnsi="宋体" w:cs="Times New Roman"/>
                <w:color w:val="auto"/>
                <w:sz w:val="24"/>
                <w:szCs w:val="24"/>
              </w:rPr>
              <w:t>东川保留区）段水质目标为</w:t>
            </w:r>
            <w:r>
              <w:rPr>
                <w:rFonts w:hint="eastAsia" w:ascii="宋体" w:hAnsi="宋体" w:cs="宋体"/>
                <w:color w:val="auto"/>
                <w:sz w:val="24"/>
                <w:szCs w:val="24"/>
              </w:rPr>
              <w:t>Ⅲ</w:t>
            </w:r>
            <w:r>
              <w:rPr>
                <w:rFonts w:hint="eastAsia" w:ascii="宋体" w:hAnsi="宋体" w:cs="Times New Roman"/>
                <w:color w:val="auto"/>
                <w:sz w:val="24"/>
                <w:szCs w:val="24"/>
              </w:rPr>
              <w:t>类，执行《地表水环境质量标准》（</w:t>
            </w:r>
            <w:r>
              <w:rPr>
                <w:rFonts w:hint="default" w:ascii="宋体" w:hAnsi="宋体" w:cs="Times New Roman"/>
                <w:color w:val="auto"/>
                <w:sz w:val="24"/>
                <w:szCs w:val="24"/>
              </w:rPr>
              <w:t>GB</w:t>
            </w:r>
            <w:r>
              <w:rPr>
                <w:rFonts w:hint="eastAsia" w:ascii="宋体" w:hAnsi="宋体" w:cs="Times New Roman"/>
                <w:color w:val="auto"/>
                <w:sz w:val="24"/>
                <w:szCs w:val="24"/>
                <w:lang w:eastAsia="zh-CN"/>
              </w:rPr>
              <w:t>****</w:t>
            </w:r>
            <w:r>
              <w:rPr>
                <w:rFonts w:hint="default" w:ascii="宋体" w:hAnsi="宋体" w:cs="Times New Roman"/>
                <w:color w:val="auto"/>
                <w:sz w:val="24"/>
                <w:szCs w:val="24"/>
              </w:rPr>
              <w:t>-2002</w:t>
            </w:r>
            <w:r>
              <w:rPr>
                <w:rFonts w:hint="eastAsia" w:ascii="宋体" w:hAnsi="宋体" w:cs="Times New Roman"/>
                <w:color w:val="auto"/>
                <w:sz w:val="24"/>
                <w:szCs w:val="24"/>
              </w:rPr>
              <w:t>）</w:t>
            </w:r>
            <w:r>
              <w:rPr>
                <w:rFonts w:hint="eastAsia" w:ascii="宋体" w:hAnsi="宋体" w:cs="宋体"/>
                <w:color w:val="auto"/>
                <w:sz w:val="24"/>
                <w:szCs w:val="24"/>
              </w:rPr>
              <w:t>Ⅲ</w:t>
            </w:r>
            <w:r>
              <w:rPr>
                <w:rFonts w:hint="eastAsia" w:ascii="宋体" w:hAnsi="宋体" w:cs="Times New Roman"/>
                <w:color w:val="auto"/>
                <w:sz w:val="24"/>
                <w:szCs w:val="24"/>
              </w:rPr>
              <w:t>类标准。</w:t>
            </w:r>
            <w:r>
              <w:rPr>
                <w:rFonts w:hint="eastAsia" w:ascii="Times New Roman" w:hAnsi="Times New Roman" w:cs="Times New Roman"/>
                <w:color w:val="auto"/>
                <w:sz w:val="24"/>
                <w:szCs w:val="24"/>
              </w:rPr>
              <w:t xml:space="preserve"> </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保护目标为小江。项目周边水系图见附图3。</w:t>
            </w:r>
          </w:p>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b/>
                <w:bCs/>
                <w:color w:val="auto"/>
                <w:sz w:val="24"/>
                <w:szCs w:val="24"/>
              </w:rPr>
            </w:pPr>
            <w:r>
              <w:rPr>
                <w:rFonts w:hint="eastAsia" w:ascii="宋体" w:hAnsi="宋体" w:cs="宋体"/>
                <w:b/>
                <w:bCs/>
                <w:color w:val="auto"/>
                <w:sz w:val="24"/>
                <w:szCs w:val="24"/>
              </w:rPr>
              <w:t>4、地下水环境保护目标</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根据《建设项目环境影响报告表编制技术指南》（污染影响类）中“明确厂界外500m范围内的地下水集中式饮用水水源和热水……”要求及现场踏勘，该项目厂界外500m范围内无地下水集中式饮用水水源和热水、矿泉水、温泉等特殊地下水资源，项目无地下水环境保护目标。</w:t>
            </w:r>
          </w:p>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b/>
                <w:bCs/>
                <w:color w:val="auto"/>
                <w:sz w:val="24"/>
                <w:szCs w:val="24"/>
              </w:rPr>
            </w:pPr>
            <w:r>
              <w:rPr>
                <w:rFonts w:hint="eastAsia" w:ascii="宋体" w:hAnsi="宋体" w:cs="宋体"/>
                <w:b/>
                <w:bCs/>
                <w:color w:val="auto"/>
                <w:sz w:val="24"/>
                <w:szCs w:val="24"/>
              </w:rPr>
              <w:t>5、生态环境保护目标</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eastAsia" w:ascii="宋体" w:hAnsi="宋体" w:cs="宋体"/>
                <w:color w:val="auto"/>
                <w:sz w:val="24"/>
                <w:szCs w:val="24"/>
              </w:rPr>
              <w:t>本项目位于</w:t>
            </w:r>
            <w:r>
              <w:rPr>
                <w:rFonts w:hint="eastAsia" w:ascii="宋体" w:hAnsi="宋体" w:eastAsia="宋体" w:cs="宋体"/>
                <w:color w:val="auto"/>
                <w:sz w:val="24"/>
                <w:szCs w:val="24"/>
              </w:rPr>
              <w:t>云南省昆明市东川区城区西南角，规划道路东海路南延长线东侧，兴铜路西延长线南侧交汇路口，</w:t>
            </w:r>
            <w:r>
              <w:rPr>
                <w:rFonts w:hint="eastAsia" w:ascii="Times New Roman" w:hAnsi="Times New Roman" w:cs="Times New Roman"/>
                <w:color w:val="auto"/>
                <w:sz w:val="24"/>
                <w:szCs w:val="24"/>
              </w:rPr>
              <w:t>目前场地已平整，已无原生植被，场地周边主要为农作物</w:t>
            </w:r>
            <w:r>
              <w:rPr>
                <w:rFonts w:hint="eastAsia" w:ascii="宋体" w:hAnsi="宋体" w:cs="宋体"/>
                <w:color w:val="auto"/>
                <w:sz w:val="24"/>
                <w:szCs w:val="24"/>
                <w:lang w:val="zh-CN"/>
              </w:rPr>
              <w:t>。项目无生态环境保护目标。</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eastAsia" w:ascii="Times New Roman" w:hAnsi="Times New Roman" w:cs="Times New Roman"/>
                <w:color w:val="auto"/>
                <w:sz w:val="24"/>
                <w:szCs w:val="24"/>
              </w:rPr>
              <w:t>本项目周边环境保护目标见表3-</w:t>
            </w:r>
            <w:r>
              <w:rPr>
                <w:rFonts w:hint="default" w:ascii="Times New Roman" w:hAnsi="Times New Roman" w:cs="Times New Roman"/>
                <w:color w:val="auto"/>
                <w:sz w:val="24"/>
                <w:szCs w:val="24"/>
              </w:rPr>
              <w:t>3</w:t>
            </w:r>
            <w:r>
              <w:rPr>
                <w:rFonts w:hint="eastAsia" w:ascii="Times New Roman" w:hAnsi="Times New Roman" w:cs="Times New Roman"/>
                <w:color w:val="auto"/>
                <w:sz w:val="24"/>
                <w:szCs w:val="24"/>
              </w:rPr>
              <w:t>。</w:t>
            </w:r>
          </w:p>
          <w:p>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4"/>
                <w:szCs w:val="24"/>
              </w:rPr>
            </w:pPr>
            <w:r>
              <w:rPr>
                <w:rFonts w:hint="eastAsia" w:ascii="Times New Roman" w:hAnsi="Times New Roman" w:cs="Times New Roman"/>
                <w:b/>
                <w:bCs/>
                <w:color w:val="auto"/>
                <w:sz w:val="24"/>
                <w:szCs w:val="24"/>
              </w:rPr>
              <w:t>表3-</w:t>
            </w:r>
            <w:r>
              <w:rPr>
                <w:rFonts w:hint="default" w:ascii="Times New Roman" w:hAnsi="Times New Roman" w:cs="Times New Roman"/>
                <w:b/>
                <w:bCs/>
                <w:color w:val="auto"/>
                <w:sz w:val="24"/>
                <w:szCs w:val="24"/>
              </w:rPr>
              <w:t>3</w:t>
            </w:r>
            <w:r>
              <w:rPr>
                <w:rFonts w:hint="eastAsia" w:ascii="Times New Roman" w:hAnsi="Times New Roman" w:cs="Times New Roman"/>
                <w:b/>
                <w:bCs/>
                <w:color w:val="auto"/>
                <w:sz w:val="24"/>
                <w:szCs w:val="24"/>
              </w:rPr>
              <w:t xml:space="preserve"> 项目环境保护目标一览表</w:t>
            </w:r>
          </w:p>
          <w:tbl>
            <w:tblPr>
              <w:tblStyle w:val="26"/>
              <w:tblW w:w="7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736"/>
              <w:gridCol w:w="1896"/>
              <w:gridCol w:w="647"/>
              <w:gridCol w:w="886"/>
              <w:gridCol w:w="1838"/>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环境要素</w:t>
                  </w:r>
                </w:p>
              </w:tc>
              <w:tc>
                <w:tcPr>
                  <w:tcW w:w="73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保护目标</w:t>
                  </w:r>
                </w:p>
              </w:tc>
              <w:tc>
                <w:tcPr>
                  <w:tcW w:w="189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坐标</w:t>
                  </w:r>
                </w:p>
              </w:tc>
              <w:tc>
                <w:tcPr>
                  <w:tcW w:w="64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相对</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位置</w:t>
                  </w:r>
                </w:p>
              </w:tc>
              <w:tc>
                <w:tcPr>
                  <w:tcW w:w="88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距离（m）</w:t>
                  </w:r>
                </w:p>
              </w:tc>
              <w:tc>
                <w:tcPr>
                  <w:tcW w:w="183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保护标准</w:t>
                  </w:r>
                </w:p>
              </w:tc>
              <w:tc>
                <w:tcPr>
                  <w:tcW w:w="126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保护对象及内容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98"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大气环境</w:t>
                  </w:r>
                </w:p>
              </w:tc>
              <w:tc>
                <w:tcPr>
                  <w:tcW w:w="736"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石羊社区</w:t>
                  </w:r>
                </w:p>
              </w:tc>
              <w:tc>
                <w:tcPr>
                  <w:tcW w:w="1896" w:type="dxa"/>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东经103°10′57.13″</w:t>
                  </w:r>
                </w:p>
                <w:p>
                  <w:pPr>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北纬26°4′10.99″</w:t>
                  </w:r>
                </w:p>
              </w:tc>
              <w:tc>
                <w:tcPr>
                  <w:tcW w:w="64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东</w:t>
                  </w:r>
                  <w:r>
                    <w:rPr>
                      <w:rFonts w:hint="eastAsia" w:ascii="Times New Roman" w:hAnsi="Times New Roman" w:cs="Times New Roman"/>
                      <w:color w:val="auto"/>
                    </w:rPr>
                    <w:t>北</w:t>
                  </w:r>
                </w:p>
              </w:tc>
              <w:tc>
                <w:tcPr>
                  <w:tcW w:w="88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cs="Times New Roman"/>
                      <w:color w:val="auto"/>
                      <w:highlight w:val="none"/>
                      <w:lang w:val="en-US"/>
                    </w:rPr>
                    <w:t>48</w:t>
                  </w:r>
                </w:p>
              </w:tc>
              <w:tc>
                <w:tcPr>
                  <w:tcW w:w="1838"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《环境空气质量标准》（GB</w:t>
                  </w:r>
                  <w:r>
                    <w:rPr>
                      <w:rFonts w:hint="eastAsia" w:cs="Times New Roman"/>
                      <w:color w:val="auto"/>
                      <w:lang w:eastAsia="zh-CN"/>
                    </w:rPr>
                    <w:t>****</w:t>
                  </w:r>
                  <w:r>
                    <w:rPr>
                      <w:rFonts w:hint="default" w:ascii="Times New Roman" w:hAnsi="Times New Roman" w:cs="Times New Roman"/>
                      <w:color w:val="auto"/>
                    </w:rPr>
                    <w:t>-2012）二级标准</w:t>
                  </w:r>
                </w:p>
              </w:tc>
              <w:tc>
                <w:tcPr>
                  <w:tcW w:w="126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居住区，5000人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98"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736"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金水花园一期</w:t>
                  </w:r>
                </w:p>
              </w:tc>
              <w:tc>
                <w:tcPr>
                  <w:tcW w:w="1896" w:type="dxa"/>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东经103°11′7.23″</w:t>
                  </w:r>
                </w:p>
                <w:p>
                  <w:pPr>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北纬26°4′10.38″</w:t>
                  </w:r>
                </w:p>
              </w:tc>
              <w:tc>
                <w:tcPr>
                  <w:tcW w:w="647"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东北</w:t>
                  </w:r>
                </w:p>
              </w:tc>
              <w:tc>
                <w:tcPr>
                  <w:tcW w:w="88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376</w:t>
                  </w:r>
                </w:p>
              </w:tc>
              <w:tc>
                <w:tcPr>
                  <w:tcW w:w="1838"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126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居住区，800人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jc w:val="center"/>
              </w:trPr>
              <w:tc>
                <w:tcPr>
                  <w:tcW w:w="698"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736"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金水花园二期</w:t>
                  </w:r>
                </w:p>
              </w:tc>
              <w:tc>
                <w:tcPr>
                  <w:tcW w:w="1896" w:type="dxa"/>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东经103°11′4.84″</w:t>
                  </w:r>
                </w:p>
                <w:p>
                  <w:pPr>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北纬26°4′1.58″</w:t>
                  </w:r>
                </w:p>
              </w:tc>
              <w:tc>
                <w:tcPr>
                  <w:tcW w:w="647"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东</w:t>
                  </w:r>
                </w:p>
              </w:tc>
              <w:tc>
                <w:tcPr>
                  <w:tcW w:w="88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194</w:t>
                  </w:r>
                </w:p>
              </w:tc>
              <w:tc>
                <w:tcPr>
                  <w:tcW w:w="1838"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126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居住区，900人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98"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736"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金水地产北园</w:t>
                  </w:r>
                </w:p>
              </w:tc>
              <w:tc>
                <w:tcPr>
                  <w:tcW w:w="1896" w:type="dxa"/>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东经103°11′10.63″</w:t>
                  </w:r>
                </w:p>
                <w:p>
                  <w:pPr>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北纬26°4′1.05″</w:t>
                  </w:r>
                </w:p>
              </w:tc>
              <w:tc>
                <w:tcPr>
                  <w:tcW w:w="647"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东</w:t>
                  </w:r>
                </w:p>
              </w:tc>
              <w:tc>
                <w:tcPr>
                  <w:tcW w:w="88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376</w:t>
                  </w:r>
                </w:p>
              </w:tc>
              <w:tc>
                <w:tcPr>
                  <w:tcW w:w="1838"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126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居住区，1000人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98"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736"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金水花园三期</w:t>
                  </w:r>
                </w:p>
              </w:tc>
              <w:tc>
                <w:tcPr>
                  <w:tcW w:w="1896" w:type="dxa"/>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东经103°11′4.07″</w:t>
                  </w:r>
                </w:p>
                <w:p>
                  <w:pPr>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北纬26°3′54.57″</w:t>
                  </w:r>
                </w:p>
              </w:tc>
              <w:tc>
                <w:tcPr>
                  <w:tcW w:w="647"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东</w:t>
                  </w:r>
                </w:p>
              </w:tc>
              <w:tc>
                <w:tcPr>
                  <w:tcW w:w="88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153</w:t>
                  </w:r>
                </w:p>
              </w:tc>
              <w:tc>
                <w:tcPr>
                  <w:tcW w:w="1838"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126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居住区，800人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jc w:val="center"/>
              </w:trPr>
              <w:tc>
                <w:tcPr>
                  <w:tcW w:w="698"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736"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石羊小区</w:t>
                  </w:r>
                </w:p>
              </w:tc>
              <w:tc>
                <w:tcPr>
                  <w:tcW w:w="1896" w:type="dxa"/>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东经103°11′4.69″</w:t>
                  </w:r>
                </w:p>
                <w:p>
                  <w:pPr>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北纬26°3′49.82″</w:t>
                  </w:r>
                </w:p>
              </w:tc>
              <w:tc>
                <w:tcPr>
                  <w:tcW w:w="647"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东南</w:t>
                  </w:r>
                </w:p>
              </w:tc>
              <w:tc>
                <w:tcPr>
                  <w:tcW w:w="88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197</w:t>
                  </w:r>
                </w:p>
              </w:tc>
              <w:tc>
                <w:tcPr>
                  <w:tcW w:w="1838"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126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居住区，600人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98"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736"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铜都中学</w:t>
                  </w:r>
                </w:p>
              </w:tc>
              <w:tc>
                <w:tcPr>
                  <w:tcW w:w="1896" w:type="dxa"/>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东经103°11′3.95″</w:t>
                  </w:r>
                </w:p>
                <w:p>
                  <w:pPr>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北纬26°3′45.11″</w:t>
                  </w:r>
                </w:p>
              </w:tc>
              <w:tc>
                <w:tcPr>
                  <w:tcW w:w="647"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东南</w:t>
                  </w:r>
                </w:p>
              </w:tc>
              <w:tc>
                <w:tcPr>
                  <w:tcW w:w="88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254</w:t>
                  </w:r>
                </w:p>
              </w:tc>
              <w:tc>
                <w:tcPr>
                  <w:tcW w:w="1838"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126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居住区，650人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98"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736"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达贝村</w:t>
                  </w:r>
                </w:p>
              </w:tc>
              <w:tc>
                <w:tcPr>
                  <w:tcW w:w="1896" w:type="dxa"/>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东经103°11′0.87″</w:t>
                  </w:r>
                </w:p>
                <w:p>
                  <w:pPr>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北纬26°3′37.11″</w:t>
                  </w:r>
                </w:p>
              </w:tc>
              <w:tc>
                <w:tcPr>
                  <w:tcW w:w="647"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南</w:t>
                  </w:r>
                </w:p>
              </w:tc>
              <w:tc>
                <w:tcPr>
                  <w:tcW w:w="88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130</w:t>
                  </w:r>
                </w:p>
              </w:tc>
              <w:tc>
                <w:tcPr>
                  <w:tcW w:w="1838"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126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居住区，3500人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水环境</w:t>
                  </w:r>
                </w:p>
              </w:tc>
              <w:tc>
                <w:tcPr>
                  <w:tcW w:w="736"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小江</w:t>
                  </w:r>
                </w:p>
              </w:tc>
              <w:tc>
                <w:tcPr>
                  <w:tcW w:w="189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w:t>
                  </w:r>
                </w:p>
              </w:tc>
              <w:tc>
                <w:tcPr>
                  <w:tcW w:w="64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西</w:t>
                  </w:r>
                </w:p>
              </w:tc>
              <w:tc>
                <w:tcPr>
                  <w:tcW w:w="88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1525</w:t>
                  </w:r>
                </w:p>
              </w:tc>
              <w:tc>
                <w:tcPr>
                  <w:tcW w:w="183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《地表水环境质量标准》（GB</w:t>
                  </w:r>
                  <w:r>
                    <w:rPr>
                      <w:rFonts w:hint="eastAsia" w:cs="Times New Roman"/>
                      <w:color w:val="auto"/>
                      <w:lang w:eastAsia="zh-CN"/>
                    </w:rPr>
                    <w:t>****</w:t>
                  </w:r>
                  <w:r>
                    <w:rPr>
                      <w:rFonts w:hint="default" w:ascii="Times New Roman" w:hAnsi="Times New Roman" w:cs="Times New Roman"/>
                      <w:color w:val="auto"/>
                    </w:rPr>
                    <w:t>-2002）III 类标准</w:t>
                  </w:r>
                </w:p>
              </w:tc>
              <w:tc>
                <w:tcPr>
                  <w:tcW w:w="126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1"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声环境</w:t>
                  </w:r>
                </w:p>
              </w:tc>
              <w:tc>
                <w:tcPr>
                  <w:tcW w:w="736" w:type="dxa"/>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rPr>
                    <w:t>石羊社区</w:t>
                  </w:r>
                </w:p>
              </w:tc>
              <w:tc>
                <w:tcPr>
                  <w:tcW w:w="1896" w:type="dxa"/>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东经103°10′57.13″</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rPr>
                    <w:t>北纬26°4′10.99″</w:t>
                  </w:r>
                </w:p>
              </w:tc>
              <w:tc>
                <w:tcPr>
                  <w:tcW w:w="647" w:type="dxa"/>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rPr>
                    <w:t>东</w:t>
                  </w:r>
                  <w:r>
                    <w:rPr>
                      <w:rFonts w:hint="eastAsia" w:ascii="Times New Roman" w:hAnsi="Times New Roman" w:cs="Times New Roman"/>
                      <w:color w:val="auto"/>
                    </w:rPr>
                    <w:t>北</w:t>
                  </w:r>
                </w:p>
              </w:tc>
              <w:tc>
                <w:tcPr>
                  <w:tcW w:w="886" w:type="dxa"/>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highlight w:val="none"/>
                      <w:lang w:val="en-US"/>
                    </w:rPr>
                    <w:t>48</w:t>
                  </w:r>
                </w:p>
              </w:tc>
              <w:tc>
                <w:tcPr>
                  <w:tcW w:w="1838" w:type="dxa"/>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宋体" w:hAnsi="宋体" w:cs="Times New Roman"/>
                      <w:color w:val="auto"/>
                      <w:sz w:val="21"/>
                      <w:szCs w:val="21"/>
                    </w:rPr>
                    <w:t>《声环境质量标准》（GB</w:t>
                  </w:r>
                  <w:r>
                    <w:rPr>
                      <w:rFonts w:hint="eastAsia" w:ascii="宋体" w:hAnsi="宋体" w:cs="Times New Roman"/>
                      <w:color w:val="auto"/>
                      <w:sz w:val="21"/>
                      <w:szCs w:val="21"/>
                      <w:lang w:eastAsia="zh-CN"/>
                    </w:rPr>
                    <w:t>****</w:t>
                  </w:r>
                  <w:r>
                    <w:rPr>
                      <w:rFonts w:hint="default" w:ascii="宋体" w:hAnsi="宋体" w:cs="Times New Roman"/>
                      <w:color w:val="auto"/>
                      <w:sz w:val="21"/>
                      <w:szCs w:val="21"/>
                    </w:rPr>
                    <w:t>-2008）</w:t>
                  </w:r>
                  <w:r>
                    <w:rPr>
                      <w:rFonts w:hint="eastAsia" w:ascii="宋体" w:hAnsi="宋体" w:cs="Times New Roman"/>
                      <w:color w:val="auto"/>
                      <w:sz w:val="21"/>
                      <w:szCs w:val="21"/>
                    </w:rPr>
                    <w:t>2类</w:t>
                  </w:r>
                  <w:r>
                    <w:rPr>
                      <w:rFonts w:hint="eastAsia" w:ascii="Times New Roman" w:hAnsi="Times New Roman" w:cs="宋体"/>
                      <w:color w:val="auto"/>
                      <w:sz w:val="21"/>
                      <w:szCs w:val="21"/>
                      <w:lang w:bidi="ar"/>
                    </w:rPr>
                    <w:t>标准</w:t>
                  </w:r>
                </w:p>
              </w:tc>
              <w:tc>
                <w:tcPr>
                  <w:tcW w:w="1268" w:type="dxa"/>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rPr>
                    <w:t>居住区，5000人</w:t>
                  </w:r>
                </w:p>
              </w:tc>
            </w:tr>
          </w:tbl>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color w:val="auto"/>
                <w:sz w:val="24"/>
                <w:szCs w:val="24"/>
              </w:rPr>
            </w:pPr>
            <w:r>
              <w:rPr>
                <w:rFonts w:hint="eastAsia" w:ascii="宋体" w:hAnsi="宋体" w:cs="宋体"/>
                <w:color w:val="auto"/>
                <w:sz w:val="24"/>
                <w:szCs w:val="24"/>
              </w:rPr>
              <w:t>本项目周边环境关系图见附图4。</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highlight w:val="yellow"/>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highlight w:val="yellow"/>
              </w:rPr>
            </w:pPr>
          </w:p>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auto"/>
                <w:sz w:val="24"/>
                <w:szCs w:val="24"/>
              </w:rPr>
            </w:pPr>
          </w:p>
        </w:tc>
      </w:tr>
    </w:tbl>
    <w:p>
      <w:pPr>
        <w:pStyle w:val="22"/>
        <w:jc w:val="center"/>
        <w:outlineLvl w:val="0"/>
        <w:rPr>
          <w:rFonts w:ascii="Times New Roman" w:hAnsi="Times New Roman" w:eastAsia="黑体"/>
          <w:snapToGrid w:val="0"/>
          <w:color w:val="auto"/>
          <w:sz w:val="36"/>
          <w:szCs w:val="36"/>
        </w:rPr>
        <w:sectPr>
          <w:pgSz w:w="11907" w:h="16840"/>
          <w:pgMar w:top="1304" w:right="1134" w:bottom="1304" w:left="1531" w:header="851" w:footer="851" w:gutter="0"/>
          <w:cols w:space="720" w:num="1"/>
          <w:docGrid w:linePitch="312" w:charSpace="0"/>
        </w:sectPr>
      </w:pP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2"/>
        <w:gridCol w:w="89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92" w:type="dxa"/>
            <w:noWrap w:val="0"/>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kern w:val="0"/>
                <w:sz w:val="24"/>
                <w:szCs w:val="24"/>
              </w:rPr>
            </w:pPr>
            <w:r>
              <w:rPr>
                <w:rFonts w:hint="eastAsia" w:ascii="宋体" w:hAnsi="宋体" w:cs="宋体"/>
                <w:b/>
                <w:bCs/>
                <w:color w:val="auto"/>
                <w:kern w:val="0"/>
                <w:sz w:val="24"/>
                <w:szCs w:val="24"/>
              </w:rPr>
              <w:t>污染</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kern w:val="0"/>
                <w:sz w:val="24"/>
                <w:szCs w:val="24"/>
              </w:rPr>
            </w:pPr>
            <w:r>
              <w:rPr>
                <w:rFonts w:hint="eastAsia" w:ascii="宋体" w:hAnsi="宋体" w:cs="宋体"/>
                <w:b/>
                <w:bCs/>
                <w:color w:val="auto"/>
                <w:kern w:val="0"/>
                <w:sz w:val="24"/>
                <w:szCs w:val="24"/>
              </w:rPr>
              <w:t>物排</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kern w:val="0"/>
                <w:sz w:val="24"/>
                <w:szCs w:val="24"/>
              </w:rPr>
            </w:pPr>
            <w:r>
              <w:rPr>
                <w:rFonts w:hint="eastAsia" w:ascii="宋体" w:hAnsi="宋体" w:cs="宋体"/>
                <w:b/>
                <w:bCs/>
                <w:color w:val="auto"/>
                <w:kern w:val="0"/>
                <w:sz w:val="24"/>
                <w:szCs w:val="24"/>
              </w:rPr>
              <w:t>放控</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kern w:val="0"/>
                <w:sz w:val="24"/>
                <w:szCs w:val="24"/>
              </w:rPr>
            </w:pPr>
            <w:r>
              <w:rPr>
                <w:rFonts w:hint="eastAsia" w:ascii="宋体" w:hAnsi="宋体" w:cs="宋体"/>
                <w:b/>
                <w:bCs/>
                <w:color w:val="auto"/>
                <w:kern w:val="0"/>
                <w:sz w:val="24"/>
                <w:szCs w:val="24"/>
              </w:rPr>
              <w:t>制标</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kern w:val="0"/>
                <w:sz w:val="24"/>
                <w:szCs w:val="24"/>
              </w:rPr>
            </w:pPr>
            <w:r>
              <w:rPr>
                <w:rFonts w:hint="eastAsia" w:ascii="宋体" w:hAnsi="宋体" w:cs="宋体"/>
                <w:b/>
                <w:bCs/>
                <w:color w:val="auto"/>
                <w:kern w:val="0"/>
                <w:sz w:val="24"/>
                <w:szCs w:val="24"/>
              </w:rPr>
              <w:t>准</w:t>
            </w:r>
          </w:p>
        </w:tc>
        <w:tc>
          <w:tcPr>
            <w:tcW w:w="8921" w:type="dxa"/>
            <w:noWrap w:val="0"/>
            <w:vAlign w:val="center"/>
          </w:tcPr>
          <w:p>
            <w:pPr>
              <w:keepNext w:val="0"/>
              <w:keepLines w:val="0"/>
              <w:numPr>
                <w:ilvl w:val="0"/>
                <w:numId w:val="3"/>
              </w:numPr>
              <w:suppressLineNumbers w:val="0"/>
              <w:spacing w:before="0" w:beforeAutospacing="0" w:after="0" w:afterAutospacing="0" w:line="360" w:lineRule="auto"/>
              <w:ind w:left="0" w:right="0" w:firstLine="482" w:firstLineChars="200"/>
              <w:rPr>
                <w:rFonts w:hint="eastAsia" w:ascii="宋体" w:hAnsi="宋体" w:cs="宋体"/>
                <w:b/>
                <w:bCs/>
                <w:color w:val="auto"/>
                <w:sz w:val="24"/>
                <w:szCs w:val="24"/>
              </w:rPr>
            </w:pPr>
            <w:r>
              <w:rPr>
                <w:rFonts w:hint="eastAsia" w:ascii="宋体" w:hAnsi="宋体" w:cs="宋体"/>
                <w:b/>
                <w:bCs/>
                <w:color w:val="auto"/>
                <w:sz w:val="24"/>
                <w:szCs w:val="24"/>
              </w:rPr>
              <w:t>废水</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snapToGrid w:val="0"/>
                <w:color w:val="auto"/>
                <w:kern w:val="0"/>
                <w:sz w:val="24"/>
                <w:szCs w:val="24"/>
              </w:rPr>
            </w:pPr>
            <w:r>
              <w:rPr>
                <w:rFonts w:hint="eastAsia" w:ascii="宋体" w:hAnsi="宋体" w:cs="宋体"/>
                <w:snapToGrid w:val="0"/>
                <w:color w:val="auto"/>
                <w:kern w:val="0"/>
                <w:sz w:val="24"/>
                <w:szCs w:val="24"/>
              </w:rPr>
              <w:t>（1）施工期废水沉淀处理后回用，不外排，不设排放标准。</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snapToGrid w:val="0"/>
                <w:color w:val="auto"/>
                <w:kern w:val="0"/>
                <w:sz w:val="24"/>
                <w:szCs w:val="24"/>
              </w:rPr>
            </w:pPr>
            <w:r>
              <w:rPr>
                <w:rFonts w:hint="eastAsia" w:ascii="宋体" w:hAnsi="宋体" w:cs="宋体"/>
                <w:snapToGrid w:val="0"/>
                <w:color w:val="auto"/>
                <w:kern w:val="0"/>
                <w:sz w:val="24"/>
                <w:szCs w:val="24"/>
              </w:rPr>
              <w:t>（2）运营期</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rPr>
            </w:pPr>
            <w:r>
              <w:rPr>
                <w:rFonts w:hint="eastAsia" w:ascii="宋体" w:hAnsi="宋体" w:cs="宋体"/>
                <w:color w:val="auto"/>
                <w:sz w:val="24"/>
                <w:szCs w:val="24"/>
              </w:rPr>
              <w:t>本项目废水通过医院一套污水处理站处理后，达标排入市政污水管网，最终进入东川区污水处理厂。本项目</w:t>
            </w:r>
            <w:r>
              <w:rPr>
                <w:rFonts w:hint="eastAsia" w:ascii="宋体" w:hAnsi="宋体" w:cs="宋体"/>
                <w:color w:val="auto"/>
                <w:sz w:val="24"/>
              </w:rPr>
              <w:t>污水排放执行《医疗机构水污染物排放标准》（GB</w:t>
            </w:r>
            <w:r>
              <w:rPr>
                <w:rFonts w:hint="eastAsia" w:ascii="宋体" w:hAnsi="宋体" w:cs="宋体"/>
                <w:color w:val="auto"/>
                <w:sz w:val="24"/>
                <w:lang w:eastAsia="zh-CN"/>
              </w:rPr>
              <w:t>*****</w:t>
            </w:r>
            <w:r>
              <w:rPr>
                <w:rFonts w:hint="eastAsia" w:ascii="宋体" w:hAnsi="宋体" w:cs="宋体"/>
                <w:color w:val="auto"/>
                <w:sz w:val="24"/>
              </w:rPr>
              <w:t>-2005）表2中预处理标准，氨氮、</w:t>
            </w:r>
            <w:r>
              <w:rPr>
                <w:rFonts w:hint="eastAsia" w:ascii="宋体" w:hAnsi="宋体" w:cs="宋体"/>
                <w:color w:val="auto"/>
                <w:sz w:val="24"/>
                <w:lang w:eastAsia="zh-CN"/>
              </w:rPr>
              <w:t>总磷</w:t>
            </w:r>
            <w:r>
              <w:rPr>
                <w:rFonts w:hint="eastAsia" w:ascii="宋体" w:hAnsi="宋体" w:cs="宋体"/>
                <w:color w:val="auto"/>
                <w:sz w:val="24"/>
              </w:rPr>
              <w:t>（以P计）排放参照执行《污水排入城镇下水道水质标准》（GB/T</w:t>
            </w:r>
            <w:r>
              <w:rPr>
                <w:rFonts w:hint="eastAsia" w:ascii="宋体" w:hAnsi="宋体" w:cs="宋体"/>
                <w:color w:val="auto"/>
                <w:sz w:val="24"/>
                <w:lang w:eastAsia="zh-CN"/>
              </w:rPr>
              <w:t>*****</w:t>
            </w:r>
            <w:r>
              <w:rPr>
                <w:rFonts w:hint="eastAsia" w:ascii="宋体" w:hAnsi="宋体" w:cs="宋体"/>
                <w:color w:val="auto"/>
                <w:sz w:val="24"/>
              </w:rPr>
              <w:t>-2015）中A等级标准，标准值见表3-</w:t>
            </w:r>
            <w:r>
              <w:rPr>
                <w:rFonts w:hint="default" w:ascii="宋体" w:hAnsi="宋体" w:cs="宋体"/>
                <w:color w:val="auto"/>
                <w:sz w:val="24"/>
              </w:rPr>
              <w:t>4</w:t>
            </w:r>
            <w:r>
              <w:rPr>
                <w:rFonts w:hint="eastAsia" w:ascii="宋体" w:hAnsi="宋体" w:cs="宋体"/>
                <w:color w:val="auto"/>
                <w:sz w:val="24"/>
              </w:rPr>
              <w:t>和表3-</w:t>
            </w:r>
            <w:r>
              <w:rPr>
                <w:rFonts w:hint="default" w:ascii="宋体" w:hAnsi="宋体" w:cs="宋体"/>
                <w:color w:val="auto"/>
                <w:sz w:val="24"/>
              </w:rPr>
              <w:t>5</w:t>
            </w:r>
            <w:r>
              <w:rPr>
                <w:rFonts w:hint="eastAsia" w:ascii="宋体" w:hAnsi="宋体" w:cs="宋体"/>
                <w:color w:val="auto"/>
                <w:sz w:val="24"/>
              </w:rPr>
              <w:t>。</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b/>
                <w:color w:val="auto"/>
                <w:sz w:val="24"/>
                <w:szCs w:val="24"/>
              </w:rPr>
            </w:pPr>
            <w:r>
              <w:rPr>
                <w:rFonts w:hint="eastAsia" w:ascii="宋体" w:hAnsi="宋体" w:cs="宋体"/>
                <w:b/>
                <w:color w:val="auto"/>
                <w:sz w:val="24"/>
                <w:szCs w:val="24"/>
              </w:rPr>
              <w:t>表3-</w:t>
            </w:r>
            <w:r>
              <w:rPr>
                <w:rFonts w:hint="default" w:ascii="宋体" w:hAnsi="宋体" w:cs="宋体"/>
                <w:b/>
                <w:color w:val="auto"/>
                <w:sz w:val="24"/>
                <w:szCs w:val="24"/>
              </w:rPr>
              <w:t>4</w:t>
            </w:r>
            <w:r>
              <w:rPr>
                <w:rFonts w:hint="eastAsia" w:ascii="宋体" w:hAnsi="宋体" w:cs="宋体"/>
                <w:b/>
                <w:color w:val="auto"/>
                <w:sz w:val="24"/>
                <w:szCs w:val="24"/>
              </w:rPr>
              <w:t xml:space="preserve"> </w:t>
            </w:r>
            <w:r>
              <w:rPr>
                <w:rFonts w:hint="default" w:ascii="宋体" w:hAnsi="宋体" w:cs="宋体"/>
                <w:b/>
                <w:color w:val="auto"/>
                <w:sz w:val="24"/>
                <w:szCs w:val="24"/>
              </w:rPr>
              <w:t xml:space="preserve"> </w:t>
            </w:r>
            <w:r>
              <w:rPr>
                <w:rFonts w:hint="eastAsia" w:ascii="宋体" w:hAnsi="宋体" w:cs="宋体"/>
                <w:b/>
                <w:color w:val="auto"/>
                <w:sz w:val="24"/>
                <w:szCs w:val="24"/>
              </w:rPr>
              <w:t>综合性医疗机构和其他医疗机构水污染物排放限值（日均值）</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4696"/>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108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序号</w:t>
                  </w:r>
                </w:p>
              </w:tc>
              <w:tc>
                <w:tcPr>
                  <w:tcW w:w="469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控制项目</w:t>
                  </w:r>
                </w:p>
              </w:tc>
              <w:tc>
                <w:tcPr>
                  <w:tcW w:w="25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预处理标准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8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w:t>
                  </w:r>
                </w:p>
              </w:tc>
              <w:tc>
                <w:tcPr>
                  <w:tcW w:w="469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粪大肠菌群数（MPN/L）</w:t>
                  </w:r>
                </w:p>
              </w:tc>
              <w:tc>
                <w:tcPr>
                  <w:tcW w:w="25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8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2</w:t>
                  </w:r>
                </w:p>
              </w:tc>
              <w:tc>
                <w:tcPr>
                  <w:tcW w:w="469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pH</w:t>
                  </w:r>
                </w:p>
              </w:tc>
              <w:tc>
                <w:tcPr>
                  <w:tcW w:w="25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108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3</w:t>
                  </w:r>
                </w:p>
              </w:tc>
              <w:tc>
                <w:tcPr>
                  <w:tcW w:w="469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化学需氧量（mg/L）</w:t>
                  </w:r>
                </w:p>
              </w:tc>
              <w:tc>
                <w:tcPr>
                  <w:tcW w:w="25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108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4</w:t>
                  </w:r>
                </w:p>
              </w:tc>
              <w:tc>
                <w:tcPr>
                  <w:tcW w:w="469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五日生化需氧量（mg/L）</w:t>
                  </w:r>
                </w:p>
              </w:tc>
              <w:tc>
                <w:tcPr>
                  <w:tcW w:w="25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108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5</w:t>
                  </w:r>
                </w:p>
              </w:tc>
              <w:tc>
                <w:tcPr>
                  <w:tcW w:w="469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悬浮物（mg/L）</w:t>
                  </w:r>
                </w:p>
              </w:tc>
              <w:tc>
                <w:tcPr>
                  <w:tcW w:w="25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108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6</w:t>
                  </w:r>
                  <w:r>
                    <w:rPr>
                      <w:rFonts w:hint="eastAsia" w:ascii="宋体" w:hAnsi="宋体" w:cs="宋体"/>
                      <w:color w:val="auto"/>
                    </w:rPr>
                    <w:cr/>
                  </w:r>
                </w:p>
              </w:tc>
              <w:tc>
                <w:tcPr>
                  <w:tcW w:w="469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动植物油（mg/L）</w:t>
                  </w:r>
                </w:p>
              </w:tc>
              <w:tc>
                <w:tcPr>
                  <w:tcW w:w="25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108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7</w:t>
                  </w:r>
                </w:p>
              </w:tc>
              <w:tc>
                <w:tcPr>
                  <w:tcW w:w="469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石油类（mg/L）</w:t>
                  </w:r>
                </w:p>
              </w:tc>
              <w:tc>
                <w:tcPr>
                  <w:tcW w:w="25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108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8</w:t>
                  </w:r>
                </w:p>
              </w:tc>
              <w:tc>
                <w:tcPr>
                  <w:tcW w:w="469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阴离子表面活性剂（mg/L）</w:t>
                  </w:r>
                </w:p>
              </w:tc>
              <w:tc>
                <w:tcPr>
                  <w:tcW w:w="25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10</w:t>
                  </w:r>
                  <w:r>
                    <w:rPr>
                      <w:rFonts w:hint="eastAsia" w:ascii="宋体" w:hAnsi="宋体" w:cs="宋体"/>
                      <w:color w:val="auto"/>
                    </w:rPr>
                    <w:c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108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9</w:t>
                  </w:r>
                </w:p>
              </w:tc>
              <w:tc>
                <w:tcPr>
                  <w:tcW w:w="469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挥发</w:t>
                  </w:r>
                  <w:r>
                    <w:rPr>
                      <w:rFonts w:hint="eastAsia" w:ascii="宋体" w:hAnsi="宋体" w:cs="宋体"/>
                      <w:color w:val="auto"/>
                    </w:rPr>
                    <w:cr/>
                  </w:r>
                  <w:r>
                    <w:rPr>
                      <w:rFonts w:hint="eastAsia" w:ascii="宋体" w:hAnsi="宋体" w:cs="宋体"/>
                      <w:color w:val="auto"/>
                    </w:rPr>
                    <w:t>酚（mg/L）</w:t>
                  </w:r>
                </w:p>
              </w:tc>
              <w:tc>
                <w:tcPr>
                  <w:tcW w:w="25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108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10</w:t>
                  </w:r>
                </w:p>
              </w:tc>
              <w:tc>
                <w:tcPr>
                  <w:tcW w:w="469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总氰化物（mg/L）</w:t>
                  </w:r>
                </w:p>
              </w:tc>
              <w:tc>
                <w:tcPr>
                  <w:tcW w:w="25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108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11</w:t>
                  </w:r>
                </w:p>
              </w:tc>
              <w:tc>
                <w:tcPr>
                  <w:tcW w:w="469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总汞（mg/L）</w:t>
                  </w:r>
                </w:p>
              </w:tc>
              <w:tc>
                <w:tcPr>
                  <w:tcW w:w="25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108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12</w:t>
                  </w:r>
                </w:p>
              </w:tc>
              <w:tc>
                <w:tcPr>
                  <w:tcW w:w="469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总镉（mg/L）</w:t>
                  </w:r>
                </w:p>
              </w:tc>
              <w:tc>
                <w:tcPr>
                  <w:tcW w:w="25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108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13</w:t>
                  </w:r>
                </w:p>
              </w:tc>
              <w:tc>
                <w:tcPr>
                  <w:tcW w:w="469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总铬（mg/L</w:t>
                  </w:r>
                  <w:r>
                    <w:rPr>
                      <w:rFonts w:hint="eastAsia" w:ascii="宋体" w:hAnsi="宋体" w:cs="宋体"/>
                      <w:color w:val="auto"/>
                    </w:rPr>
                    <w:cr/>
                  </w:r>
                </w:p>
              </w:tc>
              <w:tc>
                <w:tcPr>
                  <w:tcW w:w="25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w:t>
                  </w:r>
                  <w:r>
                    <w:rPr>
                      <w:rFonts w:hint="eastAsia" w:ascii="宋体" w:hAnsi="宋体" w:cs="宋体"/>
                      <w:color w:val="auto"/>
                    </w:rPr>
                    <w:cr/>
                  </w:r>
                  <w:r>
                    <w:rPr>
                      <w:rFonts w:hint="eastAsia" w:ascii="宋体" w:hAnsi="宋体" w:cs="宋体"/>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108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14</w:t>
                  </w:r>
                </w:p>
              </w:tc>
              <w:tc>
                <w:tcPr>
                  <w:tcW w:w="469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六价铬（mg/L）</w:t>
                  </w:r>
                </w:p>
              </w:tc>
              <w:tc>
                <w:tcPr>
                  <w:tcW w:w="25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108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15</w:t>
                  </w:r>
                </w:p>
              </w:tc>
              <w:tc>
                <w:tcPr>
                  <w:tcW w:w="469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总砷（mg/L）</w:t>
                  </w:r>
                </w:p>
              </w:tc>
              <w:tc>
                <w:tcPr>
                  <w:tcW w:w="25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108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16</w:t>
                  </w:r>
                </w:p>
              </w:tc>
              <w:tc>
                <w:tcPr>
                  <w:tcW w:w="469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总铅（</w:t>
                  </w:r>
                  <w:r>
                    <w:rPr>
                      <w:rFonts w:hint="eastAsia" w:ascii="宋体" w:hAnsi="宋体" w:cs="宋体"/>
                      <w:color w:val="auto"/>
                    </w:rPr>
                    <w:cr/>
                  </w:r>
                  <w:r>
                    <w:rPr>
                      <w:rFonts w:hint="eastAsia" w:ascii="宋体" w:hAnsi="宋体" w:cs="宋体"/>
                      <w:color w:val="auto"/>
                    </w:rPr>
                    <w:t>g/L）</w:t>
                  </w:r>
                </w:p>
              </w:tc>
              <w:tc>
                <w:tcPr>
                  <w:tcW w:w="25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108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17</w:t>
                  </w:r>
                </w:p>
              </w:tc>
              <w:tc>
                <w:tcPr>
                  <w:tcW w:w="469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总银（mg/L）</w:t>
                  </w:r>
                </w:p>
              </w:tc>
              <w:tc>
                <w:tcPr>
                  <w:tcW w:w="25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 w:hRule="atLeast"/>
                <w:jc w:val="center"/>
              </w:trPr>
              <w:tc>
                <w:tcPr>
                  <w:tcW w:w="8338" w:type="dxa"/>
                  <w:gridSpan w:val="3"/>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cs="宋体"/>
                      <w:color w:val="auto"/>
                    </w:rPr>
                  </w:pPr>
                  <w:r>
                    <w:rPr>
                      <w:rFonts w:hint="eastAsia" w:ascii="宋体" w:hAnsi="宋体" w:cs="宋体"/>
                      <w:color w:val="auto"/>
                    </w:rPr>
                    <w:t>注：消毒接触池接触时间≥1</w:t>
                  </w:r>
                  <w:r>
                    <w:rPr>
                      <w:rFonts w:hint="eastAsia" w:ascii="宋体" w:hAnsi="宋体" w:cs="宋体"/>
                      <w:color w:val="auto"/>
                    </w:rPr>
                    <w:cr/>
                  </w:r>
                  <w:r>
                    <w:rPr>
                      <w:rFonts w:hint="eastAsia" w:ascii="宋体" w:hAnsi="宋体" w:cs="宋体"/>
                      <w:color w:val="auto"/>
                    </w:rPr>
                    <w:t>，接触池出口总余氯2-8</w:t>
                  </w:r>
                  <w:r>
                    <w:rPr>
                      <w:rFonts w:hint="eastAsia" w:ascii="宋体" w:hAnsi="宋体" w:cs="宋体"/>
                      <w:color w:val="auto"/>
                    </w:rPr>
                    <w:cr/>
                  </w:r>
                  <w:r>
                    <w:rPr>
                      <w:rFonts w:hint="eastAsia" w:ascii="宋体" w:hAnsi="宋体" w:cs="宋体"/>
                      <w:color w:val="auto"/>
                    </w:rPr>
                    <w:t>mg/L。</w:t>
                  </w:r>
                </w:p>
              </w:tc>
            </w:tr>
          </w:tbl>
          <w:p>
            <w:pPr>
              <w:keepNext w:val="0"/>
              <w:keepLines w:val="0"/>
              <w:suppressLineNumbers w:val="0"/>
              <w:adjustRightInd w:val="0"/>
              <w:snapToGrid w:val="0"/>
              <w:spacing w:before="0" w:beforeAutospacing="0" w:after="0" w:afterAutospacing="0"/>
              <w:ind w:left="0" w:right="0"/>
              <w:jc w:val="center"/>
              <w:rPr>
                <w:rFonts w:hint="eastAsia" w:ascii="宋体" w:hAnsi="宋体" w:cs="宋体"/>
                <w:b/>
                <w:color w:val="auto"/>
                <w:sz w:val="24"/>
                <w:szCs w:val="24"/>
              </w:rPr>
            </w:pPr>
            <w:r>
              <w:rPr>
                <w:rFonts w:hint="eastAsia" w:ascii="宋体" w:hAnsi="宋体" w:cs="宋体"/>
                <w:b/>
                <w:color w:val="auto"/>
                <w:sz w:val="24"/>
                <w:szCs w:val="24"/>
              </w:rPr>
              <w:t>表3-</w:t>
            </w:r>
            <w:r>
              <w:rPr>
                <w:rFonts w:hint="default" w:ascii="宋体" w:hAnsi="宋体" w:cs="宋体"/>
                <w:b/>
                <w:color w:val="auto"/>
                <w:sz w:val="24"/>
                <w:szCs w:val="24"/>
              </w:rPr>
              <w:t>5</w:t>
            </w:r>
            <w:r>
              <w:rPr>
                <w:rFonts w:hint="eastAsia" w:ascii="宋体" w:hAnsi="宋体" w:cs="宋体"/>
                <w:b/>
                <w:color w:val="auto"/>
                <w:sz w:val="24"/>
                <w:szCs w:val="24"/>
              </w:rPr>
              <w:t xml:space="preserve">   污水排入城镇下水道水质标准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3414"/>
              <w:gridCol w:w="3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8"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napToGrid w:val="0"/>
                      <w:color w:val="auto"/>
                      <w:kern w:val="0"/>
                    </w:rPr>
                  </w:pPr>
                  <w:r>
                    <w:rPr>
                      <w:rFonts w:hint="eastAsia" w:ascii="宋体" w:hAnsi="宋体" w:cs="宋体"/>
                      <w:snapToGrid w:val="0"/>
                      <w:color w:val="auto"/>
                      <w:kern w:val="0"/>
                    </w:rPr>
                    <w:t>序号</w:t>
                  </w:r>
                </w:p>
              </w:tc>
              <w:tc>
                <w:tcPr>
                  <w:tcW w:w="3414"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napToGrid w:val="0"/>
                      <w:color w:val="auto"/>
                      <w:kern w:val="0"/>
                    </w:rPr>
                  </w:pPr>
                  <w:r>
                    <w:rPr>
                      <w:rFonts w:hint="eastAsia" w:ascii="宋体" w:hAnsi="宋体" w:cs="宋体"/>
                      <w:snapToGrid w:val="0"/>
                      <w:color w:val="auto"/>
                      <w:kern w:val="0"/>
                    </w:rPr>
                    <w:t>污染物</w:t>
                  </w:r>
                </w:p>
              </w:tc>
              <w:tc>
                <w:tcPr>
                  <w:tcW w:w="355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napToGrid w:val="0"/>
                      <w:color w:val="auto"/>
                      <w:kern w:val="0"/>
                    </w:rPr>
                  </w:pPr>
                  <w:r>
                    <w:rPr>
                      <w:rFonts w:hint="eastAsia" w:ascii="宋体" w:hAnsi="宋体" w:cs="宋体"/>
                      <w:snapToGrid w:val="0"/>
                      <w:color w:val="auto"/>
                      <w:kern w:val="0"/>
                    </w:rPr>
                    <w:t>最高允许排放浓度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688"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napToGrid w:val="0"/>
                      <w:color w:val="auto"/>
                      <w:kern w:val="0"/>
                    </w:rPr>
                  </w:pPr>
                  <w:r>
                    <w:rPr>
                      <w:rFonts w:hint="eastAsia" w:ascii="宋体" w:hAnsi="宋体" w:cs="宋体"/>
                      <w:snapToGrid w:val="0"/>
                      <w:color w:val="auto"/>
                      <w:kern w:val="0"/>
                    </w:rPr>
                    <w:t>1</w:t>
                  </w:r>
                </w:p>
              </w:tc>
              <w:tc>
                <w:tcPr>
                  <w:tcW w:w="3414"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NH</w:t>
                  </w:r>
                  <w:r>
                    <w:rPr>
                      <w:rFonts w:hint="eastAsia" w:ascii="宋体" w:hAnsi="宋体" w:cs="宋体"/>
                      <w:color w:val="auto"/>
                      <w:vertAlign w:val="subscript"/>
                    </w:rPr>
                    <w:t>3</w:t>
                  </w:r>
                  <w:r>
                    <w:rPr>
                      <w:rFonts w:hint="eastAsia" w:ascii="宋体" w:hAnsi="宋体" w:cs="宋体"/>
                      <w:color w:val="auto"/>
                    </w:rPr>
                    <w:t>-N</w:t>
                  </w:r>
                </w:p>
              </w:tc>
              <w:tc>
                <w:tcPr>
                  <w:tcW w:w="355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45.0mg/L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8"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napToGrid w:val="0"/>
                      <w:color w:val="auto"/>
                      <w:kern w:val="0"/>
                    </w:rPr>
                  </w:pPr>
                  <w:r>
                    <w:rPr>
                      <w:rFonts w:hint="eastAsia" w:ascii="宋体" w:hAnsi="宋体" w:cs="宋体"/>
                      <w:snapToGrid w:val="0"/>
                      <w:color w:val="auto"/>
                      <w:kern w:val="0"/>
                    </w:rPr>
                    <w:t>2</w:t>
                  </w:r>
                </w:p>
              </w:tc>
              <w:tc>
                <w:tcPr>
                  <w:tcW w:w="3414"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lang w:eastAsia="zh-CN"/>
                    </w:rPr>
                    <w:t>总磷</w:t>
                  </w:r>
                  <w:r>
                    <w:rPr>
                      <w:rFonts w:hint="eastAsia" w:ascii="宋体" w:hAnsi="宋体" w:cs="宋体"/>
                      <w:color w:val="auto"/>
                    </w:rPr>
                    <w:t>（以P计）</w:t>
                  </w:r>
                </w:p>
              </w:tc>
              <w:tc>
                <w:tcPr>
                  <w:tcW w:w="355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8.0mg/L</w:t>
                  </w:r>
                </w:p>
              </w:tc>
            </w:tr>
          </w:tbl>
          <w:p>
            <w:pPr>
              <w:keepNext w:val="0"/>
              <w:keepLines w:val="0"/>
              <w:numPr>
                <w:ilvl w:val="0"/>
                <w:numId w:val="3"/>
              </w:numPr>
              <w:suppressLineNumbers w:val="0"/>
              <w:spacing w:before="240" w:beforeLines="100" w:beforeAutospacing="0" w:after="0" w:afterAutospacing="0" w:line="360" w:lineRule="auto"/>
              <w:ind w:left="0" w:right="0" w:firstLine="482" w:firstLineChars="200"/>
              <w:rPr>
                <w:rFonts w:hint="eastAsia" w:ascii="宋体" w:hAnsi="宋体" w:cs="宋体"/>
                <w:b/>
                <w:bCs/>
                <w:color w:val="auto"/>
                <w:sz w:val="24"/>
                <w:szCs w:val="24"/>
              </w:rPr>
            </w:pPr>
            <w:r>
              <w:rPr>
                <w:rFonts w:hint="eastAsia" w:ascii="宋体" w:hAnsi="宋体" w:cs="宋体"/>
                <w:b/>
                <w:bCs/>
                <w:color w:val="auto"/>
                <w:sz w:val="24"/>
                <w:szCs w:val="24"/>
              </w:rPr>
              <w:t>废气</w:t>
            </w:r>
          </w:p>
          <w:p>
            <w:pPr>
              <w:keepNext w:val="0"/>
              <w:keepLines w:val="0"/>
              <w:suppressLineNumbers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（1）项目施工期产生的扬尘、粉尘均为无组织排放，施工期大气污染物排放执行《大气污染物综合排放标准》（GB</w:t>
            </w:r>
            <w:r>
              <w:rPr>
                <w:rFonts w:hint="eastAsia" w:ascii="宋体" w:hAnsi="宋体" w:cs="宋体"/>
                <w:color w:val="auto"/>
                <w:sz w:val="24"/>
                <w:szCs w:val="24"/>
                <w:lang w:eastAsia="zh-CN"/>
              </w:rPr>
              <w:t>*****</w:t>
            </w:r>
            <w:r>
              <w:rPr>
                <w:rFonts w:hint="eastAsia" w:ascii="宋体" w:hAnsi="宋体" w:cs="宋体"/>
                <w:color w:val="auto"/>
                <w:sz w:val="24"/>
                <w:szCs w:val="24"/>
              </w:rPr>
              <w:t>-1996）表2中无组织排放监控浓度限值，标准值见下表。</w:t>
            </w:r>
          </w:p>
          <w:p>
            <w:pPr>
              <w:keepNext w:val="0"/>
              <w:keepLines w:val="0"/>
              <w:suppressLineNumbers w:val="0"/>
              <w:snapToGrid w:val="0"/>
              <w:spacing w:before="0" w:beforeAutospacing="0" w:after="0" w:afterAutospacing="0"/>
              <w:ind w:left="0" w:right="0" w:firstLine="482" w:firstLineChars="200"/>
              <w:jc w:val="center"/>
              <w:rPr>
                <w:rFonts w:hint="eastAsia" w:ascii="宋体" w:hAnsi="宋体" w:cs="宋体"/>
                <w:b/>
                <w:color w:val="auto"/>
                <w:sz w:val="24"/>
                <w:szCs w:val="24"/>
              </w:rPr>
            </w:pPr>
            <w:r>
              <w:rPr>
                <w:rFonts w:hint="eastAsia" w:ascii="宋体" w:hAnsi="宋体" w:cs="宋体"/>
                <w:b/>
                <w:color w:val="auto"/>
                <w:sz w:val="24"/>
                <w:szCs w:val="24"/>
              </w:rPr>
              <w:t>表3-</w:t>
            </w:r>
            <w:r>
              <w:rPr>
                <w:rFonts w:hint="default" w:ascii="宋体" w:hAnsi="宋体" w:cs="宋体"/>
                <w:b/>
                <w:color w:val="auto"/>
                <w:sz w:val="24"/>
                <w:szCs w:val="24"/>
              </w:rPr>
              <w:t>6</w:t>
            </w:r>
            <w:r>
              <w:rPr>
                <w:rFonts w:hint="eastAsia" w:ascii="宋体" w:hAnsi="宋体" w:cs="宋体"/>
                <w:b/>
                <w:color w:val="auto"/>
                <w:sz w:val="24"/>
                <w:szCs w:val="24"/>
              </w:rPr>
              <w:t xml:space="preserve"> 大气污染物综合排放标准</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3030"/>
              <w:gridCol w:w="3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 w:hRule="atLeast"/>
              </w:trPr>
              <w:tc>
                <w:tcPr>
                  <w:tcW w:w="158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污染物</w:t>
                  </w:r>
                </w:p>
              </w:tc>
              <w:tc>
                <w:tcPr>
                  <w:tcW w:w="303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无组织排放浓度限值（mg/m</w:t>
                  </w:r>
                  <w:r>
                    <w:rPr>
                      <w:rFonts w:hint="eastAsia" w:ascii="宋体" w:hAnsi="宋体" w:cs="宋体"/>
                      <w:color w:val="auto"/>
                      <w:vertAlign w:val="superscript"/>
                    </w:rPr>
                    <w:t>3</w:t>
                  </w:r>
                  <w:r>
                    <w:rPr>
                      <w:rFonts w:hint="eastAsia" w:ascii="宋体" w:hAnsi="宋体" w:cs="宋体"/>
                      <w:color w:val="auto"/>
                    </w:rPr>
                    <w:t>）</w:t>
                  </w:r>
                </w:p>
              </w:tc>
              <w:tc>
                <w:tcPr>
                  <w:tcW w:w="366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58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颗粒物</w:t>
                  </w:r>
                </w:p>
              </w:tc>
              <w:tc>
                <w:tcPr>
                  <w:tcW w:w="303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1.0</w:t>
                  </w:r>
                </w:p>
              </w:tc>
              <w:tc>
                <w:tcPr>
                  <w:tcW w:w="366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（GB</w:t>
                  </w:r>
                  <w:r>
                    <w:rPr>
                      <w:rFonts w:hint="eastAsia" w:ascii="宋体" w:hAnsi="宋体" w:cs="宋体"/>
                      <w:color w:val="auto"/>
                      <w:lang w:eastAsia="zh-CN"/>
                    </w:rPr>
                    <w:t>*****</w:t>
                  </w:r>
                  <w:r>
                    <w:rPr>
                      <w:rFonts w:hint="eastAsia" w:ascii="宋体" w:hAnsi="宋体" w:cs="宋体"/>
                      <w:color w:val="auto"/>
                    </w:rPr>
                    <w:t>-1996）表2标准</w:t>
                  </w:r>
                </w:p>
              </w:tc>
            </w:tr>
          </w:tbl>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（2）本项目污水处理站</w:t>
            </w:r>
            <w:r>
              <w:rPr>
                <w:rFonts w:hint="eastAsia" w:ascii="宋体" w:hAnsi="宋体" w:cs="宋体"/>
                <w:color w:val="auto"/>
                <w:sz w:val="24"/>
                <w:szCs w:val="24"/>
                <w:lang w:eastAsia="zh-CN"/>
              </w:rPr>
              <w:t>四周无组织</w:t>
            </w:r>
            <w:r>
              <w:rPr>
                <w:rFonts w:hint="eastAsia" w:ascii="宋体" w:hAnsi="宋体" w:cs="宋体"/>
                <w:color w:val="auto"/>
                <w:sz w:val="24"/>
                <w:szCs w:val="24"/>
              </w:rPr>
              <w:t>废气污染物执行《医疗机构水污染物排放标准》（GB</w:t>
            </w:r>
            <w:r>
              <w:rPr>
                <w:rFonts w:hint="eastAsia" w:ascii="宋体" w:hAnsi="宋体" w:cs="宋体"/>
                <w:color w:val="auto"/>
                <w:sz w:val="24"/>
                <w:szCs w:val="24"/>
                <w:lang w:eastAsia="zh-CN"/>
              </w:rPr>
              <w:t>*****</w:t>
            </w:r>
            <w:r>
              <w:rPr>
                <w:rFonts w:hint="eastAsia" w:ascii="宋体" w:hAnsi="宋体" w:cs="宋体"/>
                <w:color w:val="auto"/>
                <w:sz w:val="24"/>
                <w:szCs w:val="24"/>
              </w:rPr>
              <w:t>-2005）表3标准，</w:t>
            </w:r>
            <w:r>
              <w:rPr>
                <w:rFonts w:hint="eastAsia" w:ascii="宋体" w:hAnsi="宋体" w:cs="宋体"/>
                <w:color w:val="auto"/>
                <w:sz w:val="24"/>
              </w:rPr>
              <w:t>标准值见表3-</w:t>
            </w:r>
            <w:r>
              <w:rPr>
                <w:rFonts w:hint="default" w:ascii="宋体" w:hAnsi="宋体" w:cs="宋体"/>
                <w:color w:val="auto"/>
                <w:sz w:val="24"/>
              </w:rPr>
              <w:t>7</w:t>
            </w:r>
            <w:r>
              <w:rPr>
                <w:rFonts w:hint="eastAsia" w:ascii="宋体" w:hAnsi="宋体" w:cs="宋体"/>
                <w:color w:val="auto"/>
                <w:sz w:val="24"/>
              </w:rPr>
              <w:t>。</w:t>
            </w:r>
          </w:p>
          <w:p>
            <w:pPr>
              <w:keepNext w:val="0"/>
              <w:keepLines w:val="0"/>
              <w:suppressLineNumbers w:val="0"/>
              <w:spacing w:before="0" w:beforeAutospacing="0" w:after="0" w:afterAutospacing="0"/>
              <w:ind w:left="0" w:right="0"/>
              <w:jc w:val="center"/>
              <w:rPr>
                <w:rFonts w:hint="eastAsia" w:ascii="宋体" w:hAnsi="宋体" w:cs="宋体"/>
                <w:b/>
                <w:color w:val="auto"/>
                <w:sz w:val="24"/>
                <w:szCs w:val="24"/>
              </w:rPr>
            </w:pPr>
            <w:r>
              <w:rPr>
                <w:rFonts w:hint="eastAsia" w:ascii="宋体" w:hAnsi="宋体" w:cs="宋体"/>
                <w:b/>
                <w:color w:val="auto"/>
                <w:sz w:val="24"/>
                <w:szCs w:val="24"/>
              </w:rPr>
              <w:t>表3-</w:t>
            </w:r>
            <w:r>
              <w:rPr>
                <w:rFonts w:hint="default" w:ascii="宋体" w:hAnsi="宋体" w:cs="宋体"/>
                <w:b/>
                <w:color w:val="auto"/>
                <w:sz w:val="24"/>
                <w:szCs w:val="24"/>
              </w:rPr>
              <w:t>7</w:t>
            </w:r>
            <w:r>
              <w:rPr>
                <w:rFonts w:hint="eastAsia" w:ascii="宋体" w:hAnsi="宋体" w:cs="宋体"/>
                <w:b/>
                <w:color w:val="auto"/>
                <w:sz w:val="24"/>
                <w:szCs w:val="24"/>
              </w:rPr>
              <w:t xml:space="preserve"> 污水处理站周边大气污染物最高允许浓度</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4063"/>
              <w:gridCol w:w="3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4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序号</w:t>
                  </w:r>
                </w:p>
              </w:tc>
              <w:tc>
                <w:tcPr>
                  <w:tcW w:w="406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控制项目</w:t>
                  </w:r>
                </w:p>
              </w:tc>
              <w:tc>
                <w:tcPr>
                  <w:tcW w:w="306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4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w:t>
                  </w:r>
                </w:p>
              </w:tc>
              <w:tc>
                <w:tcPr>
                  <w:tcW w:w="406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氨（mg/m³）</w:t>
                  </w:r>
                </w:p>
              </w:tc>
              <w:tc>
                <w:tcPr>
                  <w:tcW w:w="306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4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2</w:t>
                  </w:r>
                </w:p>
              </w:tc>
              <w:tc>
                <w:tcPr>
                  <w:tcW w:w="406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硫化氢（mg/m³）</w:t>
                  </w:r>
                </w:p>
              </w:tc>
              <w:tc>
                <w:tcPr>
                  <w:tcW w:w="306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4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cr/>
                  </w:r>
                </w:p>
              </w:tc>
              <w:tc>
                <w:tcPr>
                  <w:tcW w:w="406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臭气浓度（无量纲）</w:t>
                  </w:r>
                </w:p>
              </w:tc>
              <w:tc>
                <w:tcPr>
                  <w:tcW w:w="306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4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4</w:t>
                  </w:r>
                </w:p>
              </w:tc>
              <w:tc>
                <w:tcPr>
                  <w:tcW w:w="406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氯气（mg/</w:t>
                  </w:r>
                  <w:r>
                    <w:rPr>
                      <w:rFonts w:hint="eastAsia" w:ascii="宋体" w:hAnsi="宋体" w:cs="宋体"/>
                      <w:color w:val="auto"/>
                    </w:rPr>
                    <w:cr/>
                  </w:r>
                  <w:r>
                    <w:rPr>
                      <w:rFonts w:hint="eastAsia" w:ascii="宋体" w:hAnsi="宋体" w:cs="宋体"/>
                      <w:color w:val="auto"/>
                    </w:rPr>
                    <w:t>m³）</w:t>
                  </w:r>
                </w:p>
              </w:tc>
              <w:tc>
                <w:tcPr>
                  <w:tcW w:w="306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34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5</w:t>
                  </w:r>
                </w:p>
              </w:tc>
              <w:tc>
                <w:tcPr>
                  <w:tcW w:w="406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甲烷（指处理站内最高体积百分数%）</w:t>
                  </w:r>
                </w:p>
              </w:tc>
              <w:tc>
                <w:tcPr>
                  <w:tcW w:w="306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w:t>
                  </w:r>
                </w:p>
              </w:tc>
            </w:tr>
          </w:tbl>
          <w:p>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ascii="宋体" w:hAnsi="Calibri" w:cs="宋体"/>
                <w:color w:val="auto"/>
                <w:sz w:val="24"/>
                <w:lang w:val="zh-CN"/>
              </w:rPr>
            </w:pPr>
            <w:r>
              <w:rPr>
                <w:rFonts w:hint="eastAsia" w:ascii="宋体" w:hAnsi="宋体" w:cs="宋体"/>
                <w:color w:val="auto"/>
                <w:sz w:val="24"/>
                <w:szCs w:val="24"/>
              </w:rPr>
              <w:t>厨房油烟</w:t>
            </w:r>
            <w:r>
              <w:rPr>
                <w:rFonts w:hint="eastAsia" w:ascii="宋体" w:hAnsi="宋体" w:cs="宋体"/>
                <w:color w:val="auto"/>
                <w:kern w:val="0"/>
                <w:sz w:val="24"/>
              </w:rPr>
              <w:t>执行</w:t>
            </w:r>
            <w:r>
              <w:rPr>
                <w:rFonts w:hint="eastAsia" w:ascii="Times New Roman" w:hAnsi="Times New Roman" w:cs="Times New Roman"/>
                <w:color w:val="auto"/>
                <w:kern w:val="0"/>
                <w:sz w:val="24"/>
                <w:szCs w:val="24"/>
                <w:lang w:bidi="ar"/>
              </w:rPr>
              <w:t>《餐饮业油烟污染物排放要求》（DB</w:t>
            </w:r>
            <w:r>
              <w:rPr>
                <w:rFonts w:hint="eastAsia" w:cs="Times New Roman"/>
                <w:color w:val="auto"/>
                <w:kern w:val="0"/>
                <w:sz w:val="24"/>
                <w:szCs w:val="24"/>
                <w:lang w:eastAsia="zh-CN" w:bidi="ar"/>
              </w:rPr>
              <w:t>****</w:t>
            </w:r>
            <w:r>
              <w:rPr>
                <w:rFonts w:hint="eastAsia" w:ascii="Times New Roman" w:hAnsi="Times New Roman" w:cs="Times New Roman"/>
                <w:color w:val="auto"/>
                <w:kern w:val="0"/>
                <w:sz w:val="24"/>
                <w:szCs w:val="24"/>
                <w:lang w:bidi="ar"/>
              </w:rPr>
              <w:t>/T50</w:t>
            </w:r>
            <w:r>
              <w:rPr>
                <w:rFonts w:hint="eastAsia" w:ascii="Calibri" w:hAnsi="Calibri" w:cs="Times New Roman"/>
                <w:color w:val="auto"/>
                <w:kern w:val="0"/>
                <w:sz w:val="24"/>
                <w:szCs w:val="24"/>
                <w:lang w:bidi="ar"/>
              </w:rPr>
              <w:t>-</w:t>
            </w:r>
            <w:r>
              <w:rPr>
                <w:rFonts w:hint="eastAsia" w:ascii="Times New Roman" w:hAnsi="Times New Roman" w:cs="Times New Roman"/>
                <w:color w:val="auto"/>
                <w:kern w:val="0"/>
                <w:sz w:val="24"/>
                <w:szCs w:val="24"/>
                <w:lang w:bidi="ar"/>
              </w:rPr>
              <w:t>2021）</w:t>
            </w:r>
            <w:r>
              <w:rPr>
                <w:rFonts w:hint="eastAsia" w:ascii="宋体" w:hAnsi="宋体" w:cs="宋体"/>
                <w:color w:val="auto"/>
                <w:kern w:val="0"/>
                <w:sz w:val="24"/>
              </w:rPr>
              <w:t>，</w:t>
            </w:r>
            <w:r>
              <w:rPr>
                <w:rFonts w:hint="eastAsia" w:ascii="宋体" w:hAnsi="宋体" w:cs="宋体"/>
                <w:color w:val="auto"/>
                <w:sz w:val="24"/>
                <w:lang w:val="zh-CN"/>
              </w:rPr>
              <w:t>标准限值要求见表</w:t>
            </w:r>
            <w:r>
              <w:rPr>
                <w:rFonts w:hint="default" w:ascii="宋体" w:hAnsi="宋体" w:cs="宋体"/>
                <w:color w:val="auto"/>
                <w:sz w:val="24"/>
              </w:rPr>
              <w:t>3-8</w:t>
            </w:r>
            <w:r>
              <w:rPr>
                <w:rFonts w:hint="eastAsia" w:ascii="宋体" w:hAnsi="宋体" w:cs="宋体"/>
                <w:color w:val="auto"/>
                <w:sz w:val="24"/>
                <w:lang w:val="zh-CN"/>
              </w:rPr>
              <w:t>。</w:t>
            </w:r>
          </w:p>
          <w:p>
            <w:pPr>
              <w:keepNext w:val="0"/>
              <w:keepLines w:val="0"/>
              <w:widowControl/>
              <w:suppressLineNumbers w:val="0"/>
              <w:adjustRightInd w:val="0"/>
              <w:snapToGrid w:val="0"/>
              <w:spacing w:before="0" w:beforeAutospacing="0" w:after="0" w:afterAutospacing="0"/>
              <w:ind w:left="0" w:right="0" w:firstLine="482" w:firstLineChars="200"/>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zh-CN"/>
              </w:rPr>
              <w:t>表</w:t>
            </w:r>
            <w:r>
              <w:rPr>
                <w:rFonts w:hint="default" w:ascii="Times New Roman" w:hAnsi="Times New Roman" w:cs="Times New Roman"/>
                <w:b/>
                <w:bCs/>
                <w:color w:val="auto"/>
                <w:sz w:val="24"/>
                <w:szCs w:val="24"/>
              </w:rPr>
              <w:t>3-8 饮食业油烟排放标准</w:t>
            </w:r>
          </w:p>
          <w:tbl>
            <w:tblPr>
              <w:tblStyle w:val="26"/>
              <w:tblW w:w="50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4"/>
              <w:gridCol w:w="3688"/>
              <w:gridCol w:w="3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5" w:hRule="atLeast"/>
                <w:jc w:val="center"/>
              </w:trPr>
              <w:tc>
                <w:tcPr>
                  <w:tcW w:w="1081" w:type="pct"/>
                  <w:vMerge w:val="restart"/>
                  <w:noWrap w:val="0"/>
                  <w:vAlign w:val="center"/>
                </w:tcPr>
                <w:p>
                  <w:pPr>
                    <w:keepNext w:val="0"/>
                    <w:keepLines w:val="0"/>
                    <w:suppressLineNumbers w:val="0"/>
                    <w:tabs>
                      <w:tab w:val="left" w:pos="2395"/>
                    </w:tabs>
                    <w:adjustRightInd w:val="0"/>
                    <w:snapToGrid w:val="0"/>
                    <w:spacing w:before="0" w:beforeAutospacing="0" w:after="0" w:afterAutospacing="0"/>
                    <w:ind w:left="0" w:right="0"/>
                    <w:jc w:val="center"/>
                    <w:rPr>
                      <w:rFonts w:hint="default" w:ascii="Times New Roman" w:hAnsi="Times New Roman" w:cs="Times New Roman"/>
                      <w:b/>
                      <w:bCs/>
                      <w:color w:val="auto"/>
                    </w:rPr>
                  </w:pPr>
                  <w:r>
                    <w:rPr>
                      <w:rFonts w:hint="default" w:ascii="Times New Roman" w:hAnsi="Times New Roman" w:cs="Times New Roman"/>
                      <w:b/>
                      <w:bCs/>
                      <w:color w:val="auto"/>
                    </w:rPr>
                    <w:t>污染物项目</w:t>
                  </w:r>
                </w:p>
              </w:tc>
              <w:tc>
                <w:tcPr>
                  <w:tcW w:w="2117" w:type="pct"/>
                  <w:noWrap w:val="0"/>
                  <w:vAlign w:val="center"/>
                </w:tcPr>
                <w:p>
                  <w:pPr>
                    <w:keepNext w:val="0"/>
                    <w:keepLines w:val="0"/>
                    <w:suppressLineNumbers w:val="0"/>
                    <w:tabs>
                      <w:tab w:val="left" w:pos="2395"/>
                    </w:tabs>
                    <w:adjustRightInd w:val="0"/>
                    <w:snapToGrid w:val="0"/>
                    <w:spacing w:before="0" w:beforeAutospacing="0" w:after="0" w:afterAutospacing="0"/>
                    <w:ind w:left="0" w:right="0"/>
                    <w:jc w:val="center"/>
                    <w:rPr>
                      <w:rFonts w:hint="default" w:ascii="Times New Roman" w:hAnsi="Times New Roman" w:cs="Times New Roman"/>
                      <w:b/>
                      <w:bCs/>
                      <w:color w:val="auto"/>
                    </w:rPr>
                  </w:pPr>
                  <w:r>
                    <w:rPr>
                      <w:rFonts w:hint="default" w:ascii="Times New Roman" w:hAnsi="Times New Roman" w:cs="Times New Roman"/>
                      <w:b/>
                      <w:bCs/>
                      <w:color w:val="auto"/>
                    </w:rPr>
                    <w:t>污染物排放限值，</w:t>
                  </w:r>
                  <w:r>
                    <w:rPr>
                      <w:rFonts w:hint="default" w:ascii="Times New Roman" w:hAnsi="Times New Roman" w:cs="Times New Roman"/>
                      <w:b/>
                      <w:color w:val="auto"/>
                    </w:rPr>
                    <w:t>mg/m</w:t>
                  </w:r>
                  <w:r>
                    <w:rPr>
                      <w:rFonts w:hint="default" w:ascii="Times New Roman" w:hAnsi="Times New Roman" w:cs="Times New Roman"/>
                      <w:b/>
                      <w:color w:val="auto"/>
                      <w:vertAlign w:val="superscript"/>
                    </w:rPr>
                    <w:t>3</w:t>
                  </w:r>
                </w:p>
              </w:tc>
              <w:tc>
                <w:tcPr>
                  <w:tcW w:w="1801" w:type="pct"/>
                  <w:vMerge w:val="restart"/>
                  <w:noWrap w:val="0"/>
                  <w:vAlign w:val="center"/>
                </w:tcPr>
                <w:p>
                  <w:pPr>
                    <w:keepNext w:val="0"/>
                    <w:keepLines w:val="0"/>
                    <w:suppressLineNumbers w:val="0"/>
                    <w:tabs>
                      <w:tab w:val="left" w:pos="2395"/>
                    </w:tabs>
                    <w:adjustRightInd w:val="0"/>
                    <w:snapToGrid w:val="0"/>
                    <w:spacing w:before="0" w:beforeAutospacing="0" w:after="0" w:afterAutospacing="0"/>
                    <w:ind w:left="0" w:right="0"/>
                    <w:jc w:val="center"/>
                    <w:rPr>
                      <w:rFonts w:hint="default" w:ascii="Times New Roman" w:hAnsi="Times New Roman" w:cs="Times New Roman"/>
                      <w:b/>
                      <w:bCs/>
                      <w:color w:val="auto"/>
                    </w:rPr>
                  </w:pPr>
                  <w:r>
                    <w:rPr>
                      <w:rFonts w:hint="default" w:ascii="Times New Roman" w:hAnsi="Times New Roman" w:cs="Times New Roman"/>
                      <w:b/>
                      <w:bCs/>
                      <w:color w:val="auto"/>
                    </w:rPr>
                    <w:t>污染物排放</w:t>
                  </w:r>
                  <w:r>
                    <w:rPr>
                      <w:rFonts w:hint="eastAsia" w:ascii="Calibri" w:hAnsi="Calibri" w:cs="Times New Roman"/>
                      <w:b/>
                      <w:bCs/>
                      <w:color w:val="auto"/>
                    </w:rPr>
                    <w:t>监测</w:t>
                  </w:r>
                  <w:r>
                    <w:rPr>
                      <w:rFonts w:hint="default" w:ascii="Times New Roman" w:hAnsi="Times New Roman" w:cs="Times New Roman"/>
                      <w:b/>
                      <w:bCs/>
                      <w:color w:val="auto"/>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081" w:type="pct"/>
                  <w:vMerge w:val="continue"/>
                  <w:noWrap w:val="0"/>
                  <w:vAlign w:val="center"/>
                </w:tcPr>
                <w:p>
                  <w:pPr>
                    <w:keepNext w:val="0"/>
                    <w:keepLines w:val="0"/>
                    <w:suppressLineNumbers w:val="0"/>
                    <w:tabs>
                      <w:tab w:val="left" w:pos="2395"/>
                    </w:tabs>
                    <w:adjustRightInd w:val="0"/>
                    <w:snapToGrid w:val="0"/>
                    <w:spacing w:before="0" w:beforeAutospacing="0" w:after="0" w:afterAutospacing="0"/>
                    <w:ind w:left="0" w:right="0"/>
                    <w:jc w:val="center"/>
                    <w:rPr>
                      <w:rFonts w:hint="default" w:ascii="Times New Roman" w:hAnsi="Times New Roman" w:cs="Times New Roman"/>
                      <w:b/>
                      <w:bCs/>
                      <w:color w:val="auto"/>
                    </w:rPr>
                  </w:pPr>
                </w:p>
              </w:tc>
              <w:tc>
                <w:tcPr>
                  <w:tcW w:w="2117" w:type="pct"/>
                  <w:noWrap w:val="0"/>
                  <w:vAlign w:val="center"/>
                </w:tcPr>
                <w:p>
                  <w:pPr>
                    <w:keepNext w:val="0"/>
                    <w:keepLines w:val="0"/>
                    <w:suppressLineNumbers w:val="0"/>
                    <w:tabs>
                      <w:tab w:val="left" w:pos="2395"/>
                    </w:tabs>
                    <w:adjustRightInd w:val="0"/>
                    <w:snapToGrid w:val="0"/>
                    <w:spacing w:before="0" w:beforeAutospacing="0" w:after="0" w:afterAutospacing="0"/>
                    <w:ind w:left="0" w:right="0"/>
                    <w:jc w:val="center"/>
                    <w:rPr>
                      <w:rFonts w:hint="default" w:ascii="Times New Roman" w:hAnsi="Times New Roman" w:cs="Times New Roman"/>
                      <w:b/>
                      <w:bCs/>
                      <w:color w:val="auto"/>
                    </w:rPr>
                  </w:pPr>
                  <w:r>
                    <w:rPr>
                      <w:rFonts w:hint="eastAsia" w:ascii="宋体" w:hAnsi="宋体" w:cs="宋体"/>
                      <w:b/>
                      <w:bCs/>
                      <w:color w:val="auto"/>
                    </w:rPr>
                    <w:t>Ⅰ</w:t>
                  </w:r>
                </w:p>
              </w:tc>
              <w:tc>
                <w:tcPr>
                  <w:tcW w:w="1801" w:type="pct"/>
                  <w:vMerge w:val="continue"/>
                  <w:noWrap w:val="0"/>
                  <w:vAlign w:val="center"/>
                </w:tcPr>
                <w:p>
                  <w:pPr>
                    <w:keepNext w:val="0"/>
                    <w:keepLines w:val="0"/>
                    <w:suppressLineNumbers w:val="0"/>
                    <w:tabs>
                      <w:tab w:val="left" w:pos="2395"/>
                    </w:tabs>
                    <w:adjustRightInd w:val="0"/>
                    <w:snapToGrid w:val="0"/>
                    <w:spacing w:before="0" w:beforeAutospacing="0" w:after="0" w:afterAutospacing="0"/>
                    <w:ind w:left="0" w:right="0"/>
                    <w:jc w:val="center"/>
                    <w:rPr>
                      <w:rFonts w:hint="default" w:ascii="Times New Roman" w:hAnsi="Times New Roman" w:cs="Times New Roman"/>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081" w:type="pct"/>
                  <w:noWrap w:val="0"/>
                  <w:vAlign w:val="center"/>
                </w:tcPr>
                <w:p>
                  <w:pPr>
                    <w:keepNext w:val="0"/>
                    <w:keepLines w:val="0"/>
                    <w:suppressLineNumbers w:val="0"/>
                    <w:tabs>
                      <w:tab w:val="left" w:pos="2395"/>
                    </w:tabs>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油烟</w:t>
                  </w:r>
                </w:p>
              </w:tc>
              <w:tc>
                <w:tcPr>
                  <w:tcW w:w="2117" w:type="pct"/>
                  <w:noWrap w:val="0"/>
                  <w:vAlign w:val="center"/>
                </w:tcPr>
                <w:p>
                  <w:pPr>
                    <w:keepNext w:val="0"/>
                    <w:keepLines w:val="0"/>
                    <w:suppressLineNumbers w:val="0"/>
                    <w:tabs>
                      <w:tab w:val="left" w:pos="2395"/>
                    </w:tabs>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1.0</w:t>
                  </w:r>
                </w:p>
              </w:tc>
              <w:tc>
                <w:tcPr>
                  <w:tcW w:w="1801" w:type="pct"/>
                  <w:vMerge w:val="restart"/>
                  <w:noWrap w:val="0"/>
                  <w:vAlign w:val="center"/>
                </w:tcPr>
                <w:p>
                  <w:pPr>
                    <w:keepNext w:val="0"/>
                    <w:keepLines w:val="0"/>
                    <w:suppressLineNumbers w:val="0"/>
                    <w:tabs>
                      <w:tab w:val="left" w:pos="2395"/>
                    </w:tabs>
                    <w:adjustRightInd w:val="0"/>
                    <w:snapToGrid w:val="0"/>
                    <w:spacing w:before="0" w:beforeAutospacing="0" w:after="0" w:afterAutospacing="0"/>
                    <w:ind w:left="0" w:right="0"/>
                    <w:jc w:val="center"/>
                    <w:rPr>
                      <w:rFonts w:hint="default" w:ascii="Times New Roman" w:hAnsi="Times New Roman" w:cs="Times New Roman"/>
                      <w:b/>
                      <w:bCs/>
                      <w:color w:val="auto"/>
                    </w:rPr>
                  </w:pPr>
                  <w:r>
                    <w:rPr>
                      <w:rFonts w:hint="default" w:ascii="Times New Roman" w:hAnsi="Times New Roman" w:cs="Times New Roman"/>
                      <w:color w:val="auto"/>
                    </w:rPr>
                    <w:t>排风管或排气筒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1081" w:type="pct"/>
                  <w:noWrap w:val="0"/>
                  <w:vAlign w:val="center"/>
                </w:tcPr>
                <w:p>
                  <w:pPr>
                    <w:keepNext w:val="0"/>
                    <w:keepLines w:val="0"/>
                    <w:suppressLineNumbers w:val="0"/>
                    <w:tabs>
                      <w:tab w:val="left" w:pos="2395"/>
                    </w:tabs>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非甲烷总烃</w:t>
                  </w:r>
                </w:p>
              </w:tc>
              <w:tc>
                <w:tcPr>
                  <w:tcW w:w="2117" w:type="pct"/>
                  <w:noWrap w:val="0"/>
                  <w:vAlign w:val="center"/>
                </w:tcPr>
                <w:p>
                  <w:pPr>
                    <w:keepNext w:val="0"/>
                    <w:keepLines w:val="0"/>
                    <w:suppressLineNumbers w:val="0"/>
                    <w:tabs>
                      <w:tab w:val="left" w:pos="2395"/>
                    </w:tabs>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10.0</w:t>
                  </w:r>
                </w:p>
              </w:tc>
              <w:tc>
                <w:tcPr>
                  <w:tcW w:w="1801" w:type="pct"/>
                  <w:vMerge w:val="continue"/>
                  <w:noWrap w:val="0"/>
                  <w:vAlign w:val="center"/>
                </w:tcPr>
                <w:p>
                  <w:pPr>
                    <w:keepNext w:val="0"/>
                    <w:keepLines w:val="0"/>
                    <w:suppressLineNumbers w:val="0"/>
                    <w:tabs>
                      <w:tab w:val="left" w:pos="2395"/>
                    </w:tabs>
                    <w:adjustRightInd w:val="0"/>
                    <w:snapToGrid w:val="0"/>
                    <w:spacing w:before="0" w:beforeAutospacing="0" w:after="0" w:afterAutospacing="0"/>
                    <w:ind w:left="0" w:right="0"/>
                    <w:jc w:val="center"/>
                    <w:rPr>
                      <w:rFonts w:hint="default" w:ascii="Times New Roman" w:hAnsi="Times New Roman" w:cs="Times New Roman"/>
                      <w:bCs/>
                      <w:color w:val="auto"/>
                    </w:rPr>
                  </w:pPr>
                </w:p>
              </w:tc>
            </w:tr>
          </w:tbl>
          <w:p>
            <w:pPr>
              <w:keepNext w:val="0"/>
              <w:keepLines w:val="0"/>
              <w:suppressLineNumbers w:val="0"/>
              <w:adjustRightInd w:val="0"/>
              <w:snapToGrid w:val="0"/>
              <w:spacing w:before="240" w:beforeLines="100" w:beforeAutospacing="0" w:after="0" w:afterAutospacing="0" w:line="360" w:lineRule="auto"/>
              <w:ind w:left="0" w:right="0" w:firstLine="482" w:firstLineChars="200"/>
              <w:rPr>
                <w:rFonts w:hint="eastAsia" w:ascii="宋体" w:hAnsi="宋体" w:cs="宋体"/>
                <w:b/>
                <w:bCs/>
                <w:snapToGrid w:val="0"/>
                <w:color w:val="auto"/>
                <w:kern w:val="0"/>
                <w:sz w:val="24"/>
                <w:szCs w:val="24"/>
              </w:rPr>
            </w:pPr>
            <w:r>
              <w:rPr>
                <w:rFonts w:hint="eastAsia" w:ascii="宋体" w:hAnsi="宋体" w:cs="宋体"/>
                <w:b/>
                <w:bCs/>
                <w:snapToGrid w:val="0"/>
                <w:color w:val="auto"/>
                <w:kern w:val="0"/>
                <w:sz w:val="24"/>
                <w:szCs w:val="24"/>
              </w:rPr>
              <w:t>3、噪声</w:t>
            </w:r>
          </w:p>
          <w:p>
            <w:pPr>
              <w:keepNext w:val="0"/>
              <w:keepLines w:val="0"/>
              <w:suppressLineNumbers w:val="0"/>
              <w:spacing w:before="0" w:beforeAutospacing="0" w:after="0" w:afterAutospacing="0" w:line="360" w:lineRule="auto"/>
              <w:ind w:left="0" w:right="0" w:firstLine="560"/>
              <w:jc w:val="left"/>
              <w:rPr>
                <w:rFonts w:hint="eastAsia" w:ascii="宋体" w:hAnsi="宋体" w:cs="宋体"/>
                <w:color w:val="auto"/>
                <w:sz w:val="24"/>
                <w:szCs w:val="24"/>
              </w:rPr>
            </w:pPr>
            <w:r>
              <w:rPr>
                <w:rFonts w:hint="eastAsia" w:ascii="宋体" w:hAnsi="宋体" w:cs="宋体"/>
                <w:color w:val="auto"/>
                <w:sz w:val="24"/>
                <w:szCs w:val="24"/>
              </w:rPr>
              <w:t>（1）施工期噪声排放执行（GB</w:t>
            </w:r>
            <w:r>
              <w:rPr>
                <w:rFonts w:hint="eastAsia" w:ascii="宋体" w:hAnsi="宋体" w:cs="宋体"/>
                <w:color w:val="auto"/>
                <w:sz w:val="24"/>
                <w:szCs w:val="24"/>
                <w:lang w:eastAsia="zh-CN"/>
              </w:rPr>
              <w:t>*****</w:t>
            </w:r>
            <w:r>
              <w:rPr>
                <w:rFonts w:hint="eastAsia" w:ascii="宋体" w:hAnsi="宋体" w:cs="宋体"/>
                <w:color w:val="auto"/>
                <w:sz w:val="24"/>
                <w:szCs w:val="24"/>
              </w:rPr>
              <w:t>-2011）《建筑施工场界环境噪声排放标准》标准，具体值见下表。</w:t>
            </w:r>
          </w:p>
          <w:p>
            <w:pPr>
              <w:keepNext w:val="0"/>
              <w:keepLines w:val="0"/>
              <w:suppressLineNumbers w:val="0"/>
              <w:spacing w:before="0" w:beforeAutospacing="0" w:after="0" w:afterAutospacing="0"/>
              <w:ind w:left="0" w:right="0"/>
              <w:jc w:val="center"/>
              <w:rPr>
                <w:rFonts w:hint="eastAsia" w:ascii="宋体" w:hAnsi="宋体" w:cs="宋体"/>
                <w:b/>
                <w:color w:val="auto"/>
                <w:sz w:val="24"/>
                <w:szCs w:val="24"/>
              </w:rPr>
            </w:pPr>
            <w:r>
              <w:rPr>
                <w:rFonts w:hint="eastAsia" w:ascii="宋体" w:hAnsi="宋体" w:cs="宋体"/>
                <w:b/>
                <w:color w:val="auto"/>
                <w:sz w:val="24"/>
                <w:szCs w:val="24"/>
              </w:rPr>
              <w:t>表3-</w:t>
            </w:r>
            <w:r>
              <w:rPr>
                <w:rFonts w:hint="default" w:ascii="宋体" w:hAnsi="宋体" w:cs="宋体"/>
                <w:b/>
                <w:color w:val="auto"/>
                <w:sz w:val="24"/>
                <w:szCs w:val="24"/>
              </w:rPr>
              <w:t>9</w:t>
            </w:r>
            <w:r>
              <w:rPr>
                <w:rFonts w:hint="eastAsia" w:ascii="宋体" w:hAnsi="宋体" w:cs="宋体"/>
                <w:b/>
                <w:color w:val="auto"/>
                <w:sz w:val="24"/>
                <w:szCs w:val="24"/>
              </w:rPr>
              <w:t xml:space="preserve"> 建筑施工场界环境噪声排放标准（单位：dB（A））</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8"/>
              <w:gridCol w:w="4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13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昼间</w:t>
                  </w:r>
                </w:p>
              </w:tc>
              <w:tc>
                <w:tcPr>
                  <w:tcW w:w="413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3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70</w:t>
                  </w:r>
                </w:p>
              </w:tc>
              <w:tc>
                <w:tcPr>
                  <w:tcW w:w="413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55</w:t>
                  </w:r>
                </w:p>
              </w:tc>
            </w:tr>
          </w:tbl>
          <w:p>
            <w:pPr>
              <w:keepNext w:val="0"/>
              <w:keepLines w:val="0"/>
              <w:widowControl/>
              <w:suppressLineNumbers w:val="0"/>
              <w:spacing w:before="240" w:beforeLines="10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（2）运营期项目区厂界执行</w:t>
            </w:r>
            <w:r>
              <w:rPr>
                <w:rFonts w:hint="default" w:ascii="Times New Roman" w:hAnsi="Times New Roman" w:eastAsia="宋体" w:cs="Times New Roman"/>
                <w:i w:val="0"/>
                <w:iCs w:val="0"/>
                <w:color w:val="auto"/>
                <w:sz w:val="24"/>
                <w:szCs w:val="24"/>
                <w:lang w:val="en-US" w:eastAsia="zh-CN"/>
              </w:rPr>
              <w:t>《工业企业厂界环境噪声排放标准》（GB</w:t>
            </w:r>
            <w:r>
              <w:rPr>
                <w:rFonts w:hint="eastAsia" w:cs="Times New Roman"/>
                <w:i w:val="0"/>
                <w:iCs w:val="0"/>
                <w:color w:val="auto"/>
                <w:sz w:val="24"/>
                <w:szCs w:val="24"/>
                <w:lang w:val="en-US" w:eastAsia="zh-CN"/>
              </w:rPr>
              <w:t>*****</w:t>
            </w:r>
            <w:r>
              <w:rPr>
                <w:rFonts w:hint="default" w:ascii="Times New Roman" w:hAnsi="Times New Roman" w:eastAsia="宋体" w:cs="Times New Roman"/>
                <w:i w:val="0"/>
                <w:iCs w:val="0"/>
                <w:color w:val="auto"/>
                <w:sz w:val="24"/>
                <w:szCs w:val="24"/>
                <w:lang w:val="en-US" w:eastAsia="zh-CN"/>
              </w:rPr>
              <w:t>-2008）</w:t>
            </w:r>
            <w:r>
              <w:rPr>
                <w:rFonts w:hint="default" w:ascii="Times New Roman" w:hAnsi="Times New Roman" w:eastAsia="宋体" w:cs="Times New Roman"/>
                <w:i w:val="0"/>
                <w:iCs w:val="0"/>
                <w:color w:val="auto"/>
                <w:sz w:val="24"/>
                <w:szCs w:val="24"/>
              </w:rPr>
              <w:t>2类标准</w:t>
            </w:r>
            <w:r>
              <w:rPr>
                <w:rFonts w:hint="eastAsia" w:ascii="宋体" w:hAnsi="宋体" w:cs="宋体"/>
                <w:color w:val="auto"/>
                <w:sz w:val="24"/>
                <w:szCs w:val="24"/>
              </w:rPr>
              <w:t>，详见下表。</w:t>
            </w:r>
          </w:p>
          <w:p>
            <w:pPr>
              <w:keepNext w:val="0"/>
              <w:keepLines w:val="0"/>
              <w:suppressLineNumbers w:val="0"/>
              <w:spacing w:before="0" w:beforeAutospacing="0" w:after="0" w:afterAutospacing="0"/>
              <w:ind w:left="0" w:right="0"/>
              <w:jc w:val="center"/>
              <w:rPr>
                <w:rFonts w:hint="eastAsia" w:ascii="宋体" w:hAnsi="宋体" w:cs="宋体"/>
                <w:b/>
                <w:color w:val="auto"/>
                <w:sz w:val="24"/>
                <w:szCs w:val="24"/>
              </w:rPr>
            </w:pPr>
            <w:r>
              <w:rPr>
                <w:rFonts w:hint="eastAsia" w:ascii="宋体" w:hAnsi="宋体" w:cs="宋体"/>
                <w:b/>
                <w:color w:val="auto"/>
                <w:sz w:val="24"/>
                <w:szCs w:val="24"/>
              </w:rPr>
              <w:t>表3-</w:t>
            </w:r>
            <w:r>
              <w:rPr>
                <w:rFonts w:hint="default" w:ascii="宋体" w:hAnsi="宋体" w:cs="宋体"/>
                <w:b/>
                <w:color w:val="auto"/>
                <w:sz w:val="24"/>
                <w:szCs w:val="24"/>
              </w:rPr>
              <w:t>10</w:t>
            </w:r>
            <w:r>
              <w:rPr>
                <w:rFonts w:hint="eastAsia" w:ascii="宋体" w:hAnsi="宋体" w:cs="宋体"/>
                <w:b/>
                <w:color w:val="auto"/>
                <w:sz w:val="24"/>
                <w:szCs w:val="24"/>
              </w:rPr>
              <w:t xml:space="preserve"> 工业企业厂界环境噪声排放限值</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55"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类别</w:t>
                  </w:r>
                </w:p>
              </w:tc>
              <w:tc>
                <w:tcPr>
                  <w:tcW w:w="6384"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等效声级[dB(A)]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5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p>
              </w:tc>
              <w:tc>
                <w:tcPr>
                  <w:tcW w:w="319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昼间</w:t>
                  </w:r>
                  <w:r>
                    <w:rPr>
                      <w:rFonts w:hint="eastAsia" w:ascii="宋体" w:hAnsi="宋体" w:cs="宋体"/>
                      <w:color w:val="auto"/>
                    </w:rPr>
                    <w:cr/>
                  </w:r>
                </w:p>
              </w:tc>
              <w:tc>
                <w:tcPr>
                  <w:tcW w:w="319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5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2类</w:t>
                  </w:r>
                </w:p>
              </w:tc>
              <w:tc>
                <w:tcPr>
                  <w:tcW w:w="319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60</w:t>
                  </w:r>
                </w:p>
              </w:tc>
              <w:tc>
                <w:tcPr>
                  <w:tcW w:w="319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50</w:t>
                  </w:r>
                </w:p>
              </w:tc>
            </w:tr>
          </w:tbl>
          <w:p>
            <w:pPr>
              <w:keepNext w:val="0"/>
              <w:keepLines w:val="0"/>
              <w:suppressLineNumbers w:val="0"/>
              <w:adjustRightInd w:val="0"/>
              <w:snapToGrid w:val="0"/>
              <w:spacing w:before="120" w:beforeLines="50" w:beforeAutospacing="0" w:after="0" w:afterAutospacing="0" w:line="360" w:lineRule="auto"/>
              <w:ind w:left="0" w:right="0" w:firstLine="482" w:firstLineChars="200"/>
              <w:rPr>
                <w:rFonts w:hint="eastAsia" w:ascii="宋体" w:hAnsi="宋体" w:cs="宋体"/>
                <w:b/>
                <w:bCs/>
                <w:snapToGrid w:val="0"/>
                <w:color w:val="auto"/>
                <w:kern w:val="0"/>
                <w:sz w:val="24"/>
                <w:szCs w:val="24"/>
              </w:rPr>
            </w:pPr>
            <w:r>
              <w:rPr>
                <w:rFonts w:hint="eastAsia" w:ascii="宋体" w:hAnsi="宋体" w:cs="宋体"/>
                <w:b/>
                <w:bCs/>
                <w:snapToGrid w:val="0"/>
                <w:color w:val="auto"/>
                <w:kern w:val="0"/>
                <w:sz w:val="24"/>
                <w:szCs w:val="24"/>
              </w:rPr>
              <w:t>4、固废</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1）</w:t>
            </w:r>
            <w:r>
              <w:rPr>
                <w:rFonts w:hint="eastAsia"/>
                <w:color w:val="auto"/>
                <w:sz w:val="24"/>
              </w:rPr>
              <w:t>一般固体废物</w:t>
            </w:r>
            <w:r>
              <w:rPr>
                <w:rFonts w:hint="default"/>
                <w:color w:val="auto"/>
                <w:sz w:val="24"/>
              </w:rPr>
              <w:t xml:space="preserve">执行《一般工业固体废物贮存和填埋污染控制标准》（GB </w:t>
            </w:r>
            <w:r>
              <w:rPr>
                <w:rFonts w:hint="eastAsia"/>
                <w:color w:val="auto"/>
                <w:sz w:val="24"/>
                <w:lang w:eastAsia="zh-CN"/>
              </w:rPr>
              <w:t>*****</w:t>
            </w:r>
            <w:r>
              <w:rPr>
                <w:rFonts w:hint="default"/>
                <w:color w:val="auto"/>
                <w:sz w:val="24"/>
              </w:rPr>
              <w:t>-2020）相关标准要求。</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cs="Times New Roman"/>
                <w:color w:val="auto"/>
                <w:kern w:val="0"/>
                <w:sz w:val="24"/>
                <w:szCs w:val="24"/>
                <w:lang w:val="en-US" w:eastAsia="zh-CN" w:bidi="ar"/>
              </w:rPr>
              <w:t>2</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医疗废物：执行《医疗废物管理条例》国务院令第380号（2011年修订）、《医疗废物专用包装袋、容器和警示标志标准》（HJ421-2008）、《医疗废物集中处置技术规范（试行）》《昆明市医疗废物管理规定》及《危险废物贮存污染控制标准》（GB</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-2023）。</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cs="Times New Roman"/>
                <w:color w:val="auto"/>
                <w:kern w:val="0"/>
                <w:sz w:val="24"/>
                <w:szCs w:val="24"/>
                <w:lang w:val="en-US" w:eastAsia="zh-CN" w:bidi="ar"/>
              </w:rPr>
              <w:t>3</w:t>
            </w:r>
            <w:r>
              <w:rPr>
                <w:rFonts w:hint="default" w:ascii="Times New Roman" w:hAnsi="Times New Roman" w:eastAsia="宋体" w:cs="Times New Roman"/>
                <w:color w:val="auto"/>
                <w:kern w:val="0"/>
                <w:sz w:val="24"/>
                <w:szCs w:val="24"/>
                <w:lang w:val="en-US" w:eastAsia="zh-CN" w:bidi="ar"/>
              </w:rPr>
              <w:t>）污水处理站、化粪池污泥：执行（GB</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-2005）《医疗机构水污染物排放标准》表4综合医疗机构污泥控制标准，化粪池和污水处理站污泥按危险废物进行管理及处置；污泥清掏前达到表4综合医疗机构污泥控制标准</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 xml:space="preserve">标准限值见表3-11。 </w:t>
            </w: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kern w:val="0"/>
                <w:sz w:val="24"/>
                <w:szCs w:val="24"/>
                <w:lang w:val="en-US" w:eastAsia="zh-CN" w:bidi="ar"/>
              </w:rPr>
              <w:t>表3-11 医疗机构污泥控制标准</w:t>
            </w:r>
          </w:p>
          <w:tbl>
            <w:tblPr>
              <w:tblStyle w:val="27"/>
              <w:tblW w:w="8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700"/>
              <w:gridCol w:w="1387"/>
              <w:gridCol w:w="1288"/>
              <w:gridCol w:w="1109"/>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医疗机构类别</w:t>
                  </w:r>
                </w:p>
              </w:tc>
              <w:tc>
                <w:tcPr>
                  <w:tcW w:w="17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b/>
                      <w:bCs/>
                      <w:color w:val="auto"/>
                      <w:kern w:val="0"/>
                      <w:sz w:val="21"/>
                      <w:szCs w:val="21"/>
                      <w:lang w:val="en-US" w:eastAsia="zh-CN" w:bidi="ar"/>
                    </w:rPr>
                    <w:t>粪大肠菌群数/（MPN/g）</w:t>
                  </w:r>
                </w:p>
              </w:tc>
              <w:tc>
                <w:tcPr>
                  <w:tcW w:w="1387"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肠道致病菌</w:t>
                  </w:r>
                </w:p>
              </w:tc>
              <w:tc>
                <w:tcPr>
                  <w:tcW w:w="1288"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肠道病毒</w:t>
                  </w:r>
                </w:p>
              </w:tc>
              <w:tc>
                <w:tcPr>
                  <w:tcW w:w="1109"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结核杆菌</w:t>
                  </w:r>
                </w:p>
              </w:tc>
              <w:tc>
                <w:tcPr>
                  <w:tcW w:w="145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eastAsia="zh-CN"/>
                    </w:rPr>
                    <w:t>蛔虫卵死亡率</w:t>
                  </w:r>
                  <w:r>
                    <w:rPr>
                      <w:rFonts w:hint="default" w:ascii="Times New Roman" w:hAnsi="Times New Roman" w:eastAsia="宋体" w:cs="Times New Roman"/>
                      <w:b/>
                      <w:bCs/>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kern w:val="0"/>
                      <w:sz w:val="21"/>
                      <w:szCs w:val="21"/>
                      <w:lang w:val="en-US" w:eastAsia="zh-CN" w:bidi="ar"/>
                    </w:rPr>
                    <w:t>综合医疗机构及其他医疗机构</w:t>
                  </w:r>
                </w:p>
              </w:tc>
              <w:tc>
                <w:tcPr>
                  <w:tcW w:w="170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eastAsia="zh-CN"/>
                    </w:rPr>
                    <w:t>≤</w:t>
                  </w:r>
                  <w:r>
                    <w:rPr>
                      <w:rFonts w:hint="default" w:ascii="Times New Roman" w:hAnsi="Times New Roman" w:eastAsia="宋体" w:cs="Times New Roman"/>
                      <w:color w:val="auto"/>
                      <w:sz w:val="21"/>
                      <w:szCs w:val="21"/>
                      <w:vertAlign w:val="baseline"/>
                      <w:lang w:val="en-US" w:eastAsia="zh-CN"/>
                    </w:rPr>
                    <w:t>100</w:t>
                  </w:r>
                </w:p>
              </w:tc>
              <w:tc>
                <w:tcPr>
                  <w:tcW w:w="1387"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w:t>
                  </w:r>
                </w:p>
              </w:tc>
              <w:tc>
                <w:tcPr>
                  <w:tcW w:w="1288"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w:t>
                  </w:r>
                </w:p>
              </w:tc>
              <w:tc>
                <w:tcPr>
                  <w:tcW w:w="1109"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w:t>
                  </w:r>
                </w:p>
              </w:tc>
              <w:tc>
                <w:tcPr>
                  <w:tcW w:w="145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eastAsia="zh-CN"/>
                    </w:rPr>
                    <w:t>＞</w:t>
                  </w:r>
                  <w:r>
                    <w:rPr>
                      <w:rFonts w:hint="default" w:ascii="Times New Roman" w:hAnsi="Times New Roman" w:eastAsia="宋体" w:cs="Times New Roman"/>
                      <w:color w:val="auto"/>
                      <w:sz w:val="21"/>
                      <w:szCs w:val="21"/>
                      <w:vertAlign w:val="baseline"/>
                      <w:lang w:val="en-US" w:eastAsia="zh-CN"/>
                    </w:rPr>
                    <w:t>95</w:t>
                  </w:r>
                </w:p>
              </w:tc>
            </w:tr>
          </w:tbl>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592"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kern w:val="0"/>
                <w:sz w:val="24"/>
                <w:szCs w:val="24"/>
              </w:rPr>
            </w:pPr>
            <w:r>
              <w:rPr>
                <w:rFonts w:hint="eastAsia" w:ascii="宋体" w:hAnsi="宋体" w:cs="宋体"/>
                <w:b/>
                <w:bCs/>
                <w:color w:val="auto"/>
                <w:kern w:val="0"/>
                <w:sz w:val="24"/>
                <w:szCs w:val="24"/>
              </w:rPr>
              <w:t>总量</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kern w:val="0"/>
                <w:sz w:val="24"/>
                <w:szCs w:val="24"/>
              </w:rPr>
            </w:pPr>
            <w:r>
              <w:rPr>
                <w:rFonts w:hint="eastAsia" w:ascii="宋体" w:hAnsi="宋体" w:cs="宋体"/>
                <w:b/>
                <w:bCs/>
                <w:color w:val="auto"/>
                <w:kern w:val="0"/>
                <w:sz w:val="24"/>
                <w:szCs w:val="24"/>
              </w:rPr>
              <w:t>控制</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kern w:val="0"/>
                <w:sz w:val="24"/>
                <w:szCs w:val="24"/>
              </w:rPr>
            </w:pPr>
            <w:r>
              <w:rPr>
                <w:rFonts w:hint="eastAsia" w:ascii="宋体" w:hAnsi="宋体" w:cs="宋体"/>
                <w:b/>
                <w:bCs/>
                <w:color w:val="auto"/>
                <w:kern w:val="0"/>
                <w:sz w:val="24"/>
                <w:szCs w:val="24"/>
              </w:rPr>
              <w:t>指标</w:t>
            </w:r>
          </w:p>
        </w:tc>
        <w:tc>
          <w:tcPr>
            <w:tcW w:w="8921" w:type="dxa"/>
            <w:noWrap w:val="0"/>
            <w:vAlign w:val="center"/>
          </w:tcPr>
          <w:p>
            <w:pPr>
              <w:pStyle w:val="68"/>
              <w:keepNext w:val="0"/>
              <w:keepLines w:val="0"/>
              <w:suppressLineNumbers w:val="0"/>
              <w:adjustRightInd w:val="0"/>
              <w:snapToGrid/>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据本工程具体情况，结合国家污染物排放总量控制原则，建议本项目执行的总量控制指标如下：</w:t>
            </w:r>
          </w:p>
          <w:p>
            <w:pPr>
              <w:pStyle w:val="9"/>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kern w:val="0"/>
                <w:sz w:val="24"/>
                <w:szCs w:val="28"/>
              </w:rPr>
            </w:pPr>
            <w:r>
              <w:rPr>
                <w:rFonts w:hint="eastAsia" w:ascii="宋体" w:hAnsi="宋体" w:cs="宋体"/>
                <w:color w:val="auto"/>
                <w:kern w:val="0"/>
                <w:sz w:val="24"/>
                <w:szCs w:val="28"/>
              </w:rPr>
              <w:t>项目营运期产生的废水经医院新建的一套污水处理站处理后，达标排入市政污水管网，最终进入东川区污水处理厂。</w:t>
            </w:r>
          </w:p>
          <w:p>
            <w:pPr>
              <w:pStyle w:val="9"/>
              <w:keepNext w:val="0"/>
              <w:keepLines w:val="0"/>
              <w:suppressLineNumbers w:val="0"/>
              <w:spacing w:before="0" w:beforeAutospacing="0" w:after="0" w:afterAutospacing="0" w:line="360" w:lineRule="auto"/>
              <w:ind w:left="0" w:right="0" w:firstLine="480" w:firstLineChars="200"/>
              <w:rPr>
                <w:rFonts w:hint="default" w:ascii="宋体" w:hAnsi="宋体" w:eastAsia="宋体" w:cs="宋体"/>
                <w:color w:val="auto"/>
                <w:kern w:val="0"/>
                <w:sz w:val="24"/>
                <w:szCs w:val="28"/>
                <w:lang w:val="en-US" w:eastAsia="zh-CN"/>
              </w:rPr>
            </w:pPr>
            <w:r>
              <w:rPr>
                <w:rFonts w:hint="eastAsia" w:ascii="宋体" w:hAnsi="宋体" w:cs="宋体"/>
                <w:color w:val="auto"/>
                <w:kern w:val="0"/>
                <w:sz w:val="24"/>
                <w:szCs w:val="28"/>
                <w:lang w:eastAsia="zh-CN"/>
              </w:rPr>
              <w:t>本项目废水排放量为：</w:t>
            </w:r>
            <w:r>
              <w:rPr>
                <w:rFonts w:hint="default" w:hAnsi="Times New Roman" w:cs="Times New Roman"/>
                <w:color w:val="auto"/>
                <w:sz w:val="24"/>
                <w:szCs w:val="24"/>
                <w:lang w:val="en-US"/>
              </w:rPr>
              <w:t>39942.315</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w:t>
            </w:r>
            <w:r>
              <w:rPr>
                <w:rFonts w:hint="eastAsia" w:cs="Times New Roman"/>
                <w:color w:val="auto"/>
                <w:sz w:val="24"/>
                <w:szCs w:val="24"/>
                <w:lang w:eastAsia="zh-CN"/>
              </w:rPr>
              <w:t>，</w:t>
            </w:r>
            <w:r>
              <w:rPr>
                <w:rFonts w:hint="default" w:ascii="宋体" w:hAnsi="宋体" w:cs="宋体"/>
                <w:color w:val="auto"/>
                <w:kern w:val="0"/>
                <w:sz w:val="24"/>
                <w:szCs w:val="28"/>
                <w:lang w:val="en-US" w:eastAsia="zh-CN"/>
              </w:rPr>
              <w:t>COD</w:t>
            </w:r>
            <w:r>
              <w:rPr>
                <w:rFonts w:hint="eastAsia" w:ascii="宋体" w:hAnsi="宋体" w:cs="宋体"/>
                <w:color w:val="auto"/>
                <w:kern w:val="0"/>
                <w:sz w:val="24"/>
                <w:szCs w:val="28"/>
                <w:lang w:val="en-US" w:eastAsia="zh-CN"/>
              </w:rPr>
              <w:t>排放量为：</w:t>
            </w:r>
            <w:r>
              <w:rPr>
                <w:rFonts w:hint="default" w:ascii="宋体" w:hAnsi="宋体" w:cs="宋体"/>
                <w:color w:val="auto"/>
                <w:kern w:val="0"/>
                <w:sz w:val="24"/>
                <w:szCs w:val="28"/>
                <w:lang w:val="en-US" w:eastAsia="zh-CN"/>
              </w:rPr>
              <w:t>6.431t/a</w:t>
            </w:r>
            <w:r>
              <w:rPr>
                <w:rFonts w:hint="eastAsia" w:ascii="宋体" w:hAnsi="宋体" w:cs="宋体"/>
                <w:color w:val="auto"/>
                <w:kern w:val="0"/>
                <w:sz w:val="24"/>
                <w:szCs w:val="28"/>
                <w:lang w:val="en-US" w:eastAsia="zh-CN"/>
              </w:rPr>
              <w:t>，</w:t>
            </w:r>
            <w:r>
              <w:rPr>
                <w:rFonts w:hint="default" w:ascii="宋体" w:hAnsi="宋体" w:cs="宋体"/>
                <w:color w:val="auto"/>
                <w:kern w:val="0"/>
                <w:sz w:val="24"/>
                <w:szCs w:val="28"/>
                <w:lang w:val="en-US" w:eastAsia="zh-CN"/>
              </w:rPr>
              <w:t>NH</w:t>
            </w:r>
            <w:r>
              <w:rPr>
                <w:rFonts w:hint="default" w:ascii="宋体" w:hAnsi="宋体" w:cs="宋体"/>
                <w:color w:val="auto"/>
                <w:kern w:val="0"/>
                <w:sz w:val="24"/>
                <w:szCs w:val="28"/>
                <w:vertAlign w:val="subscript"/>
                <w:lang w:val="en-US" w:eastAsia="zh-CN"/>
              </w:rPr>
              <w:t>3</w:t>
            </w:r>
            <w:r>
              <w:rPr>
                <w:rFonts w:hint="default" w:ascii="宋体" w:hAnsi="宋体" w:cs="宋体"/>
                <w:color w:val="auto"/>
                <w:kern w:val="0"/>
                <w:sz w:val="24"/>
                <w:szCs w:val="28"/>
                <w:lang w:val="en-US" w:eastAsia="zh-CN"/>
              </w:rPr>
              <w:t>-N</w:t>
            </w:r>
            <w:r>
              <w:rPr>
                <w:rFonts w:hint="eastAsia" w:ascii="宋体" w:hAnsi="宋体" w:cs="宋体"/>
                <w:color w:val="auto"/>
                <w:kern w:val="0"/>
                <w:sz w:val="24"/>
                <w:szCs w:val="28"/>
                <w:lang w:val="en-US" w:eastAsia="zh-CN"/>
              </w:rPr>
              <w:t>排放量为</w:t>
            </w:r>
            <w:r>
              <w:rPr>
                <w:rFonts w:hint="default" w:ascii="宋体" w:hAnsi="宋体" w:cs="宋体"/>
                <w:color w:val="auto"/>
                <w:kern w:val="0"/>
                <w:sz w:val="24"/>
                <w:szCs w:val="28"/>
                <w:lang w:val="en-US" w:eastAsia="zh-CN"/>
              </w:rPr>
              <w:t>1.215t/a</w:t>
            </w:r>
            <w:r>
              <w:rPr>
                <w:rFonts w:hint="eastAsia" w:ascii="宋体" w:hAnsi="宋体" w:cs="宋体"/>
                <w:color w:val="auto"/>
                <w:kern w:val="0"/>
                <w:sz w:val="24"/>
                <w:szCs w:val="28"/>
                <w:lang w:val="en-US" w:eastAsia="zh-CN"/>
              </w:rPr>
              <w:t>。</w:t>
            </w:r>
          </w:p>
          <w:p>
            <w:pPr>
              <w:pStyle w:val="9"/>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kern w:val="0"/>
                <w:sz w:val="24"/>
                <w:szCs w:val="28"/>
              </w:rPr>
            </w:pPr>
            <w:r>
              <w:rPr>
                <w:rFonts w:hint="eastAsia" w:ascii="宋体" w:hAnsi="宋体" w:cs="宋体"/>
                <w:color w:val="auto"/>
                <w:kern w:val="0"/>
                <w:sz w:val="24"/>
                <w:szCs w:val="28"/>
              </w:rPr>
              <w:t>污染物排放总量控制指标纳入东川区污水处理厂考核，本项目不再单独申请废水污染物总量控制指标。</w:t>
            </w:r>
          </w:p>
          <w:p>
            <w:pPr>
              <w:pStyle w:val="9"/>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kern w:val="0"/>
                <w:sz w:val="24"/>
                <w:szCs w:val="28"/>
              </w:rPr>
            </w:pPr>
            <w:r>
              <w:rPr>
                <w:rFonts w:hint="eastAsia" w:ascii="宋体" w:hAnsi="宋体" w:cs="宋体"/>
                <w:color w:val="auto"/>
                <w:kern w:val="0"/>
                <w:sz w:val="24"/>
                <w:szCs w:val="28"/>
              </w:rPr>
              <w:t>固体废弃物：本项目固体废物处置率达100%，不设总量控制指标。</w:t>
            </w:r>
          </w:p>
          <w:p>
            <w:pPr>
              <w:pStyle w:val="9"/>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kern w:val="0"/>
                <w:sz w:val="24"/>
                <w:szCs w:val="28"/>
              </w:rPr>
            </w:pPr>
          </w:p>
          <w:p>
            <w:pPr>
              <w:pStyle w:val="9"/>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kern w:val="0"/>
                <w:sz w:val="24"/>
                <w:szCs w:val="28"/>
              </w:rPr>
            </w:pPr>
          </w:p>
          <w:p>
            <w:pPr>
              <w:pStyle w:val="9"/>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kern w:val="0"/>
                <w:sz w:val="24"/>
                <w:szCs w:val="28"/>
              </w:rPr>
            </w:pPr>
          </w:p>
          <w:p>
            <w:pPr>
              <w:pStyle w:val="9"/>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kern w:val="0"/>
                <w:sz w:val="24"/>
                <w:szCs w:val="28"/>
              </w:rPr>
            </w:pPr>
          </w:p>
          <w:p>
            <w:pPr>
              <w:keepNext w:val="0"/>
              <w:keepLines w:val="0"/>
              <w:suppressLineNumbers w:val="0"/>
              <w:spacing w:before="0" w:beforeAutospacing="0" w:after="0" w:afterAutospacing="0"/>
              <w:ind w:left="0" w:right="0"/>
              <w:rPr>
                <w:rFonts w:hint="eastAsia" w:ascii="宋体" w:hAnsi="宋体" w:cs="宋体"/>
                <w:color w:val="auto"/>
              </w:rPr>
            </w:pPr>
          </w:p>
          <w:p>
            <w:pPr>
              <w:pStyle w:val="9"/>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kern w:val="0"/>
                <w:sz w:val="24"/>
                <w:szCs w:val="28"/>
              </w:rPr>
            </w:pPr>
          </w:p>
          <w:p>
            <w:pPr>
              <w:pStyle w:val="9"/>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kern w:val="0"/>
                <w:sz w:val="24"/>
                <w:szCs w:val="28"/>
              </w:rPr>
            </w:pPr>
          </w:p>
          <w:p>
            <w:pPr>
              <w:pStyle w:val="9"/>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kern w:val="0"/>
                <w:sz w:val="24"/>
                <w:szCs w:val="28"/>
              </w:rPr>
            </w:pPr>
          </w:p>
          <w:p>
            <w:pPr>
              <w:pStyle w:val="9"/>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kern w:val="0"/>
                <w:sz w:val="24"/>
                <w:szCs w:val="28"/>
              </w:rPr>
            </w:pPr>
          </w:p>
          <w:p>
            <w:pPr>
              <w:pStyle w:val="9"/>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kern w:val="0"/>
                <w:sz w:val="24"/>
                <w:szCs w:val="28"/>
              </w:rPr>
            </w:pPr>
          </w:p>
          <w:p>
            <w:pPr>
              <w:pStyle w:val="9"/>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kern w:val="0"/>
                <w:sz w:val="24"/>
                <w:szCs w:val="28"/>
              </w:rPr>
            </w:pPr>
          </w:p>
          <w:p>
            <w:pPr>
              <w:pStyle w:val="9"/>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kern w:val="0"/>
                <w:sz w:val="24"/>
                <w:szCs w:val="28"/>
              </w:rPr>
            </w:pPr>
          </w:p>
          <w:p>
            <w:pPr>
              <w:pStyle w:val="9"/>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kern w:val="0"/>
                <w:sz w:val="24"/>
                <w:szCs w:val="28"/>
              </w:rPr>
            </w:pPr>
          </w:p>
          <w:p>
            <w:pPr>
              <w:pStyle w:val="9"/>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kern w:val="0"/>
                <w:sz w:val="24"/>
                <w:szCs w:val="28"/>
              </w:rPr>
            </w:pPr>
          </w:p>
          <w:p>
            <w:pPr>
              <w:pStyle w:val="9"/>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kern w:val="0"/>
                <w:sz w:val="24"/>
                <w:szCs w:val="28"/>
              </w:rPr>
            </w:pPr>
          </w:p>
          <w:p>
            <w:pPr>
              <w:pStyle w:val="68"/>
              <w:keepNext w:val="0"/>
              <w:keepLines w:val="0"/>
              <w:suppressLineNumbers w:val="0"/>
              <w:adjustRightInd w:val="0"/>
              <w:snapToGrid/>
              <w:spacing w:before="0" w:beforeAutospacing="0" w:after="0" w:afterAutospacing="0" w:line="360" w:lineRule="auto"/>
              <w:ind w:left="0" w:right="0"/>
              <w:rPr>
                <w:rFonts w:hint="eastAsia" w:ascii="宋体" w:hAnsi="宋体" w:cs="宋体"/>
                <w:color w:val="auto"/>
              </w:rPr>
            </w:pPr>
          </w:p>
        </w:tc>
      </w:tr>
    </w:tbl>
    <w:p>
      <w:pPr>
        <w:pStyle w:val="22"/>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6"/>
          <w:szCs w:val="36"/>
        </w:rPr>
        <w:br w:type="page"/>
      </w:r>
      <w:bookmarkStart w:id="5" w:name="_Toc2499"/>
      <w:r>
        <w:rPr>
          <w:rFonts w:hint="eastAsia" w:ascii="Calibri" w:hAnsi="Calibri" w:eastAsia="黑体" w:cs="Calibri"/>
          <w:b/>
          <w:bCs/>
          <w:color w:val="auto"/>
          <w:kern w:val="44"/>
          <w:sz w:val="30"/>
          <w:szCs w:val="30"/>
        </w:rPr>
        <w:t>四、主要环境影响和保护措施</w:t>
      </w:r>
      <w:bookmarkEnd w:id="5"/>
    </w:p>
    <w:tbl>
      <w:tblPr>
        <w:tblStyle w:val="26"/>
        <w:tblW w:w="94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6"/>
        <w:gridCol w:w="89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536" w:type="dxa"/>
            <w:noWrap w:val="0"/>
            <w:tcMar>
              <w:left w:w="28" w:type="dxa"/>
              <w:right w:w="28" w:type="dxa"/>
            </w:tcMar>
            <w:vAlign w:val="center"/>
          </w:tcPr>
          <w:p>
            <w:pPr>
              <w:pStyle w:val="22"/>
              <w:keepNext w:val="0"/>
              <w:keepLines w:val="0"/>
              <w:suppressLineNumbers w:val="0"/>
              <w:adjustRightInd w:val="0"/>
              <w:snapToGrid w:val="0"/>
              <w:spacing w:before="0" w:beforeAutospacing="0" w:after="0" w:afterAutospacing="0"/>
              <w:ind w:left="0" w:right="0"/>
              <w:jc w:val="center"/>
              <w:rPr>
                <w:rFonts w:hint="eastAsia" w:cs="宋体"/>
                <w:b/>
                <w:bCs/>
                <w:color w:val="auto"/>
                <w:kern w:val="2"/>
                <w:szCs w:val="24"/>
              </w:rPr>
            </w:pPr>
            <w:r>
              <w:rPr>
                <w:rFonts w:hint="eastAsia" w:cs="宋体"/>
                <w:b/>
                <w:bCs/>
                <w:color w:val="auto"/>
                <w:kern w:val="2"/>
                <w:szCs w:val="24"/>
              </w:rPr>
              <w:t>施工</w:t>
            </w:r>
          </w:p>
          <w:p>
            <w:pPr>
              <w:pStyle w:val="22"/>
              <w:keepNext w:val="0"/>
              <w:keepLines w:val="0"/>
              <w:suppressLineNumbers w:val="0"/>
              <w:adjustRightInd w:val="0"/>
              <w:snapToGrid w:val="0"/>
              <w:spacing w:before="0" w:beforeAutospacing="0" w:after="0" w:afterAutospacing="0"/>
              <w:ind w:left="0" w:right="0"/>
              <w:jc w:val="center"/>
              <w:rPr>
                <w:rFonts w:hint="eastAsia" w:cs="宋体"/>
                <w:b/>
                <w:bCs/>
                <w:color w:val="auto"/>
                <w:kern w:val="2"/>
                <w:szCs w:val="24"/>
              </w:rPr>
            </w:pPr>
            <w:r>
              <w:rPr>
                <w:rFonts w:hint="eastAsia" w:cs="宋体"/>
                <w:b/>
                <w:bCs/>
                <w:color w:val="auto"/>
                <w:kern w:val="2"/>
                <w:szCs w:val="24"/>
              </w:rPr>
              <w:t>期环</w:t>
            </w:r>
          </w:p>
          <w:p>
            <w:pPr>
              <w:pStyle w:val="22"/>
              <w:keepNext w:val="0"/>
              <w:keepLines w:val="0"/>
              <w:suppressLineNumbers w:val="0"/>
              <w:adjustRightInd w:val="0"/>
              <w:snapToGrid w:val="0"/>
              <w:spacing w:before="0" w:beforeAutospacing="0" w:after="0" w:afterAutospacing="0"/>
              <w:ind w:left="0" w:right="0"/>
              <w:jc w:val="center"/>
              <w:rPr>
                <w:rFonts w:hint="eastAsia" w:cs="宋体"/>
                <w:b/>
                <w:bCs/>
                <w:color w:val="auto"/>
                <w:kern w:val="2"/>
                <w:szCs w:val="24"/>
              </w:rPr>
            </w:pPr>
            <w:r>
              <w:rPr>
                <w:rFonts w:hint="eastAsia" w:cs="宋体"/>
                <w:b/>
                <w:bCs/>
                <w:color w:val="auto"/>
                <w:kern w:val="2"/>
                <w:szCs w:val="24"/>
              </w:rPr>
              <w:t>境保</w:t>
            </w:r>
          </w:p>
          <w:p>
            <w:pPr>
              <w:pStyle w:val="22"/>
              <w:keepNext w:val="0"/>
              <w:keepLines w:val="0"/>
              <w:suppressLineNumbers w:val="0"/>
              <w:adjustRightInd w:val="0"/>
              <w:snapToGrid w:val="0"/>
              <w:spacing w:before="0" w:beforeAutospacing="0" w:after="0" w:afterAutospacing="0"/>
              <w:ind w:left="0" w:right="0"/>
              <w:jc w:val="center"/>
              <w:rPr>
                <w:rFonts w:hint="eastAsia" w:cs="宋体"/>
                <w:b/>
                <w:bCs/>
                <w:color w:val="auto"/>
                <w:kern w:val="2"/>
                <w:szCs w:val="24"/>
              </w:rPr>
            </w:pPr>
            <w:r>
              <w:rPr>
                <w:rFonts w:hint="eastAsia" w:cs="宋体"/>
                <w:b/>
                <w:bCs/>
                <w:color w:val="auto"/>
                <w:kern w:val="2"/>
                <w:szCs w:val="24"/>
              </w:rPr>
              <w:t>护措</w:t>
            </w:r>
          </w:p>
          <w:p>
            <w:pPr>
              <w:pStyle w:val="22"/>
              <w:keepNext w:val="0"/>
              <w:keepLines w:val="0"/>
              <w:suppressLineNumbers w:val="0"/>
              <w:adjustRightInd w:val="0"/>
              <w:snapToGrid w:val="0"/>
              <w:spacing w:before="0" w:beforeAutospacing="0" w:after="0" w:afterAutospacing="0"/>
              <w:ind w:left="0" w:right="0"/>
              <w:jc w:val="center"/>
              <w:rPr>
                <w:rFonts w:hint="eastAsia" w:cs="宋体"/>
                <w:b/>
                <w:bCs/>
                <w:color w:val="auto"/>
                <w:kern w:val="2"/>
                <w:szCs w:val="24"/>
              </w:rPr>
            </w:pPr>
            <w:r>
              <w:rPr>
                <w:rFonts w:hint="eastAsia" w:cs="宋体"/>
                <w:b/>
                <w:bCs/>
                <w:color w:val="auto"/>
                <w:kern w:val="2"/>
                <w:szCs w:val="24"/>
              </w:rPr>
              <w:t>施</w:t>
            </w:r>
          </w:p>
        </w:tc>
        <w:tc>
          <w:tcPr>
            <w:tcW w:w="8927" w:type="dxa"/>
            <w:noWrap w:val="0"/>
            <w:vAlign w:val="center"/>
          </w:tcPr>
          <w:p>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bCs/>
                <w:color w:val="auto"/>
                <w:sz w:val="24"/>
                <w:szCs w:val="24"/>
              </w:rPr>
            </w:pPr>
            <w:r>
              <w:rPr>
                <w:rFonts w:hint="eastAsia" w:ascii="宋体" w:hAnsi="宋体" w:cs="宋体"/>
                <w:bCs/>
                <w:color w:val="auto"/>
                <w:sz w:val="24"/>
                <w:szCs w:val="24"/>
                <w:lang w:bidi="ar"/>
              </w:rPr>
              <w:t>项目</w:t>
            </w:r>
            <w:r>
              <w:rPr>
                <w:rFonts w:hint="eastAsia" w:ascii="宋体" w:hAnsi="宋体" w:cs="宋体"/>
                <w:bCs/>
                <w:color w:val="auto"/>
                <w:kern w:val="0"/>
                <w:sz w:val="24"/>
                <w:szCs w:val="24"/>
              </w:rPr>
              <w:t>施工周期</w:t>
            </w:r>
            <w:r>
              <w:rPr>
                <w:rFonts w:hint="default" w:ascii="宋体" w:hAnsi="宋体" w:cs="宋体"/>
                <w:bCs/>
                <w:color w:val="auto"/>
                <w:kern w:val="0"/>
                <w:sz w:val="24"/>
                <w:szCs w:val="24"/>
                <w:lang w:val="en-US"/>
              </w:rPr>
              <w:t>24</w:t>
            </w:r>
            <w:r>
              <w:rPr>
                <w:rFonts w:hint="eastAsia" w:ascii="宋体" w:hAnsi="宋体" w:cs="宋体"/>
                <w:bCs/>
                <w:color w:val="auto"/>
                <w:kern w:val="0"/>
                <w:sz w:val="24"/>
                <w:szCs w:val="24"/>
              </w:rPr>
              <w:t>个月，施工期</w:t>
            </w:r>
            <w:r>
              <w:rPr>
                <w:rFonts w:hint="eastAsia" w:ascii="宋体" w:hAnsi="宋体" w:cs="宋体"/>
                <w:bCs/>
                <w:color w:val="auto"/>
                <w:sz w:val="24"/>
                <w:szCs w:val="24"/>
                <w:lang w:bidi="ar"/>
              </w:rPr>
              <w:t>主要产生施工废气、噪声、</w:t>
            </w:r>
            <w:r>
              <w:rPr>
                <w:rFonts w:hint="eastAsia" w:ascii="宋体" w:hAnsi="宋体" w:cs="宋体"/>
                <w:color w:val="auto"/>
                <w:sz w:val="24"/>
                <w:szCs w:val="24"/>
              </w:rPr>
              <w:t>生活垃圾、建筑垃圾及生活污水等。</w:t>
            </w:r>
            <w:r>
              <w:rPr>
                <w:rFonts w:hint="eastAsia" w:ascii="宋体" w:hAnsi="宋体" w:cs="宋体"/>
                <w:bCs/>
                <w:color w:val="auto"/>
                <w:sz w:val="24"/>
                <w:szCs w:val="24"/>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cs="宋体"/>
                <w:b/>
                <w:color w:val="auto"/>
                <w:sz w:val="24"/>
                <w:szCs w:val="24"/>
                <w:lang w:bidi="ar"/>
              </w:rPr>
            </w:pPr>
            <w:r>
              <w:rPr>
                <w:rFonts w:hint="eastAsia" w:ascii="宋体" w:hAnsi="宋体" w:cs="宋体"/>
                <w:b/>
                <w:color w:val="auto"/>
                <w:sz w:val="24"/>
                <w:szCs w:val="24"/>
                <w:lang w:bidi="ar"/>
              </w:rPr>
              <w:t>1、施工废气</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auto"/>
                <w:kern w:val="0"/>
                <w:sz w:val="24"/>
                <w:szCs w:val="24"/>
                <w:lang w:bidi="ar"/>
              </w:rPr>
            </w:pPr>
            <w:r>
              <w:rPr>
                <w:rFonts w:hint="eastAsia" w:ascii="宋体" w:hAnsi="宋体" w:cs="宋体"/>
                <w:bCs/>
                <w:color w:val="auto"/>
                <w:sz w:val="24"/>
                <w:szCs w:val="24"/>
                <w:lang w:bidi="ar"/>
              </w:rPr>
              <w:t>施工期产生的废气主要为调节池开挖过程产生的粉尘和装修废气等。</w:t>
            </w:r>
            <w:r>
              <w:rPr>
                <w:rFonts w:hint="eastAsia" w:ascii="宋体" w:hAnsi="宋体" w:cs="宋体"/>
                <w:color w:val="auto"/>
                <w:kern w:val="0"/>
                <w:sz w:val="24"/>
                <w:szCs w:val="24"/>
                <w:lang w:bidi="ar"/>
              </w:rPr>
              <w:t xml:space="preserve">为减轻施工扬尘、装修废气等对周围环境的影响，本项目在施工期拟采取以下措施： </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 xml:space="preserve">1）施工场地适时洒水，减少施工扬尘对周围环境的影响。 </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2）施工过程中使用商品混凝土，施工场地内不得设置混凝土拌和场地。</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3）施工期建筑垃圾及建筑材料采用帆布遮盖的车辆进行运输，水泥、黄砂、石灰类的建筑材料需集中堆放，并采取土工布遮盖措施。</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4）优化施工期间运输车辆的出入场路径，对施工场地及进出口定期清扫。</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5）使用环保型装修材料，减少装修废气排放。</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综上所述，施工期通过采取上述措施后，施工期扬尘可得到有效抑制，项目区域地势开阔，自然通风情况良好，施工期废气在环境空气中经自然扩散、稀释后，对周围环境产生的影响很小。</w:t>
            </w:r>
          </w:p>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b/>
                <w:color w:val="auto"/>
                <w:sz w:val="24"/>
                <w:szCs w:val="24"/>
                <w:lang w:bidi="ar"/>
              </w:rPr>
            </w:pPr>
            <w:r>
              <w:rPr>
                <w:rFonts w:hint="eastAsia" w:ascii="宋体" w:hAnsi="宋体" w:cs="宋体"/>
                <w:b/>
                <w:color w:val="auto"/>
                <w:sz w:val="24"/>
                <w:szCs w:val="24"/>
                <w:lang w:bidi="ar"/>
              </w:rPr>
              <w:t>2、施工期废水</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项目施工期</w:t>
            </w:r>
            <w:r>
              <w:rPr>
                <w:rFonts w:hint="eastAsia" w:ascii="宋体" w:hAnsi="宋体" w:cs="宋体"/>
                <w:snapToGrid w:val="0"/>
                <w:color w:val="auto"/>
                <w:sz w:val="24"/>
                <w:szCs w:val="24"/>
              </w:rPr>
              <w:t>施工人员不在施工场地食宿，</w:t>
            </w:r>
            <w:r>
              <w:rPr>
                <w:rFonts w:hint="eastAsia" w:ascii="宋体" w:hAnsi="宋体" w:cs="宋体"/>
                <w:color w:val="auto"/>
                <w:sz w:val="24"/>
                <w:szCs w:val="24"/>
              </w:rPr>
              <w:t>施工人员生活污水主要是洗手污水和厕所废水。施工人员</w:t>
            </w:r>
            <w:r>
              <w:rPr>
                <w:rFonts w:hint="default" w:ascii="宋体" w:hAnsi="宋体" w:cs="宋体"/>
                <w:color w:val="auto"/>
                <w:sz w:val="24"/>
                <w:szCs w:val="24"/>
              </w:rPr>
              <w:t>8</w:t>
            </w:r>
            <w:r>
              <w:rPr>
                <w:rFonts w:hint="eastAsia" w:ascii="宋体" w:hAnsi="宋体" w:cs="宋体"/>
                <w:color w:val="auto"/>
                <w:sz w:val="24"/>
                <w:szCs w:val="24"/>
              </w:rPr>
              <w:t>0人，施工人员入厕利用</w:t>
            </w:r>
            <w:r>
              <w:rPr>
                <w:rFonts w:hint="eastAsia" w:ascii="宋体" w:hAnsi="宋体" w:cs="宋体"/>
                <w:color w:val="auto"/>
                <w:sz w:val="24"/>
                <w:szCs w:val="24"/>
                <w:lang w:eastAsia="zh-CN"/>
              </w:rPr>
              <w:t>原项目</w:t>
            </w:r>
            <w:r>
              <w:rPr>
                <w:rFonts w:hint="eastAsia" w:ascii="宋体" w:hAnsi="宋体" w:cs="宋体"/>
                <w:color w:val="auto"/>
                <w:sz w:val="24"/>
                <w:szCs w:val="24"/>
              </w:rPr>
              <w:t>现有卫生间</w:t>
            </w:r>
            <w:r>
              <w:rPr>
                <w:rFonts w:hint="eastAsia" w:ascii="宋体" w:hAnsi="宋体" w:cs="宋体"/>
                <w:color w:val="auto"/>
                <w:sz w:val="24"/>
                <w:szCs w:val="24"/>
                <w:lang w:eastAsia="zh-CN"/>
              </w:rPr>
              <w:t>，项目区内无生活废水产生</w:t>
            </w:r>
            <w:r>
              <w:rPr>
                <w:rFonts w:hint="eastAsia" w:ascii="宋体" w:hAnsi="宋体" w:cs="宋体"/>
                <w:color w:val="auto"/>
                <w:sz w:val="24"/>
                <w:szCs w:val="24"/>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kern w:val="0"/>
                <w:sz w:val="24"/>
                <w:szCs w:val="24"/>
                <w:lang w:bidi="ar"/>
              </w:rPr>
              <w:t>项目施工时设置临时沉淀池，收集项目施工过程中产生的少量施工废水，施工废水经沉淀处理后的废水回用于施工场地洒水降尘，不外排。</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综上所述，本项目施工期间的废水产生量小，经处理后回用不外排，对环境影响较小。</w:t>
            </w:r>
          </w:p>
          <w:p>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cs="宋体"/>
                <w:b/>
                <w:color w:val="auto"/>
                <w:sz w:val="24"/>
                <w:szCs w:val="24"/>
                <w:lang w:bidi="ar"/>
              </w:rPr>
            </w:pPr>
            <w:r>
              <w:rPr>
                <w:rFonts w:hint="eastAsia" w:ascii="宋体" w:hAnsi="宋体" w:cs="宋体"/>
                <w:b/>
                <w:color w:val="auto"/>
                <w:sz w:val="24"/>
                <w:szCs w:val="24"/>
                <w:lang w:bidi="ar"/>
              </w:rPr>
              <w:t>3、施工噪声</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施工期的噪声对周围环境、敏感点的影响，本次环评提出以下措施：</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①选用低噪声</w:t>
            </w:r>
            <w:r>
              <w:rPr>
                <w:rFonts w:hint="eastAsia" w:ascii="宋体" w:hAnsi="宋体" w:cs="宋体"/>
                <w:color w:val="auto"/>
                <w:sz w:val="24"/>
                <w:szCs w:val="24"/>
                <w:lang w:eastAsia="zh-CN"/>
              </w:rPr>
              <w:t>设备</w:t>
            </w:r>
            <w:r>
              <w:rPr>
                <w:rFonts w:hint="eastAsia" w:ascii="宋体" w:hAnsi="宋体" w:cs="宋体"/>
                <w:color w:val="auto"/>
                <w:sz w:val="24"/>
                <w:szCs w:val="24"/>
              </w:rPr>
              <w:t>，设备安装调试和运输车辆在运行中产生的机械噪声，为了减轻施工噪音的施工机械设备，定期对运输车辆进行保养，保证其正常运行。</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②施工场地的施工车辆出入现场时应低速、禁鸣。</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③加强对施工场地的噪声管理，施工企业也应对施工噪声进行自律，合理安排工期，减短施工的施工时间；加强对施工人员的管理，做到文明施工。</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④合理安排施工时间，合理布局施工现场，避免对敏感人群造成严重影响；物料进场要安排在白天进行，避免夜间进场影响居民休息。</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⑤施工单位与施工场地周围居民建立良好的关系，及时让他们了解施工进度及采取的降噪措施，并取得大家的共同理解。</w:t>
            </w:r>
          </w:p>
          <w:p>
            <w:pPr>
              <w:pStyle w:val="13"/>
              <w:keepNext w:val="0"/>
              <w:keepLines w:val="0"/>
              <w:suppressLineNumbers w:val="0"/>
              <w:adjustRightInd w:val="0"/>
              <w:snapToGrid w:val="0"/>
              <w:spacing w:before="0" w:beforeAutospacing="0" w:after="0" w:afterAutospacing="0" w:line="360" w:lineRule="auto"/>
              <w:ind w:left="0" w:right="0" w:firstLine="480" w:firstLineChars="200"/>
              <w:rPr>
                <w:rFonts w:hAnsi="宋体" w:cs="宋体"/>
                <w:color w:val="auto"/>
                <w:sz w:val="24"/>
                <w:szCs w:val="24"/>
              </w:rPr>
            </w:pPr>
            <w:r>
              <w:rPr>
                <w:rFonts w:hAnsi="宋体" w:cs="宋体"/>
                <w:color w:val="auto"/>
                <w:sz w:val="24"/>
                <w:szCs w:val="24"/>
              </w:rPr>
              <w:t>⑥项目施工期应选择白天施工，施工机械设备尽量远离东</w:t>
            </w:r>
            <w:r>
              <w:rPr>
                <w:rFonts w:hint="eastAsia" w:hAnsi="宋体" w:cs="宋体"/>
                <w:color w:val="auto"/>
                <w:sz w:val="24"/>
                <w:szCs w:val="24"/>
                <w:lang w:eastAsia="zh-CN"/>
              </w:rPr>
              <w:t>北</w:t>
            </w:r>
            <w:r>
              <w:rPr>
                <w:rFonts w:hAnsi="宋体" w:cs="宋体"/>
                <w:color w:val="auto"/>
                <w:sz w:val="24"/>
                <w:szCs w:val="24"/>
              </w:rPr>
              <w:t>侧的</w:t>
            </w:r>
            <w:r>
              <w:rPr>
                <w:rFonts w:hint="eastAsia" w:hAnsi="宋体" w:cs="宋体"/>
                <w:color w:val="auto"/>
                <w:sz w:val="24"/>
                <w:szCs w:val="24"/>
                <w:lang w:eastAsia="zh-CN"/>
              </w:rPr>
              <w:t>石羊社区</w:t>
            </w:r>
            <w:r>
              <w:rPr>
                <w:rFonts w:hAnsi="宋体" w:cs="宋体"/>
                <w:color w:val="auto"/>
                <w:sz w:val="24"/>
                <w:szCs w:val="24"/>
              </w:rPr>
              <w:t>，减轻对其影响。</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⑦</w:t>
            </w:r>
            <w:r>
              <w:rPr>
                <w:rFonts w:hint="default" w:ascii="Times New Roman" w:hAnsi="Times New Roman" w:eastAsia="宋体" w:cs="Times New Roman"/>
                <w:color w:val="auto"/>
                <w:kern w:val="0"/>
                <w:sz w:val="24"/>
                <w:szCs w:val="24"/>
                <w:lang w:val="en-US" w:eastAsia="zh-CN" w:bidi="ar"/>
              </w:rPr>
              <w:t>施工方应按照《昆明市环境噪声污染防治管理办法》，禁止禁止在12时至14时、22时至次日6时进行建筑施工作业</w:t>
            </w:r>
            <w:r>
              <w:rPr>
                <w:rFonts w:hint="default" w:ascii="Times New Roman" w:hAnsi="Times New Roman" w:eastAsia="宋体" w:cs="Times New Roman"/>
                <w:color w:val="auto"/>
                <w:sz w:val="24"/>
                <w:szCs w:val="24"/>
              </w:rPr>
              <w:t>。</w:t>
            </w:r>
          </w:p>
          <w:p>
            <w:pPr>
              <w:pStyle w:val="13"/>
              <w:keepNext w:val="0"/>
              <w:keepLines w:val="0"/>
              <w:suppressLineNumbers w:val="0"/>
              <w:adjustRightInd w:val="0"/>
              <w:snapToGrid w:val="0"/>
              <w:spacing w:before="0" w:beforeAutospacing="0" w:after="0" w:afterAutospacing="0" w:line="360" w:lineRule="auto"/>
              <w:ind w:left="0" w:right="0" w:firstLine="480" w:firstLineChars="200"/>
              <w:rPr>
                <w:rFonts w:hAnsi="宋体" w:cs="宋体"/>
                <w:color w:val="auto"/>
                <w:sz w:val="24"/>
                <w:szCs w:val="24"/>
              </w:rPr>
            </w:pPr>
            <w:r>
              <w:rPr>
                <w:rFonts w:hAnsi="宋体" w:cs="宋体"/>
                <w:color w:val="auto"/>
                <w:sz w:val="24"/>
                <w:szCs w:val="24"/>
              </w:rPr>
              <w:t>通过采取上述措施，将项目施工期施工机械噪声对周围环境的影响降至最低。项目施工噪声不会对周边环境产生长期影响，随着项目施工结束，施工噪声污染将随之消失，项目施工噪声对周边环境产生的影响可以接受。</w:t>
            </w:r>
          </w:p>
          <w:p>
            <w:pPr>
              <w:pStyle w:val="13"/>
              <w:keepNext w:val="0"/>
              <w:keepLines w:val="0"/>
              <w:suppressLineNumbers w:val="0"/>
              <w:adjustRightInd w:val="0"/>
              <w:snapToGrid w:val="0"/>
              <w:spacing w:before="0" w:beforeAutospacing="0" w:after="0" w:afterAutospacing="0" w:line="360" w:lineRule="auto"/>
              <w:ind w:left="0" w:right="0" w:firstLine="480" w:firstLineChars="200"/>
              <w:rPr>
                <w:rFonts w:hAnsi="宋体" w:cs="宋体"/>
                <w:color w:val="auto"/>
                <w:sz w:val="24"/>
                <w:szCs w:val="24"/>
              </w:rPr>
            </w:pPr>
            <w:r>
              <w:rPr>
                <w:rFonts w:hAnsi="宋体" w:cs="宋体"/>
                <w:color w:val="auto"/>
                <w:sz w:val="24"/>
                <w:szCs w:val="24"/>
              </w:rPr>
              <w:t>综上所述，本项目采取上述措施后施工噪声对环境影响较小。</w:t>
            </w:r>
          </w:p>
          <w:p>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cs="宋体"/>
                <w:b/>
                <w:color w:val="auto"/>
                <w:sz w:val="24"/>
                <w:szCs w:val="24"/>
                <w:lang w:bidi="ar"/>
              </w:rPr>
            </w:pPr>
            <w:r>
              <w:rPr>
                <w:rFonts w:hint="eastAsia" w:ascii="宋体" w:hAnsi="宋体" w:cs="宋体"/>
                <w:b/>
                <w:color w:val="auto"/>
                <w:sz w:val="24"/>
                <w:szCs w:val="24"/>
                <w:lang w:bidi="ar"/>
              </w:rPr>
              <w:t>4、施工固体废物</w:t>
            </w: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项目施工期产生的固体废弃物主要为</w:t>
            </w:r>
            <w:r>
              <w:rPr>
                <w:rFonts w:hint="eastAsia" w:ascii="宋体" w:hAnsi="宋体" w:cs="宋体"/>
                <w:color w:val="auto"/>
                <w:sz w:val="24"/>
                <w:szCs w:val="24"/>
                <w:lang w:eastAsia="zh-CN"/>
              </w:rPr>
              <w:t>废</w:t>
            </w:r>
            <w:r>
              <w:rPr>
                <w:rFonts w:hint="eastAsia" w:ascii="宋体" w:hAnsi="宋体" w:cs="宋体"/>
                <w:color w:val="auto"/>
                <w:sz w:val="24"/>
                <w:szCs w:val="24"/>
              </w:rPr>
              <w:t>弃土石方、建筑垃圾、生活垃圾。</w:t>
            </w: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（1）生活垃圾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项目施工人员约80人，生活垃圾产生量按0.5kg/d人计，则施工人员生活垃圾产生量约为40.0kg/d。生活垃圾统一收集后委托环卫部分清运。</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（2）建筑垃圾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项目建筑垃圾主要有边角废料、废弃包装袋及装修废材料。类比同类项目，平均每平方米建筑面积产生建筑垃圾约10kg，项目建筑面积16878.82㎡，建筑垃圾产生量约169t。建筑垃圾在施工现场内统一收集，先分类回收利用，不能回收利用的</w:t>
            </w:r>
            <w:r>
              <w:rPr>
                <w:rFonts w:hint="eastAsia" w:ascii="Times New Roman" w:hAnsi="Times New Roman" w:eastAsia="宋体" w:cs="Times New Roman"/>
                <w:color w:val="auto"/>
                <w:sz w:val="24"/>
                <w:szCs w:val="24"/>
                <w:highlight w:val="none"/>
                <w:lang w:val="en-US" w:eastAsia="zh-CN"/>
              </w:rPr>
              <w:t>运至</w:t>
            </w:r>
            <w:r>
              <w:rPr>
                <w:rFonts w:hint="default" w:ascii="Times New Roman" w:hAnsi="Times New Roman" w:eastAsia="宋体" w:cs="Times New Roman"/>
                <w:color w:val="auto"/>
                <w:sz w:val="24"/>
                <w:szCs w:val="24"/>
                <w:highlight w:val="none"/>
              </w:rPr>
              <w:t>政府部门指定的建筑垃圾堆放场处置</w:t>
            </w:r>
            <w:r>
              <w:rPr>
                <w:rFonts w:hint="default" w:ascii="Times New Roman" w:hAnsi="Times New Roman" w:eastAsia="宋体" w:cs="Times New Roman"/>
                <w:color w:val="auto"/>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废</w:t>
            </w:r>
            <w:r>
              <w:rPr>
                <w:rFonts w:hint="default" w:ascii="Times New Roman" w:hAnsi="Times New Roman" w:eastAsia="宋体" w:cs="Times New Roman"/>
                <w:color w:val="auto"/>
                <w:sz w:val="24"/>
                <w:szCs w:val="24"/>
              </w:rPr>
              <w:t>弃土石方</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项目开挖化粪池、医疗废水处理设施时会产生废弃土石方，根据建设单位提供资料，开挖过程产生的土石方量约3500m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，产生的土石方部分进行回填，回填量约1500m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，因此废弃土石方约2000m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 xml:space="preserve">，在施工现场内统一收集，委托有资质的渣土清运公司清运至合法弃渣场处理。 </w:t>
            </w: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综上所述，项目施工期产生的固体废弃物100％处置，对环境影响较小。</w:t>
            </w:r>
          </w:p>
          <w:p>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cs="宋体"/>
                <w:b/>
                <w:color w:val="auto"/>
                <w:sz w:val="24"/>
                <w:szCs w:val="24"/>
                <w:lang w:bidi="ar"/>
              </w:rPr>
            </w:pPr>
            <w:r>
              <w:rPr>
                <w:rFonts w:hint="eastAsia" w:ascii="宋体" w:hAnsi="宋体" w:cs="宋体"/>
                <w:b/>
                <w:color w:val="auto"/>
                <w:sz w:val="24"/>
                <w:szCs w:val="24"/>
                <w:lang w:bidi="ar"/>
              </w:rPr>
              <w:t>5、施工期物料运输对周边居民的影响分析</w:t>
            </w: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项目施工所需的砂石料、钢材、木材、商品混凝土等建筑材料需要在场外购买，并运至施工场地，则施工期运输车辆的增多会影响周边居民的出行安全及生活质量，同时还会导致经过施工路段的车辆堵塞或行车速度减慢等。因此，建设单位在施工期间采取以下措施：</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（1）运输过程车辆必须加盖篷布，必须做到加盖严实；</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（2）运输车辆货箱侧栏必须加高处理，防止运输材料的泼洒；</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（3）加强运输人员的管理，运输车辆在经过道路两侧的居住点时应减速缓行，禁止鸣笛；</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（4）合理安排施工时段，材料运输车辆尽量避开车流量高峰期，做好保通工作，</w:t>
            </w:r>
          </w:p>
          <w:p>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cs="宋体"/>
                <w:color w:val="auto"/>
                <w:sz w:val="24"/>
                <w:szCs w:val="24"/>
              </w:rPr>
            </w:pPr>
            <w:r>
              <w:rPr>
                <w:rFonts w:hint="eastAsia" w:ascii="宋体" w:hAnsi="宋体" w:cs="宋体"/>
                <w:color w:val="auto"/>
                <w:sz w:val="24"/>
                <w:szCs w:val="24"/>
              </w:rPr>
              <w:t>以保证施工期道路畅通，尽量减小交通干扰；</w:t>
            </w:r>
          </w:p>
          <w:p>
            <w:pPr>
              <w:keepNext w:val="0"/>
              <w:keepLines w:val="0"/>
              <w:widowControl/>
              <w:numPr>
                <w:ilvl w:val="0"/>
                <w:numId w:val="4"/>
              </w:numPr>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建筑材料及物料的运输应尽量安排在白天进行。</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bCs/>
                <w:color w:val="auto"/>
                <w:spacing w:val="-10"/>
              </w:rPr>
            </w:pPr>
            <w:r>
              <w:rPr>
                <w:rFonts w:hint="eastAsia" w:ascii="宋体" w:hAnsi="宋体" w:cs="宋体"/>
                <w:color w:val="auto"/>
                <w:sz w:val="24"/>
                <w:szCs w:val="24"/>
              </w:rPr>
              <w:t>综上所述，经采取上述措施后，施工期物料运输对周边居民的影响较小。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89" w:hRule="atLeast"/>
          <w:jc w:val="center"/>
        </w:trPr>
        <w:tc>
          <w:tcPr>
            <w:tcW w:w="536" w:type="dxa"/>
            <w:noWrap w:val="0"/>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sz w:val="24"/>
                <w:szCs w:val="24"/>
              </w:rPr>
            </w:pPr>
            <w:r>
              <w:rPr>
                <w:rFonts w:hint="eastAsia" w:ascii="宋体" w:hAnsi="宋体" w:cs="宋体"/>
                <w:b/>
                <w:bCs/>
                <w:color w:val="auto"/>
                <w:sz w:val="24"/>
                <w:szCs w:val="24"/>
              </w:rPr>
              <w:t>运营</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sz w:val="24"/>
                <w:szCs w:val="24"/>
              </w:rPr>
            </w:pPr>
            <w:r>
              <w:rPr>
                <w:rFonts w:hint="eastAsia" w:ascii="宋体" w:hAnsi="宋体" w:cs="宋体"/>
                <w:b/>
                <w:bCs/>
                <w:color w:val="auto"/>
                <w:sz w:val="24"/>
                <w:szCs w:val="24"/>
              </w:rPr>
              <w:t>期环</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sz w:val="24"/>
                <w:szCs w:val="24"/>
              </w:rPr>
            </w:pPr>
            <w:r>
              <w:rPr>
                <w:rFonts w:hint="eastAsia" w:ascii="宋体" w:hAnsi="宋体" w:cs="宋体"/>
                <w:b/>
                <w:bCs/>
                <w:color w:val="auto"/>
                <w:sz w:val="24"/>
                <w:szCs w:val="24"/>
              </w:rPr>
              <w:t>境影</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sz w:val="24"/>
                <w:szCs w:val="24"/>
              </w:rPr>
            </w:pPr>
            <w:r>
              <w:rPr>
                <w:rFonts w:hint="eastAsia" w:ascii="宋体" w:hAnsi="宋体" w:cs="宋体"/>
                <w:b/>
                <w:bCs/>
                <w:color w:val="auto"/>
                <w:sz w:val="24"/>
                <w:szCs w:val="24"/>
              </w:rPr>
              <w:t>响和</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sz w:val="24"/>
                <w:szCs w:val="24"/>
              </w:rPr>
            </w:pPr>
            <w:r>
              <w:rPr>
                <w:rFonts w:hint="eastAsia" w:ascii="宋体" w:hAnsi="宋体" w:cs="宋体"/>
                <w:b/>
                <w:bCs/>
                <w:color w:val="auto"/>
                <w:sz w:val="24"/>
                <w:szCs w:val="24"/>
              </w:rPr>
              <w:t>保护</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sz w:val="24"/>
                <w:szCs w:val="24"/>
              </w:rPr>
            </w:pPr>
            <w:r>
              <w:rPr>
                <w:rFonts w:hint="eastAsia" w:ascii="宋体" w:hAnsi="宋体" w:cs="宋体"/>
                <w:b/>
                <w:bCs/>
                <w:color w:val="auto"/>
                <w:sz w:val="24"/>
                <w:szCs w:val="24"/>
              </w:rPr>
              <w:t>措施</w:t>
            </w:r>
          </w:p>
        </w:tc>
        <w:tc>
          <w:tcPr>
            <w:tcW w:w="8927" w:type="dxa"/>
            <w:noWrap w:val="0"/>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二、运营期</w:t>
            </w:r>
          </w:p>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1、废水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本项目不设置传染科，不涉及传染性废水产生，项目不设口腔科，无含重金属的废水产生。彩超设备、脑电图、心电图检查设备均为电子成像设备，无废显影液产生。</w:t>
            </w:r>
            <w:r>
              <w:rPr>
                <w:rFonts w:hint="default" w:ascii="Times New Roman" w:hAnsi="Times New Roman" w:eastAsia="宋体" w:cs="Times New Roman"/>
                <w:color w:val="auto"/>
                <w:kern w:val="0"/>
                <w:sz w:val="24"/>
                <w:szCs w:val="24"/>
                <w:lang w:val="en-US" w:eastAsia="zh-CN" w:bidi="ar"/>
              </w:rPr>
              <w:t>X 光检查过程采用全信息化管理，病人的片子在电脑上即可实现查看，部分通过 DR 机出片，无放射废水产生。</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检验科主要进行常规的血样、尿样分析，不使用含重金属的药剂，检验科的试剂使用设备厂家配套的套装试剂，不会产生废试剂；检验科废水主要为检验设备清洗废水，进入自建的一套污水处理站进行处理。</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据本项目科室诊疗科目和运行特点，本项目废水包括门诊污水、住院病房污水、厨房废水、检验科清洗废水</w:t>
            </w:r>
            <w:r>
              <w:rPr>
                <w:rFonts w:hint="eastAsia" w:cs="Times New Roman"/>
                <w:color w:val="auto"/>
                <w:sz w:val="24"/>
                <w:szCs w:val="24"/>
                <w:lang w:eastAsia="zh-CN"/>
              </w:rPr>
              <w:t>、洗衣房废水和地面清洁废水</w:t>
            </w:r>
            <w:r>
              <w:rPr>
                <w:rFonts w:hint="default" w:ascii="Times New Roman" w:hAnsi="Times New Roman" w:cs="Times New Roman"/>
                <w:color w:val="auto"/>
                <w:sz w:val="24"/>
                <w:szCs w:val="24"/>
              </w:rPr>
              <w:t>。</w:t>
            </w:r>
          </w:p>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1.1排水方案</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（1）医院内部实施雨污分流制度，雨水经雨水沟排至市政雨水管网。</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（2）医院配备1个化粪池，容积为</w:t>
            </w:r>
            <w:r>
              <w:rPr>
                <w:rFonts w:hint="default" w:ascii="Times New Roman" w:hAnsi="Times New Roman" w:cs="Times New Roman"/>
                <w:color w:val="auto"/>
                <w:sz w:val="24"/>
                <w:szCs w:val="24"/>
                <w:lang w:val="en-US"/>
              </w:rPr>
              <w:t>10</w:t>
            </w:r>
            <w:r>
              <w:rPr>
                <w:rFonts w:hint="default" w:ascii="Times New Roman" w:hAnsi="Times New Roman" w:cs="Times New Roman"/>
                <w:color w:val="auto"/>
                <w:sz w:val="24"/>
                <w:szCs w:val="24"/>
              </w:rPr>
              <w:t>0m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，位于</w:t>
            </w:r>
            <w:r>
              <w:rPr>
                <w:rFonts w:hint="eastAsia" w:ascii="Times New Roman" w:hAnsi="Times New Roman" w:cs="Times New Roman"/>
                <w:color w:val="auto"/>
                <w:sz w:val="24"/>
                <w:szCs w:val="24"/>
                <w:lang w:eastAsia="zh-CN"/>
              </w:rPr>
              <w:t>住院楼南侧</w:t>
            </w:r>
            <w:r>
              <w:rPr>
                <w:rFonts w:hint="default" w:ascii="Times New Roman" w:hAnsi="Times New Roman" w:cs="Times New Roman"/>
                <w:color w:val="auto"/>
                <w:sz w:val="24"/>
                <w:szCs w:val="24"/>
              </w:rPr>
              <w:t>。厨房外侧配备1个隔油池，用于厨房废水的隔油处理。</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（3）建设1套1</w:t>
            </w:r>
            <w:r>
              <w:rPr>
                <w:rFonts w:hint="default" w:ascii="Times New Roman" w:hAnsi="Times New Roman" w:cs="Times New Roman"/>
                <w:color w:val="auto"/>
                <w:sz w:val="24"/>
                <w:szCs w:val="24"/>
                <w:lang w:val="en-US"/>
              </w:rPr>
              <w:t>3</w:t>
            </w:r>
            <w:r>
              <w:rPr>
                <w:rFonts w:hint="default" w:cs="Times New Roman"/>
                <w:color w:val="auto"/>
                <w:sz w:val="24"/>
                <w:szCs w:val="24"/>
                <w:lang w:val="en-US"/>
              </w:rPr>
              <w:t>5</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/d的一体化污水处理站对医院医疗废水进行处理，采用SBR+次氯酸钠消毒工艺。</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（4）项目废水处理达标后，排入市政污水管网，最终进东川区污水处理厂进行处理。</w:t>
            </w:r>
          </w:p>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1.2废水产污及处置情况</w:t>
            </w:r>
          </w:p>
          <w:p>
            <w:pPr>
              <w:pStyle w:val="34"/>
              <w:keepNext w:val="0"/>
              <w:keepLines w:val="0"/>
              <w:suppressLineNumbers w:val="0"/>
              <w:adjustRightInd w:val="0"/>
              <w:snapToGrid w:val="0"/>
              <w:spacing w:before="0" w:beforeAutospacing="0" w:after="0" w:afterAutospacing="0"/>
              <w:ind w:left="0" w:right="0" w:firstLine="470"/>
              <w:jc w:val="both"/>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eastAsia="zh-CN"/>
              </w:rPr>
              <w:t>项目门诊废水、住院废水、洗衣房废水、地面清洁</w:t>
            </w:r>
            <w:r>
              <w:rPr>
                <w:rFonts w:hint="eastAsia" w:hAnsi="Times New Roman" w:cs="Times New Roman"/>
                <w:color w:val="auto"/>
                <w:sz w:val="24"/>
                <w:szCs w:val="24"/>
                <w:lang w:eastAsia="zh-CN"/>
              </w:rPr>
              <w:t>废水</w:t>
            </w:r>
            <w:r>
              <w:rPr>
                <w:rFonts w:hint="eastAsia" w:ascii="Times New Roman" w:hAnsi="Times New Roman" w:cs="Times New Roman"/>
                <w:color w:val="auto"/>
                <w:sz w:val="24"/>
                <w:szCs w:val="24"/>
                <w:lang w:eastAsia="zh-CN"/>
              </w:rPr>
              <w:t>经化粪池预处理后进入污水处理站；检验科清洗废水经中和池预处理后进入化粪池，再进入污水处理站处理；食堂废水经隔油池预处理后进入化粪池，再进入污水处理站处理，污水处理站处理达标后排入市政污水管网，</w:t>
            </w:r>
            <w:r>
              <w:rPr>
                <w:rFonts w:hint="default" w:ascii="Times New Roman" w:hAnsi="Times New Roman" w:cs="Times New Roman"/>
                <w:color w:val="auto"/>
                <w:sz w:val="24"/>
                <w:szCs w:val="24"/>
              </w:rPr>
              <w:t>最终进东川区污水处理厂进行处理。</w:t>
            </w:r>
          </w:p>
          <w:p>
            <w:pPr>
              <w:pStyle w:val="34"/>
              <w:keepNext w:val="0"/>
              <w:keepLines w:val="0"/>
              <w:suppressLineNumbers w:val="0"/>
              <w:adjustRightInd w:val="0"/>
              <w:snapToGrid w:val="0"/>
              <w:spacing w:before="0" w:beforeAutospacing="0" w:after="0" w:afterAutospacing="0"/>
              <w:ind w:left="0" w:right="0" w:firstLine="47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据工程分析和水量平衡图，本项目废水主要为门诊污水、住院病房污水、厨房污水、检验废水和洗衣房废水</w:t>
            </w:r>
            <w:r>
              <w:rPr>
                <w:rFonts w:hint="eastAsia" w:hAnsi="Times New Roman" w:cs="Times New Roman"/>
                <w:color w:val="auto"/>
                <w:sz w:val="24"/>
                <w:szCs w:val="24"/>
                <w:lang w:eastAsia="zh-CN"/>
              </w:rPr>
              <w:t>和地面清洁废水</w:t>
            </w:r>
            <w:r>
              <w:rPr>
                <w:rFonts w:hint="default" w:ascii="Times New Roman" w:hAnsi="Times New Roman" w:cs="Times New Roman"/>
                <w:color w:val="auto"/>
                <w:sz w:val="24"/>
                <w:szCs w:val="24"/>
              </w:rPr>
              <w:t>，产生量</w:t>
            </w:r>
            <w:r>
              <w:rPr>
                <w:rFonts w:hint="default" w:hAnsi="Times New Roman" w:cs="Times New Roman"/>
                <w:color w:val="auto"/>
                <w:sz w:val="24"/>
                <w:szCs w:val="24"/>
                <w:lang w:val="en-US"/>
              </w:rPr>
              <w:t>109.431</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r>
              <w:rPr>
                <w:rFonts w:hint="default" w:hAnsi="Times New Roman" w:cs="Times New Roman"/>
                <w:color w:val="auto"/>
                <w:sz w:val="24"/>
                <w:szCs w:val="24"/>
                <w:lang w:val="en-US"/>
              </w:rPr>
              <w:t>39942.315</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/a，统一进入污水处理站（1</w:t>
            </w:r>
            <w:r>
              <w:rPr>
                <w:rFonts w:hint="default" w:ascii="Times New Roman" w:hAnsi="Times New Roman" w:cs="Times New Roman"/>
                <w:color w:val="auto"/>
                <w:sz w:val="24"/>
                <w:szCs w:val="24"/>
                <w:lang w:val="en-US"/>
              </w:rPr>
              <w:t>3</w:t>
            </w:r>
            <w:r>
              <w:rPr>
                <w:rFonts w:hint="default" w:hAnsi="Times New Roman" w:cs="Times New Roman"/>
                <w:color w:val="auto"/>
                <w:sz w:val="24"/>
                <w:szCs w:val="24"/>
                <w:lang w:val="en-US"/>
              </w:rPr>
              <w:t>5</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/d）进行处理，处理达标后，排入市政污水管网，最终进东川区污水处理厂进行处理。</w:t>
            </w:r>
          </w:p>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1.3废水处理设施可行可靠性分析</w:t>
            </w:r>
          </w:p>
          <w:p>
            <w:pPr>
              <w:pStyle w:val="34"/>
              <w:keepNext w:val="0"/>
              <w:keepLines w:val="0"/>
              <w:suppressLineNumbers w:val="0"/>
              <w:adjustRightInd w:val="0"/>
              <w:snapToGrid w:val="0"/>
              <w:spacing w:before="0" w:beforeAutospacing="0" w:after="0" w:afterAutospacing="0"/>
              <w:ind w:left="0" w:right="0" w:firstLine="47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eastAsia" w:hAnsi="Times New Roman" w:cs="Times New Roman"/>
                <w:color w:val="auto"/>
                <w:sz w:val="24"/>
                <w:szCs w:val="24"/>
                <w:lang w:eastAsia="zh-CN"/>
              </w:rPr>
              <w:t>隔油池</w:t>
            </w:r>
            <w:r>
              <w:rPr>
                <w:rFonts w:hint="default" w:ascii="Times New Roman" w:hAnsi="Times New Roman" w:cs="Times New Roman"/>
                <w:color w:val="auto"/>
                <w:sz w:val="24"/>
                <w:szCs w:val="24"/>
              </w:rPr>
              <w:t>容积可行性</w:t>
            </w:r>
          </w:p>
          <w:p>
            <w:pPr>
              <w:pStyle w:val="21"/>
              <w:keepNext w:val="0"/>
              <w:keepLines w:val="0"/>
              <w:suppressLineNumbers w:val="0"/>
              <w:adjustRightInd w:val="0"/>
              <w:snapToGrid w:val="0"/>
              <w:spacing w:beforeAutospacing="0" w:after="0" w:afterAutospacing="0"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本项目厨房废水产生量为3.096m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/d，据《医疗机构水污染物排放标准》（GB</w:t>
            </w:r>
            <w:r>
              <w:rPr>
                <w:rFonts w:hint="eastAsia" w:cs="Times New Roman"/>
                <w:color w:val="auto"/>
                <w:sz w:val="24"/>
                <w:lang w:eastAsia="zh-CN"/>
              </w:rPr>
              <w:t>*****</w:t>
            </w:r>
            <w:r>
              <w:rPr>
                <w:rFonts w:hint="default" w:ascii="Times New Roman" w:hAnsi="Times New Roman" w:cs="Times New Roman"/>
                <w:color w:val="auto"/>
                <w:sz w:val="24"/>
              </w:rPr>
              <w:t>-2005）中相关要求，含油废水应进行隔油处理。</w:t>
            </w:r>
            <w:r>
              <w:rPr>
                <w:rFonts w:hint="eastAsia" w:ascii="Times New Roman" w:hAnsi="Times New Roman" w:cs="Times New Roman"/>
                <w:color w:val="auto"/>
                <w:sz w:val="24"/>
                <w:lang w:eastAsia="zh-CN"/>
              </w:rPr>
              <w:t>厨房每天工作时间为</w:t>
            </w:r>
            <w:r>
              <w:rPr>
                <w:rFonts w:hint="default" w:ascii="Times New Roman" w:hAnsi="Times New Roman" w:cs="Times New Roman"/>
                <w:color w:val="auto"/>
                <w:sz w:val="24"/>
                <w:lang w:val="en-US" w:eastAsia="zh-CN"/>
              </w:rPr>
              <w:t>6h</w:t>
            </w:r>
            <w:r>
              <w:rPr>
                <w:rFonts w:hint="eastAsia" w:ascii="Times New Roman" w:hAnsi="Times New Roman" w:cs="Times New Roman"/>
                <w:color w:val="auto"/>
                <w:sz w:val="24"/>
                <w:lang w:val="en-US" w:eastAsia="zh-CN"/>
              </w:rPr>
              <w:t>，废水产生量为</w:t>
            </w:r>
            <w:r>
              <w:rPr>
                <w:rFonts w:hint="default" w:ascii="Times New Roman" w:hAnsi="Times New Roman" w:cs="Times New Roman"/>
                <w:color w:val="auto"/>
                <w:sz w:val="24"/>
                <w:lang w:val="en-US" w:eastAsia="zh-CN"/>
              </w:rPr>
              <w:t>0.516</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w:t>
            </w:r>
            <w:r>
              <w:rPr>
                <w:rFonts w:hint="default" w:ascii="Times New Roman" w:hAnsi="Times New Roman" w:cs="Times New Roman"/>
                <w:color w:val="auto"/>
                <w:sz w:val="24"/>
                <w:lang w:val="en-US"/>
              </w:rPr>
              <w:t>h</w:t>
            </w:r>
            <w:r>
              <w:rPr>
                <w:rFonts w:hint="default" w:ascii="Times New Roman" w:hAnsi="Times New Roman" w:cs="Times New Roman"/>
                <w:color w:val="auto"/>
                <w:sz w:val="24"/>
              </w:rPr>
              <w:t>，本次考虑厨房废水隔油处理时间1h，本项目建设1个1m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的隔油池，可满足隔油要求，容积可行。</w:t>
            </w:r>
          </w:p>
          <w:p>
            <w:pPr>
              <w:pStyle w:val="21"/>
              <w:keepNext w:val="0"/>
              <w:keepLines w:val="0"/>
              <w:suppressLineNumbers w:val="0"/>
              <w:adjustRightInd w:val="0"/>
              <w:snapToGrid w:val="0"/>
              <w:spacing w:beforeAutospacing="0" w:after="0" w:afterAutospacing="0"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（2）化粪池容积可行性</w:t>
            </w:r>
          </w:p>
          <w:p>
            <w:pPr>
              <w:pStyle w:val="21"/>
              <w:keepNext w:val="0"/>
              <w:keepLines w:val="0"/>
              <w:suppressLineNumbers w:val="0"/>
              <w:adjustRightInd w:val="0"/>
              <w:snapToGrid w:val="0"/>
              <w:spacing w:beforeAutospacing="0" w:after="0" w:afterAutospacing="0"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根据《医疗机构水污染物排放标准》（GB</w:t>
            </w:r>
            <w:r>
              <w:rPr>
                <w:rFonts w:hint="eastAsia" w:cs="Times New Roman"/>
                <w:color w:val="auto"/>
                <w:sz w:val="24"/>
                <w:lang w:eastAsia="zh-CN"/>
              </w:rPr>
              <w:t>*****</w:t>
            </w:r>
            <w:r>
              <w:rPr>
                <w:rFonts w:hint="default" w:ascii="Times New Roman" w:hAnsi="Times New Roman" w:cs="Times New Roman"/>
                <w:color w:val="auto"/>
                <w:sz w:val="24"/>
              </w:rPr>
              <w:t>-2005）中相关要求，用于医疗废水预处理的化粪池容积设计应能够保证24-36h的污水停留时间。</w:t>
            </w:r>
          </w:p>
          <w:p>
            <w:pPr>
              <w:pStyle w:val="21"/>
              <w:keepNext w:val="0"/>
              <w:keepLines w:val="0"/>
              <w:suppressLineNumbers w:val="0"/>
              <w:adjustRightInd w:val="0"/>
              <w:snapToGrid w:val="0"/>
              <w:spacing w:beforeAutospacing="0" w:after="0" w:afterAutospacing="0"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本项目在</w:t>
            </w:r>
            <w:r>
              <w:rPr>
                <w:rFonts w:hint="eastAsia" w:ascii="Times New Roman" w:hAnsi="Times New Roman" w:cs="Times New Roman"/>
                <w:color w:val="auto"/>
                <w:sz w:val="24"/>
                <w:lang w:eastAsia="zh-CN"/>
              </w:rPr>
              <w:t>住院楼南侧</w:t>
            </w:r>
            <w:r>
              <w:rPr>
                <w:rFonts w:hint="default" w:ascii="Times New Roman" w:hAnsi="Times New Roman" w:cs="Times New Roman"/>
                <w:color w:val="auto"/>
                <w:sz w:val="24"/>
              </w:rPr>
              <w:t>建设1座化粪池，总容积100m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，用于收集门诊污水、住院病房污水、厨房污水和检验科清洗废水</w:t>
            </w:r>
            <w:r>
              <w:rPr>
                <w:rFonts w:hint="eastAsia" w:cs="Times New Roman"/>
                <w:color w:val="auto"/>
                <w:sz w:val="24"/>
                <w:lang w:eastAsia="zh-CN"/>
              </w:rPr>
              <w:t>和地面清洁费水</w:t>
            </w:r>
            <w:r>
              <w:rPr>
                <w:rFonts w:hint="default" w:ascii="Times New Roman" w:hAnsi="Times New Roman" w:cs="Times New Roman"/>
                <w:color w:val="auto"/>
                <w:sz w:val="24"/>
              </w:rPr>
              <w:t>，项目以上</w:t>
            </w:r>
            <w:r>
              <w:rPr>
                <w:rFonts w:hint="eastAsia" w:cs="Times New Roman"/>
                <w:color w:val="auto"/>
                <w:sz w:val="24"/>
                <w:lang w:eastAsia="zh-CN"/>
              </w:rPr>
              <w:t>五</w:t>
            </w:r>
            <w:r>
              <w:rPr>
                <w:rFonts w:hint="default" w:ascii="Times New Roman" w:hAnsi="Times New Roman" w:cs="Times New Roman"/>
                <w:color w:val="auto"/>
                <w:sz w:val="24"/>
              </w:rPr>
              <w:t>部分废水量</w:t>
            </w:r>
            <w:r>
              <w:rPr>
                <w:rFonts w:hint="default" w:cs="Times New Roman"/>
                <w:color w:val="auto"/>
                <w:sz w:val="24"/>
                <w:lang w:val="en-US"/>
              </w:rPr>
              <w:t>73.431</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项目建设的化粪池容积能够满足污水停留24小时以上，符合标准规定的停留时间要求，化粪池有效容积设置合理。为了保证化粪池的有效容积及处理效果，本环评提出化粪池必须定期清掏，以满足项目废水预处理要求。</w:t>
            </w:r>
          </w:p>
          <w:p>
            <w:pPr>
              <w:pStyle w:val="21"/>
              <w:keepNext w:val="0"/>
              <w:keepLines w:val="0"/>
              <w:suppressLineNumbers w:val="0"/>
              <w:adjustRightInd w:val="0"/>
              <w:snapToGrid w:val="0"/>
              <w:spacing w:beforeAutospacing="0" w:after="0" w:afterAutospacing="0"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（3）污水处理站设置可行性</w:t>
            </w:r>
          </w:p>
          <w:p>
            <w:pPr>
              <w:pStyle w:val="21"/>
              <w:keepNext w:val="0"/>
              <w:keepLines w:val="0"/>
              <w:suppressLineNumbers w:val="0"/>
              <w:adjustRightInd w:val="0"/>
              <w:snapToGrid w:val="0"/>
              <w:spacing w:beforeAutospacing="0" w:after="0" w:afterAutospacing="0"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1）处理规模</w:t>
            </w:r>
          </w:p>
          <w:p>
            <w:pPr>
              <w:pStyle w:val="21"/>
              <w:keepNext w:val="0"/>
              <w:keepLines w:val="0"/>
              <w:suppressLineNumbers w:val="0"/>
              <w:adjustRightInd w:val="0"/>
              <w:snapToGrid w:val="0"/>
              <w:spacing w:beforeAutospacing="0" w:after="0" w:afterAutospacing="0"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本项目废水产生量</w:t>
            </w:r>
            <w:r>
              <w:rPr>
                <w:rFonts w:hint="default" w:cs="Times New Roman"/>
                <w:color w:val="auto"/>
                <w:sz w:val="24"/>
                <w:lang w:val="en-US"/>
              </w:rPr>
              <w:t>109.431</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/d，考虑1.2的富余系数，则污水处理站建设规模必须大于</w:t>
            </w:r>
            <w:r>
              <w:rPr>
                <w:rFonts w:hint="default" w:cs="Times New Roman"/>
                <w:color w:val="auto"/>
                <w:sz w:val="24"/>
                <w:lang w:val="en-US"/>
              </w:rPr>
              <w:t>109.431</w:t>
            </w:r>
            <w:r>
              <w:rPr>
                <w:rFonts w:hint="default" w:ascii="Times New Roman" w:hAnsi="Times New Roman" w:cs="Times New Roman"/>
                <w:color w:val="auto"/>
                <w:sz w:val="24"/>
              </w:rPr>
              <w:t>×1.2=</w:t>
            </w:r>
            <w:r>
              <w:rPr>
                <w:rFonts w:hint="default" w:cs="Times New Roman"/>
                <w:color w:val="auto"/>
                <w:sz w:val="24"/>
                <w:lang w:val="en-US"/>
              </w:rPr>
              <w:t>131.3172</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/d的规模，方可满足处理要求。</w:t>
            </w:r>
          </w:p>
          <w:p>
            <w:pPr>
              <w:pStyle w:val="21"/>
              <w:keepNext w:val="0"/>
              <w:keepLines w:val="0"/>
              <w:suppressLineNumbers w:val="0"/>
              <w:adjustRightInd w:val="0"/>
              <w:snapToGrid w:val="0"/>
              <w:spacing w:beforeAutospacing="0" w:after="0" w:afterAutospacing="0"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本项目污水处理站处理规模为</w:t>
            </w:r>
            <w:r>
              <w:rPr>
                <w:rFonts w:hint="default" w:cs="Times New Roman"/>
                <w:color w:val="auto"/>
                <w:sz w:val="24"/>
                <w:lang w:val="en-US"/>
              </w:rPr>
              <w:t>135</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/d，可以处理项目每天产生的废水量且尚有一定安全容量。从规模上看，是可行的。</w:t>
            </w:r>
          </w:p>
          <w:p>
            <w:pPr>
              <w:pStyle w:val="21"/>
              <w:keepNext w:val="0"/>
              <w:keepLines w:val="0"/>
              <w:suppressLineNumbers w:val="0"/>
              <w:adjustRightInd w:val="0"/>
              <w:snapToGrid w:val="0"/>
              <w:spacing w:beforeAutospacing="0" w:after="0" w:afterAutospacing="0"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2）处理工艺可靠性</w:t>
            </w:r>
          </w:p>
          <w:p>
            <w:pPr>
              <w:pStyle w:val="21"/>
              <w:keepNext w:val="0"/>
              <w:keepLines w:val="0"/>
              <w:suppressLineNumbers w:val="0"/>
              <w:adjustRightInd w:val="0"/>
              <w:snapToGrid w:val="0"/>
              <w:spacing w:beforeAutospacing="0" w:after="0" w:afterAutospacing="0"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项目废水经污水处理站处理后外排的接纳对象为市政污水管网→东川区污水处理厂，根据《排污许可证申请与核发技术规范医疗机构》（HJ1105-2020）表 A.2“医疗机构排污单位污水治理可行性技术参数参照表”—医疗污水排放去向为城镇污水处理厂的可行性技术有：一级处理/一级强化处理+消毒工艺。其中：一级处理包括：筛滤法、沉淀池、气浮法、预曝气法；一级强化处理包括：化学混凝法、机械过滤或不完全生物处理；消毒工艺包括：加氯消毒、臭氧消毒法、次氯酸钠法、次氯酸钠法消毒、紫外线消毒等。</w:t>
            </w:r>
          </w:p>
          <w:p>
            <w:pPr>
              <w:pStyle w:val="21"/>
              <w:keepNext w:val="0"/>
              <w:keepLines w:val="0"/>
              <w:suppressLineNumbers w:val="0"/>
              <w:adjustRightInd w:val="0"/>
              <w:snapToGrid w:val="0"/>
              <w:spacing w:beforeAutospacing="0" w:after="0" w:afterAutospacing="0"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本项目采用的污水处理工艺为化粪池+调节池+</w:t>
            </w:r>
            <w:r>
              <w:rPr>
                <w:rFonts w:hint="default" w:ascii="Times New Roman" w:hAnsi="Times New Roman" w:cs="Times New Roman"/>
                <w:color w:val="auto"/>
                <w:sz w:val="24"/>
                <w:lang w:val="en-US"/>
              </w:rPr>
              <w:t>A</w:t>
            </w:r>
            <w:r>
              <w:rPr>
                <w:rFonts w:hint="eastAsia" w:ascii="Times New Roman" w:hAnsi="Times New Roman" w:cs="Times New Roman"/>
                <w:color w:val="auto"/>
                <w:sz w:val="24"/>
                <w:lang w:val="en-US" w:eastAsia="zh-CN"/>
              </w:rPr>
              <w:t>级生物池</w:t>
            </w:r>
            <w:r>
              <w:rPr>
                <w:rFonts w:hint="default" w:ascii="Times New Roman" w:hAnsi="Times New Roman" w:cs="Times New Roman"/>
                <w:color w:val="auto"/>
                <w:sz w:val="24"/>
                <w:lang w:val="en-US" w:eastAsia="zh-CN"/>
              </w:rPr>
              <w:t>+O</w:t>
            </w:r>
            <w:r>
              <w:rPr>
                <w:rFonts w:hint="eastAsia" w:ascii="Times New Roman" w:hAnsi="Times New Roman" w:cs="Times New Roman"/>
                <w:color w:val="auto"/>
                <w:sz w:val="24"/>
                <w:lang w:val="en-US" w:eastAsia="zh-CN"/>
              </w:rPr>
              <w:t>级生物池</w:t>
            </w:r>
            <w:r>
              <w:rPr>
                <w:rFonts w:hint="default" w:ascii="Times New Roman" w:hAnsi="Times New Roman" w:cs="Times New Roman"/>
                <w:color w:val="auto"/>
                <w:sz w:val="24"/>
                <w:lang w:val="en-US" w:eastAsia="zh-CN"/>
              </w:rPr>
              <w:t>+</w:t>
            </w:r>
            <w:r>
              <w:rPr>
                <w:rFonts w:hint="eastAsia" w:ascii="Times New Roman" w:hAnsi="Times New Roman" w:cs="Times New Roman"/>
                <w:color w:val="auto"/>
                <w:sz w:val="24"/>
                <w:lang w:val="en-US" w:eastAsia="zh-CN"/>
              </w:rPr>
              <w:t>二沉池</w:t>
            </w:r>
            <w:r>
              <w:rPr>
                <w:rFonts w:hint="default" w:ascii="Times New Roman" w:hAnsi="Times New Roman" w:cs="Times New Roman"/>
                <w:color w:val="auto"/>
                <w:sz w:val="24"/>
                <w:lang w:val="en-US" w:eastAsia="zh-CN"/>
              </w:rPr>
              <w:t>+</w:t>
            </w:r>
            <w:r>
              <w:rPr>
                <w:rFonts w:hint="eastAsia" w:ascii="Times New Roman" w:hAnsi="Times New Roman" w:cs="Times New Roman"/>
                <w:color w:val="auto"/>
                <w:sz w:val="24"/>
                <w:lang w:val="en-US" w:eastAsia="zh-CN"/>
              </w:rPr>
              <w:t>清水池</w:t>
            </w:r>
            <w:r>
              <w:rPr>
                <w:rFonts w:hint="default" w:ascii="Times New Roman" w:hAnsi="Times New Roman" w:cs="Times New Roman"/>
                <w:color w:val="auto"/>
                <w:sz w:val="24"/>
              </w:rPr>
              <w:t>+消毒工艺，属于《排污许可证申请与核发技术规范 医疗机构》（HJ1105-2020）表 A.2 中可行技术的“</w:t>
            </w:r>
            <w:r>
              <w:rPr>
                <w:rFonts w:hint="eastAsia" w:ascii="Times New Roman" w:hAnsi="Times New Roman" w:cs="Times New Roman"/>
                <w:color w:val="auto"/>
                <w:sz w:val="24"/>
                <w:lang w:eastAsia="zh-CN"/>
              </w:rPr>
              <w:t>二级处理</w:t>
            </w:r>
            <w:r>
              <w:rPr>
                <w:rFonts w:hint="default" w:ascii="Times New Roman" w:hAnsi="Times New Roman" w:cs="Times New Roman"/>
                <w:color w:val="auto"/>
                <w:sz w:val="24"/>
                <w:lang w:val="en-US" w:eastAsia="zh-CN"/>
              </w:rPr>
              <w:t>/</w:t>
            </w:r>
            <w:r>
              <w:rPr>
                <w:rFonts w:hint="eastAsia" w:ascii="Times New Roman" w:hAnsi="Times New Roman" w:cs="Times New Roman"/>
                <w:color w:val="auto"/>
                <w:sz w:val="24"/>
                <w:lang w:val="en-US" w:eastAsia="zh-CN"/>
              </w:rPr>
              <w:t>深度处理</w:t>
            </w:r>
            <w:r>
              <w:rPr>
                <w:rFonts w:hint="default" w:ascii="Times New Roman" w:hAnsi="Times New Roman" w:cs="Times New Roman"/>
                <w:color w:val="auto"/>
                <w:sz w:val="24"/>
              </w:rPr>
              <w:t>+消毒工艺（采用次氯酸钠作为消毒剂）”，处理后废水满足《医疗机构水污染物排放标准》（GB</w:t>
            </w:r>
            <w:r>
              <w:rPr>
                <w:rFonts w:hint="eastAsia" w:cs="Times New Roman"/>
                <w:color w:val="auto"/>
                <w:sz w:val="24"/>
                <w:lang w:eastAsia="zh-CN"/>
              </w:rPr>
              <w:t>*****</w:t>
            </w:r>
            <w:r>
              <w:rPr>
                <w:rFonts w:hint="default" w:ascii="Times New Roman" w:hAnsi="Times New Roman" w:cs="Times New Roman"/>
                <w:color w:val="auto"/>
                <w:sz w:val="24"/>
              </w:rPr>
              <w:t>-2005）表2预处理标准要求。</w:t>
            </w:r>
          </w:p>
          <w:p>
            <w:pPr>
              <w:keepNext w:val="0"/>
              <w:keepLines w:val="0"/>
              <w:suppressLineNumbers w:val="0"/>
              <w:spacing w:before="0" w:beforeAutospacing="0" w:after="0" w:afterAutospacing="0"/>
              <w:ind w:left="0" w:right="0"/>
              <w:rPr>
                <w:rFonts w:hint="default" w:ascii="Times New Roman" w:hAnsi="Times New Roman" w:cs="Times New Roman"/>
                <w:color w:val="auto"/>
                <w:sz w:val="24"/>
              </w:rPr>
            </w:pPr>
            <w:r>
              <w:rPr>
                <w:rFonts w:hint="default" w:ascii="Times New Roman" w:hAnsi="Times New Roman" w:cs="Times New Roman"/>
                <w:color w:val="auto"/>
                <w:sz w:val="24"/>
              </w:rPr>
              <w:object>
                <v:shape id="_x0000_i1031" o:spt="75" type="#_x0000_t75" style="height:214.55pt;width:431.3pt;" o:ole="t" filled="f" o:preferrelative="t" stroked="f" coordsize="21600,21600">
                  <v:path/>
                  <v:fill on="f" focussize="0,0"/>
                  <v:stroke on="f"/>
                  <v:imagedata r:id="rId29" o:title=""/>
                  <o:lock v:ext="edit" aspectratio="f"/>
                  <w10:wrap type="none"/>
                  <w10:anchorlock/>
                </v:shape>
                <o:OLEObject Type="Embed" ProgID="Visio.Drawing.15" ShapeID="_x0000_i1031" DrawAspect="Content" ObjectID="_1468075731" r:id="rId28">
                  <o:LockedField>false</o:LockedField>
                </o:OLEObject>
              </w:object>
            </w:r>
          </w:p>
          <w:p>
            <w:pPr>
              <w:pStyle w:val="9"/>
              <w:keepNext w:val="0"/>
              <w:keepLines w:val="0"/>
              <w:suppressLineNumbers w:val="0"/>
              <w:spacing w:beforeAutospacing="0" w:afterAutospacing="0"/>
              <w:ind w:left="0"/>
              <w:jc w:val="center"/>
              <w:rPr>
                <w:rFonts w:hint="default" w:ascii="Calibri" w:hAnsi="Calibri" w:eastAsia="宋体" w:cs="Times New Roman"/>
                <w:b/>
                <w:bCs/>
                <w:color w:val="auto"/>
                <w:lang w:val="en-US" w:eastAsia="zh-CN"/>
              </w:rPr>
            </w:pPr>
            <w:r>
              <w:rPr>
                <w:rFonts w:hint="eastAsia" w:ascii="Times New Roman" w:hAnsi="Times New Roman" w:cs="Times New Roman"/>
                <w:b/>
                <w:bCs/>
                <w:color w:val="auto"/>
                <w:sz w:val="24"/>
                <w:lang w:eastAsia="zh-CN"/>
              </w:rPr>
              <w:t>图</w:t>
            </w:r>
            <w:r>
              <w:rPr>
                <w:rFonts w:hint="default" w:ascii="Times New Roman" w:hAnsi="Times New Roman" w:cs="Times New Roman"/>
                <w:b/>
                <w:bCs/>
                <w:color w:val="auto"/>
                <w:sz w:val="24"/>
                <w:lang w:val="en-US" w:eastAsia="zh-CN"/>
              </w:rPr>
              <w:t xml:space="preserve">4-1 </w:t>
            </w:r>
            <w:r>
              <w:rPr>
                <w:rFonts w:hint="eastAsia" w:ascii="Times New Roman" w:hAnsi="Times New Roman" w:cs="Times New Roman"/>
                <w:b/>
                <w:bCs/>
                <w:color w:val="auto"/>
                <w:sz w:val="24"/>
                <w:lang w:val="en-US" w:eastAsia="zh-CN"/>
              </w:rPr>
              <w:t>污水处理站工艺流程图</w:t>
            </w:r>
          </w:p>
          <w:p>
            <w:pPr>
              <w:pStyle w:val="21"/>
              <w:keepNext w:val="0"/>
              <w:keepLines w:val="0"/>
              <w:suppressLineNumbers w:val="0"/>
              <w:adjustRightInd w:val="0"/>
              <w:snapToGrid w:val="0"/>
              <w:spacing w:beforeAutospacing="0" w:after="0" w:afterAutospacing="0"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从工艺上来看，项目采用的废水处理工艺为可行技术，具有可靠可行性。</w:t>
            </w:r>
          </w:p>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1.4 污水达标排放可行性分析</w:t>
            </w:r>
          </w:p>
          <w:p>
            <w:pPr>
              <w:pStyle w:val="21"/>
              <w:keepNext w:val="0"/>
              <w:keepLines w:val="0"/>
              <w:suppressLineNumbers w:val="0"/>
              <w:adjustRightInd w:val="0"/>
              <w:snapToGrid w:val="0"/>
              <w:spacing w:beforeAutospacing="0" w:after="0" w:afterAutospacing="0"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本项目污水达标排放评价采用类比分析法。类比的医院为</w:t>
            </w:r>
            <w:r>
              <w:rPr>
                <w:rFonts w:hint="eastAsia" w:ascii="Times New Roman" w:hAnsi="Times New Roman" w:cs="Times New Roman"/>
                <w:color w:val="auto"/>
                <w:sz w:val="24"/>
                <w:lang w:eastAsia="zh-CN"/>
              </w:rPr>
              <w:t>东川精神病院原项目</w:t>
            </w:r>
            <w:r>
              <w:rPr>
                <w:rFonts w:hint="default" w:ascii="Times New Roman" w:hAnsi="Times New Roman" w:cs="Times New Roman"/>
                <w:color w:val="auto"/>
                <w:sz w:val="24"/>
              </w:rPr>
              <w:t>，两个医院产生的废水为一般医疗废水；两个医院污水处理站采用的污水处理工艺为化粪池+调节池+</w:t>
            </w:r>
            <w:r>
              <w:rPr>
                <w:rFonts w:hint="default" w:ascii="Times New Roman" w:hAnsi="Times New Roman" w:cs="Times New Roman"/>
                <w:color w:val="auto"/>
                <w:sz w:val="24"/>
                <w:lang w:val="en-US"/>
              </w:rPr>
              <w:t>A</w:t>
            </w:r>
            <w:r>
              <w:rPr>
                <w:rFonts w:hint="eastAsia" w:ascii="Times New Roman" w:hAnsi="Times New Roman" w:cs="Times New Roman"/>
                <w:color w:val="auto"/>
                <w:sz w:val="24"/>
                <w:lang w:val="en-US" w:eastAsia="zh-CN"/>
              </w:rPr>
              <w:t>级生物池</w:t>
            </w:r>
            <w:r>
              <w:rPr>
                <w:rFonts w:hint="default" w:ascii="Times New Roman" w:hAnsi="Times New Roman" w:cs="Times New Roman"/>
                <w:color w:val="auto"/>
                <w:sz w:val="24"/>
                <w:lang w:val="en-US" w:eastAsia="zh-CN"/>
              </w:rPr>
              <w:t>+O</w:t>
            </w:r>
            <w:r>
              <w:rPr>
                <w:rFonts w:hint="eastAsia" w:ascii="Times New Roman" w:hAnsi="Times New Roman" w:cs="Times New Roman"/>
                <w:color w:val="auto"/>
                <w:sz w:val="24"/>
                <w:lang w:val="en-US" w:eastAsia="zh-CN"/>
              </w:rPr>
              <w:t>级生物池</w:t>
            </w:r>
            <w:r>
              <w:rPr>
                <w:rFonts w:hint="default" w:ascii="Times New Roman" w:hAnsi="Times New Roman" w:cs="Times New Roman"/>
                <w:color w:val="auto"/>
                <w:sz w:val="24"/>
                <w:lang w:val="en-US" w:eastAsia="zh-CN"/>
              </w:rPr>
              <w:t>+</w:t>
            </w:r>
            <w:r>
              <w:rPr>
                <w:rFonts w:hint="eastAsia" w:ascii="Times New Roman" w:hAnsi="Times New Roman" w:cs="Times New Roman"/>
                <w:color w:val="auto"/>
                <w:sz w:val="24"/>
                <w:lang w:val="en-US" w:eastAsia="zh-CN"/>
              </w:rPr>
              <w:t>二沉池</w:t>
            </w:r>
            <w:r>
              <w:rPr>
                <w:rFonts w:hint="default" w:ascii="Times New Roman" w:hAnsi="Times New Roman" w:cs="Times New Roman"/>
                <w:color w:val="auto"/>
                <w:sz w:val="24"/>
                <w:lang w:val="en-US" w:eastAsia="zh-CN"/>
              </w:rPr>
              <w:t>+</w:t>
            </w:r>
            <w:r>
              <w:rPr>
                <w:rFonts w:hint="eastAsia" w:ascii="Times New Roman" w:hAnsi="Times New Roman" w:cs="Times New Roman"/>
                <w:color w:val="auto"/>
                <w:sz w:val="24"/>
                <w:lang w:val="en-US" w:eastAsia="zh-CN"/>
              </w:rPr>
              <w:t>清水池</w:t>
            </w:r>
            <w:r>
              <w:rPr>
                <w:rFonts w:hint="default" w:ascii="Times New Roman" w:hAnsi="Times New Roman" w:cs="Times New Roman"/>
                <w:color w:val="auto"/>
                <w:sz w:val="24"/>
              </w:rPr>
              <w:t>+消毒工艺；因此污水进水和出水水质均类似，具有可比性。</w:t>
            </w:r>
          </w:p>
          <w:p>
            <w:pPr>
              <w:pStyle w:val="21"/>
              <w:keepNext w:val="0"/>
              <w:keepLines w:val="0"/>
              <w:suppressLineNumbers w:val="0"/>
              <w:adjustRightInd w:val="0"/>
              <w:snapToGrid w:val="0"/>
              <w:spacing w:beforeAutospacing="0" w:after="0" w:afterAutospacing="0" w:line="360" w:lineRule="auto"/>
              <w:ind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lang w:eastAsia="zh-CN"/>
              </w:rPr>
              <w:t>东川精神病院</w:t>
            </w:r>
            <w:r>
              <w:rPr>
                <w:rFonts w:hint="default" w:ascii="Times New Roman" w:hAnsi="Times New Roman" w:cs="Times New Roman"/>
                <w:color w:val="auto"/>
                <w:sz w:val="24"/>
              </w:rPr>
              <w:t>委托云南</w:t>
            </w:r>
            <w:r>
              <w:rPr>
                <w:rFonts w:hint="eastAsia" w:ascii="Times New Roman" w:hAnsi="Times New Roman" w:cs="Times New Roman"/>
                <w:color w:val="auto"/>
                <w:sz w:val="24"/>
                <w:lang w:eastAsia="zh-CN"/>
              </w:rPr>
              <w:t>天倪</w:t>
            </w:r>
            <w:r>
              <w:rPr>
                <w:rFonts w:hint="default" w:ascii="Times New Roman" w:hAnsi="Times New Roman" w:cs="Times New Roman"/>
                <w:color w:val="auto"/>
                <w:sz w:val="24"/>
              </w:rPr>
              <w:t>检测有限公司进行202</w:t>
            </w:r>
            <w:r>
              <w:rPr>
                <w:rFonts w:hint="default" w:ascii="Times New Roman" w:hAnsi="Times New Roman" w:cs="Times New Roman"/>
                <w:color w:val="auto"/>
                <w:sz w:val="24"/>
                <w:lang w:val="en-US"/>
              </w:rPr>
              <w:t>3</w:t>
            </w:r>
            <w:r>
              <w:rPr>
                <w:rFonts w:hint="default" w:ascii="Times New Roman" w:hAnsi="Times New Roman" w:cs="Times New Roman"/>
                <w:color w:val="auto"/>
                <w:sz w:val="24"/>
              </w:rPr>
              <w:t>年企业自行监测，202</w:t>
            </w:r>
            <w:r>
              <w:rPr>
                <w:rFonts w:hint="default" w:ascii="Times New Roman" w:hAnsi="Times New Roman" w:cs="Times New Roman"/>
                <w:color w:val="auto"/>
                <w:sz w:val="24"/>
                <w:lang w:val="en-US"/>
              </w:rPr>
              <w:t>3</w:t>
            </w:r>
            <w:r>
              <w:rPr>
                <w:rFonts w:hint="default" w:ascii="Times New Roman" w:hAnsi="Times New Roman" w:cs="Times New Roman"/>
                <w:color w:val="auto"/>
                <w:sz w:val="24"/>
              </w:rPr>
              <w:t>年第一季度</w:t>
            </w:r>
            <w:r>
              <w:rPr>
                <w:rFonts w:hint="eastAsia" w:ascii="Times New Roman" w:hAnsi="Times New Roman" w:cs="Times New Roman"/>
                <w:color w:val="auto"/>
                <w:sz w:val="24"/>
                <w:lang w:eastAsia="zh-CN"/>
              </w:rPr>
              <w:t>出水</w:t>
            </w:r>
            <w:r>
              <w:rPr>
                <w:rFonts w:hint="default" w:ascii="Times New Roman" w:hAnsi="Times New Roman" w:cs="Times New Roman"/>
                <w:color w:val="auto"/>
                <w:sz w:val="24"/>
              </w:rPr>
              <w:t>水质监测结果见表4-1。</w:t>
            </w:r>
          </w:p>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b/>
                <w:bCs/>
                <w:color w:val="auto"/>
                <w:sz w:val="24"/>
                <w:szCs w:val="24"/>
              </w:rPr>
              <w:t>表4-1  类比项目</w:t>
            </w:r>
            <w:r>
              <w:rPr>
                <w:rFonts w:hint="eastAsia" w:ascii="宋体" w:hAnsi="宋体" w:cs="宋体"/>
                <w:b/>
                <w:bCs/>
                <w:color w:val="auto"/>
                <w:sz w:val="24"/>
                <w:szCs w:val="24"/>
                <w:lang w:eastAsia="zh-CN"/>
              </w:rPr>
              <w:t>东川精神病院</w:t>
            </w:r>
            <w:r>
              <w:rPr>
                <w:rFonts w:hint="eastAsia" w:ascii="宋体" w:hAnsi="宋体" w:cs="宋体"/>
                <w:b/>
                <w:bCs/>
                <w:color w:val="auto"/>
                <w:sz w:val="24"/>
                <w:szCs w:val="24"/>
              </w:rPr>
              <w:t>废水污染物排放监测结果</w:t>
            </w:r>
          </w:p>
          <w:tbl>
            <w:tblPr>
              <w:tblStyle w:val="26"/>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977"/>
              <w:gridCol w:w="1175"/>
              <w:gridCol w:w="1022"/>
              <w:gridCol w:w="1068"/>
              <w:gridCol w:w="1864"/>
              <w:gridCol w:w="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126" w:type="pct"/>
                  <w:vMerge w:val="restar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监测因子</w:t>
                  </w:r>
                </w:p>
              </w:tc>
              <w:tc>
                <w:tcPr>
                  <w:tcW w:w="2440" w:type="pct"/>
                  <w:gridSpan w:val="4"/>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2021年第一季度（监测时间202</w:t>
                  </w:r>
                  <w:r>
                    <w:rPr>
                      <w:rFonts w:hint="default" w:ascii="宋体" w:hAnsi="宋体" w:cs="宋体"/>
                      <w:color w:val="auto"/>
                      <w:lang w:val="en-US"/>
                    </w:rPr>
                    <w:t>3</w:t>
                  </w:r>
                  <w:r>
                    <w:rPr>
                      <w:rFonts w:hint="eastAsia" w:ascii="宋体" w:hAnsi="宋体" w:cs="宋体"/>
                      <w:color w:val="auto"/>
                    </w:rPr>
                    <w:t>.</w:t>
                  </w:r>
                  <w:r>
                    <w:rPr>
                      <w:rFonts w:hint="default" w:ascii="宋体" w:hAnsi="宋体" w:cs="宋体"/>
                      <w:color w:val="auto"/>
                      <w:lang w:val="en-US"/>
                    </w:rPr>
                    <w:t>2</w:t>
                  </w:r>
                  <w:r>
                    <w:rPr>
                      <w:rFonts w:hint="eastAsia" w:ascii="宋体" w:hAnsi="宋体" w:cs="宋体"/>
                      <w:color w:val="auto"/>
                    </w:rPr>
                    <w:t>.</w:t>
                  </w:r>
                  <w:r>
                    <w:rPr>
                      <w:rFonts w:hint="default" w:ascii="宋体" w:hAnsi="宋体" w:cs="宋体"/>
                      <w:color w:val="auto"/>
                      <w:lang w:val="en-US"/>
                    </w:rPr>
                    <w:t>04</w:t>
                  </w:r>
                  <w:r>
                    <w:rPr>
                      <w:rFonts w:hint="eastAsia" w:ascii="宋体" w:hAnsi="宋体" w:cs="宋体"/>
                      <w:color w:val="auto"/>
                    </w:rPr>
                    <w:t>）</w:t>
                  </w:r>
                </w:p>
              </w:tc>
              <w:tc>
                <w:tcPr>
                  <w:tcW w:w="1072" w:type="pct"/>
                  <w:vMerge w:val="restar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GB</w:t>
                  </w:r>
                  <w:r>
                    <w:rPr>
                      <w:rFonts w:hint="eastAsia" w:ascii="宋体" w:hAnsi="宋体" w:cs="宋体"/>
                      <w:color w:val="auto"/>
                      <w:lang w:eastAsia="zh-CN"/>
                    </w:rPr>
                    <w:t>*****</w:t>
                  </w:r>
                  <w:r>
                    <w:rPr>
                      <w:rFonts w:hint="eastAsia" w:ascii="宋体" w:hAnsi="宋体" w:cs="宋体"/>
                      <w:color w:val="auto"/>
                    </w:rPr>
                    <w:t>-2005“预处理”标准值</w:t>
                  </w:r>
                </w:p>
              </w:tc>
              <w:tc>
                <w:tcPr>
                  <w:tcW w:w="361" w:type="pct"/>
                  <w:vMerge w:val="restar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达标评价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126" w:type="pct"/>
                  <w:vMerge w:val="continue"/>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p>
              </w:tc>
              <w:tc>
                <w:tcPr>
                  <w:tcW w:w="562"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第一次</w:t>
                  </w:r>
                </w:p>
              </w:tc>
              <w:tc>
                <w:tcPr>
                  <w:tcW w:w="676"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第二次</w:t>
                  </w:r>
                </w:p>
              </w:tc>
              <w:tc>
                <w:tcPr>
                  <w:tcW w:w="588"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第三次</w:t>
                  </w:r>
                </w:p>
              </w:tc>
              <w:tc>
                <w:tcPr>
                  <w:tcW w:w="612" w:type="pct"/>
                  <w:noWrap w:val="0"/>
                  <w:vAlign w:val="top"/>
                </w:tcPr>
                <w:p>
                  <w:pPr>
                    <w:keepNext w:val="0"/>
                    <w:keepLines w:val="0"/>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平均值</w:t>
                  </w:r>
                </w:p>
              </w:tc>
              <w:tc>
                <w:tcPr>
                  <w:tcW w:w="1072" w:type="pct"/>
                  <w:vMerge w:val="continue"/>
                  <w:noWrap w:val="0"/>
                  <w:vAlign w:val="top"/>
                </w:tcPr>
                <w:p>
                  <w:pPr>
                    <w:keepNext w:val="0"/>
                    <w:keepLines w:val="0"/>
                    <w:suppressLineNumbers w:val="0"/>
                    <w:spacing w:before="0" w:beforeAutospacing="0" w:after="0" w:afterAutospacing="0"/>
                    <w:ind w:left="0" w:right="0"/>
                    <w:rPr>
                      <w:rFonts w:hint="eastAsia" w:ascii="宋体" w:hAnsi="宋体" w:cs="宋体"/>
                      <w:color w:val="auto"/>
                      <w:szCs w:val="24"/>
                    </w:rPr>
                  </w:pPr>
                </w:p>
              </w:tc>
              <w:tc>
                <w:tcPr>
                  <w:tcW w:w="361" w:type="pct"/>
                  <w:vMerge w:val="continue"/>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trPr>
              <w:tc>
                <w:tcPr>
                  <w:tcW w:w="1126"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五日生化需氧量</w:t>
                  </w:r>
                </w:p>
              </w:tc>
              <w:tc>
                <w:tcPr>
                  <w:tcW w:w="562"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30.4</w:t>
                  </w:r>
                </w:p>
              </w:tc>
              <w:tc>
                <w:tcPr>
                  <w:tcW w:w="676"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29.3</w:t>
                  </w:r>
                </w:p>
              </w:tc>
              <w:tc>
                <w:tcPr>
                  <w:tcW w:w="588"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31.2</w:t>
                  </w:r>
                </w:p>
              </w:tc>
              <w:tc>
                <w:tcPr>
                  <w:tcW w:w="612"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30.3</w:t>
                  </w:r>
                </w:p>
              </w:tc>
              <w:tc>
                <w:tcPr>
                  <w:tcW w:w="1072"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szCs w:val="24"/>
                    </w:rPr>
                  </w:pPr>
                  <w:r>
                    <w:rPr>
                      <w:rFonts w:hint="eastAsia" w:ascii="宋体" w:hAnsi="宋体" w:cs="宋体"/>
                      <w:color w:val="auto"/>
                    </w:rPr>
                    <w:t xml:space="preserve">≤100                                                                                                                                                                                                                                                                                                                                                                                                                                                                                                                                                                                                                                                                                                                                                                                                                                                                                                                                                                                                                                                                                                                                                                                                                                                                                                                                                                                                                                                                                                                                                                                                                                                                                                                                                                                                                                                                                                                                                                                                                                                                                                                                                                                                                                                                                                                                                                                                                                                                                                                                                                                                                                                                                                                                                                                                                                                                                                                                                                                                                                                                                                                                                                                                                                                                                                                                                                                                                                                                                                                                                                                                                               </w:t>
                  </w:r>
                </w:p>
              </w:tc>
              <w:tc>
                <w:tcPr>
                  <w:tcW w:w="361"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4"/>
                    </w:rPr>
                  </w:pPr>
                  <w:r>
                    <w:rPr>
                      <w:rFonts w:hint="eastAsia" w:ascii="宋体" w:hAnsi="宋体" w:cs="宋体"/>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 w:hRule="atLeast"/>
              </w:trPr>
              <w:tc>
                <w:tcPr>
                  <w:tcW w:w="1126"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石油类</w:t>
                  </w:r>
                </w:p>
              </w:tc>
              <w:tc>
                <w:tcPr>
                  <w:tcW w:w="562"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0.06L</w:t>
                  </w:r>
                </w:p>
              </w:tc>
              <w:tc>
                <w:tcPr>
                  <w:tcW w:w="676"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default" w:ascii="宋体" w:hAnsi="宋体" w:cs="宋体"/>
                      <w:color w:val="auto"/>
                      <w:lang w:val="en-US"/>
                    </w:rPr>
                    <w:t>0.06L</w:t>
                  </w:r>
                </w:p>
              </w:tc>
              <w:tc>
                <w:tcPr>
                  <w:tcW w:w="588"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default" w:ascii="宋体" w:hAnsi="宋体" w:cs="宋体"/>
                      <w:color w:val="auto"/>
                      <w:lang w:val="en-US"/>
                    </w:rPr>
                    <w:t>0.06L</w:t>
                  </w:r>
                </w:p>
              </w:tc>
              <w:tc>
                <w:tcPr>
                  <w:tcW w:w="612"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default" w:ascii="宋体" w:hAnsi="宋体" w:cs="宋体"/>
                      <w:color w:val="auto"/>
                      <w:lang w:val="en-US"/>
                    </w:rPr>
                    <w:t>0.06L</w:t>
                  </w:r>
                </w:p>
              </w:tc>
              <w:tc>
                <w:tcPr>
                  <w:tcW w:w="1072"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4"/>
                    </w:rPr>
                  </w:pPr>
                  <w:r>
                    <w:rPr>
                      <w:rFonts w:hint="eastAsia" w:ascii="宋体" w:hAnsi="宋体" w:cs="宋体"/>
                      <w:color w:val="auto"/>
                    </w:rPr>
                    <w:t>≤20</w:t>
                  </w:r>
                </w:p>
              </w:tc>
              <w:tc>
                <w:tcPr>
                  <w:tcW w:w="361"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 w:hRule="atLeast"/>
              </w:trPr>
              <w:tc>
                <w:tcPr>
                  <w:tcW w:w="1126"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动植物油</w:t>
                  </w:r>
                </w:p>
              </w:tc>
              <w:tc>
                <w:tcPr>
                  <w:tcW w:w="562"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0.11</w:t>
                  </w:r>
                </w:p>
              </w:tc>
              <w:tc>
                <w:tcPr>
                  <w:tcW w:w="676"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0.09</w:t>
                  </w:r>
                </w:p>
              </w:tc>
              <w:tc>
                <w:tcPr>
                  <w:tcW w:w="588"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0.10</w:t>
                  </w:r>
                </w:p>
              </w:tc>
              <w:tc>
                <w:tcPr>
                  <w:tcW w:w="612"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0.10</w:t>
                  </w:r>
                </w:p>
              </w:tc>
              <w:tc>
                <w:tcPr>
                  <w:tcW w:w="1072"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4"/>
                    </w:rPr>
                  </w:pPr>
                  <w:r>
                    <w:rPr>
                      <w:rFonts w:hint="eastAsia" w:ascii="宋体" w:hAnsi="宋体" w:cs="宋体"/>
                      <w:color w:val="auto"/>
                    </w:rPr>
                    <w:t>≤20</w:t>
                  </w:r>
                </w:p>
              </w:tc>
              <w:tc>
                <w:tcPr>
                  <w:tcW w:w="361"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 w:hRule="atLeast"/>
              </w:trPr>
              <w:tc>
                <w:tcPr>
                  <w:tcW w:w="1126"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挥发酚</w:t>
                  </w:r>
                </w:p>
              </w:tc>
              <w:tc>
                <w:tcPr>
                  <w:tcW w:w="562"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0.01L</w:t>
                  </w:r>
                </w:p>
              </w:tc>
              <w:tc>
                <w:tcPr>
                  <w:tcW w:w="676"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default" w:ascii="宋体" w:hAnsi="宋体" w:cs="宋体"/>
                      <w:color w:val="auto"/>
                      <w:lang w:val="en-US"/>
                    </w:rPr>
                    <w:t>0.01L</w:t>
                  </w:r>
                </w:p>
              </w:tc>
              <w:tc>
                <w:tcPr>
                  <w:tcW w:w="588"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default" w:ascii="宋体" w:hAnsi="宋体" w:cs="宋体"/>
                      <w:color w:val="auto"/>
                      <w:lang w:val="en-US"/>
                    </w:rPr>
                    <w:t>0.01L</w:t>
                  </w:r>
                </w:p>
              </w:tc>
              <w:tc>
                <w:tcPr>
                  <w:tcW w:w="612"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default" w:ascii="宋体" w:hAnsi="宋体" w:cs="宋体"/>
                      <w:color w:val="auto"/>
                      <w:lang w:val="en-US"/>
                    </w:rPr>
                    <w:t>0.01L</w:t>
                  </w:r>
                </w:p>
              </w:tc>
              <w:tc>
                <w:tcPr>
                  <w:tcW w:w="1072"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4"/>
                    </w:rPr>
                  </w:pPr>
                  <w:r>
                    <w:rPr>
                      <w:rFonts w:hint="eastAsia" w:ascii="宋体" w:hAnsi="宋体" w:cs="宋体"/>
                      <w:color w:val="auto"/>
                    </w:rPr>
                    <w:t>≤1.0</w:t>
                  </w:r>
                </w:p>
              </w:tc>
              <w:tc>
                <w:tcPr>
                  <w:tcW w:w="361"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 w:hRule="atLeast"/>
              </w:trPr>
              <w:tc>
                <w:tcPr>
                  <w:tcW w:w="1126"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highlight w:val="none"/>
                    </w:rPr>
                    <w:t>总氰化物</w:t>
                  </w:r>
                </w:p>
              </w:tc>
              <w:tc>
                <w:tcPr>
                  <w:tcW w:w="562"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0.004L</w:t>
                  </w:r>
                </w:p>
              </w:tc>
              <w:tc>
                <w:tcPr>
                  <w:tcW w:w="676"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default" w:ascii="宋体" w:hAnsi="宋体" w:cs="宋体"/>
                      <w:color w:val="auto"/>
                      <w:lang w:val="en-US"/>
                    </w:rPr>
                    <w:t>0.004L</w:t>
                  </w:r>
                </w:p>
              </w:tc>
              <w:tc>
                <w:tcPr>
                  <w:tcW w:w="588"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default" w:ascii="宋体" w:hAnsi="宋体" w:cs="宋体"/>
                      <w:color w:val="auto"/>
                      <w:lang w:val="en-US"/>
                    </w:rPr>
                    <w:t>0.004L</w:t>
                  </w:r>
                </w:p>
              </w:tc>
              <w:tc>
                <w:tcPr>
                  <w:tcW w:w="612"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default" w:ascii="宋体" w:hAnsi="宋体" w:cs="宋体"/>
                      <w:color w:val="auto"/>
                      <w:lang w:val="en-US"/>
                    </w:rPr>
                    <w:t>0.004L</w:t>
                  </w:r>
                </w:p>
              </w:tc>
              <w:tc>
                <w:tcPr>
                  <w:tcW w:w="1072"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4"/>
                    </w:rPr>
                  </w:pPr>
                  <w:r>
                    <w:rPr>
                      <w:rFonts w:hint="eastAsia" w:ascii="宋体" w:hAnsi="宋体" w:cs="宋体"/>
                      <w:color w:val="auto"/>
                    </w:rPr>
                    <w:t>≤0.5</w:t>
                  </w:r>
                </w:p>
              </w:tc>
              <w:tc>
                <w:tcPr>
                  <w:tcW w:w="361"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atLeast"/>
              </w:trPr>
              <w:tc>
                <w:tcPr>
                  <w:tcW w:w="1126"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阴离子表面活性剂</w:t>
                  </w:r>
                </w:p>
              </w:tc>
              <w:tc>
                <w:tcPr>
                  <w:tcW w:w="562"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1.14</w:t>
                  </w:r>
                </w:p>
              </w:tc>
              <w:tc>
                <w:tcPr>
                  <w:tcW w:w="676"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1.15</w:t>
                  </w:r>
                </w:p>
              </w:tc>
              <w:tc>
                <w:tcPr>
                  <w:tcW w:w="588"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1.14</w:t>
                  </w:r>
                </w:p>
              </w:tc>
              <w:tc>
                <w:tcPr>
                  <w:tcW w:w="612"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1.14</w:t>
                  </w:r>
                </w:p>
              </w:tc>
              <w:tc>
                <w:tcPr>
                  <w:tcW w:w="1072"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4"/>
                    </w:rPr>
                  </w:pPr>
                  <w:r>
                    <w:rPr>
                      <w:rFonts w:hint="eastAsia" w:ascii="宋体" w:hAnsi="宋体" w:cs="宋体"/>
                      <w:color w:val="auto"/>
                    </w:rPr>
                    <w:t>≤10</w:t>
                  </w:r>
                </w:p>
              </w:tc>
              <w:tc>
                <w:tcPr>
                  <w:tcW w:w="361"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达标</w:t>
                  </w:r>
                </w:p>
              </w:tc>
            </w:tr>
          </w:tbl>
          <w:p>
            <w:pPr>
              <w:pStyle w:val="21"/>
              <w:keepNext w:val="0"/>
              <w:keepLines w:val="0"/>
              <w:suppressLineNumbers w:val="0"/>
              <w:spacing w:beforeAutospacing="0" w:after="0" w:afterAutospacing="0" w:line="360" w:lineRule="auto"/>
              <w:ind w:firstLine="480" w:firstLineChars="200"/>
              <w:rPr>
                <w:rFonts w:hint="eastAsia" w:ascii="宋体" w:hAnsi="宋体" w:cs="宋体"/>
                <w:color w:val="auto"/>
                <w:sz w:val="24"/>
              </w:rPr>
            </w:pPr>
            <w:r>
              <w:rPr>
                <w:rFonts w:hint="eastAsia" w:ascii="宋体" w:hAnsi="宋体" w:cs="宋体"/>
                <w:color w:val="auto"/>
                <w:sz w:val="24"/>
              </w:rPr>
              <w:t>据类比项目</w:t>
            </w:r>
            <w:r>
              <w:rPr>
                <w:rFonts w:hint="eastAsia" w:ascii="Times New Roman" w:hAnsi="Times New Roman" w:cs="Times New Roman"/>
                <w:color w:val="auto"/>
                <w:sz w:val="24"/>
                <w:lang w:eastAsia="zh-CN"/>
              </w:rPr>
              <w:t>东川精神病院</w:t>
            </w:r>
            <w:r>
              <w:rPr>
                <w:rFonts w:hint="eastAsia" w:ascii="宋体" w:hAnsi="宋体" w:cs="宋体"/>
                <w:color w:val="auto"/>
                <w:sz w:val="24"/>
              </w:rPr>
              <w:t>污水处理站排放口出水水质，各项监测因子满足《医疗机构水污染物排放标准》（GB</w:t>
            </w:r>
            <w:r>
              <w:rPr>
                <w:rFonts w:hint="eastAsia" w:ascii="宋体" w:hAnsi="宋体" w:cs="宋体"/>
                <w:color w:val="auto"/>
                <w:sz w:val="24"/>
                <w:lang w:eastAsia="zh-CN"/>
              </w:rPr>
              <w:t>*****</w:t>
            </w:r>
            <w:r>
              <w:rPr>
                <w:rFonts w:hint="eastAsia" w:ascii="宋体" w:hAnsi="宋体" w:cs="宋体"/>
                <w:color w:val="auto"/>
                <w:sz w:val="24"/>
              </w:rPr>
              <w:t>-2005）表2综合医疗机构和其他医疗机构水污染排放限值（日均值）中“预处理”标准，表明项目综合废水采用污水处理站处理后，污水可以做到达标排放。</w:t>
            </w:r>
          </w:p>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color w:val="auto"/>
                <w:sz w:val="24"/>
                <w:szCs w:val="24"/>
              </w:rPr>
            </w:pPr>
            <w:r>
              <w:rPr>
                <w:rFonts w:hint="eastAsia" w:ascii="宋体" w:hAnsi="宋体" w:cs="宋体"/>
                <w:color w:val="auto"/>
                <w:sz w:val="24"/>
                <w:szCs w:val="24"/>
              </w:rPr>
              <w:t>1.</w:t>
            </w:r>
            <w:r>
              <w:rPr>
                <w:rFonts w:hint="default" w:ascii="宋体" w:hAnsi="宋体" w:cs="宋体"/>
                <w:color w:val="auto"/>
                <w:sz w:val="24"/>
                <w:szCs w:val="24"/>
              </w:rPr>
              <w:t>5</w:t>
            </w:r>
            <w:r>
              <w:rPr>
                <w:rFonts w:hint="eastAsia" w:ascii="宋体" w:hAnsi="宋体" w:cs="宋体"/>
                <w:color w:val="auto"/>
                <w:sz w:val="24"/>
                <w:szCs w:val="24"/>
              </w:rPr>
              <w:t>项目废水污染物产生和排放情况</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highlight w:val="yellow"/>
              </w:rPr>
            </w:pPr>
            <w:r>
              <w:rPr>
                <w:rFonts w:hint="eastAsia" w:ascii="宋体" w:hAnsi="宋体" w:cs="宋体"/>
                <w:color w:val="auto"/>
                <w:sz w:val="24"/>
                <w:szCs w:val="24"/>
              </w:rPr>
              <w:t>本项目废水产生量</w:t>
            </w:r>
            <w:r>
              <w:rPr>
                <w:rFonts w:hint="default" w:ascii="宋体" w:hAnsi="宋体" w:cs="宋体"/>
                <w:color w:val="auto"/>
                <w:sz w:val="24"/>
                <w:szCs w:val="24"/>
                <w:lang w:val="en-US"/>
              </w:rPr>
              <w:t>109.431</w:t>
            </w:r>
            <w:r>
              <w:rPr>
                <w:rFonts w:hint="eastAsia" w:ascii="宋体" w:hAnsi="宋体" w:cs="宋体"/>
                <w:color w:val="auto"/>
                <w:sz w:val="24"/>
                <w:szCs w:val="24"/>
              </w:rPr>
              <w:t>m</w:t>
            </w:r>
            <w:r>
              <w:rPr>
                <w:rFonts w:hint="eastAsia" w:ascii="宋体" w:hAnsi="宋体" w:cs="宋体"/>
                <w:color w:val="auto"/>
                <w:sz w:val="24"/>
                <w:szCs w:val="24"/>
                <w:vertAlign w:val="superscript"/>
              </w:rPr>
              <w:t>3</w:t>
            </w:r>
            <w:r>
              <w:rPr>
                <w:rFonts w:hint="eastAsia" w:ascii="宋体" w:hAnsi="宋体" w:cs="宋体"/>
                <w:color w:val="auto"/>
                <w:sz w:val="24"/>
                <w:szCs w:val="24"/>
              </w:rPr>
              <w:t>/d，</w:t>
            </w:r>
            <w:r>
              <w:rPr>
                <w:rFonts w:hint="default" w:ascii="宋体" w:hAnsi="宋体" w:cs="宋体"/>
                <w:color w:val="auto"/>
                <w:sz w:val="24"/>
                <w:szCs w:val="24"/>
                <w:lang w:val="en-US"/>
              </w:rPr>
              <w:t>39942.315</w:t>
            </w:r>
            <w:r>
              <w:rPr>
                <w:rFonts w:hint="eastAsia" w:ascii="宋体" w:hAnsi="宋体" w:cs="宋体"/>
                <w:color w:val="auto"/>
                <w:sz w:val="24"/>
                <w:szCs w:val="24"/>
              </w:rPr>
              <w:t>m</w:t>
            </w:r>
            <w:r>
              <w:rPr>
                <w:rFonts w:hint="eastAsia" w:ascii="宋体" w:hAnsi="宋体" w:cs="宋体"/>
                <w:color w:val="auto"/>
                <w:sz w:val="24"/>
                <w:szCs w:val="24"/>
                <w:vertAlign w:val="superscript"/>
              </w:rPr>
              <w:t>3</w:t>
            </w:r>
            <w:r>
              <w:rPr>
                <w:rFonts w:hint="eastAsia" w:ascii="宋体" w:hAnsi="宋体" w:cs="宋体"/>
                <w:color w:val="auto"/>
                <w:sz w:val="24"/>
                <w:szCs w:val="24"/>
              </w:rPr>
              <w:t>/a，废水污染物产生</w:t>
            </w:r>
            <w:r>
              <w:rPr>
                <w:rFonts w:hint="eastAsia" w:ascii="宋体" w:hAnsi="宋体" w:cs="宋体"/>
                <w:color w:val="auto"/>
                <w:sz w:val="24"/>
                <w:szCs w:val="24"/>
                <w:lang w:eastAsia="zh-CN"/>
              </w:rPr>
              <w:t>（污染物产生浓度来源于项目可研）</w:t>
            </w:r>
            <w:r>
              <w:rPr>
                <w:rFonts w:hint="eastAsia" w:ascii="宋体" w:hAnsi="宋体" w:cs="宋体"/>
                <w:color w:val="auto"/>
                <w:sz w:val="24"/>
                <w:szCs w:val="24"/>
              </w:rPr>
              <w:t>及排放情况</w:t>
            </w:r>
            <w:r>
              <w:rPr>
                <w:rFonts w:hint="eastAsia" w:ascii="宋体" w:hAnsi="宋体" w:cs="宋体"/>
                <w:color w:val="auto"/>
                <w:sz w:val="24"/>
                <w:szCs w:val="24"/>
                <w:lang w:eastAsia="zh-CN"/>
              </w:rPr>
              <w:t>（</w:t>
            </w:r>
            <w:r>
              <w:rPr>
                <w:rFonts w:hint="default" w:ascii="宋体" w:hAnsi="宋体" w:cs="宋体"/>
                <w:color w:val="auto"/>
                <w:sz w:val="24"/>
                <w:szCs w:val="24"/>
                <w:lang w:val="en-US" w:eastAsia="zh-CN"/>
              </w:rPr>
              <w:t>CODcr</w:t>
            </w:r>
            <w:r>
              <w:rPr>
                <w:rFonts w:hint="eastAsia" w:ascii="宋体" w:hAnsi="宋体" w:cs="宋体"/>
                <w:color w:val="auto"/>
                <w:sz w:val="24"/>
                <w:szCs w:val="24"/>
                <w:lang w:val="en-US" w:eastAsia="zh-CN"/>
              </w:rPr>
              <w:t>、</w:t>
            </w:r>
            <w:r>
              <w:rPr>
                <w:rFonts w:hint="default" w:ascii="宋体" w:hAnsi="宋体" w:cs="宋体"/>
                <w:color w:val="auto"/>
                <w:sz w:val="24"/>
                <w:szCs w:val="24"/>
                <w:lang w:val="en-US" w:eastAsia="zh-CN"/>
              </w:rPr>
              <w:t>SS</w:t>
            </w:r>
            <w:r>
              <w:rPr>
                <w:rFonts w:hint="eastAsia" w:ascii="宋体" w:hAnsi="宋体" w:cs="宋体"/>
                <w:color w:val="auto"/>
                <w:sz w:val="24"/>
                <w:szCs w:val="24"/>
                <w:lang w:val="en-US" w:eastAsia="zh-CN"/>
              </w:rPr>
              <w:t>排放浓度来源于原项目</w:t>
            </w:r>
            <w:r>
              <w:rPr>
                <w:rFonts w:hint="default" w:ascii="宋体" w:hAnsi="宋体" w:cs="宋体"/>
                <w:color w:val="auto"/>
                <w:sz w:val="24"/>
                <w:szCs w:val="24"/>
                <w:lang w:val="en-US" w:eastAsia="zh-CN"/>
              </w:rPr>
              <w:t>7</w:t>
            </w:r>
            <w:r>
              <w:rPr>
                <w:rFonts w:hint="eastAsia" w:ascii="宋体" w:hAnsi="宋体" w:cs="宋体"/>
                <w:color w:val="auto"/>
                <w:sz w:val="24"/>
                <w:szCs w:val="24"/>
                <w:lang w:val="en-US" w:eastAsia="zh-CN"/>
              </w:rPr>
              <w:t>月第二周自行监测报告</w:t>
            </w:r>
            <w:r>
              <w:rPr>
                <w:rFonts w:hint="eastAsia" w:ascii="宋体" w:hAnsi="宋体" w:cs="宋体"/>
                <w:color w:val="auto"/>
                <w:sz w:val="24"/>
                <w:szCs w:val="24"/>
                <w:lang w:eastAsia="zh-CN"/>
              </w:rPr>
              <w:t>）</w:t>
            </w:r>
            <w:r>
              <w:rPr>
                <w:rFonts w:hint="eastAsia" w:ascii="宋体" w:hAnsi="宋体" w:cs="宋体"/>
                <w:color w:val="auto"/>
                <w:sz w:val="24"/>
                <w:szCs w:val="24"/>
              </w:rPr>
              <w:t>一览表见表4-2。</w:t>
            </w:r>
          </w:p>
          <w:p>
            <w:pPr>
              <w:keepNext w:val="0"/>
              <w:keepLines w:val="0"/>
              <w:suppressLineNumbers w:val="0"/>
              <w:spacing w:before="0" w:beforeAutospacing="0" w:after="0" w:afterAutospacing="0"/>
              <w:ind w:left="0" w:right="0"/>
              <w:jc w:val="center"/>
              <w:rPr>
                <w:rFonts w:hint="eastAsia" w:ascii="宋体" w:hAnsi="宋体" w:cs="宋体"/>
                <w:b/>
                <w:bCs/>
                <w:color w:val="auto"/>
                <w:sz w:val="24"/>
                <w:szCs w:val="24"/>
              </w:rPr>
            </w:pPr>
            <w:r>
              <w:rPr>
                <w:rFonts w:hint="eastAsia" w:ascii="宋体" w:hAnsi="宋体" w:cs="宋体"/>
                <w:b/>
                <w:bCs/>
                <w:color w:val="auto"/>
                <w:sz w:val="24"/>
                <w:szCs w:val="24"/>
              </w:rPr>
              <w:t xml:space="preserve">表4-2  废水中污染物产生及排放情况一览表 </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182"/>
              <w:gridCol w:w="1369"/>
              <w:gridCol w:w="859"/>
              <w:gridCol w:w="1279"/>
              <w:gridCol w:w="1369"/>
              <w:gridCol w:w="743"/>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 w:hRule="atLeast"/>
              </w:trPr>
              <w:tc>
                <w:tcPr>
                  <w:tcW w:w="587"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污染物</w:t>
                  </w:r>
                </w:p>
              </w:tc>
              <w:tc>
                <w:tcPr>
                  <w:tcW w:w="679"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产生浓度</w:t>
                  </w:r>
                </w:p>
              </w:tc>
              <w:tc>
                <w:tcPr>
                  <w:tcW w:w="787"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产生量（t/a）</w:t>
                  </w:r>
                </w:p>
              </w:tc>
              <w:tc>
                <w:tcPr>
                  <w:tcW w:w="494"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削减量(t/a)</w:t>
                  </w:r>
                </w:p>
              </w:tc>
              <w:tc>
                <w:tcPr>
                  <w:tcW w:w="734"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排放浓度</w:t>
                  </w:r>
                </w:p>
              </w:tc>
              <w:tc>
                <w:tcPr>
                  <w:tcW w:w="787"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lang w:eastAsia="zh-CN"/>
                    </w:rPr>
                  </w:pPr>
                  <w:r>
                    <w:rPr>
                      <w:rFonts w:hint="eastAsia" w:ascii="宋体" w:hAnsi="宋体" w:cs="宋体"/>
                      <w:color w:val="auto"/>
                    </w:rPr>
                    <w:t>排放总量</w:t>
                  </w:r>
                  <w:r>
                    <w:rPr>
                      <w:rFonts w:hint="eastAsia" w:ascii="宋体" w:hAnsi="宋体" w:cs="宋体"/>
                      <w:color w:val="auto"/>
                      <w:lang w:eastAsia="zh-CN"/>
                    </w:rPr>
                    <w:t>（</w:t>
                  </w:r>
                  <w:r>
                    <w:rPr>
                      <w:rFonts w:hint="default" w:ascii="宋体" w:hAnsi="宋体" w:cs="宋体"/>
                      <w:color w:val="auto"/>
                      <w:lang w:val="en-US" w:eastAsia="zh-CN"/>
                    </w:rPr>
                    <w:t>t/a</w:t>
                  </w:r>
                  <w:r>
                    <w:rPr>
                      <w:rFonts w:hint="eastAsia" w:ascii="宋体" w:hAnsi="宋体" w:cs="宋体"/>
                      <w:color w:val="auto"/>
                      <w:lang w:eastAsia="zh-CN"/>
                    </w:rPr>
                    <w:t>）</w:t>
                  </w:r>
                </w:p>
              </w:tc>
              <w:tc>
                <w:tcPr>
                  <w:tcW w:w="427"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限值</w:t>
                  </w:r>
                </w:p>
              </w:tc>
              <w:tc>
                <w:tcPr>
                  <w:tcW w:w="501"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达标评价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7"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废水量</w:t>
                  </w:r>
                </w:p>
              </w:tc>
              <w:tc>
                <w:tcPr>
                  <w:tcW w:w="679"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w:t>
                  </w:r>
                </w:p>
              </w:tc>
              <w:tc>
                <w:tcPr>
                  <w:tcW w:w="787"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39942.315</w:t>
                  </w:r>
                </w:p>
              </w:tc>
              <w:tc>
                <w:tcPr>
                  <w:tcW w:w="494"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0</w:t>
                  </w:r>
                </w:p>
              </w:tc>
              <w:tc>
                <w:tcPr>
                  <w:tcW w:w="734"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w:t>
                  </w:r>
                </w:p>
              </w:tc>
              <w:tc>
                <w:tcPr>
                  <w:tcW w:w="787"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39942.315</w:t>
                  </w:r>
                </w:p>
              </w:tc>
              <w:tc>
                <w:tcPr>
                  <w:tcW w:w="427"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w:t>
                  </w:r>
                </w:p>
              </w:tc>
              <w:tc>
                <w:tcPr>
                  <w:tcW w:w="501"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7"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COD</w:t>
                  </w:r>
                  <w:r>
                    <w:rPr>
                      <w:rFonts w:hint="eastAsia" w:ascii="宋体" w:hAnsi="宋体" w:cs="宋体"/>
                      <w:color w:val="auto"/>
                      <w:vertAlign w:val="subscript"/>
                    </w:rPr>
                    <w:t>cr</w:t>
                  </w:r>
                </w:p>
              </w:tc>
              <w:tc>
                <w:tcPr>
                  <w:tcW w:w="679"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450mg/L</w:t>
                  </w:r>
                </w:p>
              </w:tc>
              <w:tc>
                <w:tcPr>
                  <w:tcW w:w="787"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17.974</w:t>
                  </w:r>
                </w:p>
              </w:tc>
              <w:tc>
                <w:tcPr>
                  <w:tcW w:w="494" w:type="pct"/>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11.543</w:t>
                  </w:r>
                </w:p>
              </w:tc>
              <w:tc>
                <w:tcPr>
                  <w:tcW w:w="734"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default" w:ascii="宋体" w:hAnsi="宋体" w:cs="宋体"/>
                      <w:color w:val="auto"/>
                      <w:lang w:val="en-US"/>
                    </w:rPr>
                    <w:t>161</w:t>
                  </w:r>
                  <w:r>
                    <w:rPr>
                      <w:rFonts w:hint="eastAsia" w:ascii="宋体" w:hAnsi="宋体" w:cs="宋体"/>
                      <w:color w:val="auto"/>
                    </w:rPr>
                    <w:t>mg/L</w:t>
                  </w:r>
                </w:p>
              </w:tc>
              <w:tc>
                <w:tcPr>
                  <w:tcW w:w="787"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6.431</w:t>
                  </w:r>
                </w:p>
              </w:tc>
              <w:tc>
                <w:tcPr>
                  <w:tcW w:w="427"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≤250</w:t>
                  </w:r>
                </w:p>
              </w:tc>
              <w:tc>
                <w:tcPr>
                  <w:tcW w:w="501"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7"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BOD</w:t>
                  </w:r>
                  <w:r>
                    <w:rPr>
                      <w:rFonts w:hint="eastAsia" w:ascii="宋体" w:hAnsi="宋体" w:cs="宋体"/>
                      <w:color w:val="auto"/>
                      <w:vertAlign w:val="subscript"/>
                    </w:rPr>
                    <w:t>5</w:t>
                  </w:r>
                </w:p>
              </w:tc>
              <w:tc>
                <w:tcPr>
                  <w:tcW w:w="679"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200mg/L</w:t>
                  </w:r>
                </w:p>
              </w:tc>
              <w:tc>
                <w:tcPr>
                  <w:tcW w:w="787"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7.988</w:t>
                  </w:r>
                </w:p>
              </w:tc>
              <w:tc>
                <w:tcPr>
                  <w:tcW w:w="494" w:type="pct"/>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6.778</w:t>
                  </w:r>
                </w:p>
              </w:tc>
              <w:tc>
                <w:tcPr>
                  <w:tcW w:w="734"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default" w:ascii="宋体" w:hAnsi="宋体" w:cs="宋体"/>
                      <w:color w:val="auto"/>
                      <w:lang w:val="en-US"/>
                    </w:rPr>
                    <w:t>30.3</w:t>
                  </w:r>
                  <w:r>
                    <w:rPr>
                      <w:rFonts w:hint="eastAsia" w:ascii="宋体" w:hAnsi="宋体" w:cs="宋体"/>
                      <w:color w:val="auto"/>
                    </w:rPr>
                    <w:t>mg/L</w:t>
                  </w:r>
                </w:p>
              </w:tc>
              <w:tc>
                <w:tcPr>
                  <w:tcW w:w="787"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1.210</w:t>
                  </w:r>
                </w:p>
              </w:tc>
              <w:tc>
                <w:tcPr>
                  <w:tcW w:w="427"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≤100</w:t>
                  </w:r>
                </w:p>
              </w:tc>
              <w:tc>
                <w:tcPr>
                  <w:tcW w:w="501"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7"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SS</w:t>
                  </w:r>
                </w:p>
              </w:tc>
              <w:tc>
                <w:tcPr>
                  <w:tcW w:w="679"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400mg/L</w:t>
                  </w:r>
                </w:p>
              </w:tc>
              <w:tc>
                <w:tcPr>
                  <w:tcW w:w="787"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15.977</w:t>
                  </w:r>
                </w:p>
              </w:tc>
              <w:tc>
                <w:tcPr>
                  <w:tcW w:w="494" w:type="pct"/>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15.498</w:t>
                  </w:r>
                </w:p>
              </w:tc>
              <w:tc>
                <w:tcPr>
                  <w:tcW w:w="734"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w:t>
                  </w:r>
                  <w:r>
                    <w:rPr>
                      <w:rFonts w:hint="default" w:ascii="宋体" w:hAnsi="宋体" w:cs="宋体"/>
                      <w:color w:val="auto"/>
                      <w:lang w:val="en-US"/>
                    </w:rPr>
                    <w:t>2</w:t>
                  </w:r>
                  <w:r>
                    <w:rPr>
                      <w:rFonts w:hint="eastAsia" w:ascii="宋体" w:hAnsi="宋体" w:cs="宋体"/>
                      <w:color w:val="auto"/>
                    </w:rPr>
                    <w:t>mg/L</w:t>
                  </w:r>
                </w:p>
              </w:tc>
              <w:tc>
                <w:tcPr>
                  <w:tcW w:w="787"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0.479</w:t>
                  </w:r>
                </w:p>
              </w:tc>
              <w:tc>
                <w:tcPr>
                  <w:tcW w:w="427"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≤60</w:t>
                  </w:r>
                </w:p>
              </w:tc>
              <w:tc>
                <w:tcPr>
                  <w:tcW w:w="501"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7"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TP</w:t>
                  </w:r>
                </w:p>
              </w:tc>
              <w:tc>
                <w:tcPr>
                  <w:tcW w:w="679"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5.34</w:t>
                  </w:r>
                  <w:r>
                    <w:rPr>
                      <w:rFonts w:hint="eastAsia" w:ascii="宋体" w:hAnsi="宋体" w:cs="宋体"/>
                      <w:color w:val="auto"/>
                    </w:rPr>
                    <w:t>mg/L</w:t>
                  </w:r>
                </w:p>
              </w:tc>
              <w:tc>
                <w:tcPr>
                  <w:tcW w:w="787"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0.213</w:t>
                  </w:r>
                </w:p>
              </w:tc>
              <w:tc>
                <w:tcPr>
                  <w:tcW w:w="494" w:type="pct"/>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0.021</w:t>
                  </w:r>
                </w:p>
              </w:tc>
              <w:tc>
                <w:tcPr>
                  <w:tcW w:w="734"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4.81</w:t>
                  </w:r>
                  <w:r>
                    <w:rPr>
                      <w:rFonts w:hint="eastAsia" w:ascii="宋体" w:hAnsi="宋体" w:cs="宋体"/>
                      <w:color w:val="auto"/>
                    </w:rPr>
                    <w:t>mg/L</w:t>
                  </w:r>
                </w:p>
              </w:tc>
              <w:tc>
                <w:tcPr>
                  <w:tcW w:w="787"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0.192</w:t>
                  </w:r>
                </w:p>
              </w:tc>
              <w:tc>
                <w:tcPr>
                  <w:tcW w:w="427"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eastAsia" w:ascii="宋体" w:hAnsi="宋体" w:cs="宋体"/>
                      <w:color w:val="auto"/>
                    </w:rPr>
                    <w:t>≤</w:t>
                  </w:r>
                  <w:r>
                    <w:rPr>
                      <w:rFonts w:hint="default" w:ascii="宋体" w:hAnsi="宋体" w:cs="宋体"/>
                      <w:color w:val="auto"/>
                      <w:lang w:val="en-US"/>
                    </w:rPr>
                    <w:t>8</w:t>
                  </w:r>
                </w:p>
              </w:tc>
              <w:tc>
                <w:tcPr>
                  <w:tcW w:w="501"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7"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NH</w:t>
                  </w:r>
                  <w:r>
                    <w:rPr>
                      <w:rFonts w:hint="default" w:ascii="宋体" w:hAnsi="宋体" w:cs="宋体"/>
                      <w:color w:val="auto"/>
                      <w:vertAlign w:val="subscript"/>
                      <w:lang w:val="en-US"/>
                    </w:rPr>
                    <w:t>3</w:t>
                  </w:r>
                  <w:r>
                    <w:rPr>
                      <w:rFonts w:hint="default" w:ascii="宋体" w:hAnsi="宋体" w:cs="宋体"/>
                      <w:color w:val="auto"/>
                      <w:lang w:val="en-US"/>
                    </w:rPr>
                    <w:t>-N</w:t>
                  </w:r>
                </w:p>
              </w:tc>
              <w:tc>
                <w:tcPr>
                  <w:tcW w:w="679"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59.53</w:t>
                  </w:r>
                  <w:r>
                    <w:rPr>
                      <w:rFonts w:hint="eastAsia" w:ascii="宋体" w:hAnsi="宋体" w:cs="宋体"/>
                      <w:color w:val="auto"/>
                    </w:rPr>
                    <w:t>mg/L</w:t>
                  </w:r>
                </w:p>
              </w:tc>
              <w:tc>
                <w:tcPr>
                  <w:tcW w:w="787"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2.378</w:t>
                  </w:r>
                </w:p>
              </w:tc>
              <w:tc>
                <w:tcPr>
                  <w:tcW w:w="494" w:type="pct"/>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1.163</w:t>
                  </w:r>
                </w:p>
              </w:tc>
              <w:tc>
                <w:tcPr>
                  <w:tcW w:w="734"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30.43</w:t>
                  </w:r>
                  <w:r>
                    <w:rPr>
                      <w:rFonts w:hint="eastAsia" w:ascii="宋体" w:hAnsi="宋体" w:cs="宋体"/>
                      <w:color w:val="auto"/>
                    </w:rPr>
                    <w:t>mg/L</w:t>
                  </w:r>
                </w:p>
              </w:tc>
              <w:tc>
                <w:tcPr>
                  <w:tcW w:w="787"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1.215</w:t>
                  </w:r>
                </w:p>
              </w:tc>
              <w:tc>
                <w:tcPr>
                  <w:tcW w:w="427"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eastAsia" w:ascii="宋体" w:hAnsi="宋体" w:cs="宋体"/>
                      <w:color w:val="auto"/>
                    </w:rPr>
                    <w:t>≤</w:t>
                  </w:r>
                  <w:r>
                    <w:rPr>
                      <w:rFonts w:hint="default" w:ascii="宋体" w:hAnsi="宋体" w:cs="宋体"/>
                      <w:color w:val="auto"/>
                      <w:lang w:val="en-US"/>
                    </w:rPr>
                    <w:t>45</w:t>
                  </w:r>
                </w:p>
              </w:tc>
              <w:tc>
                <w:tcPr>
                  <w:tcW w:w="501"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达标</w:t>
                  </w:r>
                </w:p>
              </w:tc>
            </w:tr>
          </w:tbl>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项目废水经污水处理站处理后，排放的废水污染物浓度可满足《医疗机构水污染物排放标准》（GB</w:t>
            </w:r>
            <w:r>
              <w:rPr>
                <w:rFonts w:hint="eastAsia" w:ascii="宋体" w:hAnsi="宋体" w:cs="宋体"/>
                <w:color w:val="auto"/>
                <w:sz w:val="24"/>
                <w:szCs w:val="24"/>
                <w:lang w:eastAsia="zh-CN"/>
              </w:rPr>
              <w:t>*****</w:t>
            </w:r>
            <w:r>
              <w:rPr>
                <w:rFonts w:hint="eastAsia" w:ascii="宋体" w:hAnsi="宋体" w:cs="宋体"/>
                <w:color w:val="auto"/>
                <w:sz w:val="24"/>
                <w:szCs w:val="24"/>
              </w:rPr>
              <w:t>-2005）表2预处理标准，废水可实现达标排放。</w:t>
            </w:r>
          </w:p>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color w:val="auto"/>
                <w:sz w:val="24"/>
                <w:szCs w:val="24"/>
              </w:rPr>
            </w:pPr>
            <w:r>
              <w:rPr>
                <w:rFonts w:hint="eastAsia" w:ascii="宋体" w:hAnsi="宋体" w:cs="宋体"/>
                <w:color w:val="auto"/>
                <w:sz w:val="24"/>
                <w:szCs w:val="24"/>
              </w:rPr>
              <w:t>1.</w:t>
            </w:r>
            <w:r>
              <w:rPr>
                <w:rFonts w:hint="default" w:ascii="宋体" w:hAnsi="宋体" w:cs="宋体"/>
                <w:color w:val="auto"/>
                <w:sz w:val="24"/>
                <w:szCs w:val="24"/>
              </w:rPr>
              <w:t>6</w:t>
            </w:r>
            <w:r>
              <w:rPr>
                <w:rFonts w:hint="eastAsia" w:ascii="宋体" w:hAnsi="宋体" w:cs="宋体"/>
                <w:color w:val="auto"/>
                <w:sz w:val="24"/>
                <w:szCs w:val="24"/>
              </w:rPr>
              <w:t>项目废水排放方式、去向、规律情况。</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sz w:val="24"/>
                <w:szCs w:val="24"/>
              </w:rPr>
            </w:pPr>
            <w:r>
              <w:rPr>
                <w:rFonts w:hint="eastAsia" w:ascii="宋体" w:hAnsi="宋体" w:cs="宋体"/>
                <w:b/>
                <w:bCs/>
                <w:color w:val="auto"/>
                <w:sz w:val="24"/>
                <w:szCs w:val="24"/>
              </w:rPr>
              <w:t>表4-3 项目废水排放方式、去向、规律基本情况</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18"/>
              <w:gridCol w:w="1596"/>
              <w:gridCol w:w="1010"/>
              <w:gridCol w:w="832"/>
              <w:gridCol w:w="1103"/>
              <w:gridCol w:w="804"/>
              <w:gridCol w:w="945"/>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80" w:type="dxa"/>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序号</w:t>
                  </w:r>
                </w:p>
              </w:tc>
              <w:tc>
                <w:tcPr>
                  <w:tcW w:w="818" w:type="dxa"/>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废水类别</w:t>
                  </w:r>
                </w:p>
              </w:tc>
              <w:tc>
                <w:tcPr>
                  <w:tcW w:w="1596" w:type="dxa"/>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污染物种类</w:t>
                  </w:r>
                </w:p>
              </w:tc>
              <w:tc>
                <w:tcPr>
                  <w:tcW w:w="1010" w:type="dxa"/>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排放去向</w:t>
                  </w:r>
                </w:p>
              </w:tc>
              <w:tc>
                <w:tcPr>
                  <w:tcW w:w="832" w:type="dxa"/>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排放规律</w:t>
                  </w:r>
                </w:p>
              </w:tc>
              <w:tc>
                <w:tcPr>
                  <w:tcW w:w="1103" w:type="dxa"/>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污染治理设施</w:t>
                  </w:r>
                </w:p>
              </w:tc>
              <w:tc>
                <w:tcPr>
                  <w:tcW w:w="804" w:type="dxa"/>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排放口编号</w:t>
                  </w:r>
                </w:p>
              </w:tc>
              <w:tc>
                <w:tcPr>
                  <w:tcW w:w="945" w:type="dxa"/>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排放口是否符合要求</w:t>
                  </w:r>
                </w:p>
              </w:tc>
              <w:tc>
                <w:tcPr>
                  <w:tcW w:w="846" w:type="dxa"/>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780" w:type="dxa"/>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w:t>
                  </w:r>
                </w:p>
              </w:tc>
              <w:tc>
                <w:tcPr>
                  <w:tcW w:w="818" w:type="dxa"/>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综合废水</w:t>
                  </w:r>
                </w:p>
              </w:tc>
              <w:tc>
                <w:tcPr>
                  <w:tcW w:w="1596" w:type="dxa"/>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pH、CODcr 、</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BOD</w:t>
                  </w:r>
                  <w:r>
                    <w:rPr>
                      <w:rFonts w:hint="eastAsia" w:ascii="宋体" w:hAnsi="宋体" w:cs="宋体"/>
                      <w:color w:val="auto"/>
                      <w:vertAlign w:val="subscript"/>
                    </w:rPr>
                    <w:t>5</w:t>
                  </w:r>
                  <w:r>
                    <w:rPr>
                      <w:rFonts w:hint="eastAsia" w:ascii="宋体" w:hAnsi="宋体" w:cs="宋体"/>
                      <w:color w:val="auto"/>
                    </w:rPr>
                    <w:t>、SS、氨氮、</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粪大肠菌群数、阴离子表面活性剂、总余氯</w:t>
                  </w:r>
                </w:p>
              </w:tc>
              <w:tc>
                <w:tcPr>
                  <w:tcW w:w="1010" w:type="dxa"/>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东川区污水处理厂</w:t>
                  </w:r>
                </w:p>
              </w:tc>
              <w:tc>
                <w:tcPr>
                  <w:tcW w:w="832" w:type="dxa"/>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间歇排放</w:t>
                  </w:r>
                </w:p>
              </w:tc>
              <w:tc>
                <w:tcPr>
                  <w:tcW w:w="1103" w:type="dxa"/>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化粪池+调节池+SBR+消毒工艺</w:t>
                  </w:r>
                </w:p>
              </w:tc>
              <w:tc>
                <w:tcPr>
                  <w:tcW w:w="804" w:type="dxa"/>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DW001</w:t>
                  </w:r>
                </w:p>
              </w:tc>
              <w:tc>
                <w:tcPr>
                  <w:tcW w:w="945" w:type="dxa"/>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sym w:font="Wingdings 2" w:char="0052"/>
                  </w:r>
                  <w:r>
                    <w:rPr>
                      <w:rFonts w:hint="eastAsia" w:ascii="宋体" w:hAnsi="宋体" w:cs="宋体"/>
                      <w:color w:val="auto"/>
                    </w:rPr>
                    <w:t>是</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sym w:font="Wingdings 2" w:char="00A3"/>
                  </w:r>
                  <w:r>
                    <w:rPr>
                      <w:rFonts w:hint="eastAsia" w:ascii="宋体" w:hAnsi="宋体" w:cs="宋体"/>
                      <w:color w:val="auto"/>
                    </w:rPr>
                    <w:t>否</w:t>
                  </w:r>
                </w:p>
              </w:tc>
              <w:tc>
                <w:tcPr>
                  <w:tcW w:w="846" w:type="dxa"/>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 xml:space="preserve"> 废水总排口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734" w:type="dxa"/>
                  <w:gridSpan w:val="9"/>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备注：综合废水包括门诊污水、住院病房污水、厨房废水、检验科清洗废水。</w:t>
                  </w:r>
                </w:p>
              </w:tc>
            </w:tr>
          </w:tbl>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color w:val="auto"/>
                <w:sz w:val="24"/>
                <w:szCs w:val="24"/>
              </w:rPr>
            </w:pPr>
            <w:r>
              <w:rPr>
                <w:rFonts w:hint="eastAsia" w:ascii="宋体" w:hAnsi="宋体" w:cs="宋体"/>
                <w:color w:val="auto"/>
                <w:sz w:val="24"/>
                <w:szCs w:val="24"/>
              </w:rPr>
              <w:t>1.</w:t>
            </w:r>
            <w:r>
              <w:rPr>
                <w:rFonts w:hint="default" w:ascii="宋体" w:hAnsi="宋体" w:cs="宋体"/>
                <w:color w:val="auto"/>
                <w:sz w:val="24"/>
                <w:szCs w:val="24"/>
              </w:rPr>
              <w:t>7</w:t>
            </w:r>
            <w:r>
              <w:rPr>
                <w:rFonts w:hint="eastAsia" w:ascii="宋体" w:hAnsi="宋体" w:cs="宋体"/>
                <w:color w:val="auto"/>
                <w:sz w:val="24"/>
                <w:szCs w:val="24"/>
              </w:rPr>
              <w:t>废水排放执行标准情况</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sz w:val="24"/>
                <w:szCs w:val="24"/>
              </w:rPr>
            </w:pPr>
            <w:r>
              <w:rPr>
                <w:rFonts w:hint="eastAsia" w:ascii="宋体" w:hAnsi="宋体" w:cs="宋体"/>
                <w:b/>
                <w:bCs/>
                <w:color w:val="auto"/>
                <w:sz w:val="24"/>
                <w:szCs w:val="24"/>
              </w:rPr>
              <w:t>表4-</w:t>
            </w:r>
            <w:r>
              <w:rPr>
                <w:rFonts w:hint="default" w:ascii="宋体" w:hAnsi="宋体" w:cs="宋体"/>
                <w:b/>
                <w:bCs/>
                <w:color w:val="auto"/>
                <w:sz w:val="24"/>
                <w:szCs w:val="24"/>
              </w:rPr>
              <w:t xml:space="preserve">4 </w:t>
            </w:r>
            <w:r>
              <w:rPr>
                <w:rFonts w:hint="eastAsia" w:ascii="宋体" w:hAnsi="宋体" w:cs="宋体"/>
                <w:b/>
                <w:bCs/>
                <w:color w:val="auto"/>
                <w:sz w:val="24"/>
                <w:szCs w:val="24"/>
              </w:rPr>
              <w:t>项目废水排放执行标准情况表</w:t>
            </w:r>
          </w:p>
          <w:tbl>
            <w:tblPr>
              <w:tblStyle w:val="26"/>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229"/>
              <w:gridCol w:w="1732"/>
              <w:gridCol w:w="3579"/>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50"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序号</w:t>
                  </w:r>
                </w:p>
              </w:tc>
              <w:tc>
                <w:tcPr>
                  <w:tcW w:w="707"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排放口编号</w:t>
                  </w:r>
                </w:p>
              </w:tc>
              <w:tc>
                <w:tcPr>
                  <w:tcW w:w="997"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污染物种类</w:t>
                  </w:r>
                </w:p>
              </w:tc>
              <w:tc>
                <w:tcPr>
                  <w:tcW w:w="2059"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执行标准</w:t>
                  </w:r>
                </w:p>
              </w:tc>
              <w:tc>
                <w:tcPr>
                  <w:tcW w:w="885"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50" w:type="pct"/>
                  <w:vMerge w:val="restar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w:t>
                  </w:r>
                </w:p>
              </w:tc>
              <w:tc>
                <w:tcPr>
                  <w:tcW w:w="707" w:type="pct"/>
                  <w:vMerge w:val="restar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DW001</w:t>
                  </w:r>
                </w:p>
              </w:tc>
              <w:tc>
                <w:tcPr>
                  <w:tcW w:w="997"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PH</w:t>
                  </w:r>
                </w:p>
              </w:tc>
              <w:tc>
                <w:tcPr>
                  <w:tcW w:w="2059" w:type="pct"/>
                  <w:vMerge w:val="restar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《医疗机构水污染物排放标准》（GB</w:t>
                  </w:r>
                  <w:r>
                    <w:rPr>
                      <w:rFonts w:hint="eastAsia" w:ascii="宋体" w:hAnsi="宋体" w:cs="宋体"/>
                      <w:color w:val="auto"/>
                      <w:lang w:eastAsia="zh-CN"/>
                    </w:rPr>
                    <w:t>*****</w:t>
                  </w:r>
                  <w:r>
                    <w:rPr>
                      <w:rFonts w:hint="eastAsia" w:ascii="宋体" w:hAnsi="宋体" w:cs="宋体"/>
                      <w:color w:val="auto"/>
                    </w:rPr>
                    <w:t>-2005）表2预处理标准</w:t>
                  </w:r>
                </w:p>
              </w:tc>
              <w:tc>
                <w:tcPr>
                  <w:tcW w:w="885"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6-9无量纲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50"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p>
              </w:tc>
              <w:tc>
                <w:tcPr>
                  <w:tcW w:w="707"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p>
              </w:tc>
              <w:tc>
                <w:tcPr>
                  <w:tcW w:w="997"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CODcr</w:t>
                  </w:r>
                </w:p>
              </w:tc>
              <w:tc>
                <w:tcPr>
                  <w:tcW w:w="2059"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p>
              </w:tc>
              <w:tc>
                <w:tcPr>
                  <w:tcW w:w="885"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250mg/L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50"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p>
              </w:tc>
              <w:tc>
                <w:tcPr>
                  <w:tcW w:w="707"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p>
              </w:tc>
              <w:tc>
                <w:tcPr>
                  <w:tcW w:w="997"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BOD</w:t>
                  </w:r>
                </w:p>
              </w:tc>
              <w:tc>
                <w:tcPr>
                  <w:tcW w:w="2059"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p>
              </w:tc>
              <w:tc>
                <w:tcPr>
                  <w:tcW w:w="885"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50"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p>
              </w:tc>
              <w:tc>
                <w:tcPr>
                  <w:tcW w:w="707"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p>
              </w:tc>
              <w:tc>
                <w:tcPr>
                  <w:tcW w:w="997"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SS</w:t>
                  </w:r>
                </w:p>
              </w:tc>
              <w:tc>
                <w:tcPr>
                  <w:tcW w:w="2059"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p>
              </w:tc>
              <w:tc>
                <w:tcPr>
                  <w:tcW w:w="885"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60mg/L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350"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p>
              </w:tc>
              <w:tc>
                <w:tcPr>
                  <w:tcW w:w="707"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p>
              </w:tc>
              <w:tc>
                <w:tcPr>
                  <w:tcW w:w="997"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粪大肠菌群数</w:t>
                  </w:r>
                </w:p>
              </w:tc>
              <w:tc>
                <w:tcPr>
                  <w:tcW w:w="2059"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p>
              </w:tc>
              <w:tc>
                <w:tcPr>
                  <w:tcW w:w="885"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5000MPN/L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50"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p>
              </w:tc>
              <w:tc>
                <w:tcPr>
                  <w:tcW w:w="707"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p>
              </w:tc>
              <w:tc>
                <w:tcPr>
                  <w:tcW w:w="997"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阴离子表面活性剂</w:t>
                  </w:r>
                </w:p>
              </w:tc>
              <w:tc>
                <w:tcPr>
                  <w:tcW w:w="2059"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p>
              </w:tc>
              <w:tc>
                <w:tcPr>
                  <w:tcW w:w="885"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350"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p>
              </w:tc>
              <w:tc>
                <w:tcPr>
                  <w:tcW w:w="707"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p>
              </w:tc>
              <w:tc>
                <w:tcPr>
                  <w:tcW w:w="997"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总余氯</w:t>
                  </w:r>
                </w:p>
              </w:tc>
              <w:tc>
                <w:tcPr>
                  <w:tcW w:w="2059"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p>
              </w:tc>
              <w:tc>
                <w:tcPr>
                  <w:tcW w:w="885"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2-8mg/L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p>
              </w:tc>
              <w:tc>
                <w:tcPr>
                  <w:tcW w:w="707"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p>
              </w:tc>
              <w:tc>
                <w:tcPr>
                  <w:tcW w:w="997"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氨氮</w:t>
                  </w:r>
                </w:p>
              </w:tc>
              <w:tc>
                <w:tcPr>
                  <w:tcW w:w="2059"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《污水排入城镇下水道水质标准》（GB/T</w:t>
                  </w:r>
                  <w:r>
                    <w:rPr>
                      <w:rFonts w:hint="eastAsia" w:ascii="宋体" w:hAnsi="宋体" w:cs="宋体"/>
                      <w:color w:val="auto"/>
                      <w:lang w:eastAsia="zh-CN"/>
                    </w:rPr>
                    <w:t>*****</w:t>
                  </w:r>
                  <w:r>
                    <w:rPr>
                      <w:rFonts w:hint="eastAsia" w:ascii="宋体" w:hAnsi="宋体" w:cs="宋体"/>
                      <w:color w:val="auto"/>
                    </w:rPr>
                    <w:t>-2015）中A等级标准</w:t>
                  </w:r>
                </w:p>
              </w:tc>
              <w:tc>
                <w:tcPr>
                  <w:tcW w:w="885"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45mg/L</w:t>
                  </w:r>
                </w:p>
              </w:tc>
            </w:tr>
          </w:tbl>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color w:val="auto"/>
                <w:sz w:val="24"/>
                <w:szCs w:val="24"/>
              </w:rPr>
            </w:pPr>
            <w:r>
              <w:rPr>
                <w:rFonts w:hint="eastAsia" w:ascii="宋体" w:hAnsi="宋体" w:cs="宋体"/>
                <w:color w:val="auto"/>
                <w:sz w:val="24"/>
                <w:szCs w:val="24"/>
              </w:rPr>
              <w:t>1.</w:t>
            </w:r>
            <w:r>
              <w:rPr>
                <w:rFonts w:hint="default" w:ascii="宋体" w:hAnsi="宋体" w:cs="宋体"/>
                <w:color w:val="auto"/>
                <w:sz w:val="24"/>
                <w:szCs w:val="24"/>
              </w:rPr>
              <w:t>8</w:t>
            </w:r>
            <w:r>
              <w:rPr>
                <w:rFonts w:hint="eastAsia" w:ascii="宋体" w:hAnsi="宋体" w:cs="宋体"/>
                <w:color w:val="auto"/>
                <w:sz w:val="24"/>
                <w:szCs w:val="24"/>
              </w:rPr>
              <w:t>水环境监测计划</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为便于建设项目的环境管理，建设单位在取得排污许可手续后，按排污许可证管理要求开展自行监测。项目水环境监测计划列于表4-</w:t>
            </w:r>
            <w:r>
              <w:rPr>
                <w:rFonts w:hint="default" w:ascii="宋体" w:hAnsi="宋体" w:cs="宋体"/>
                <w:color w:val="auto"/>
                <w:sz w:val="24"/>
                <w:szCs w:val="24"/>
              </w:rPr>
              <w:t>5</w:t>
            </w:r>
            <w:r>
              <w:rPr>
                <w:rFonts w:hint="eastAsia" w:ascii="宋体" w:hAnsi="宋体" w:cs="宋体"/>
                <w:color w:val="auto"/>
                <w:sz w:val="24"/>
                <w:szCs w:val="24"/>
              </w:rPr>
              <w:t>。</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sz w:val="24"/>
                <w:szCs w:val="24"/>
              </w:rPr>
            </w:pPr>
            <w:r>
              <w:rPr>
                <w:rFonts w:hint="eastAsia" w:ascii="宋体" w:hAnsi="宋体" w:cs="宋体"/>
                <w:b/>
                <w:bCs/>
                <w:color w:val="auto"/>
                <w:sz w:val="24"/>
                <w:szCs w:val="24"/>
              </w:rPr>
              <w:t>表 4-</w:t>
            </w:r>
            <w:r>
              <w:rPr>
                <w:rFonts w:hint="default" w:ascii="宋体" w:hAnsi="宋体" w:cs="宋体"/>
                <w:b/>
                <w:bCs/>
                <w:color w:val="auto"/>
                <w:sz w:val="24"/>
                <w:szCs w:val="24"/>
              </w:rPr>
              <w:t>5</w:t>
            </w:r>
            <w:r>
              <w:rPr>
                <w:rFonts w:hint="eastAsia" w:ascii="宋体" w:hAnsi="宋体" w:cs="宋体"/>
                <w:b/>
                <w:bCs/>
                <w:color w:val="auto"/>
                <w:sz w:val="24"/>
                <w:szCs w:val="24"/>
              </w:rPr>
              <w:t xml:space="preserve"> 水环境监测计划一览表</w:t>
            </w:r>
          </w:p>
          <w:tbl>
            <w:tblPr>
              <w:tblStyle w:val="26"/>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933"/>
              <w:gridCol w:w="745"/>
              <w:gridCol w:w="4936"/>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监测时段</w:t>
                  </w:r>
                </w:p>
              </w:tc>
              <w:tc>
                <w:tcPr>
                  <w:tcW w:w="537"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监测项目</w:t>
                  </w:r>
                </w:p>
              </w:tc>
              <w:tc>
                <w:tcPr>
                  <w:tcW w:w="429"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采样点</w:t>
                  </w:r>
                </w:p>
              </w:tc>
              <w:tc>
                <w:tcPr>
                  <w:tcW w:w="2839"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监测项目</w:t>
                  </w:r>
                </w:p>
              </w:tc>
              <w:tc>
                <w:tcPr>
                  <w:tcW w:w="596"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监测频率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vMerge w:val="restar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运营期</w:t>
                  </w:r>
                </w:p>
              </w:tc>
              <w:tc>
                <w:tcPr>
                  <w:tcW w:w="537" w:type="pct"/>
                  <w:vMerge w:val="restar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废水</w:t>
                  </w:r>
                </w:p>
              </w:tc>
              <w:tc>
                <w:tcPr>
                  <w:tcW w:w="429" w:type="pct"/>
                  <w:vMerge w:val="restar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污水排放口DW001</w:t>
                  </w:r>
                </w:p>
              </w:tc>
              <w:tc>
                <w:tcPr>
                  <w:tcW w:w="2839"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lang w:eastAsia="zh-CN"/>
                    </w:rPr>
                  </w:pPr>
                  <w:r>
                    <w:rPr>
                      <w:rFonts w:hint="eastAsia" w:ascii="宋体" w:hAnsi="宋体" w:cs="宋体"/>
                      <w:color w:val="auto"/>
                      <w:lang w:eastAsia="zh-CN"/>
                    </w:rPr>
                    <w:t>流量</w:t>
                  </w:r>
                </w:p>
              </w:tc>
              <w:tc>
                <w:tcPr>
                  <w:tcW w:w="596"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lang w:eastAsia="zh-CN"/>
                    </w:rPr>
                  </w:pPr>
                  <w:r>
                    <w:rPr>
                      <w:rFonts w:hint="eastAsia" w:ascii="宋体" w:hAnsi="宋体" w:cs="宋体"/>
                      <w:color w:val="auto"/>
                      <w:lang w:eastAsia="zh-CN"/>
                    </w:rPr>
                    <w:t>自动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vMerge w:val="continue"/>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p>
              </w:tc>
              <w:tc>
                <w:tcPr>
                  <w:tcW w:w="537" w:type="pct"/>
                  <w:vMerge w:val="continue"/>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p>
              </w:tc>
              <w:tc>
                <w:tcPr>
                  <w:tcW w:w="429" w:type="pct"/>
                  <w:vMerge w:val="continue"/>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p>
              </w:tc>
              <w:tc>
                <w:tcPr>
                  <w:tcW w:w="2839"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lang w:val="en-US" w:eastAsia="zh-CN"/>
                    </w:rPr>
                  </w:pPr>
                  <w:r>
                    <w:rPr>
                      <w:rFonts w:hint="default" w:ascii="宋体" w:hAnsi="宋体" w:cs="宋体"/>
                      <w:color w:val="auto"/>
                      <w:lang w:val="en-US"/>
                    </w:rPr>
                    <w:t>pH</w:t>
                  </w:r>
                  <w:r>
                    <w:rPr>
                      <w:rFonts w:hint="eastAsia" w:ascii="宋体" w:hAnsi="宋体" w:cs="宋体"/>
                      <w:color w:val="auto"/>
                      <w:lang w:val="en-US" w:eastAsia="zh-CN"/>
                    </w:rPr>
                    <w:t>值</w:t>
                  </w:r>
                </w:p>
              </w:tc>
              <w:tc>
                <w:tcPr>
                  <w:tcW w:w="596"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lang w:val="en-US" w:eastAsia="zh-CN"/>
                    </w:rPr>
                  </w:pPr>
                  <w:r>
                    <w:rPr>
                      <w:rFonts w:hint="default" w:ascii="宋体" w:hAnsi="宋体" w:cs="宋体"/>
                      <w:color w:val="auto"/>
                      <w:lang w:val="en-US"/>
                    </w:rPr>
                    <w:t>12</w:t>
                  </w:r>
                  <w:r>
                    <w:rPr>
                      <w:rFonts w:hint="eastAsia" w:ascii="宋体" w:hAnsi="宋体" w:cs="宋体"/>
                      <w:color w:val="auto"/>
                      <w:lang w:val="en-US" w:eastAsia="zh-CN"/>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vMerge w:val="continue"/>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p>
              </w:tc>
              <w:tc>
                <w:tcPr>
                  <w:tcW w:w="537" w:type="pct"/>
                  <w:vMerge w:val="continue"/>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p>
              </w:tc>
              <w:tc>
                <w:tcPr>
                  <w:tcW w:w="429" w:type="pct"/>
                  <w:vMerge w:val="continue"/>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p>
              </w:tc>
              <w:tc>
                <w:tcPr>
                  <w:tcW w:w="2839"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lang w:eastAsia="zh-CN"/>
                    </w:rPr>
                  </w:pPr>
                  <w:r>
                    <w:rPr>
                      <w:rFonts w:hint="eastAsia" w:ascii="宋体" w:hAnsi="宋体" w:cs="宋体"/>
                      <w:color w:val="auto"/>
                      <w:lang w:eastAsia="zh-CN"/>
                    </w:rPr>
                    <w:t>化学需氧量、悬浮物</w:t>
                  </w:r>
                </w:p>
              </w:tc>
              <w:tc>
                <w:tcPr>
                  <w:tcW w:w="596"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lang w:eastAsia="zh-CN"/>
                    </w:rPr>
                  </w:pPr>
                  <w:r>
                    <w:rPr>
                      <w:rFonts w:hint="eastAsia" w:ascii="宋体" w:hAnsi="宋体" w:cs="宋体"/>
                      <w:color w:val="auto"/>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vMerge w:val="continue"/>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p>
              </w:tc>
              <w:tc>
                <w:tcPr>
                  <w:tcW w:w="537" w:type="pct"/>
                  <w:vMerge w:val="continue"/>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p>
              </w:tc>
              <w:tc>
                <w:tcPr>
                  <w:tcW w:w="429" w:type="pct"/>
                  <w:vMerge w:val="continue"/>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p>
              </w:tc>
              <w:tc>
                <w:tcPr>
                  <w:tcW w:w="2839"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lang w:eastAsia="zh-CN"/>
                    </w:rPr>
                  </w:pPr>
                  <w:r>
                    <w:rPr>
                      <w:rFonts w:hint="eastAsia" w:ascii="宋体" w:hAnsi="宋体" w:cs="宋体"/>
                      <w:color w:val="auto"/>
                      <w:lang w:eastAsia="zh-CN"/>
                    </w:rPr>
                    <w:t>粪大肠菌群</w:t>
                  </w:r>
                </w:p>
              </w:tc>
              <w:tc>
                <w:tcPr>
                  <w:tcW w:w="596"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lang w:eastAsia="zh-CN"/>
                    </w:rPr>
                  </w:pPr>
                  <w:r>
                    <w:rPr>
                      <w:rFonts w:hint="eastAsia" w:ascii="宋体" w:hAnsi="宋体" w:cs="宋体"/>
                      <w:color w:val="auto"/>
                      <w:lang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vMerge w:val="continue"/>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p>
              </w:tc>
              <w:tc>
                <w:tcPr>
                  <w:tcW w:w="537" w:type="pct"/>
                  <w:vMerge w:val="continue"/>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p>
              </w:tc>
              <w:tc>
                <w:tcPr>
                  <w:tcW w:w="429" w:type="pct"/>
                  <w:vMerge w:val="continue"/>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p>
              </w:tc>
              <w:tc>
                <w:tcPr>
                  <w:tcW w:w="2839" w:type="pct"/>
                  <w:noWrap w:val="0"/>
                  <w:vAlign w:val="top"/>
                </w:tcPr>
                <w:p>
                  <w:pPr>
                    <w:keepNext w:val="0"/>
                    <w:keepLines w:val="0"/>
                    <w:widowControl/>
                    <w:suppressLineNumbers w:val="0"/>
                    <w:spacing w:before="0" w:beforeAutospacing="0" w:after="0" w:afterAutospacing="0"/>
                    <w:ind w:left="0" w:right="0"/>
                    <w:jc w:val="left"/>
                    <w:rPr>
                      <w:rFonts w:hint="eastAsia" w:ascii="宋体" w:hAnsi="宋体" w:cs="宋体"/>
                      <w:color w:val="auto"/>
                    </w:rPr>
                  </w:pPr>
                  <w:r>
                    <w:rPr>
                      <w:rFonts w:hint="eastAsia" w:ascii="宋体" w:hAnsi="宋体" w:eastAsia="宋体" w:cs="宋体"/>
                      <w:color w:val="auto"/>
                      <w:kern w:val="0"/>
                      <w:sz w:val="21"/>
                      <w:szCs w:val="21"/>
                      <w:lang w:val="en-US" w:eastAsia="zh-CN" w:bidi="ar"/>
                    </w:rPr>
                    <w:t xml:space="preserve">五日生化需氧量、石油类、挥发酚、动植物油、阴离子表面活性剂、总氰化物、氨氮、总磷 </w:t>
                  </w:r>
                </w:p>
              </w:tc>
              <w:tc>
                <w:tcPr>
                  <w:tcW w:w="596"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lang w:eastAsia="zh-CN"/>
                    </w:rPr>
                  </w:pPr>
                  <w:r>
                    <w:rPr>
                      <w:rFonts w:hint="eastAsia" w:ascii="宋体" w:hAnsi="宋体" w:cs="宋体"/>
                      <w:color w:val="auto"/>
                      <w:lang w:eastAsia="zh-CN"/>
                    </w:rPr>
                    <w:t>季度</w:t>
                  </w:r>
                </w:p>
              </w:tc>
            </w:tr>
          </w:tbl>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b/>
                <w:color w:val="auto"/>
                <w:sz w:val="24"/>
                <w:szCs w:val="24"/>
              </w:rPr>
            </w:pPr>
            <w:r>
              <w:rPr>
                <w:rFonts w:hint="eastAsia" w:ascii="宋体" w:hAnsi="宋体" w:cs="宋体"/>
                <w:b/>
                <w:color w:val="auto"/>
                <w:sz w:val="24"/>
                <w:szCs w:val="24"/>
              </w:rPr>
              <w:t>2、废气</w:t>
            </w:r>
          </w:p>
          <w:p>
            <w:pPr>
              <w:pStyle w:val="36"/>
              <w:keepNext w:val="0"/>
              <w:keepLines w:val="0"/>
              <w:suppressLineNumbers w:val="0"/>
              <w:spacing w:before="0" w:beforeAutospacing="0" w:after="0" w:afterAutospacing="0"/>
              <w:ind w:left="0" w:right="0" w:firstLine="496" w:firstLineChars="200"/>
              <w:rPr>
                <w:rFonts w:hint="eastAsia" w:ascii="宋体" w:hAnsi="宋体" w:cs="宋体"/>
                <w:color w:val="auto"/>
                <w:sz w:val="24"/>
                <w:lang w:val="en-US"/>
              </w:rPr>
            </w:pPr>
            <w:r>
              <w:rPr>
                <w:rFonts w:hint="eastAsia" w:ascii="宋体" w:hAnsi="宋体" w:cs="宋体"/>
                <w:color w:val="auto"/>
                <w:sz w:val="24"/>
              </w:rPr>
              <w:t>（</w:t>
            </w:r>
            <w:r>
              <w:rPr>
                <w:rFonts w:hint="eastAsia" w:ascii="宋体" w:hAnsi="宋体" w:cs="宋体"/>
                <w:color w:val="auto"/>
                <w:sz w:val="24"/>
                <w:lang w:val="en-US"/>
              </w:rPr>
              <w:t>1</w:t>
            </w:r>
            <w:r>
              <w:rPr>
                <w:rFonts w:hint="eastAsia" w:ascii="宋体" w:hAnsi="宋体" w:cs="宋体"/>
                <w:color w:val="auto"/>
                <w:sz w:val="24"/>
              </w:rPr>
              <w:t>）</w:t>
            </w:r>
            <w:r>
              <w:rPr>
                <w:rFonts w:hint="eastAsia" w:ascii="宋体" w:hAnsi="宋体" w:cs="宋体"/>
                <w:color w:val="auto"/>
                <w:sz w:val="24"/>
                <w:lang w:val="en-US"/>
              </w:rPr>
              <w:t>异味</w:t>
            </w:r>
          </w:p>
          <w:p>
            <w:pPr>
              <w:pStyle w:val="36"/>
              <w:keepNext w:val="0"/>
              <w:keepLines w:val="0"/>
              <w:suppressLineNumbers w:val="0"/>
              <w:spacing w:before="0" w:beforeAutospacing="0" w:after="0" w:afterAutospacing="0"/>
              <w:ind w:left="0" w:right="0" w:firstLine="496" w:firstLineChars="200"/>
              <w:rPr>
                <w:rFonts w:hint="eastAsia" w:ascii="宋体" w:hAnsi="宋体" w:cs="宋体"/>
                <w:color w:val="auto"/>
                <w:sz w:val="24"/>
              </w:rPr>
            </w:pPr>
            <w:r>
              <w:rPr>
                <w:rFonts w:hint="eastAsia" w:ascii="宋体" w:hAnsi="宋体" w:cs="宋体"/>
                <w:color w:val="auto"/>
                <w:sz w:val="24"/>
              </w:rPr>
              <w:t>运营期</w:t>
            </w:r>
            <w:r>
              <w:rPr>
                <w:rFonts w:hint="eastAsia" w:ascii="宋体" w:hAnsi="宋体" w:cs="宋体"/>
                <w:color w:val="auto"/>
                <w:sz w:val="24"/>
                <w:lang w:val="en-US"/>
              </w:rPr>
              <w:t>异味来源为生活垃圾收集桶、化粪池、</w:t>
            </w:r>
            <w:r>
              <w:rPr>
                <w:rFonts w:hint="eastAsia" w:ascii="宋体" w:hAnsi="宋体" w:cs="宋体"/>
                <w:color w:val="auto"/>
                <w:sz w:val="24"/>
              </w:rPr>
              <w:t>污水处理站，</w:t>
            </w:r>
            <w:r>
              <w:rPr>
                <w:rFonts w:hint="eastAsia" w:ascii="宋体" w:hAnsi="宋体" w:cs="宋体"/>
                <w:color w:val="auto"/>
                <w:sz w:val="24"/>
                <w:lang w:val="en-US"/>
              </w:rPr>
              <w:t>另外厨房、备用发电机在运行时会有废气</w:t>
            </w:r>
            <w:r>
              <w:rPr>
                <w:rFonts w:hint="eastAsia" w:ascii="宋体" w:hAnsi="宋体" w:cs="宋体"/>
                <w:color w:val="auto"/>
                <w:sz w:val="24"/>
              </w:rPr>
              <w:t>产生。</w:t>
            </w:r>
          </w:p>
          <w:p>
            <w:pPr>
              <w:pStyle w:val="36"/>
              <w:keepNext w:val="0"/>
              <w:keepLines w:val="0"/>
              <w:suppressLineNumbers w:val="0"/>
              <w:spacing w:before="0" w:beforeAutospacing="0" w:after="0" w:afterAutospacing="0"/>
              <w:ind w:left="0" w:right="0" w:firstLine="496" w:firstLineChars="200"/>
              <w:rPr>
                <w:rFonts w:hint="eastAsia" w:ascii="宋体" w:hAnsi="宋体" w:cs="宋体"/>
                <w:color w:val="auto"/>
                <w:sz w:val="24"/>
                <w:lang w:val="en-US"/>
              </w:rPr>
            </w:pPr>
            <w:r>
              <w:rPr>
                <w:rFonts w:hint="eastAsia" w:ascii="宋体" w:hAnsi="宋体" w:cs="宋体"/>
                <w:color w:val="auto"/>
                <w:sz w:val="24"/>
              </w:rPr>
              <w:t>项目使用带盖垃圾桶，生活垃圾及时收集清运，</w:t>
            </w:r>
            <w:r>
              <w:rPr>
                <w:rFonts w:hint="eastAsia" w:ascii="宋体" w:hAnsi="宋体" w:cs="宋体"/>
                <w:color w:val="auto"/>
                <w:sz w:val="24"/>
                <w:lang w:val="en-US"/>
              </w:rPr>
              <w:t>日产日清</w:t>
            </w:r>
            <w:r>
              <w:rPr>
                <w:rFonts w:hint="eastAsia" w:ascii="宋体" w:hAnsi="宋体" w:cs="宋体"/>
                <w:color w:val="auto"/>
                <w:sz w:val="24"/>
              </w:rPr>
              <w:t>；</w:t>
            </w:r>
            <w:r>
              <w:rPr>
                <w:rFonts w:hint="eastAsia" w:ascii="宋体" w:hAnsi="宋体" w:cs="宋体"/>
                <w:color w:val="auto"/>
                <w:sz w:val="24"/>
                <w:lang w:val="en-US"/>
              </w:rPr>
              <w:t>化粪池、调节池</w:t>
            </w:r>
            <w:r>
              <w:rPr>
                <w:rFonts w:hint="eastAsia" w:ascii="宋体" w:hAnsi="宋体" w:cs="宋体"/>
                <w:color w:val="auto"/>
                <w:sz w:val="24"/>
                <w:lang w:val="en-US" w:eastAsia="zh-CN"/>
              </w:rPr>
              <w:t>、</w:t>
            </w:r>
            <w:r>
              <w:rPr>
                <w:rFonts w:hint="eastAsia" w:ascii="宋体" w:hAnsi="宋体" w:cs="宋体"/>
                <w:color w:val="auto"/>
                <w:sz w:val="24"/>
              </w:rPr>
              <w:t>污水处理站</w:t>
            </w:r>
            <w:r>
              <w:rPr>
                <w:rFonts w:hint="eastAsia" w:ascii="宋体" w:hAnsi="宋体" w:cs="宋体"/>
                <w:color w:val="auto"/>
                <w:sz w:val="24"/>
                <w:lang w:val="en-US"/>
              </w:rPr>
              <w:t>反应池建设为地埋式</w:t>
            </w:r>
            <w:r>
              <w:rPr>
                <w:rFonts w:hint="eastAsia" w:ascii="宋体" w:hAnsi="宋体" w:cs="宋体"/>
                <w:color w:val="auto"/>
                <w:sz w:val="24"/>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rPr>
            </w:pPr>
            <w:r>
              <w:rPr>
                <w:rFonts w:hint="eastAsia" w:ascii="宋体" w:hAnsi="宋体" w:cs="宋体"/>
                <w:color w:val="auto"/>
                <w:sz w:val="24"/>
                <w:lang w:val="en-US"/>
              </w:rPr>
              <w:t>项目化粪池</w:t>
            </w:r>
            <w:r>
              <w:rPr>
                <w:rFonts w:hint="eastAsia" w:ascii="宋体" w:hAnsi="宋体" w:cs="宋体"/>
                <w:color w:val="auto"/>
                <w:sz w:val="24"/>
                <w:lang w:val="en-US" w:eastAsia="zh-CN"/>
              </w:rPr>
              <w:t>、</w:t>
            </w:r>
            <w:r>
              <w:rPr>
                <w:rFonts w:hint="eastAsia" w:ascii="宋体" w:hAnsi="宋体" w:cs="宋体"/>
                <w:color w:val="auto"/>
                <w:sz w:val="24"/>
              </w:rPr>
              <w:t>污水处理站</w:t>
            </w:r>
            <w:r>
              <w:rPr>
                <w:rFonts w:hint="eastAsia" w:ascii="宋体" w:hAnsi="宋体" w:cs="宋体"/>
                <w:color w:val="auto"/>
                <w:sz w:val="24"/>
                <w:lang w:val="en-US"/>
              </w:rPr>
              <w:t>反应池及调节池建设为地埋式，但预留有吸粪口和检修口，吸粪口、检修口平时处于关闭状态，</w:t>
            </w:r>
            <w:r>
              <w:rPr>
                <w:rFonts w:hint="eastAsia" w:ascii="Calibri" w:hAnsi="Calibri" w:cs="Times New Roman"/>
                <w:color w:val="auto"/>
                <w:sz w:val="24"/>
                <w:szCs w:val="24"/>
                <w:lang w:val="en-US" w:eastAsia="zh-CN"/>
              </w:rPr>
              <w:t>污水处理站</w:t>
            </w:r>
            <w:r>
              <w:rPr>
                <w:rFonts w:hint="default" w:ascii="Times New Roman" w:hAnsi="Times New Roman" w:eastAsia="宋体" w:cs="Times New Roman"/>
                <w:color w:val="auto"/>
                <w:sz w:val="24"/>
                <w:szCs w:val="24"/>
              </w:rPr>
              <w:t>采用“</w:t>
            </w:r>
            <w:r>
              <w:rPr>
                <w:rFonts w:hint="default" w:ascii="Times New Roman" w:hAnsi="Times New Roman" w:cs="Times New Roman"/>
                <w:color w:val="auto"/>
                <w:sz w:val="24"/>
              </w:rPr>
              <w:t>化粪池+调节池+</w:t>
            </w:r>
            <w:r>
              <w:rPr>
                <w:rFonts w:hint="default" w:ascii="Times New Roman" w:hAnsi="Times New Roman" w:cs="Times New Roman"/>
                <w:color w:val="auto"/>
                <w:sz w:val="24"/>
                <w:lang w:val="en-US"/>
              </w:rPr>
              <w:t>A</w:t>
            </w:r>
            <w:r>
              <w:rPr>
                <w:rFonts w:hint="eastAsia" w:ascii="Times New Roman" w:hAnsi="Times New Roman" w:cs="Times New Roman"/>
                <w:color w:val="auto"/>
                <w:sz w:val="24"/>
                <w:lang w:val="en-US" w:eastAsia="zh-CN"/>
              </w:rPr>
              <w:t>级生物池</w:t>
            </w:r>
            <w:r>
              <w:rPr>
                <w:rFonts w:hint="default" w:ascii="Times New Roman" w:hAnsi="Times New Roman" w:cs="Times New Roman"/>
                <w:color w:val="auto"/>
                <w:sz w:val="24"/>
                <w:lang w:val="en-US" w:eastAsia="zh-CN"/>
              </w:rPr>
              <w:t>+O</w:t>
            </w:r>
            <w:r>
              <w:rPr>
                <w:rFonts w:hint="eastAsia" w:ascii="Times New Roman" w:hAnsi="Times New Roman" w:cs="Times New Roman"/>
                <w:color w:val="auto"/>
                <w:sz w:val="24"/>
                <w:lang w:val="en-US" w:eastAsia="zh-CN"/>
              </w:rPr>
              <w:t>级生物池</w:t>
            </w:r>
            <w:r>
              <w:rPr>
                <w:rFonts w:hint="default" w:ascii="Times New Roman" w:hAnsi="Times New Roman" w:cs="Times New Roman"/>
                <w:color w:val="auto"/>
                <w:sz w:val="24"/>
                <w:lang w:val="en-US" w:eastAsia="zh-CN"/>
              </w:rPr>
              <w:t>+</w:t>
            </w:r>
            <w:r>
              <w:rPr>
                <w:rFonts w:hint="eastAsia" w:ascii="Times New Roman" w:hAnsi="Times New Roman" w:cs="Times New Roman"/>
                <w:color w:val="auto"/>
                <w:sz w:val="24"/>
                <w:lang w:val="en-US" w:eastAsia="zh-CN"/>
              </w:rPr>
              <w:t>二沉池</w:t>
            </w:r>
            <w:r>
              <w:rPr>
                <w:rFonts w:hint="default" w:ascii="Times New Roman" w:hAnsi="Times New Roman" w:cs="Times New Roman"/>
                <w:color w:val="auto"/>
                <w:sz w:val="24"/>
                <w:lang w:val="en-US" w:eastAsia="zh-CN"/>
              </w:rPr>
              <w:t>+</w:t>
            </w:r>
            <w:r>
              <w:rPr>
                <w:rFonts w:hint="eastAsia" w:ascii="Times New Roman" w:hAnsi="Times New Roman" w:cs="Times New Roman"/>
                <w:color w:val="auto"/>
                <w:sz w:val="24"/>
                <w:lang w:val="en-US" w:eastAsia="zh-CN"/>
              </w:rPr>
              <w:t>清水池</w:t>
            </w:r>
            <w:r>
              <w:rPr>
                <w:rFonts w:hint="default" w:ascii="Times New Roman" w:hAnsi="Times New Roman" w:cs="Times New Roman"/>
                <w:color w:val="auto"/>
                <w:sz w:val="24"/>
              </w:rPr>
              <w:t>+消毒</w:t>
            </w:r>
            <w:r>
              <w:rPr>
                <w:rFonts w:hint="default" w:ascii="Times New Roman" w:hAnsi="Times New Roman" w:eastAsia="宋体" w:cs="Times New Roman"/>
                <w:color w:val="auto"/>
                <w:sz w:val="24"/>
                <w:szCs w:val="24"/>
              </w:rPr>
              <w:t>” 的污水处理工艺。该污水处理站在运行过程中将产生部分恶臭气味（来源于污水、污泥中有机物的分解、发酵过程中散发的化学物质等），主要成分为NH</w:t>
            </w:r>
            <w:r>
              <w:rPr>
                <w:rFonts w:hint="default" w:ascii="Times New Roman" w:hAnsi="Times New Roman" w:eastAsia="宋体" w:cs="Times New Roman"/>
                <w:color w:val="auto"/>
                <w:sz w:val="24"/>
                <w:szCs w:val="24"/>
                <w:vertAlign w:val="subscript"/>
              </w:rPr>
              <w:t>3</w:t>
            </w:r>
            <w:r>
              <w:rPr>
                <w:rFonts w:hint="default" w:ascii="Times New Roman" w:hAnsi="Times New Roman" w:eastAsia="宋体" w:cs="Times New Roman"/>
                <w:color w:val="auto"/>
                <w:sz w:val="24"/>
                <w:szCs w:val="24"/>
              </w:rPr>
              <w:t>、H</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S，其臭气强度随季节温度的变化有所变化。</w:t>
            </w:r>
          </w:p>
          <w:p>
            <w:pPr>
              <w:pStyle w:val="36"/>
              <w:keepNext w:val="0"/>
              <w:keepLines w:val="0"/>
              <w:suppressLineNumbers w:val="0"/>
              <w:spacing w:before="0" w:beforeAutospacing="0" w:after="0" w:afterAutospacing="0"/>
              <w:ind w:left="0" w:right="0" w:firstLine="496" w:firstLineChars="200"/>
              <w:rPr>
                <w:rFonts w:hint="default" w:ascii="Times New Roman" w:hAnsi="Times New Roman" w:eastAsia="宋体" w:cs="Times New Roman"/>
                <w:color w:val="auto"/>
                <w:sz w:val="24"/>
                <w:lang w:val="en-US"/>
              </w:rPr>
            </w:pPr>
            <w:r>
              <w:rPr>
                <w:rFonts w:hint="default" w:ascii="Times New Roman" w:hAnsi="Times New Roman" w:eastAsia="宋体" w:cs="Times New Roman"/>
                <w:color w:val="auto"/>
                <w:sz w:val="24"/>
                <w:szCs w:val="24"/>
                <w:highlight w:val="none"/>
              </w:rPr>
              <w:t>参照美国EPA对城市污水处理厂恶臭污染物产生情况的研究可知：每处理1g的BOD</w:t>
            </w:r>
            <w:r>
              <w:rPr>
                <w:rFonts w:hint="default" w:ascii="Times New Roman" w:hAnsi="Times New Roman" w:eastAsia="宋体" w:cs="Times New Roman"/>
                <w:color w:val="auto"/>
                <w:sz w:val="24"/>
                <w:szCs w:val="24"/>
                <w:highlight w:val="none"/>
                <w:vertAlign w:val="subscript"/>
              </w:rPr>
              <w:t>5</w:t>
            </w:r>
            <w:r>
              <w:rPr>
                <w:rFonts w:hint="default" w:ascii="Times New Roman" w:hAnsi="Times New Roman" w:eastAsia="宋体" w:cs="Times New Roman"/>
                <w:color w:val="auto"/>
                <w:sz w:val="24"/>
                <w:szCs w:val="24"/>
                <w:highlight w:val="none"/>
              </w:rPr>
              <w:t>，可产生约0.0031g的NH</w:t>
            </w:r>
            <w:r>
              <w:rPr>
                <w:rFonts w:hint="default" w:ascii="Times New Roman" w:hAnsi="Times New Roman" w:eastAsia="宋体" w:cs="Times New Roman"/>
                <w:color w:val="auto"/>
                <w:sz w:val="24"/>
                <w:szCs w:val="24"/>
                <w:highlight w:val="none"/>
                <w:vertAlign w:val="subscript"/>
              </w:rPr>
              <w:t>3</w:t>
            </w:r>
            <w:r>
              <w:rPr>
                <w:rFonts w:hint="default" w:ascii="Times New Roman" w:hAnsi="Times New Roman" w:eastAsia="宋体" w:cs="Times New Roman"/>
                <w:color w:val="auto"/>
                <w:sz w:val="24"/>
                <w:szCs w:val="24"/>
                <w:highlight w:val="none"/>
              </w:rPr>
              <w:t>和0.00012g的H</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S。本项目建成运营后，废水中BOD</w:t>
            </w:r>
            <w:r>
              <w:rPr>
                <w:rFonts w:hint="default" w:ascii="Times New Roman" w:hAnsi="Times New Roman" w:eastAsia="宋体" w:cs="Times New Roman"/>
                <w:color w:val="auto"/>
                <w:sz w:val="24"/>
                <w:szCs w:val="24"/>
                <w:highlight w:val="none"/>
                <w:vertAlign w:val="subscript"/>
              </w:rPr>
              <w:t>5</w:t>
            </w:r>
            <w:r>
              <w:rPr>
                <w:rFonts w:hint="default" w:ascii="Times New Roman" w:hAnsi="Times New Roman" w:eastAsia="宋体" w:cs="Times New Roman"/>
                <w:color w:val="auto"/>
                <w:sz w:val="24"/>
                <w:szCs w:val="24"/>
                <w:highlight w:val="none"/>
              </w:rPr>
              <w:t>总去除量为</w:t>
            </w:r>
            <w:r>
              <w:rPr>
                <w:rFonts w:hint="default" w:ascii="Times New Roman" w:hAnsi="Times New Roman" w:eastAsia="宋体" w:cs="Times New Roman"/>
                <w:color w:val="auto"/>
                <w:sz w:val="24"/>
                <w:szCs w:val="24"/>
                <w:highlight w:val="none"/>
                <w:lang w:val="en-US" w:eastAsia="zh-CN"/>
              </w:rPr>
              <w:t>7.988</w:t>
            </w:r>
            <w:r>
              <w:rPr>
                <w:rFonts w:hint="default" w:ascii="Times New Roman" w:hAnsi="Times New Roman" w:eastAsia="宋体" w:cs="Times New Roman"/>
                <w:color w:val="auto"/>
                <w:sz w:val="24"/>
                <w:szCs w:val="24"/>
                <w:highlight w:val="none"/>
              </w:rPr>
              <w:t>t/a，可计算出NH</w:t>
            </w:r>
            <w:r>
              <w:rPr>
                <w:rFonts w:hint="default" w:ascii="Times New Roman" w:hAnsi="Times New Roman" w:eastAsia="宋体" w:cs="Times New Roman"/>
                <w:color w:val="auto"/>
                <w:sz w:val="24"/>
                <w:szCs w:val="24"/>
                <w:highlight w:val="none"/>
                <w:vertAlign w:val="subscript"/>
              </w:rPr>
              <w:t>3</w:t>
            </w:r>
            <w:r>
              <w:rPr>
                <w:rFonts w:hint="default" w:ascii="Times New Roman" w:hAnsi="Times New Roman" w:eastAsia="宋体" w:cs="Times New Roman"/>
                <w:color w:val="auto"/>
                <w:sz w:val="24"/>
                <w:szCs w:val="24"/>
                <w:highlight w:val="none"/>
              </w:rPr>
              <w:t>产生量约为</w:t>
            </w:r>
            <w:r>
              <w:rPr>
                <w:rFonts w:hint="default" w:ascii="Times New Roman" w:hAnsi="Times New Roman" w:eastAsia="宋体" w:cs="Times New Roman"/>
                <w:color w:val="auto"/>
                <w:sz w:val="24"/>
                <w:szCs w:val="24"/>
                <w:highlight w:val="none"/>
                <w:lang w:val="en-US" w:eastAsia="zh-CN"/>
              </w:rPr>
              <w:t>24.763</w:t>
            </w:r>
            <w:r>
              <w:rPr>
                <w:rFonts w:hint="default" w:ascii="Times New Roman" w:hAnsi="Times New Roman" w:eastAsia="宋体" w:cs="Times New Roman"/>
                <w:color w:val="auto"/>
                <w:sz w:val="24"/>
                <w:szCs w:val="24"/>
                <w:highlight w:val="none"/>
              </w:rPr>
              <w:t>kg/a</w:t>
            </w:r>
            <w:r>
              <w:rPr>
                <w:rFonts w:hint="default" w:ascii="Times New Roman" w:hAnsi="Times New Roman" w:eastAsia="宋体" w:cs="Times New Roman"/>
                <w:color w:val="auto"/>
                <w:sz w:val="24"/>
                <w:szCs w:val="24"/>
                <w:highlight w:val="none"/>
                <w:lang w:val="en-US"/>
              </w:rPr>
              <w:t>,67.844g/d</w:t>
            </w:r>
            <w:r>
              <w:rPr>
                <w:rFonts w:hint="default" w:ascii="Times New Roman" w:hAnsi="Times New Roman" w:eastAsia="宋体" w:cs="Times New Roman"/>
                <w:color w:val="auto"/>
                <w:sz w:val="24"/>
                <w:szCs w:val="24"/>
                <w:highlight w:val="none"/>
              </w:rPr>
              <w:t>，H</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S产生量约为</w:t>
            </w:r>
            <w:r>
              <w:rPr>
                <w:rFonts w:hint="default" w:ascii="Times New Roman" w:hAnsi="Times New Roman" w:eastAsia="宋体" w:cs="Times New Roman"/>
                <w:color w:val="auto"/>
                <w:sz w:val="24"/>
                <w:szCs w:val="24"/>
                <w:highlight w:val="none"/>
                <w:lang w:val="en-US" w:eastAsia="zh-CN"/>
              </w:rPr>
              <w:t>0.959</w:t>
            </w:r>
            <w:r>
              <w:rPr>
                <w:rFonts w:hint="default" w:ascii="Times New Roman" w:hAnsi="Times New Roman" w:eastAsia="宋体" w:cs="Times New Roman"/>
                <w:color w:val="auto"/>
                <w:sz w:val="24"/>
                <w:szCs w:val="24"/>
                <w:highlight w:val="none"/>
              </w:rPr>
              <w:t>kg/a</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2.627g/d</w:t>
            </w:r>
            <w:r>
              <w:rPr>
                <w:rFonts w:hint="default" w:ascii="Times New Roman" w:hAnsi="Times New Roman" w:eastAsia="宋体" w:cs="Times New Roman"/>
                <w:color w:val="auto"/>
                <w:sz w:val="24"/>
                <w:szCs w:val="24"/>
                <w:highlight w:val="none"/>
              </w:rPr>
              <w:t>。</w:t>
            </w:r>
          </w:p>
          <w:p>
            <w:pPr>
              <w:pStyle w:val="36"/>
              <w:keepNext w:val="0"/>
              <w:keepLines w:val="0"/>
              <w:suppressLineNumbers w:val="0"/>
              <w:spacing w:before="0" w:beforeAutospacing="0" w:after="0" w:afterAutospacing="0"/>
              <w:ind w:left="0" w:right="0" w:firstLine="496" w:firstLineChars="200"/>
              <w:rPr>
                <w:rFonts w:hint="eastAsia" w:ascii="宋体" w:hAnsi="宋体" w:cs="宋体"/>
                <w:color w:val="auto"/>
                <w:sz w:val="24"/>
                <w:lang w:val="en-US"/>
              </w:rPr>
            </w:pPr>
            <w:r>
              <w:rPr>
                <w:rFonts w:hint="default" w:ascii="Times New Roman" w:hAnsi="Times New Roman" w:eastAsia="宋体" w:cs="Times New Roman"/>
                <w:color w:val="auto"/>
                <w:sz w:val="24"/>
                <w:lang w:val="en-US"/>
              </w:rPr>
              <w:t>池子产生的异味逃逸量</w:t>
            </w:r>
            <w:r>
              <w:rPr>
                <w:rFonts w:hint="default" w:ascii="Times New Roman" w:hAnsi="Times New Roman" w:eastAsia="宋体" w:cs="Times New Roman"/>
                <w:color w:val="auto"/>
                <w:sz w:val="24"/>
                <w:lang w:val="en-US" w:eastAsia="zh-CN"/>
              </w:rPr>
              <w:t>约为10%，则</w:t>
            </w:r>
            <w:r>
              <w:rPr>
                <w:rFonts w:hint="default" w:ascii="Times New Roman" w:hAnsi="Times New Roman" w:eastAsia="宋体" w:cs="Times New Roman"/>
                <w:color w:val="auto"/>
                <w:sz w:val="24"/>
                <w:szCs w:val="24"/>
                <w:highlight w:val="none"/>
              </w:rPr>
              <w:t>NH</w:t>
            </w:r>
            <w:r>
              <w:rPr>
                <w:rFonts w:hint="default" w:ascii="Times New Roman" w:hAnsi="Times New Roman" w:eastAsia="宋体" w:cs="Times New Roman"/>
                <w:color w:val="auto"/>
                <w:sz w:val="24"/>
                <w:szCs w:val="24"/>
                <w:highlight w:val="none"/>
                <w:vertAlign w:val="subscript"/>
              </w:rPr>
              <w:t>3</w:t>
            </w:r>
            <w:r>
              <w:rPr>
                <w:rFonts w:hint="default" w:ascii="Times New Roman" w:hAnsi="Times New Roman" w:eastAsia="宋体" w:cs="Times New Roman"/>
                <w:color w:val="auto"/>
                <w:sz w:val="24"/>
                <w:szCs w:val="24"/>
                <w:highlight w:val="none"/>
                <w:lang w:eastAsia="zh-CN"/>
              </w:rPr>
              <w:t>排放</w:t>
            </w:r>
            <w:r>
              <w:rPr>
                <w:rFonts w:hint="default" w:ascii="Times New Roman" w:hAnsi="Times New Roman" w:eastAsia="宋体" w:cs="Times New Roman"/>
                <w:color w:val="auto"/>
                <w:sz w:val="24"/>
                <w:szCs w:val="24"/>
                <w:highlight w:val="none"/>
              </w:rPr>
              <w:t>量约为</w:t>
            </w:r>
            <w:r>
              <w:rPr>
                <w:rFonts w:hint="default" w:ascii="Times New Roman" w:hAnsi="Times New Roman" w:eastAsia="宋体" w:cs="Times New Roman"/>
                <w:color w:val="auto"/>
                <w:sz w:val="24"/>
                <w:szCs w:val="24"/>
                <w:highlight w:val="none"/>
                <w:lang w:val="en-US"/>
              </w:rPr>
              <w:t>6.784g/d</w:t>
            </w:r>
            <w:r>
              <w:rPr>
                <w:rFonts w:hint="default" w:ascii="Times New Roman" w:hAnsi="Times New Roman" w:eastAsia="宋体" w:cs="Times New Roman"/>
                <w:color w:val="auto"/>
                <w:sz w:val="24"/>
                <w:szCs w:val="24"/>
                <w:highlight w:val="none"/>
                <w:lang w:val="en-US" w:eastAsia="zh-CN"/>
              </w:rPr>
              <w:t>，2.476kg/a；</w:t>
            </w:r>
            <w:r>
              <w:rPr>
                <w:rFonts w:hint="default" w:ascii="Times New Roman" w:hAnsi="Times New Roman" w:eastAsia="宋体" w:cs="Times New Roman"/>
                <w:color w:val="auto"/>
                <w:sz w:val="24"/>
                <w:szCs w:val="24"/>
                <w:highlight w:val="none"/>
              </w:rPr>
              <w:t>H</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S</w:t>
            </w:r>
            <w:r>
              <w:rPr>
                <w:rFonts w:hint="default" w:ascii="Times New Roman" w:hAnsi="Times New Roman" w:eastAsia="宋体" w:cs="Times New Roman"/>
                <w:color w:val="auto"/>
                <w:sz w:val="24"/>
                <w:szCs w:val="24"/>
                <w:highlight w:val="none"/>
                <w:lang w:eastAsia="zh-CN"/>
              </w:rPr>
              <w:t>排放</w:t>
            </w:r>
            <w:r>
              <w:rPr>
                <w:rFonts w:hint="default" w:ascii="Times New Roman" w:hAnsi="Times New Roman" w:eastAsia="宋体" w:cs="Times New Roman"/>
                <w:color w:val="auto"/>
                <w:sz w:val="24"/>
                <w:szCs w:val="24"/>
                <w:highlight w:val="none"/>
              </w:rPr>
              <w:t>量约为</w:t>
            </w:r>
            <w:r>
              <w:rPr>
                <w:rFonts w:hint="default" w:ascii="Times New Roman" w:hAnsi="Times New Roman" w:eastAsia="宋体" w:cs="Times New Roman"/>
                <w:color w:val="auto"/>
                <w:sz w:val="24"/>
                <w:szCs w:val="24"/>
                <w:highlight w:val="none"/>
                <w:lang w:val="en-US"/>
              </w:rPr>
              <w:t>0.263g/d</w:t>
            </w:r>
            <w:r>
              <w:rPr>
                <w:rFonts w:hint="default" w:ascii="Times New Roman" w:hAnsi="Times New Roman" w:eastAsia="宋体" w:cs="Times New Roman"/>
                <w:color w:val="auto"/>
                <w:sz w:val="24"/>
                <w:lang w:val="en-US"/>
              </w:rPr>
              <w:t>，0.096kg/a</w:t>
            </w:r>
            <w:r>
              <w:rPr>
                <w:rFonts w:hint="default" w:ascii="Times New Roman" w:hAnsi="Times New Roman" w:eastAsia="宋体" w:cs="Times New Roman"/>
                <w:color w:val="auto"/>
                <w:sz w:val="24"/>
                <w:lang w:val="en-US" w:eastAsia="zh-CN"/>
              </w:rPr>
              <w:t>。</w:t>
            </w:r>
            <w:r>
              <w:rPr>
                <w:rFonts w:hint="eastAsia" w:ascii="宋体" w:hAnsi="宋体" w:cs="宋体"/>
                <w:color w:val="auto"/>
                <w:sz w:val="24"/>
                <w:lang w:val="en-US"/>
              </w:rPr>
              <w:t>定期对各池子内的污泥进行清理，一是保证池子的有效处理容积，二是清理污泥时可将池子内的死亡的微生物一并清理，可减少池子异味气体的产生量及排放量。</w:t>
            </w:r>
          </w:p>
          <w:p>
            <w:pPr>
              <w:pStyle w:val="36"/>
              <w:keepNext w:val="0"/>
              <w:keepLines w:val="0"/>
              <w:suppressLineNumbers w:val="0"/>
              <w:spacing w:before="0" w:beforeAutospacing="0" w:after="0" w:afterAutospacing="0"/>
              <w:ind w:left="0" w:right="0" w:firstLine="496" w:firstLineChars="200"/>
              <w:rPr>
                <w:rFonts w:hint="eastAsia" w:ascii="宋体" w:hAnsi="宋体" w:cs="宋体"/>
                <w:color w:val="auto"/>
                <w:sz w:val="24"/>
                <w:lang w:val="en-US"/>
              </w:rPr>
            </w:pPr>
            <w:r>
              <w:rPr>
                <w:rFonts w:hint="default"/>
                <w:color w:val="auto"/>
                <w:sz w:val="24"/>
                <w:szCs w:val="24"/>
              </w:rPr>
              <w:t>项目</w:t>
            </w:r>
            <w:r>
              <w:rPr>
                <w:rFonts w:hint="eastAsia"/>
                <w:color w:val="auto"/>
                <w:sz w:val="24"/>
                <w:szCs w:val="24"/>
              </w:rPr>
              <w:t>化粪池设置为地埋式、污水处理站为</w:t>
            </w:r>
            <w:r>
              <w:rPr>
                <w:rFonts w:hint="default"/>
                <w:color w:val="auto"/>
                <w:sz w:val="24"/>
                <w:szCs w:val="24"/>
              </w:rPr>
              <w:t>封闭</w:t>
            </w:r>
            <w:r>
              <w:rPr>
                <w:rFonts w:hint="eastAsia"/>
                <w:color w:val="auto"/>
                <w:sz w:val="24"/>
                <w:szCs w:val="24"/>
              </w:rPr>
              <w:t>式，臭气、氨及硫化氢等产生量较小</w:t>
            </w:r>
            <w:r>
              <w:rPr>
                <w:rFonts w:hint="eastAsia" w:ascii="宋体" w:hAnsi="宋体" w:cs="宋体"/>
                <w:color w:val="auto"/>
                <w:sz w:val="24"/>
                <w:szCs w:val="24"/>
                <w:lang w:val="en-US"/>
              </w:rPr>
              <w:t>，</w:t>
            </w:r>
            <w:r>
              <w:rPr>
                <w:rFonts w:hint="eastAsia" w:ascii="宋体" w:hAnsi="宋体" w:cs="宋体"/>
                <w:color w:val="auto"/>
                <w:sz w:val="24"/>
                <w:lang w:val="en-US"/>
              </w:rPr>
              <w:t>对周围环境影响不大。</w:t>
            </w:r>
          </w:p>
          <w:p>
            <w:pPr>
              <w:pStyle w:val="36"/>
              <w:keepNext w:val="0"/>
              <w:keepLines w:val="0"/>
              <w:suppressLineNumbers w:val="0"/>
              <w:spacing w:before="0" w:beforeAutospacing="0" w:after="0" w:afterAutospacing="0"/>
              <w:ind w:left="0" w:right="0" w:firstLine="496" w:firstLineChars="200"/>
              <w:rPr>
                <w:rFonts w:hint="eastAsia" w:ascii="宋体" w:hAnsi="宋体" w:cs="宋体"/>
                <w:color w:val="auto"/>
                <w:sz w:val="24"/>
                <w:lang w:val="en-US"/>
              </w:rPr>
            </w:pPr>
            <w:r>
              <w:rPr>
                <w:rFonts w:hint="eastAsia" w:ascii="宋体" w:hAnsi="宋体" w:cs="宋体"/>
                <w:color w:val="auto"/>
                <w:sz w:val="24"/>
                <w:lang w:val="en-US"/>
              </w:rPr>
              <w:t>（2）厨房油烟</w:t>
            </w:r>
          </w:p>
          <w:p>
            <w:pPr>
              <w:pStyle w:val="6"/>
              <w:keepNext w:val="0"/>
              <w:keepLines w:val="0"/>
              <w:suppressLineNumbers w:val="0"/>
              <w:snapToGrid w:val="0"/>
              <w:spacing w:before="0" w:beforeAutospacing="0" w:after="0" w:afterAutospacing="0" w:line="360" w:lineRule="auto"/>
              <w:ind w:left="0" w:right="0" w:firstLine="573"/>
              <w:rPr>
                <w:rFonts w:hint="default" w:ascii="Times New Roman" w:hAnsi="Times New Roman" w:cs="Times New Roman"/>
                <w:color w:val="auto"/>
                <w:sz w:val="24"/>
                <w:szCs w:val="24"/>
              </w:rPr>
            </w:pPr>
            <w:r>
              <w:rPr>
                <w:rFonts w:hint="eastAsia" w:ascii="宋体" w:hAnsi="宋体" w:cs="Times New Roman"/>
                <w:color w:val="auto"/>
                <w:sz w:val="24"/>
              </w:rPr>
              <w:t>本项目投入使用后，餐饮设施使用天然气或液化气作为燃料，属于清洁燃料，其污染物排放很少；项目热水供应采用太阳能与空气源热泵加热系统联合供热的方式。本</w:t>
            </w:r>
            <w:r>
              <w:rPr>
                <w:rFonts w:hint="default" w:ascii="Times New Roman" w:hAnsi="Times New Roman" w:cs="Times New Roman"/>
                <w:color w:val="auto"/>
                <w:sz w:val="24"/>
                <w:szCs w:val="24"/>
                <w:lang w:bidi="ar"/>
              </w:rPr>
              <w:t>项目设置1个食堂</w:t>
            </w:r>
            <w:r>
              <w:rPr>
                <w:rFonts w:hint="eastAsia" w:ascii="Calibri" w:hAnsi="Calibri" w:cs="Times New Roman"/>
                <w:color w:val="auto"/>
                <w:sz w:val="24"/>
                <w:szCs w:val="24"/>
                <w:lang w:bidi="ar"/>
              </w:rPr>
              <w:t>，</w:t>
            </w:r>
            <w:r>
              <w:rPr>
                <w:rFonts w:hint="default" w:ascii="Times New Roman" w:hAnsi="Times New Roman" w:cs="Times New Roman"/>
                <w:color w:val="auto"/>
                <w:sz w:val="24"/>
                <w:szCs w:val="24"/>
                <w:lang w:bidi="ar"/>
              </w:rPr>
              <w:t>能源</w:t>
            </w:r>
            <w:r>
              <w:rPr>
                <w:rFonts w:hint="eastAsia" w:ascii="Calibri" w:hAnsi="Calibri" w:cs="Times New Roman"/>
                <w:color w:val="auto"/>
                <w:sz w:val="24"/>
                <w:szCs w:val="24"/>
                <w:lang w:bidi="ar"/>
              </w:rPr>
              <w:t>使用天然气、液化气和</w:t>
            </w:r>
            <w:r>
              <w:rPr>
                <w:rFonts w:hint="default" w:ascii="Times New Roman" w:hAnsi="Times New Roman" w:cs="Times New Roman"/>
                <w:color w:val="auto"/>
                <w:sz w:val="24"/>
                <w:szCs w:val="24"/>
                <w:lang w:bidi="ar"/>
              </w:rPr>
              <w:t>电能，属清洁能源，燃烧废气</w:t>
            </w:r>
            <w:r>
              <w:rPr>
                <w:rFonts w:hint="eastAsia" w:ascii="Calibri" w:hAnsi="Calibri" w:cs="Times New Roman"/>
                <w:color w:val="auto"/>
                <w:sz w:val="24"/>
                <w:szCs w:val="24"/>
                <w:lang w:bidi="ar"/>
              </w:rPr>
              <w:t>产生量很小</w:t>
            </w:r>
            <w:r>
              <w:rPr>
                <w:rFonts w:hint="default" w:ascii="Times New Roman" w:hAnsi="Times New Roman" w:cs="Times New Roman"/>
                <w:color w:val="auto"/>
                <w:sz w:val="24"/>
                <w:szCs w:val="24"/>
                <w:lang w:bidi="ar"/>
              </w:rPr>
              <w:t>。</w:t>
            </w:r>
            <w:r>
              <w:rPr>
                <w:rFonts w:hint="eastAsia" w:ascii="宋体" w:hAnsi="宋体" w:cs="宋体"/>
                <w:color w:val="auto"/>
                <w:sz w:val="24"/>
                <w:szCs w:val="24"/>
              </w:rPr>
              <w:t>本项目医护人员</w:t>
            </w:r>
            <w:r>
              <w:rPr>
                <w:rFonts w:hint="default" w:ascii="宋体" w:hAnsi="宋体" w:cs="宋体"/>
                <w:color w:val="auto"/>
                <w:sz w:val="24"/>
                <w:szCs w:val="24"/>
              </w:rPr>
              <w:t>110</w:t>
            </w:r>
            <w:r>
              <w:rPr>
                <w:rFonts w:hint="eastAsia" w:ascii="宋体" w:hAnsi="宋体" w:cs="宋体"/>
                <w:color w:val="auto"/>
                <w:sz w:val="24"/>
                <w:szCs w:val="24"/>
              </w:rPr>
              <w:t>名，住院病人</w:t>
            </w:r>
            <w:r>
              <w:rPr>
                <w:rFonts w:hint="default" w:ascii="宋体" w:hAnsi="宋体" w:cs="宋体"/>
                <w:color w:val="auto"/>
                <w:sz w:val="24"/>
                <w:szCs w:val="24"/>
              </w:rPr>
              <w:t>2</w:t>
            </w:r>
            <w:r>
              <w:rPr>
                <w:rFonts w:hint="default" w:ascii="宋体" w:hAnsi="宋体" w:cs="宋体"/>
                <w:color w:val="auto"/>
                <w:sz w:val="24"/>
                <w:szCs w:val="24"/>
                <w:lang w:val="en-US"/>
              </w:rPr>
              <w:t>5</w:t>
            </w:r>
            <w:r>
              <w:rPr>
                <w:rFonts w:hint="eastAsia" w:ascii="宋体" w:hAnsi="宋体" w:cs="宋体"/>
                <w:color w:val="auto"/>
                <w:sz w:val="24"/>
                <w:szCs w:val="24"/>
              </w:rPr>
              <w:t>0人，食堂最大接纳人数</w:t>
            </w:r>
            <w:r>
              <w:rPr>
                <w:rFonts w:hint="default" w:ascii="宋体" w:hAnsi="宋体" w:cs="宋体"/>
                <w:color w:val="auto"/>
                <w:sz w:val="24"/>
                <w:szCs w:val="24"/>
              </w:rPr>
              <w:t>3</w:t>
            </w:r>
            <w:r>
              <w:rPr>
                <w:rFonts w:hint="default" w:ascii="宋体" w:hAnsi="宋体" w:cs="宋体"/>
                <w:color w:val="auto"/>
                <w:sz w:val="24"/>
                <w:szCs w:val="24"/>
                <w:lang w:val="en-US"/>
              </w:rPr>
              <w:t>6</w:t>
            </w:r>
            <w:r>
              <w:rPr>
                <w:rFonts w:hint="default" w:ascii="宋体" w:hAnsi="宋体" w:cs="宋体"/>
                <w:color w:val="auto"/>
                <w:sz w:val="24"/>
                <w:szCs w:val="24"/>
              </w:rPr>
              <w:t>0</w:t>
            </w:r>
            <w:r>
              <w:rPr>
                <w:rFonts w:hint="eastAsia" w:ascii="宋体" w:hAnsi="宋体" w:cs="宋体"/>
                <w:color w:val="auto"/>
                <w:sz w:val="24"/>
                <w:szCs w:val="24"/>
              </w:rPr>
              <w:t>人</w:t>
            </w:r>
            <w:r>
              <w:rPr>
                <w:rFonts w:hint="default" w:ascii="Times New Roman" w:hAnsi="Times New Roman" w:cs="Times New Roman"/>
                <w:color w:val="auto"/>
                <w:sz w:val="24"/>
                <w:szCs w:val="24"/>
                <w:lang w:bidi="ar"/>
              </w:rPr>
              <w:t>，食堂在炊事过程中会产生少量的油烟，按平衡膳食推荐，以每人每天食用30g食用油进行估算，则耗油量约为</w:t>
            </w:r>
            <w:r>
              <w:rPr>
                <w:rFonts w:hint="default" w:ascii="Times New Roman" w:hAnsi="Times New Roman" w:cs="Times New Roman"/>
                <w:color w:val="auto"/>
                <w:sz w:val="24"/>
                <w:szCs w:val="24"/>
                <w:lang w:val="en-US" w:bidi="ar"/>
              </w:rPr>
              <w:t>10.8</w:t>
            </w:r>
            <w:r>
              <w:rPr>
                <w:rFonts w:hint="default" w:ascii="Times New Roman" w:hAnsi="Times New Roman" w:cs="Times New Roman"/>
                <w:color w:val="auto"/>
                <w:sz w:val="24"/>
                <w:szCs w:val="24"/>
                <w:lang w:bidi="ar"/>
              </w:rPr>
              <w:t>kg/d，即</w:t>
            </w:r>
            <w:r>
              <w:rPr>
                <w:rFonts w:hint="default" w:ascii="Times New Roman" w:hAnsi="Times New Roman" w:cs="Times New Roman"/>
                <w:color w:val="auto"/>
                <w:sz w:val="24"/>
                <w:szCs w:val="24"/>
                <w:lang w:val="en-US" w:bidi="ar"/>
              </w:rPr>
              <w:t>3.94</w:t>
            </w:r>
            <w:r>
              <w:rPr>
                <w:rFonts w:hint="default" w:ascii="Times New Roman" w:hAnsi="Times New Roman" w:cs="Times New Roman"/>
                <w:color w:val="auto"/>
                <w:sz w:val="24"/>
                <w:szCs w:val="24"/>
                <w:lang w:bidi="ar"/>
              </w:rPr>
              <w:t xml:space="preserve">t/a。根据类比调查，不同的烹饪情况，油烟废气中烟气浓度及挥发量均有所不同，油的平均挥发量为总耗油量的2.83%，经过估算，项目产生油烟量约为0.31kg/d，即0.115t/a。由于医院食堂提供早、中、晚三餐，因此日高峰期取6h，则高峰期油烟中含油量为51.6g/h。 </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 xml:space="preserve">根据《餐饮油烟中挥发性有机物风险评估》（王秀艳、高爽、周家岐等）中烹饪油烟VOCs 排放因子为5.03g/kg（耗油量），则食堂非甲烷总烃产生量为0.056kg/d，20.44kg/a。 </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项目食堂</w:t>
            </w:r>
            <w:r>
              <w:rPr>
                <w:rFonts w:hint="eastAsia" w:ascii="Calibri" w:hAnsi="Calibri" w:cs="Times New Roman"/>
                <w:color w:val="auto"/>
                <w:kern w:val="0"/>
                <w:sz w:val="24"/>
                <w:szCs w:val="24"/>
                <w:lang w:bidi="ar"/>
              </w:rPr>
              <w:t>设</w:t>
            </w:r>
            <w:r>
              <w:rPr>
                <w:rFonts w:hint="default" w:ascii="Calibri" w:hAnsi="Calibri" w:cs="Times New Roman"/>
                <w:color w:val="auto"/>
                <w:kern w:val="0"/>
                <w:sz w:val="24"/>
                <w:szCs w:val="24"/>
                <w:lang w:bidi="ar"/>
              </w:rPr>
              <w:t>4</w:t>
            </w:r>
            <w:r>
              <w:rPr>
                <w:rFonts w:hint="eastAsia" w:ascii="Calibri" w:hAnsi="Calibri" w:cs="Times New Roman"/>
                <w:color w:val="auto"/>
                <w:kern w:val="0"/>
                <w:sz w:val="24"/>
                <w:szCs w:val="24"/>
                <w:lang w:bidi="ar"/>
              </w:rPr>
              <w:t>个</w:t>
            </w:r>
            <w:r>
              <w:rPr>
                <w:rFonts w:hint="default" w:ascii="Times New Roman" w:hAnsi="Times New Roman" w:cs="Times New Roman"/>
                <w:color w:val="auto"/>
                <w:kern w:val="0"/>
                <w:sz w:val="24"/>
                <w:szCs w:val="24"/>
                <w:lang w:bidi="ar"/>
              </w:rPr>
              <w:t>灶头</w:t>
            </w:r>
            <w:r>
              <w:rPr>
                <w:rFonts w:hint="eastAsia" w:ascii="Calibri" w:hAnsi="Calibri" w:cs="Times New Roman"/>
                <w:color w:val="auto"/>
                <w:kern w:val="0"/>
                <w:sz w:val="24"/>
                <w:szCs w:val="24"/>
                <w:lang w:bidi="ar"/>
              </w:rPr>
              <w:t>，据</w:t>
            </w:r>
            <w:r>
              <w:rPr>
                <w:rFonts w:hint="eastAsia" w:ascii="Times New Roman" w:hAnsi="Times New Roman" w:cs="Times New Roman"/>
                <w:color w:val="auto"/>
                <w:kern w:val="0"/>
                <w:sz w:val="24"/>
                <w:szCs w:val="24"/>
                <w:lang w:bidi="ar"/>
              </w:rPr>
              <w:t>《餐饮业油烟污染物排放要求》（DB</w:t>
            </w:r>
            <w:r>
              <w:rPr>
                <w:rFonts w:hint="eastAsia" w:cs="Times New Roman"/>
                <w:color w:val="auto"/>
                <w:kern w:val="0"/>
                <w:sz w:val="24"/>
                <w:szCs w:val="24"/>
                <w:lang w:eastAsia="zh-CN" w:bidi="ar"/>
              </w:rPr>
              <w:t>****</w:t>
            </w:r>
            <w:r>
              <w:rPr>
                <w:rFonts w:hint="eastAsia" w:ascii="Times New Roman" w:hAnsi="Times New Roman" w:cs="Times New Roman"/>
                <w:color w:val="auto"/>
                <w:kern w:val="0"/>
                <w:sz w:val="24"/>
                <w:szCs w:val="24"/>
                <w:lang w:bidi="ar"/>
              </w:rPr>
              <w:t>/T50</w:t>
            </w:r>
            <w:r>
              <w:rPr>
                <w:rFonts w:hint="eastAsia" w:ascii="Calibri" w:hAnsi="Calibri" w:cs="Times New Roman"/>
                <w:color w:val="auto"/>
                <w:kern w:val="0"/>
                <w:sz w:val="24"/>
                <w:szCs w:val="24"/>
                <w:lang w:bidi="ar"/>
              </w:rPr>
              <w:t>-</w:t>
            </w:r>
            <w:r>
              <w:rPr>
                <w:rFonts w:hint="eastAsia" w:ascii="Times New Roman" w:hAnsi="Times New Roman" w:cs="Times New Roman"/>
                <w:color w:val="auto"/>
                <w:kern w:val="0"/>
                <w:sz w:val="24"/>
                <w:szCs w:val="24"/>
                <w:lang w:bidi="ar"/>
              </w:rPr>
              <w:t>2021）</w:t>
            </w:r>
            <w:r>
              <w:rPr>
                <w:rFonts w:hint="eastAsia" w:ascii="Calibri" w:hAnsi="Calibri" w:cs="Times New Roman"/>
                <w:color w:val="auto"/>
                <w:kern w:val="0"/>
                <w:sz w:val="24"/>
                <w:szCs w:val="24"/>
                <w:lang w:bidi="ar"/>
              </w:rPr>
              <w:t>，该食堂规模为</w:t>
            </w:r>
            <w:r>
              <w:rPr>
                <w:rFonts w:hint="eastAsia" w:ascii="宋体" w:hAnsi="宋体" w:cs="宋体"/>
                <w:color w:val="auto"/>
                <w:kern w:val="0"/>
                <w:sz w:val="24"/>
                <w:szCs w:val="24"/>
                <w:lang w:bidi="ar"/>
              </w:rPr>
              <w:t>Ⅰ型。</w:t>
            </w:r>
            <w:r>
              <w:rPr>
                <w:rFonts w:hint="default" w:ascii="宋体" w:hAnsi="宋体" w:cs="宋体"/>
                <w:color w:val="auto"/>
                <w:kern w:val="0"/>
                <w:sz w:val="24"/>
                <w:szCs w:val="24"/>
                <w:lang w:bidi="ar"/>
              </w:rPr>
              <w:t>4</w:t>
            </w:r>
            <w:r>
              <w:rPr>
                <w:rFonts w:hint="eastAsia" w:ascii="宋体" w:hAnsi="宋体" w:cs="宋体"/>
                <w:color w:val="auto"/>
                <w:kern w:val="0"/>
                <w:sz w:val="24"/>
                <w:szCs w:val="24"/>
                <w:lang w:bidi="ar"/>
              </w:rPr>
              <w:t>个灶头</w:t>
            </w:r>
            <w:r>
              <w:rPr>
                <w:rFonts w:hint="default" w:ascii="Times New Roman" w:hAnsi="Times New Roman" w:cs="Times New Roman"/>
                <w:color w:val="auto"/>
                <w:kern w:val="0"/>
                <w:sz w:val="24"/>
                <w:szCs w:val="24"/>
                <w:lang w:bidi="ar"/>
              </w:rPr>
              <w:t>上方设置排气罩，</w:t>
            </w:r>
            <w:r>
              <w:rPr>
                <w:rFonts w:hint="eastAsia" w:ascii="Calibri" w:hAnsi="Calibri" w:cs="Times New Roman"/>
                <w:color w:val="auto"/>
                <w:kern w:val="0"/>
                <w:sz w:val="24"/>
                <w:szCs w:val="24"/>
                <w:lang w:bidi="ar"/>
              </w:rPr>
              <w:t>安装</w:t>
            </w:r>
            <w:r>
              <w:rPr>
                <w:rFonts w:hint="default" w:ascii="Times New Roman" w:hAnsi="Times New Roman" w:cs="Times New Roman"/>
                <w:color w:val="auto"/>
                <w:kern w:val="0"/>
                <w:sz w:val="24"/>
                <w:szCs w:val="24"/>
                <w:lang w:bidi="ar"/>
              </w:rPr>
              <w:t>油烟</w:t>
            </w:r>
            <w:r>
              <w:rPr>
                <w:rFonts w:hint="eastAsia" w:ascii="Calibri" w:hAnsi="Calibri" w:cs="Times New Roman"/>
                <w:color w:val="auto"/>
                <w:kern w:val="0"/>
                <w:sz w:val="24"/>
                <w:szCs w:val="24"/>
                <w:lang w:bidi="ar"/>
              </w:rPr>
              <w:t>收集</w:t>
            </w:r>
            <w:r>
              <w:rPr>
                <w:rFonts w:hint="default" w:ascii="Times New Roman" w:hAnsi="Times New Roman" w:cs="Times New Roman"/>
                <w:color w:val="auto"/>
                <w:kern w:val="0"/>
                <w:sz w:val="24"/>
                <w:szCs w:val="24"/>
                <w:lang w:bidi="ar"/>
              </w:rPr>
              <w:t>管道，</w:t>
            </w:r>
            <w:r>
              <w:rPr>
                <w:rFonts w:hint="eastAsia" w:ascii="Calibri" w:hAnsi="Calibri" w:cs="Times New Roman"/>
                <w:color w:val="auto"/>
                <w:kern w:val="0"/>
                <w:sz w:val="24"/>
                <w:szCs w:val="24"/>
                <w:lang w:bidi="ar"/>
              </w:rPr>
              <w:t>食堂</w:t>
            </w:r>
            <w:r>
              <w:rPr>
                <w:rFonts w:hint="default" w:ascii="Times New Roman" w:hAnsi="Times New Roman" w:cs="Times New Roman"/>
                <w:color w:val="auto"/>
                <w:kern w:val="0"/>
                <w:sz w:val="24"/>
                <w:szCs w:val="24"/>
                <w:lang w:bidi="ar"/>
              </w:rPr>
              <w:t>油烟经排气罩收集后统一引入油烟管道，经净化效率85%以上的油烟净化器处理后引至</w:t>
            </w:r>
            <w:r>
              <w:rPr>
                <w:rFonts w:hint="eastAsia" w:ascii="Times New Roman" w:hAnsi="Times New Roman" w:cs="Times New Roman"/>
                <w:color w:val="auto"/>
                <w:kern w:val="0"/>
                <w:sz w:val="24"/>
                <w:szCs w:val="24"/>
                <w:lang w:bidi="ar"/>
              </w:rPr>
              <w:t>后勤楼</w:t>
            </w:r>
            <w:r>
              <w:rPr>
                <w:rFonts w:hint="default" w:ascii="Times New Roman" w:hAnsi="Times New Roman" w:cs="Times New Roman"/>
                <w:color w:val="auto"/>
                <w:kern w:val="0"/>
                <w:sz w:val="24"/>
                <w:szCs w:val="24"/>
                <w:lang w:bidi="ar"/>
              </w:rPr>
              <w:t>楼顶</w:t>
            </w:r>
            <w:r>
              <w:rPr>
                <w:rFonts w:hint="default" w:cs="Times New Roman"/>
                <w:color w:val="auto"/>
                <w:kern w:val="0"/>
                <w:sz w:val="24"/>
                <w:szCs w:val="24"/>
                <w:lang w:val="en-US" w:bidi="ar"/>
              </w:rPr>
              <w:t>1.5m</w:t>
            </w:r>
            <w:r>
              <w:rPr>
                <w:rFonts w:hint="eastAsia" w:cs="Times New Roman"/>
                <w:color w:val="auto"/>
                <w:kern w:val="0"/>
                <w:sz w:val="24"/>
                <w:szCs w:val="24"/>
                <w:lang w:val="en-US" w:eastAsia="zh-CN" w:bidi="ar"/>
              </w:rPr>
              <w:t>排气筒</w:t>
            </w:r>
            <w:r>
              <w:rPr>
                <w:rFonts w:hint="default" w:ascii="Times New Roman" w:hAnsi="Times New Roman" w:cs="Times New Roman"/>
                <w:color w:val="auto"/>
                <w:kern w:val="0"/>
                <w:sz w:val="24"/>
                <w:szCs w:val="24"/>
                <w:lang w:bidi="ar"/>
              </w:rPr>
              <w:t>排放，</w:t>
            </w:r>
            <w:r>
              <w:rPr>
                <w:rFonts w:hint="eastAsia" w:ascii="Calibri" w:hAnsi="Calibri" w:cs="Times New Roman"/>
                <w:color w:val="auto"/>
                <w:kern w:val="0"/>
                <w:sz w:val="24"/>
                <w:szCs w:val="24"/>
                <w:lang w:bidi="ar"/>
              </w:rPr>
              <w:t>风机风量为</w:t>
            </w:r>
            <w:r>
              <w:rPr>
                <w:rFonts w:hint="default" w:ascii="Calibri" w:hAnsi="Calibri" w:cs="Times New Roman"/>
                <w:color w:val="auto"/>
                <w:kern w:val="0"/>
                <w:sz w:val="24"/>
                <w:szCs w:val="24"/>
                <w:lang w:bidi="ar"/>
              </w:rPr>
              <w:t>8</w:t>
            </w:r>
            <w:r>
              <w:rPr>
                <w:rFonts w:hint="eastAsia" w:ascii="Calibri" w:hAnsi="Calibri" w:cs="Times New Roman"/>
                <w:color w:val="auto"/>
                <w:kern w:val="0"/>
                <w:sz w:val="24"/>
                <w:szCs w:val="24"/>
                <w:lang w:bidi="ar"/>
              </w:rPr>
              <w:t>000</w:t>
            </w:r>
            <w:r>
              <w:rPr>
                <w:rFonts w:hint="eastAsia" w:ascii="宋体" w:hAnsi="宋体" w:cs="Times New Roman"/>
                <w:color w:val="auto"/>
                <w:sz w:val="24"/>
                <w:szCs w:val="24"/>
              </w:rPr>
              <w:t>N</w:t>
            </w:r>
            <w:r>
              <w:rPr>
                <w:rFonts w:hint="default" w:ascii="宋体" w:hAnsi="宋体" w:cs="Times New Roman"/>
                <w:color w:val="auto"/>
                <w:sz w:val="24"/>
                <w:szCs w:val="24"/>
              </w:rPr>
              <w:t>m</w:t>
            </w:r>
            <w:r>
              <w:rPr>
                <w:rFonts w:hint="default" w:ascii="宋体" w:hAnsi="宋体" w:cs="Times New Roman"/>
                <w:color w:val="auto"/>
                <w:sz w:val="24"/>
                <w:szCs w:val="24"/>
                <w:vertAlign w:val="superscript"/>
              </w:rPr>
              <w:t>3</w:t>
            </w:r>
            <w:r>
              <w:rPr>
                <w:rFonts w:hint="default" w:ascii="宋体" w:hAnsi="宋体" w:cs="Times New Roman"/>
                <w:color w:val="auto"/>
                <w:sz w:val="24"/>
                <w:szCs w:val="24"/>
              </w:rPr>
              <w:t>/h</w:t>
            </w:r>
            <w:r>
              <w:rPr>
                <w:rFonts w:hint="eastAsia" w:ascii="宋体" w:hAnsi="宋体" w:cs="Times New Roman"/>
                <w:color w:val="auto"/>
                <w:sz w:val="24"/>
                <w:szCs w:val="24"/>
              </w:rPr>
              <w:t>，</w:t>
            </w:r>
            <w:r>
              <w:rPr>
                <w:rFonts w:hint="default" w:ascii="Times New Roman" w:hAnsi="Times New Roman" w:cs="Times New Roman"/>
                <w:color w:val="auto"/>
                <w:kern w:val="0"/>
                <w:sz w:val="24"/>
                <w:szCs w:val="24"/>
                <w:lang w:bidi="ar"/>
              </w:rPr>
              <w:t>则食堂油烟产生浓度为6.45mg/m</w:t>
            </w:r>
            <w:r>
              <w:rPr>
                <w:rFonts w:hint="default" w:ascii="Times New Roman" w:hAnsi="Times New Roman" w:cs="Times New Roman"/>
                <w:color w:val="auto"/>
                <w:kern w:val="0"/>
                <w:sz w:val="24"/>
                <w:szCs w:val="24"/>
                <w:vertAlign w:val="superscript"/>
                <w:lang w:bidi="ar"/>
              </w:rPr>
              <w:t>3</w:t>
            </w:r>
            <w:r>
              <w:rPr>
                <w:rFonts w:hint="default" w:ascii="Times New Roman" w:hAnsi="Times New Roman" w:cs="Times New Roman"/>
                <w:color w:val="auto"/>
                <w:kern w:val="0"/>
                <w:sz w:val="24"/>
                <w:szCs w:val="24"/>
                <w:lang w:bidi="ar"/>
              </w:rPr>
              <w:t>，油烟排放浓度为0.97mg/m</w:t>
            </w:r>
            <w:r>
              <w:rPr>
                <w:rFonts w:hint="default" w:ascii="Times New Roman" w:hAnsi="Times New Roman" w:cs="Times New Roman"/>
                <w:color w:val="auto"/>
                <w:kern w:val="0"/>
                <w:sz w:val="24"/>
                <w:szCs w:val="24"/>
                <w:vertAlign w:val="superscript"/>
                <w:lang w:bidi="ar"/>
              </w:rPr>
              <w:t>3</w:t>
            </w:r>
            <w:r>
              <w:rPr>
                <w:rFonts w:hint="eastAsia" w:ascii="Calibri" w:hAnsi="Calibri" w:cs="Times New Roman"/>
                <w:color w:val="auto"/>
                <w:kern w:val="0"/>
                <w:sz w:val="24"/>
                <w:szCs w:val="24"/>
                <w:lang w:bidi="ar"/>
              </w:rPr>
              <w:t>；</w:t>
            </w:r>
            <w:r>
              <w:rPr>
                <w:rFonts w:hint="default" w:ascii="Times New Roman" w:hAnsi="Times New Roman" w:cs="Times New Roman"/>
                <w:color w:val="auto"/>
                <w:kern w:val="0"/>
                <w:sz w:val="24"/>
                <w:szCs w:val="24"/>
                <w:lang w:bidi="ar"/>
              </w:rPr>
              <w:t>非甲烷总烃排放浓度为</w:t>
            </w:r>
            <w:r>
              <w:rPr>
                <w:rFonts w:hint="default" w:ascii="Calibri" w:hAnsi="Calibri" w:cs="Times New Roman"/>
                <w:color w:val="auto"/>
                <w:kern w:val="0"/>
                <w:sz w:val="24"/>
                <w:szCs w:val="24"/>
                <w:lang w:bidi="ar"/>
              </w:rPr>
              <w:t>0.18</w:t>
            </w:r>
            <w:r>
              <w:rPr>
                <w:rFonts w:hint="default" w:ascii="Times New Roman" w:hAnsi="Times New Roman" w:cs="Times New Roman"/>
                <w:color w:val="auto"/>
                <w:kern w:val="0"/>
                <w:sz w:val="24"/>
                <w:szCs w:val="24"/>
                <w:lang w:bidi="ar"/>
              </w:rPr>
              <w:t>mg/m</w:t>
            </w:r>
            <w:r>
              <w:rPr>
                <w:rFonts w:hint="default" w:ascii="Times New Roman" w:hAnsi="Times New Roman" w:cs="Times New Roman"/>
                <w:color w:val="auto"/>
                <w:kern w:val="0"/>
                <w:sz w:val="24"/>
                <w:szCs w:val="24"/>
                <w:vertAlign w:val="superscript"/>
                <w:lang w:bidi="ar"/>
              </w:rPr>
              <w:t>3</w:t>
            </w:r>
            <w:r>
              <w:rPr>
                <w:rFonts w:hint="default" w:ascii="Times New Roman" w:hAnsi="Times New Roman" w:cs="Times New Roman"/>
                <w:color w:val="auto"/>
                <w:kern w:val="0"/>
                <w:sz w:val="24"/>
                <w:szCs w:val="24"/>
                <w:lang w:bidi="ar"/>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项目运营期食堂油烟产生、排放情况详见下表。</w:t>
            </w:r>
          </w:p>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b/>
                <w:color w:val="auto"/>
                <w:sz w:val="24"/>
                <w:szCs w:val="24"/>
              </w:rPr>
            </w:pPr>
            <w:r>
              <w:rPr>
                <w:rFonts w:hint="eastAsia" w:ascii="宋体" w:hAnsi="宋体" w:cs="Times New Roman"/>
                <w:b/>
                <w:color w:val="auto"/>
                <w:sz w:val="24"/>
                <w:szCs w:val="24"/>
              </w:rPr>
              <w:t>表</w:t>
            </w:r>
            <w:r>
              <w:rPr>
                <w:rFonts w:hint="default" w:ascii="宋体" w:hAnsi="宋体" w:cs="Times New Roman"/>
                <w:b/>
                <w:color w:val="auto"/>
                <w:sz w:val="24"/>
                <w:szCs w:val="24"/>
              </w:rPr>
              <w:t xml:space="preserve">4-6  </w:t>
            </w:r>
            <w:r>
              <w:rPr>
                <w:rFonts w:hint="eastAsia" w:ascii="宋体" w:hAnsi="宋体" w:cs="Times New Roman"/>
                <w:b/>
                <w:color w:val="auto"/>
                <w:sz w:val="24"/>
                <w:szCs w:val="24"/>
              </w:rPr>
              <w:t>项目油烟产生量一览表</w:t>
            </w:r>
          </w:p>
          <w:tbl>
            <w:tblPr>
              <w:tblStyle w:val="26"/>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011"/>
              <w:gridCol w:w="1409"/>
              <w:gridCol w:w="1198"/>
              <w:gridCol w:w="1321"/>
              <w:gridCol w:w="1311"/>
              <w:gridCol w:w="166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53" w:type="pct"/>
                  <w:tcBorders>
                    <w:top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eastAsia" w:ascii="宋体" w:hAnsi="宋体" w:cs="Times New Roman"/>
                      <w:color w:val="auto"/>
                    </w:rPr>
                    <w:t>项目</w:t>
                  </w:r>
                </w:p>
              </w:tc>
              <w:tc>
                <w:tcPr>
                  <w:tcW w:w="580" w:type="pct"/>
                  <w:tcBorders>
                    <w:top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eastAsia" w:ascii="宋体" w:hAnsi="宋体" w:cs="Times New Roman"/>
                      <w:color w:val="auto"/>
                    </w:rPr>
                    <w:t>人数</w:t>
                  </w:r>
                </w:p>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eastAsia" w:ascii="宋体" w:hAnsi="宋体" w:cs="Times New Roman"/>
                      <w:color w:val="auto"/>
                    </w:rPr>
                    <w:t>（人）</w:t>
                  </w:r>
                </w:p>
              </w:tc>
              <w:tc>
                <w:tcPr>
                  <w:tcW w:w="809" w:type="pct"/>
                  <w:tcBorders>
                    <w:top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eastAsia" w:ascii="宋体" w:hAnsi="宋体" w:cs="Times New Roman"/>
                      <w:color w:val="auto"/>
                    </w:rPr>
                    <w:t>用油量</w:t>
                  </w:r>
                </w:p>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eastAsia" w:ascii="宋体" w:hAnsi="宋体" w:cs="Times New Roman"/>
                      <w:color w:val="auto"/>
                    </w:rPr>
                    <w:t>（</w:t>
                  </w:r>
                  <w:r>
                    <w:rPr>
                      <w:rFonts w:hint="default" w:ascii="宋体" w:hAnsi="宋体" w:cs="Times New Roman"/>
                      <w:color w:val="auto"/>
                    </w:rPr>
                    <w:t>g/</w:t>
                  </w:r>
                  <w:r>
                    <w:rPr>
                      <w:rFonts w:hint="eastAsia" w:ascii="宋体" w:hAnsi="宋体" w:cs="Times New Roman"/>
                      <w:color w:val="auto"/>
                    </w:rPr>
                    <w:t>人·</w:t>
                  </w:r>
                  <w:r>
                    <w:rPr>
                      <w:rFonts w:hint="default" w:ascii="宋体" w:hAnsi="宋体" w:cs="Times New Roman"/>
                      <w:color w:val="auto"/>
                    </w:rPr>
                    <w:t>d</w:t>
                  </w:r>
                  <w:r>
                    <w:rPr>
                      <w:rFonts w:hint="eastAsia" w:ascii="宋体" w:hAnsi="宋体" w:cs="Times New Roman"/>
                      <w:color w:val="auto"/>
                    </w:rPr>
                    <w:t>）</w:t>
                  </w:r>
                </w:p>
              </w:tc>
              <w:tc>
                <w:tcPr>
                  <w:tcW w:w="688" w:type="pct"/>
                  <w:tcBorders>
                    <w:top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eastAsia" w:ascii="宋体" w:hAnsi="宋体" w:cs="Times New Roman"/>
                      <w:color w:val="auto"/>
                    </w:rPr>
                    <w:t>用油总量</w:t>
                  </w:r>
                </w:p>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eastAsia" w:ascii="宋体" w:hAnsi="宋体" w:cs="Times New Roman"/>
                      <w:color w:val="auto"/>
                    </w:rPr>
                    <w:t>（</w:t>
                  </w:r>
                  <w:r>
                    <w:rPr>
                      <w:rFonts w:hint="default" w:ascii="宋体" w:hAnsi="宋体" w:cs="Times New Roman"/>
                      <w:color w:val="auto"/>
                    </w:rPr>
                    <w:t>kg/d</w:t>
                  </w:r>
                  <w:r>
                    <w:rPr>
                      <w:rFonts w:hint="eastAsia" w:ascii="宋体" w:hAnsi="宋体" w:cs="Times New Roman"/>
                      <w:color w:val="auto"/>
                    </w:rPr>
                    <w:t>）</w:t>
                  </w:r>
                </w:p>
              </w:tc>
              <w:tc>
                <w:tcPr>
                  <w:tcW w:w="758" w:type="pct"/>
                  <w:tcBorders>
                    <w:top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eastAsia" w:ascii="宋体" w:hAnsi="宋体" w:cs="Times New Roman"/>
                      <w:color w:val="auto"/>
                    </w:rPr>
                    <w:t>平均油挥发量</w:t>
                  </w:r>
                </w:p>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eastAsia" w:ascii="宋体" w:hAnsi="宋体" w:cs="Times New Roman"/>
                      <w:color w:val="auto"/>
                    </w:rPr>
                    <w:t>（</w:t>
                  </w:r>
                  <w:r>
                    <w:rPr>
                      <w:rFonts w:hint="default" w:ascii="宋体" w:hAnsi="宋体" w:cs="Times New Roman"/>
                      <w:color w:val="auto"/>
                    </w:rPr>
                    <w:t>%</w:t>
                  </w:r>
                  <w:r>
                    <w:rPr>
                      <w:rFonts w:hint="eastAsia" w:ascii="宋体" w:hAnsi="宋体" w:cs="Times New Roman"/>
                      <w:color w:val="auto"/>
                    </w:rPr>
                    <w:t>）</w:t>
                  </w:r>
                </w:p>
              </w:tc>
              <w:tc>
                <w:tcPr>
                  <w:tcW w:w="753" w:type="pct"/>
                  <w:tcBorders>
                    <w:top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eastAsia" w:ascii="宋体" w:hAnsi="宋体" w:cs="Times New Roman"/>
                      <w:color w:val="auto"/>
                    </w:rPr>
                    <w:t>油烟产生量</w:t>
                  </w:r>
                </w:p>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eastAsia" w:ascii="宋体" w:hAnsi="宋体" w:cs="Times New Roman"/>
                      <w:color w:val="auto"/>
                    </w:rPr>
                    <w:t>（</w:t>
                  </w:r>
                  <w:r>
                    <w:rPr>
                      <w:rFonts w:hint="default" w:ascii="宋体" w:hAnsi="宋体" w:cs="Times New Roman"/>
                      <w:color w:val="auto"/>
                    </w:rPr>
                    <w:t>kg/d</w:t>
                  </w:r>
                  <w:r>
                    <w:rPr>
                      <w:rFonts w:hint="eastAsia" w:ascii="宋体" w:hAnsi="宋体" w:cs="Times New Roman"/>
                      <w:color w:val="auto"/>
                    </w:rPr>
                    <w:t>）</w:t>
                  </w:r>
                </w:p>
              </w:tc>
              <w:tc>
                <w:tcPr>
                  <w:tcW w:w="956" w:type="pct"/>
                  <w:tcBorders>
                    <w:top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eastAsia" w:ascii="宋体" w:hAnsi="宋体" w:cs="Times New Roman"/>
                      <w:color w:val="auto"/>
                    </w:rPr>
                    <w:t>非甲烷总烃产生量（</w:t>
                  </w:r>
                  <w:r>
                    <w:rPr>
                      <w:rFonts w:hint="default" w:ascii="宋体" w:hAnsi="宋体" w:cs="Times New Roman"/>
                      <w:color w:val="auto"/>
                    </w:rPr>
                    <w:t>kg/d</w:t>
                  </w:r>
                  <w:r>
                    <w:rPr>
                      <w:rFonts w:hint="eastAsia" w:ascii="宋体" w:hAnsi="宋体" w:cs="Times New Roman"/>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53" w:type="pct"/>
                  <w:tcBorders>
                    <w:bottom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eastAsia" w:ascii="宋体" w:hAnsi="宋体" w:cs="Times New Roman"/>
                      <w:color w:val="auto"/>
                    </w:rPr>
                    <w:t>食堂</w:t>
                  </w:r>
                </w:p>
              </w:tc>
              <w:tc>
                <w:tcPr>
                  <w:tcW w:w="580" w:type="pct"/>
                  <w:tcBorders>
                    <w:bottom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370</w:t>
                  </w:r>
                </w:p>
              </w:tc>
              <w:tc>
                <w:tcPr>
                  <w:tcW w:w="809" w:type="pct"/>
                  <w:tcBorders>
                    <w:bottom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default" w:ascii="宋体" w:hAnsi="宋体" w:cs="Times New Roman"/>
                      <w:color w:val="auto"/>
                    </w:rPr>
                    <w:t>30</w:t>
                  </w:r>
                </w:p>
              </w:tc>
              <w:tc>
                <w:tcPr>
                  <w:tcW w:w="688" w:type="pct"/>
                  <w:tcBorders>
                    <w:bottom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11.1</w:t>
                  </w:r>
                </w:p>
              </w:tc>
              <w:tc>
                <w:tcPr>
                  <w:tcW w:w="758" w:type="pct"/>
                  <w:tcBorders>
                    <w:bottom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default" w:ascii="宋体" w:hAnsi="宋体" w:cs="Times New Roman"/>
                      <w:color w:val="auto"/>
                    </w:rPr>
                    <w:t>2.83</w:t>
                  </w:r>
                </w:p>
              </w:tc>
              <w:tc>
                <w:tcPr>
                  <w:tcW w:w="753" w:type="pct"/>
                  <w:tcBorders>
                    <w:bottom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0.31</w:t>
                  </w:r>
                </w:p>
              </w:tc>
              <w:tc>
                <w:tcPr>
                  <w:tcW w:w="956" w:type="pct"/>
                  <w:tcBorders>
                    <w:bottom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0.056</w:t>
                  </w:r>
                </w:p>
              </w:tc>
            </w:tr>
          </w:tbl>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b/>
                <w:color w:val="auto"/>
                <w:sz w:val="24"/>
                <w:szCs w:val="24"/>
              </w:rPr>
            </w:pPr>
            <w:r>
              <w:rPr>
                <w:rFonts w:hint="eastAsia" w:ascii="宋体" w:hAnsi="宋体" w:cs="Times New Roman"/>
                <w:b/>
                <w:color w:val="auto"/>
                <w:sz w:val="24"/>
                <w:szCs w:val="24"/>
              </w:rPr>
              <w:t>表</w:t>
            </w:r>
            <w:r>
              <w:rPr>
                <w:rFonts w:hint="default" w:ascii="宋体" w:hAnsi="宋体" w:cs="Times New Roman"/>
                <w:b/>
                <w:color w:val="auto"/>
                <w:sz w:val="24"/>
                <w:szCs w:val="24"/>
              </w:rPr>
              <w:t xml:space="preserve">4-7  </w:t>
            </w:r>
            <w:r>
              <w:rPr>
                <w:rFonts w:hint="eastAsia" w:ascii="宋体" w:hAnsi="宋体" w:cs="Times New Roman"/>
                <w:b/>
                <w:color w:val="auto"/>
                <w:sz w:val="24"/>
                <w:szCs w:val="24"/>
              </w:rPr>
              <w:t>油烟废气排放情况一览表</w:t>
            </w:r>
          </w:p>
          <w:tbl>
            <w:tblPr>
              <w:tblStyle w:val="26"/>
              <w:tblW w:w="854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1515"/>
              <w:gridCol w:w="900"/>
              <w:gridCol w:w="1485"/>
              <w:gridCol w:w="1380"/>
              <w:gridCol w:w="19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1328" w:type="dxa"/>
                  <w:tcBorders>
                    <w:top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Calibri" w:cs="Times New Roman"/>
                      <w:color w:val="auto"/>
                    </w:rPr>
                  </w:pPr>
                  <w:r>
                    <w:rPr>
                      <w:rFonts w:hint="eastAsia" w:ascii="宋体" w:hAnsi="宋体" w:cs="Times New Roman"/>
                      <w:color w:val="auto"/>
                    </w:rPr>
                    <w:t>污染物</w:t>
                  </w:r>
                </w:p>
              </w:tc>
              <w:tc>
                <w:tcPr>
                  <w:tcW w:w="1515" w:type="dxa"/>
                  <w:tcBorders>
                    <w:top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eastAsia" w:ascii="宋体" w:hAnsi="宋体" w:cs="Times New Roman"/>
                      <w:color w:val="auto"/>
                    </w:rPr>
                    <w:t>产生量（</w:t>
                  </w:r>
                  <w:r>
                    <w:rPr>
                      <w:rFonts w:hint="default" w:ascii="宋体" w:hAnsi="宋体" w:cs="Times New Roman"/>
                      <w:color w:val="auto"/>
                    </w:rPr>
                    <w:t>kg/d</w:t>
                  </w:r>
                  <w:r>
                    <w:rPr>
                      <w:rFonts w:hint="eastAsia" w:ascii="宋体" w:hAnsi="宋体" w:cs="Times New Roman"/>
                      <w:color w:val="auto"/>
                    </w:rPr>
                    <w:t>）</w:t>
                  </w:r>
                </w:p>
              </w:tc>
              <w:tc>
                <w:tcPr>
                  <w:tcW w:w="900" w:type="dxa"/>
                  <w:tcBorders>
                    <w:top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eastAsia" w:ascii="宋体" w:hAnsi="宋体" w:cs="Times New Roman"/>
                      <w:color w:val="auto"/>
                    </w:rPr>
                    <w:t>排风量（N</w:t>
                  </w:r>
                  <w:r>
                    <w:rPr>
                      <w:rFonts w:hint="default" w:ascii="宋体" w:hAnsi="宋体" w:cs="Times New Roman"/>
                      <w:color w:val="auto"/>
                    </w:rPr>
                    <w:t>m</w:t>
                  </w:r>
                  <w:r>
                    <w:rPr>
                      <w:rFonts w:hint="default" w:ascii="宋体" w:hAnsi="宋体" w:cs="Times New Roman"/>
                      <w:color w:val="auto"/>
                      <w:vertAlign w:val="superscript"/>
                    </w:rPr>
                    <w:t>3</w:t>
                  </w:r>
                  <w:r>
                    <w:rPr>
                      <w:rFonts w:hint="default" w:ascii="宋体" w:hAnsi="宋体" w:cs="Times New Roman"/>
                      <w:color w:val="auto"/>
                    </w:rPr>
                    <w:t>/h</w:t>
                  </w:r>
                  <w:r>
                    <w:rPr>
                      <w:rFonts w:hint="eastAsia" w:ascii="宋体" w:hAnsi="宋体" w:cs="Times New Roman"/>
                      <w:color w:val="auto"/>
                    </w:rPr>
                    <w:t>）</w:t>
                  </w:r>
                </w:p>
              </w:tc>
              <w:tc>
                <w:tcPr>
                  <w:tcW w:w="1485" w:type="dxa"/>
                  <w:tcBorders>
                    <w:top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eastAsia" w:ascii="宋体" w:hAnsi="宋体" w:cs="Times New Roman"/>
                      <w:color w:val="auto"/>
                    </w:rPr>
                    <w:t>产生浓度（</w:t>
                  </w:r>
                  <w:r>
                    <w:rPr>
                      <w:rFonts w:hint="default" w:ascii="宋体" w:hAnsi="宋体" w:cs="Times New Roman"/>
                      <w:color w:val="auto"/>
                    </w:rPr>
                    <w:t>mg/m</w:t>
                  </w:r>
                  <w:r>
                    <w:rPr>
                      <w:rFonts w:hint="default" w:ascii="宋体" w:hAnsi="宋体" w:cs="Times New Roman"/>
                      <w:color w:val="auto"/>
                      <w:vertAlign w:val="superscript"/>
                    </w:rPr>
                    <w:t>3</w:t>
                  </w:r>
                  <w:r>
                    <w:rPr>
                      <w:rFonts w:hint="eastAsia" w:ascii="宋体" w:hAnsi="宋体" w:cs="Times New Roman"/>
                      <w:color w:val="auto"/>
                    </w:rPr>
                    <w:t>）</w:t>
                  </w:r>
                </w:p>
              </w:tc>
              <w:tc>
                <w:tcPr>
                  <w:tcW w:w="1380" w:type="dxa"/>
                  <w:tcBorders>
                    <w:top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eastAsia" w:ascii="宋体" w:hAnsi="宋体" w:cs="Times New Roman"/>
                      <w:color w:val="auto"/>
                    </w:rPr>
                    <w:t>净化效率（</w:t>
                  </w:r>
                  <w:r>
                    <w:rPr>
                      <w:rFonts w:hint="default" w:ascii="宋体" w:hAnsi="宋体" w:cs="Times New Roman"/>
                      <w:color w:val="auto"/>
                    </w:rPr>
                    <w:t>%</w:t>
                  </w:r>
                  <w:r>
                    <w:rPr>
                      <w:rFonts w:hint="eastAsia" w:ascii="宋体" w:hAnsi="宋体" w:cs="Times New Roman"/>
                      <w:color w:val="auto"/>
                    </w:rPr>
                    <w:t>）</w:t>
                  </w:r>
                </w:p>
              </w:tc>
              <w:tc>
                <w:tcPr>
                  <w:tcW w:w="1935" w:type="dxa"/>
                  <w:tcBorders>
                    <w:top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eastAsia" w:ascii="宋体" w:hAnsi="宋体" w:cs="Times New Roman"/>
                      <w:color w:val="auto"/>
                    </w:rPr>
                    <w:t>排放浓度（</w:t>
                  </w:r>
                  <w:r>
                    <w:rPr>
                      <w:rFonts w:hint="default" w:ascii="宋体" w:hAnsi="宋体" w:cs="Times New Roman"/>
                      <w:color w:val="auto"/>
                    </w:rPr>
                    <w:t>mg/m</w:t>
                  </w:r>
                  <w:r>
                    <w:rPr>
                      <w:rFonts w:hint="default" w:ascii="宋体" w:hAnsi="宋体" w:cs="Times New Roman"/>
                      <w:color w:val="auto"/>
                      <w:vertAlign w:val="superscript"/>
                    </w:rPr>
                    <w:t>3</w:t>
                  </w:r>
                  <w:r>
                    <w:rPr>
                      <w:rFonts w:hint="eastAsia" w:ascii="宋体" w:hAnsi="宋体" w:cs="Times New Roman"/>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jc w:val="center"/>
              </w:trPr>
              <w:tc>
                <w:tcPr>
                  <w:tcW w:w="132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Calibri" w:cs="Times New Roman"/>
                      <w:color w:val="auto"/>
                    </w:rPr>
                  </w:pPr>
                  <w:r>
                    <w:rPr>
                      <w:rFonts w:hint="eastAsia" w:ascii="宋体" w:hAnsi="宋体" w:cs="Times New Roman"/>
                      <w:color w:val="auto"/>
                    </w:rPr>
                    <w:t>油烟</w:t>
                  </w:r>
                </w:p>
              </w:tc>
              <w:tc>
                <w:tcPr>
                  <w:tcW w:w="151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11.1</w:t>
                  </w:r>
                </w:p>
              </w:tc>
              <w:tc>
                <w:tcPr>
                  <w:tcW w:w="900"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8000</w:t>
                  </w:r>
                </w:p>
              </w:tc>
              <w:tc>
                <w:tcPr>
                  <w:tcW w:w="148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default" w:ascii="宋体" w:hAnsi="宋体" w:cs="Times New Roman"/>
                      <w:color w:val="auto"/>
                    </w:rPr>
                    <w:t>6.45</w:t>
                  </w:r>
                </w:p>
              </w:tc>
              <w:tc>
                <w:tcPr>
                  <w:tcW w:w="1380"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default" w:ascii="宋体" w:hAnsi="宋体" w:cs="Times New Roman"/>
                      <w:color w:val="auto"/>
                    </w:rPr>
                    <w:t>85%</w:t>
                  </w:r>
                </w:p>
              </w:tc>
              <w:tc>
                <w:tcPr>
                  <w:tcW w:w="193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default" w:ascii="宋体" w:hAnsi="宋体" w:cs="Times New Roman"/>
                      <w:color w:val="auto"/>
                    </w:rPr>
                    <w:t>0.97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8" w:type="dxa"/>
                  <w:tcBorders>
                    <w:bottom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Times New Roman"/>
                      <w:color w:val="auto"/>
                    </w:rPr>
                  </w:pPr>
                  <w:r>
                    <w:rPr>
                      <w:rFonts w:hint="eastAsia" w:ascii="宋体" w:hAnsi="宋体" w:cs="Times New Roman"/>
                      <w:color w:val="auto"/>
                    </w:rPr>
                    <w:t>非甲烷总烃</w:t>
                  </w:r>
                </w:p>
              </w:tc>
              <w:tc>
                <w:tcPr>
                  <w:tcW w:w="1515" w:type="dxa"/>
                  <w:tcBorders>
                    <w:bottom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0.056</w:t>
                  </w:r>
                </w:p>
              </w:tc>
              <w:tc>
                <w:tcPr>
                  <w:tcW w:w="900" w:type="dxa"/>
                  <w:vMerge w:val="continue"/>
                  <w:tcBorders>
                    <w:bottom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p>
              </w:tc>
              <w:tc>
                <w:tcPr>
                  <w:tcW w:w="1485" w:type="dxa"/>
                  <w:tcBorders>
                    <w:bottom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1.17</w:t>
                  </w:r>
                </w:p>
              </w:tc>
              <w:tc>
                <w:tcPr>
                  <w:tcW w:w="1380" w:type="dxa"/>
                  <w:vMerge w:val="continue"/>
                  <w:tcBorders>
                    <w:bottom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p>
              </w:tc>
              <w:tc>
                <w:tcPr>
                  <w:tcW w:w="1935" w:type="dxa"/>
                  <w:tcBorders>
                    <w:bottom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0.18</w:t>
                  </w:r>
                </w:p>
              </w:tc>
            </w:tr>
          </w:tbl>
          <w:p>
            <w:pPr>
              <w:pStyle w:val="36"/>
              <w:keepNext w:val="0"/>
              <w:keepLines w:val="0"/>
              <w:suppressLineNumbers w:val="0"/>
              <w:spacing w:before="0" w:beforeAutospacing="0" w:after="0" w:afterAutospacing="0"/>
              <w:ind w:left="0" w:right="0" w:firstLine="496" w:firstLineChars="200"/>
              <w:rPr>
                <w:rFonts w:hint="eastAsia" w:ascii="宋体" w:hAnsi="宋体" w:cs="宋体"/>
                <w:color w:val="auto"/>
                <w:sz w:val="24"/>
                <w:lang w:val="en-US"/>
              </w:rPr>
            </w:pPr>
            <w:r>
              <w:rPr>
                <w:rFonts w:hint="eastAsia" w:ascii="宋体" w:hAnsi="宋体" w:cs="宋体"/>
                <w:color w:val="auto"/>
                <w:sz w:val="24"/>
              </w:rPr>
              <w:t>项目食堂油烟排放满足</w:t>
            </w:r>
            <w:r>
              <w:rPr>
                <w:rFonts w:hint="eastAsia" w:ascii="Times New Roman" w:hAnsi="Times New Roman" w:cs="Times New Roman"/>
                <w:color w:val="auto"/>
                <w:kern w:val="0"/>
                <w:sz w:val="24"/>
                <w:lang w:val="en-US" w:bidi="ar"/>
              </w:rPr>
              <w:t>《餐饮业油烟污染物排放要求》（DB</w:t>
            </w:r>
            <w:r>
              <w:rPr>
                <w:rFonts w:hint="eastAsia" w:cs="Times New Roman"/>
                <w:color w:val="auto"/>
                <w:kern w:val="0"/>
                <w:sz w:val="24"/>
                <w:lang w:val="en-US" w:eastAsia="zh-CN" w:bidi="ar"/>
              </w:rPr>
              <w:t>****</w:t>
            </w:r>
            <w:r>
              <w:rPr>
                <w:rFonts w:hint="eastAsia" w:ascii="Times New Roman" w:hAnsi="Times New Roman" w:cs="Times New Roman"/>
                <w:color w:val="auto"/>
                <w:kern w:val="0"/>
                <w:sz w:val="24"/>
                <w:lang w:val="en-US" w:bidi="ar"/>
              </w:rPr>
              <w:t>/T 50</w:t>
            </w:r>
            <w:r>
              <w:rPr>
                <w:rFonts w:hint="eastAsia" w:ascii="Calibri" w:hAnsi="Calibri" w:cs="Times New Roman"/>
                <w:color w:val="auto"/>
                <w:kern w:val="0"/>
                <w:sz w:val="24"/>
                <w:lang w:val="en-US" w:bidi="ar"/>
              </w:rPr>
              <w:t>-</w:t>
            </w:r>
            <w:r>
              <w:rPr>
                <w:rFonts w:hint="eastAsia" w:ascii="Times New Roman" w:hAnsi="Times New Roman" w:cs="Times New Roman"/>
                <w:color w:val="auto"/>
                <w:kern w:val="0"/>
                <w:sz w:val="24"/>
                <w:lang w:val="en-US" w:bidi="ar"/>
              </w:rPr>
              <w:t>2021）</w:t>
            </w:r>
            <w:r>
              <w:rPr>
                <w:rFonts w:hint="eastAsia" w:ascii="Calibri" w:hAnsi="Calibri" w:cs="Times New Roman"/>
                <w:color w:val="auto"/>
                <w:kern w:val="0"/>
                <w:sz w:val="24"/>
                <w:lang w:val="en-US" w:bidi="ar"/>
              </w:rPr>
              <w:t>中</w:t>
            </w:r>
            <w:r>
              <w:rPr>
                <w:rFonts w:hint="eastAsia" w:ascii="宋体" w:hAnsi="宋体" w:cs="宋体"/>
                <w:color w:val="auto"/>
                <w:kern w:val="0"/>
                <w:sz w:val="24"/>
                <w:lang w:val="en-US" w:bidi="ar"/>
              </w:rPr>
              <w:t>Ⅰ</w:t>
            </w:r>
            <w:r>
              <w:rPr>
                <w:rFonts w:hint="eastAsia" w:ascii="Calibri" w:hAnsi="Calibri" w:cs="Times New Roman"/>
                <w:color w:val="auto"/>
                <w:kern w:val="0"/>
                <w:sz w:val="24"/>
                <w:lang w:val="en-US" w:bidi="ar"/>
              </w:rPr>
              <w:t>型标准</w:t>
            </w:r>
            <w:r>
              <w:rPr>
                <w:rFonts w:hint="eastAsia" w:ascii="宋体" w:hAnsi="宋体" w:cs="宋体"/>
                <w:color w:val="auto"/>
                <w:sz w:val="24"/>
              </w:rPr>
              <w:t>：油烟排放浓度</w:t>
            </w:r>
            <w:r>
              <w:rPr>
                <w:rFonts w:hint="default" w:ascii="宋体" w:hAnsi="宋体" w:cs="宋体"/>
                <w:color w:val="auto"/>
                <w:sz w:val="24"/>
                <w:lang w:val="en-US"/>
              </w:rPr>
              <w:t>1</w:t>
            </w:r>
            <w:r>
              <w:rPr>
                <w:rFonts w:hint="default" w:ascii="宋体" w:hAnsi="宋体" w:cs="宋体"/>
                <w:color w:val="auto"/>
                <w:sz w:val="24"/>
              </w:rPr>
              <w:t>.0mg/m</w:t>
            </w:r>
            <w:r>
              <w:rPr>
                <w:rFonts w:hint="default" w:ascii="宋体" w:hAnsi="宋体" w:cs="宋体"/>
                <w:color w:val="auto"/>
                <w:sz w:val="24"/>
                <w:vertAlign w:val="superscript"/>
              </w:rPr>
              <w:t>3</w:t>
            </w:r>
            <w:r>
              <w:rPr>
                <w:rFonts w:hint="eastAsia" w:ascii="宋体" w:hAnsi="宋体" w:cs="宋体"/>
                <w:color w:val="auto"/>
                <w:sz w:val="24"/>
              </w:rPr>
              <w:t>，</w:t>
            </w:r>
            <w:r>
              <w:rPr>
                <w:rFonts w:hint="eastAsia" w:ascii="宋体" w:hAnsi="宋体" w:cs="宋体"/>
                <w:color w:val="auto"/>
                <w:sz w:val="24"/>
                <w:lang w:val="en-US"/>
              </w:rPr>
              <w:t>非甲烷总烃排放浓度</w:t>
            </w:r>
            <w:r>
              <w:rPr>
                <w:rFonts w:hint="default" w:ascii="宋体" w:hAnsi="宋体" w:cs="宋体"/>
                <w:color w:val="auto"/>
                <w:sz w:val="24"/>
                <w:lang w:val="en-US"/>
              </w:rPr>
              <w:t>10</w:t>
            </w:r>
            <w:r>
              <w:rPr>
                <w:rFonts w:hint="default" w:ascii="宋体" w:hAnsi="宋体" w:cs="宋体"/>
                <w:color w:val="auto"/>
                <w:sz w:val="24"/>
              </w:rPr>
              <w:t>.0mg/m</w:t>
            </w:r>
            <w:r>
              <w:rPr>
                <w:rFonts w:hint="default" w:ascii="宋体" w:hAnsi="宋体" w:cs="宋体"/>
                <w:color w:val="auto"/>
                <w:sz w:val="24"/>
                <w:vertAlign w:val="superscript"/>
              </w:rPr>
              <w:t>3</w:t>
            </w:r>
            <w:r>
              <w:rPr>
                <w:rFonts w:hint="eastAsia" w:ascii="宋体" w:hAnsi="宋体" w:cs="宋体"/>
                <w:color w:val="auto"/>
                <w:sz w:val="24"/>
              </w:rPr>
              <w:t>的标准限值要求。食堂油烟</w:t>
            </w:r>
            <w:r>
              <w:rPr>
                <w:rFonts w:hint="eastAsia" w:ascii="宋体" w:hAnsi="宋体" w:cs="宋体"/>
                <w:color w:val="auto"/>
                <w:sz w:val="24"/>
                <w:lang w:val="en-US"/>
              </w:rPr>
              <w:t>排放浓度达标，对周围环境影响小。</w:t>
            </w:r>
          </w:p>
          <w:p>
            <w:pPr>
              <w:pStyle w:val="36"/>
              <w:keepNext w:val="0"/>
              <w:keepLines w:val="0"/>
              <w:suppressLineNumbers w:val="0"/>
              <w:spacing w:before="0" w:beforeAutospacing="0" w:after="0" w:afterAutospacing="0"/>
              <w:ind w:left="0" w:right="0" w:firstLine="496" w:firstLineChars="200"/>
              <w:rPr>
                <w:rFonts w:hint="eastAsia" w:ascii="宋体" w:hAnsi="宋体" w:cs="宋体"/>
                <w:color w:val="auto"/>
                <w:sz w:val="24"/>
              </w:rPr>
            </w:pPr>
            <w:r>
              <w:rPr>
                <w:rFonts w:hint="eastAsia" w:ascii="宋体" w:hAnsi="宋体" w:cs="宋体"/>
                <w:color w:val="auto"/>
                <w:sz w:val="24"/>
                <w:lang w:val="en-US"/>
              </w:rPr>
              <w:t xml:space="preserve">（3）备用发电机尾气 </w:t>
            </w:r>
          </w:p>
          <w:p>
            <w:pPr>
              <w:pStyle w:val="36"/>
              <w:keepNext w:val="0"/>
              <w:keepLines w:val="0"/>
              <w:suppressLineNumbers w:val="0"/>
              <w:spacing w:before="0" w:beforeAutospacing="0" w:after="0" w:afterAutospacing="0"/>
              <w:ind w:left="0" w:right="0" w:firstLine="496" w:firstLineChars="200"/>
              <w:rPr>
                <w:rFonts w:hint="eastAsia" w:ascii="宋体" w:hAnsi="宋体" w:cs="宋体"/>
                <w:color w:val="auto"/>
                <w:sz w:val="24"/>
              </w:rPr>
            </w:pPr>
            <w:r>
              <w:rPr>
                <w:rFonts w:hint="eastAsia" w:ascii="宋体" w:hAnsi="宋体" w:cs="宋体"/>
                <w:color w:val="auto"/>
                <w:sz w:val="24"/>
                <w:lang w:val="en-US"/>
              </w:rPr>
              <w:t>项目设置有</w:t>
            </w:r>
            <w:r>
              <w:rPr>
                <w:rFonts w:hint="default" w:ascii="宋体" w:hAnsi="宋体" w:cs="宋体"/>
                <w:color w:val="auto"/>
                <w:sz w:val="24"/>
                <w:lang w:val="en-US"/>
              </w:rPr>
              <w:t>1</w:t>
            </w:r>
            <w:r>
              <w:rPr>
                <w:rFonts w:hint="eastAsia" w:ascii="宋体" w:hAnsi="宋体" w:cs="宋体"/>
                <w:color w:val="auto"/>
                <w:sz w:val="24"/>
                <w:lang w:val="en-US"/>
              </w:rPr>
              <w:t>台备用柴油发电机作为备用电源，仅供消防及停电时使用，该发电机采用轻质柴油（含硫率</w:t>
            </w:r>
            <w:r>
              <w:rPr>
                <w:rFonts w:hint="default" w:ascii="宋体" w:hAnsi="宋体" w:cs="宋体"/>
                <w:color w:val="auto"/>
                <w:sz w:val="24"/>
                <w:lang w:val="en-US"/>
              </w:rPr>
              <w:t>≤10mg/kg</w:t>
            </w:r>
            <w:r>
              <w:rPr>
                <w:rFonts w:hint="eastAsia" w:ascii="宋体" w:hAnsi="宋体" w:cs="宋体"/>
                <w:color w:val="auto"/>
                <w:sz w:val="24"/>
                <w:lang w:val="en-US"/>
              </w:rPr>
              <w:t>）作燃料，燃烧较为完全，备用发电机尾气需发电机自带的排气管通过专用烟道以无组织形式排入大气环境。发电机作为备用电源，仅在市政停电紧急情况下使用，由于该区日常供电稳定，发电机使用频率较低，全年使用时间一般不超过2次，产污量较少，故不进行定量分析。备用发电机单独置于</w:t>
            </w:r>
            <w:r>
              <w:rPr>
                <w:rFonts w:hint="eastAsia" w:ascii="宋体" w:hAnsi="宋体" w:cs="宋体"/>
                <w:color w:val="auto"/>
                <w:sz w:val="24"/>
                <w:lang w:val="en-US" w:eastAsia="zh-CN"/>
              </w:rPr>
              <w:t>门诊楼</w:t>
            </w:r>
            <w:r>
              <w:rPr>
                <w:rFonts w:hint="default" w:ascii="宋体" w:hAnsi="宋体" w:cs="宋体"/>
                <w:color w:val="auto"/>
                <w:sz w:val="24"/>
                <w:lang w:val="en-US" w:eastAsia="zh-CN"/>
              </w:rPr>
              <w:t>1F</w:t>
            </w:r>
            <w:r>
              <w:rPr>
                <w:rFonts w:hint="eastAsia" w:ascii="宋体" w:hAnsi="宋体" w:cs="宋体"/>
                <w:color w:val="auto"/>
                <w:sz w:val="24"/>
                <w:lang w:val="en-US"/>
              </w:rPr>
              <w:t>发电室内，备用发电机使用时产生的尾气通过发电机自带的排气管通过专用烟道以无组织形式排入大气环境，排气管位置应避开人群穿流区及聚集区。</w:t>
            </w:r>
          </w:p>
          <w:p>
            <w:pPr>
              <w:pStyle w:val="36"/>
              <w:keepNext w:val="0"/>
              <w:keepLines w:val="0"/>
              <w:suppressLineNumbers w:val="0"/>
              <w:spacing w:before="0" w:beforeAutospacing="0" w:after="0" w:afterAutospacing="0"/>
              <w:ind w:left="0" w:right="0"/>
              <w:rPr>
                <w:rFonts w:hint="eastAsia" w:ascii="宋体" w:hAnsi="宋体" w:cs="宋体"/>
                <w:color w:val="auto"/>
                <w:spacing w:val="0"/>
                <w:kern w:val="2"/>
                <w:sz w:val="24"/>
                <w:lang w:val="en-US"/>
              </w:rPr>
            </w:pPr>
            <w:r>
              <w:rPr>
                <w:rFonts w:hint="eastAsia" w:ascii="宋体" w:hAnsi="宋体" w:cs="宋体"/>
                <w:color w:val="auto"/>
                <w:spacing w:val="0"/>
                <w:kern w:val="2"/>
                <w:sz w:val="24"/>
                <w:lang w:val="en-US"/>
              </w:rPr>
              <w:t>综上所述，本项目废气污染物对周围环境影响轻微。</w:t>
            </w:r>
          </w:p>
          <w:p>
            <w:pPr>
              <w:pStyle w:val="36"/>
              <w:keepNext w:val="0"/>
              <w:keepLines w:val="0"/>
              <w:numPr>
                <w:ilvl w:val="0"/>
                <w:numId w:val="0"/>
              </w:numPr>
              <w:suppressLineNumbers w:val="0"/>
              <w:spacing w:before="0" w:beforeAutospacing="0" w:after="0" w:afterAutospacing="0"/>
              <w:ind w:left="0" w:right="0" w:firstLine="480" w:firstLineChars="200"/>
              <w:rPr>
                <w:rFonts w:hint="default" w:ascii="宋体" w:hAnsi="宋体" w:cs="宋体"/>
                <w:color w:val="auto"/>
                <w:spacing w:val="0"/>
                <w:kern w:val="2"/>
                <w:sz w:val="24"/>
                <w:lang w:val="en-US" w:eastAsia="zh-CN"/>
              </w:rPr>
            </w:pPr>
            <w:r>
              <w:rPr>
                <w:rFonts w:hint="eastAsia" w:ascii="宋体" w:hAnsi="宋体" w:cs="宋体"/>
                <w:color w:val="auto"/>
                <w:spacing w:val="0"/>
                <w:kern w:val="2"/>
                <w:sz w:val="24"/>
                <w:lang w:val="en-US" w:eastAsia="zh-CN"/>
              </w:rPr>
              <w:t>（</w:t>
            </w:r>
            <w:r>
              <w:rPr>
                <w:rFonts w:hint="default" w:ascii="宋体" w:hAnsi="宋体" w:cs="宋体"/>
                <w:color w:val="auto"/>
                <w:spacing w:val="0"/>
                <w:kern w:val="2"/>
                <w:sz w:val="24"/>
                <w:lang w:val="en-US" w:eastAsia="zh-CN"/>
              </w:rPr>
              <w:t>4</w:t>
            </w:r>
            <w:r>
              <w:rPr>
                <w:rFonts w:hint="eastAsia" w:ascii="宋体" w:hAnsi="宋体" w:cs="宋体"/>
                <w:color w:val="auto"/>
                <w:spacing w:val="0"/>
                <w:kern w:val="2"/>
                <w:sz w:val="24"/>
                <w:lang w:val="en-US" w:eastAsia="zh-CN"/>
              </w:rPr>
              <w:t>）大气监测计划</w:t>
            </w:r>
          </w:p>
          <w:p>
            <w:pPr>
              <w:keepNext w:val="0"/>
              <w:keepLines w:val="0"/>
              <w:widowControl/>
              <w:suppressLineNumbers w:val="0"/>
              <w:spacing w:before="0" w:beforeAutospacing="0" w:after="0" w:afterAutospacing="0"/>
              <w:ind w:left="0" w:right="0"/>
              <w:jc w:val="left"/>
              <w:rPr>
                <w:rFonts w:hint="default" w:ascii="Calibri" w:hAnsi="Calibri" w:cs="Times New Roman"/>
                <w:color w:val="auto"/>
              </w:rPr>
            </w:pPr>
            <w:r>
              <w:rPr>
                <w:rFonts w:hint="eastAsia" w:ascii="宋体" w:hAnsi="宋体" w:eastAsia="宋体" w:cs="宋体"/>
                <w:color w:val="auto"/>
                <w:kern w:val="0"/>
                <w:sz w:val="24"/>
                <w:szCs w:val="24"/>
                <w:lang w:val="en-US" w:eastAsia="zh-CN" w:bidi="ar"/>
              </w:rPr>
              <w:t>项目床位为</w:t>
            </w:r>
            <w:r>
              <w:rPr>
                <w:rFonts w:hint="default" w:ascii="宋体" w:hAnsi="宋体" w:eastAsia="宋体" w:cs="宋体"/>
                <w:color w:val="auto"/>
                <w:kern w:val="0"/>
                <w:sz w:val="24"/>
                <w:szCs w:val="24"/>
                <w:lang w:val="en-US" w:eastAsia="zh-CN" w:bidi="ar"/>
              </w:rPr>
              <w:t>250</w:t>
            </w:r>
            <w:r>
              <w:rPr>
                <w:rFonts w:hint="eastAsia" w:ascii="宋体" w:hAnsi="宋体" w:eastAsia="宋体" w:cs="宋体"/>
                <w:color w:val="auto"/>
                <w:kern w:val="0"/>
                <w:sz w:val="24"/>
                <w:szCs w:val="24"/>
                <w:lang w:val="en-US" w:eastAsia="zh-CN" w:bidi="ar"/>
              </w:rPr>
              <w:t>张，根据《固定污染源排污许可分类管理名录》，项目排污许可证为登记管理，参考《排污许可证申请与核发技术规范医疗机构》（</w:t>
            </w:r>
            <w:r>
              <w:rPr>
                <w:rFonts w:hint="default" w:ascii="Times New Roman" w:hAnsi="Times New Roman" w:eastAsia="宋体" w:cs="Times New Roman"/>
                <w:color w:val="auto"/>
                <w:kern w:val="0"/>
                <w:sz w:val="24"/>
                <w:szCs w:val="24"/>
                <w:lang w:val="en-US" w:eastAsia="zh-CN" w:bidi="ar"/>
              </w:rPr>
              <w:t>HJ1105-2020</w:t>
            </w:r>
            <w:r>
              <w:rPr>
                <w:rFonts w:hint="eastAsia" w:ascii="宋体" w:hAnsi="宋体" w:eastAsia="宋体" w:cs="宋体"/>
                <w:color w:val="auto"/>
                <w:kern w:val="0"/>
                <w:sz w:val="24"/>
                <w:szCs w:val="24"/>
                <w:lang w:val="en-US" w:eastAsia="zh-CN" w:bidi="ar"/>
              </w:rPr>
              <w:t>），项目废气监测计划如下。项目废气监测计划见表</w:t>
            </w:r>
            <w:r>
              <w:rPr>
                <w:rFonts w:hint="default" w:ascii="Times New Roman" w:hAnsi="Times New Roman" w:eastAsia="宋体" w:cs="Times New Roman"/>
                <w:color w:val="auto"/>
                <w:kern w:val="0"/>
                <w:sz w:val="24"/>
                <w:szCs w:val="24"/>
                <w:lang w:val="en-US" w:eastAsia="zh-CN" w:bidi="ar"/>
              </w:rPr>
              <w:t>4-8</w:t>
            </w:r>
            <w:r>
              <w:rPr>
                <w:rFonts w:hint="eastAsia" w:ascii="宋体" w:hAnsi="宋体" w:eastAsia="宋体" w:cs="宋体"/>
                <w:color w:val="auto"/>
                <w:kern w:val="0"/>
                <w:sz w:val="24"/>
                <w:szCs w:val="24"/>
                <w:lang w:val="en-US" w:eastAsia="zh-CN" w:bidi="ar"/>
              </w:rPr>
              <w:t xml:space="preserve">。 </w:t>
            </w:r>
          </w:p>
          <w:p>
            <w:pPr>
              <w:keepNext w:val="0"/>
              <w:keepLines w:val="0"/>
              <w:widowControl/>
              <w:suppressLineNumbers w:val="0"/>
              <w:spacing w:before="0" w:beforeAutospacing="0" w:after="0" w:afterAutospacing="0"/>
              <w:ind w:left="0" w:right="0"/>
              <w:jc w:val="center"/>
              <w:rPr>
                <w:rFonts w:hint="default" w:ascii="Calibri" w:hAnsi="Calibri" w:cs="Times New Roman"/>
                <w:color w:val="auto"/>
                <w:sz w:val="24"/>
                <w:szCs w:val="24"/>
              </w:rPr>
            </w:pPr>
            <w:r>
              <w:rPr>
                <w:rFonts w:hint="eastAsia" w:ascii="宋体" w:hAnsi="宋体" w:eastAsia="宋体" w:cs="宋体"/>
                <w:b/>
                <w:bCs/>
                <w:color w:val="auto"/>
                <w:kern w:val="0"/>
                <w:sz w:val="24"/>
                <w:szCs w:val="24"/>
                <w:lang w:val="en-US" w:eastAsia="zh-CN" w:bidi="ar"/>
              </w:rPr>
              <w:t>表</w:t>
            </w:r>
            <w:r>
              <w:rPr>
                <w:rFonts w:hint="default" w:ascii="Times New Roman" w:hAnsi="Times New Roman" w:eastAsia="宋体" w:cs="Times New Roman"/>
                <w:b/>
                <w:bCs/>
                <w:color w:val="auto"/>
                <w:kern w:val="0"/>
                <w:sz w:val="24"/>
                <w:szCs w:val="24"/>
                <w:lang w:val="en-US" w:eastAsia="zh-CN" w:bidi="ar"/>
              </w:rPr>
              <w:t xml:space="preserve">4-8 </w:t>
            </w:r>
            <w:r>
              <w:rPr>
                <w:rFonts w:hint="eastAsia" w:ascii="宋体" w:hAnsi="宋体" w:eastAsia="宋体" w:cs="宋体"/>
                <w:b/>
                <w:bCs/>
                <w:color w:val="auto"/>
                <w:kern w:val="0"/>
                <w:sz w:val="24"/>
                <w:szCs w:val="24"/>
                <w:lang w:val="en-US" w:eastAsia="zh-CN" w:bidi="ar"/>
              </w:rPr>
              <w:t>大气污染监测计划</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744"/>
              <w:gridCol w:w="1013"/>
              <w:gridCol w:w="1516"/>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8" w:type="dxa"/>
                  <w:vAlign w:val="center"/>
                </w:tcPr>
                <w:p>
                  <w:pPr>
                    <w:pStyle w:val="36"/>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pacing w:val="0"/>
                      <w:kern w:val="2"/>
                      <w:sz w:val="21"/>
                      <w:szCs w:val="21"/>
                      <w:vertAlign w:val="baseline"/>
                      <w:lang w:val="en-US" w:eastAsia="zh-CN"/>
                    </w:rPr>
                  </w:pPr>
                  <w:r>
                    <w:rPr>
                      <w:rFonts w:hint="default" w:ascii="Times New Roman" w:hAnsi="Times New Roman" w:eastAsia="宋体" w:cs="Times New Roman"/>
                      <w:b/>
                      <w:bCs/>
                      <w:color w:val="auto"/>
                      <w:spacing w:val="0"/>
                      <w:kern w:val="2"/>
                      <w:sz w:val="21"/>
                      <w:szCs w:val="21"/>
                      <w:vertAlign w:val="baseline"/>
                      <w:lang w:val="en-US" w:eastAsia="zh-CN"/>
                    </w:rPr>
                    <w:t>监测点位</w:t>
                  </w:r>
                </w:p>
              </w:tc>
              <w:tc>
                <w:tcPr>
                  <w:tcW w:w="1744" w:type="dxa"/>
                  <w:vAlign w:val="center"/>
                </w:tcPr>
                <w:p>
                  <w:pPr>
                    <w:pStyle w:val="36"/>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pacing w:val="0"/>
                      <w:kern w:val="2"/>
                      <w:sz w:val="21"/>
                      <w:szCs w:val="21"/>
                      <w:vertAlign w:val="baseline"/>
                      <w:lang w:val="en-US" w:eastAsia="zh-CN"/>
                    </w:rPr>
                  </w:pPr>
                  <w:r>
                    <w:rPr>
                      <w:rFonts w:hint="default" w:ascii="Times New Roman" w:hAnsi="Times New Roman" w:eastAsia="宋体" w:cs="Times New Roman"/>
                      <w:b/>
                      <w:bCs/>
                      <w:color w:val="auto"/>
                      <w:spacing w:val="0"/>
                      <w:kern w:val="2"/>
                      <w:sz w:val="21"/>
                      <w:szCs w:val="21"/>
                      <w:vertAlign w:val="baseline"/>
                      <w:lang w:val="en-US" w:eastAsia="zh-CN"/>
                    </w:rPr>
                    <w:t>监测因子</w:t>
                  </w:r>
                </w:p>
              </w:tc>
              <w:tc>
                <w:tcPr>
                  <w:tcW w:w="1013" w:type="dxa"/>
                  <w:vAlign w:val="center"/>
                </w:tcPr>
                <w:p>
                  <w:pPr>
                    <w:pStyle w:val="36"/>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pacing w:val="0"/>
                      <w:kern w:val="2"/>
                      <w:sz w:val="21"/>
                      <w:szCs w:val="21"/>
                      <w:vertAlign w:val="baseline"/>
                      <w:lang w:val="en-US" w:eastAsia="zh-CN"/>
                    </w:rPr>
                  </w:pPr>
                  <w:r>
                    <w:rPr>
                      <w:rFonts w:hint="default" w:ascii="Times New Roman" w:hAnsi="Times New Roman" w:eastAsia="宋体" w:cs="Times New Roman"/>
                      <w:b/>
                      <w:bCs/>
                      <w:color w:val="auto"/>
                      <w:spacing w:val="0"/>
                      <w:kern w:val="2"/>
                      <w:sz w:val="21"/>
                      <w:szCs w:val="21"/>
                      <w:vertAlign w:val="baseline"/>
                      <w:lang w:val="en-US" w:eastAsia="zh-CN"/>
                    </w:rPr>
                    <w:t>监测频次</w:t>
                  </w:r>
                </w:p>
              </w:tc>
              <w:tc>
                <w:tcPr>
                  <w:tcW w:w="1516" w:type="dxa"/>
                  <w:vAlign w:val="center"/>
                </w:tcPr>
                <w:p>
                  <w:pPr>
                    <w:pStyle w:val="36"/>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pacing w:val="0"/>
                      <w:kern w:val="2"/>
                      <w:sz w:val="21"/>
                      <w:szCs w:val="21"/>
                      <w:vertAlign w:val="baseline"/>
                      <w:lang w:val="en-US" w:eastAsia="zh-CN"/>
                    </w:rPr>
                  </w:pPr>
                  <w:r>
                    <w:rPr>
                      <w:rFonts w:hint="default" w:ascii="Times New Roman" w:hAnsi="Times New Roman" w:eastAsia="宋体" w:cs="Times New Roman"/>
                      <w:b/>
                      <w:bCs/>
                      <w:color w:val="auto"/>
                      <w:spacing w:val="0"/>
                      <w:kern w:val="2"/>
                      <w:sz w:val="21"/>
                      <w:szCs w:val="21"/>
                      <w:vertAlign w:val="baseline"/>
                      <w:lang w:val="en-US" w:eastAsia="zh-CN"/>
                    </w:rPr>
                    <w:t>监测方法</w:t>
                  </w:r>
                </w:p>
              </w:tc>
              <w:tc>
                <w:tcPr>
                  <w:tcW w:w="3147" w:type="dxa"/>
                  <w:vAlign w:val="center"/>
                </w:tcPr>
                <w:p>
                  <w:pPr>
                    <w:pStyle w:val="36"/>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pacing w:val="0"/>
                      <w:kern w:val="2"/>
                      <w:sz w:val="21"/>
                      <w:szCs w:val="21"/>
                      <w:vertAlign w:val="baseline"/>
                      <w:lang w:val="en-US" w:eastAsia="zh-CN"/>
                    </w:rPr>
                  </w:pPr>
                  <w:r>
                    <w:rPr>
                      <w:rFonts w:hint="default" w:ascii="Times New Roman" w:hAnsi="Times New Roman" w:eastAsia="宋体" w:cs="Times New Roman"/>
                      <w:b/>
                      <w:bCs/>
                      <w:color w:val="auto"/>
                      <w:spacing w:val="0"/>
                      <w:kern w:val="2"/>
                      <w:sz w:val="21"/>
                      <w:szCs w:val="21"/>
                      <w:vertAlign w:val="baseli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8" w:type="dxa"/>
                  <w:vAlign w:val="center"/>
                </w:tcPr>
                <w:p>
                  <w:pPr>
                    <w:pStyle w:val="36"/>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sz w:val="21"/>
                      <w:szCs w:val="21"/>
                      <w:vertAlign w:val="baseline"/>
                      <w:lang w:val="en-US" w:eastAsia="zh-CN"/>
                    </w:rPr>
                  </w:pPr>
                  <w:r>
                    <w:rPr>
                      <w:rFonts w:hint="default" w:ascii="Times New Roman" w:hAnsi="Times New Roman" w:eastAsia="宋体" w:cs="Times New Roman"/>
                      <w:color w:val="auto"/>
                      <w:spacing w:val="0"/>
                      <w:kern w:val="2"/>
                      <w:sz w:val="21"/>
                      <w:szCs w:val="21"/>
                      <w:vertAlign w:val="baseline"/>
                      <w:lang w:val="en-US" w:eastAsia="zh-CN"/>
                    </w:rPr>
                    <w:t>污水处理站周界</w:t>
                  </w:r>
                </w:p>
              </w:tc>
              <w:tc>
                <w:tcPr>
                  <w:tcW w:w="174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sz w:val="21"/>
                      <w:szCs w:val="21"/>
                      <w:vertAlign w:val="baseline"/>
                      <w:lang w:val="en-US" w:eastAsia="zh-CN"/>
                    </w:rPr>
                  </w:pPr>
                  <w:r>
                    <w:rPr>
                      <w:rFonts w:hint="default" w:ascii="Times New Roman" w:hAnsi="Times New Roman" w:eastAsia="宋体" w:cs="Times New Roman"/>
                      <w:color w:val="auto"/>
                      <w:kern w:val="0"/>
                      <w:sz w:val="21"/>
                      <w:szCs w:val="21"/>
                      <w:lang w:val="en-US" w:eastAsia="zh-CN" w:bidi="ar"/>
                    </w:rPr>
                    <w:t>氨、硫化氢、臭气浓度、氯气、甲烷</w:t>
                  </w:r>
                </w:p>
              </w:tc>
              <w:tc>
                <w:tcPr>
                  <w:tcW w:w="1013" w:type="dxa"/>
                  <w:vAlign w:val="center"/>
                </w:tcPr>
                <w:p>
                  <w:pPr>
                    <w:pStyle w:val="36"/>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sz w:val="21"/>
                      <w:szCs w:val="21"/>
                      <w:vertAlign w:val="baseline"/>
                      <w:lang w:val="en-US" w:eastAsia="zh-CN"/>
                    </w:rPr>
                  </w:pPr>
                  <w:r>
                    <w:rPr>
                      <w:rFonts w:hint="default" w:ascii="Times New Roman" w:hAnsi="Times New Roman" w:eastAsia="宋体" w:cs="Times New Roman"/>
                      <w:color w:val="auto"/>
                      <w:spacing w:val="0"/>
                      <w:kern w:val="2"/>
                      <w:sz w:val="21"/>
                      <w:szCs w:val="21"/>
                      <w:vertAlign w:val="baseline"/>
                      <w:lang w:val="en-US" w:eastAsia="zh-CN"/>
                    </w:rPr>
                    <w:t>季度/次</w:t>
                  </w:r>
                </w:p>
              </w:tc>
              <w:tc>
                <w:tcPr>
                  <w:tcW w:w="151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sz w:val="21"/>
                      <w:szCs w:val="21"/>
                      <w:vertAlign w:val="baseline"/>
                      <w:lang w:val="en-US" w:eastAsia="zh-CN"/>
                    </w:rPr>
                  </w:pPr>
                  <w:r>
                    <w:rPr>
                      <w:rFonts w:hint="default" w:ascii="Times New Roman" w:hAnsi="Times New Roman" w:eastAsia="宋体" w:cs="Times New Roman"/>
                      <w:color w:val="auto"/>
                      <w:kern w:val="0"/>
                      <w:sz w:val="21"/>
                      <w:szCs w:val="21"/>
                      <w:lang w:val="en-US" w:eastAsia="zh-CN" w:bidi="ar"/>
                    </w:rPr>
                    <w:t>国家标准规划执行</w:t>
                  </w:r>
                </w:p>
              </w:tc>
              <w:tc>
                <w:tcPr>
                  <w:tcW w:w="31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sz w:val="21"/>
                      <w:szCs w:val="21"/>
                      <w:vertAlign w:val="baseline"/>
                      <w:lang w:val="en-US" w:eastAsia="zh-CN"/>
                    </w:rPr>
                  </w:pPr>
                  <w:r>
                    <w:rPr>
                      <w:rFonts w:hint="default" w:ascii="Times New Roman" w:hAnsi="Times New Roman" w:eastAsia="宋体" w:cs="Times New Roman"/>
                      <w:color w:val="auto"/>
                      <w:kern w:val="0"/>
                      <w:sz w:val="21"/>
                      <w:szCs w:val="21"/>
                      <w:lang w:val="en-US" w:eastAsia="zh-CN" w:bidi="ar"/>
                    </w:rPr>
                    <w:t>医疗机构水污染物排放标准》（GB</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-2005）表3中的排放标准</w:t>
                  </w:r>
                </w:p>
              </w:tc>
            </w:tr>
          </w:tbl>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b/>
                <w:color w:val="auto"/>
                <w:sz w:val="24"/>
                <w:szCs w:val="24"/>
              </w:rPr>
            </w:pPr>
            <w:r>
              <w:rPr>
                <w:rFonts w:hint="eastAsia" w:ascii="宋体" w:hAnsi="宋体" w:cs="宋体"/>
                <w:b/>
                <w:color w:val="auto"/>
                <w:sz w:val="24"/>
                <w:szCs w:val="24"/>
              </w:rPr>
              <w:t>3、噪声</w:t>
            </w:r>
          </w:p>
          <w:p>
            <w:pPr>
              <w:pStyle w:val="36"/>
              <w:keepNext w:val="0"/>
              <w:keepLines w:val="0"/>
              <w:suppressLineNumbers w:val="0"/>
              <w:spacing w:before="0" w:beforeAutospacing="0" w:after="0" w:afterAutospacing="0"/>
              <w:ind w:left="0" w:right="0" w:firstLine="480" w:firstLineChars="200"/>
              <w:rPr>
                <w:rFonts w:hint="eastAsia" w:ascii="宋体" w:hAnsi="宋体" w:cs="宋体"/>
                <w:color w:val="auto"/>
                <w:spacing w:val="0"/>
                <w:kern w:val="2"/>
                <w:sz w:val="24"/>
                <w:lang w:val="en-US"/>
              </w:rPr>
            </w:pPr>
            <w:r>
              <w:rPr>
                <w:rFonts w:hint="eastAsia" w:ascii="宋体" w:hAnsi="宋体" w:cs="宋体"/>
                <w:color w:val="auto"/>
                <w:spacing w:val="0"/>
                <w:kern w:val="2"/>
                <w:sz w:val="24"/>
                <w:lang w:val="en-US"/>
              </w:rPr>
              <w:t>1、噪声源情况及采取的措施</w:t>
            </w:r>
          </w:p>
          <w:p>
            <w:pPr>
              <w:keepNext w:val="0"/>
              <w:keepLines w:val="0"/>
              <w:widowControl/>
              <w:suppressLineNumbers w:val="0"/>
              <w:spacing w:before="0" w:beforeAutospacing="0" w:after="0" w:afterAutospacing="0" w:line="360" w:lineRule="auto"/>
              <w:ind w:left="0" w:right="0" w:firstLine="480" w:firstLineChars="200"/>
              <w:jc w:val="left"/>
              <w:rPr>
                <w:rFonts w:hint="default" w:ascii="Calibri" w:hAnsi="Calibri" w:cs="Times New Roman"/>
                <w:color w:val="auto"/>
              </w:rPr>
            </w:pPr>
            <w:r>
              <w:rPr>
                <w:rFonts w:hint="eastAsia" w:ascii="宋体" w:hAnsi="宋体" w:cs="宋体"/>
                <w:color w:val="auto"/>
                <w:sz w:val="24"/>
              </w:rPr>
              <w:t>运营期噪声源主要来源于人群活动、排风扇、水泵噪声、</w:t>
            </w:r>
            <w:r>
              <w:rPr>
                <w:rFonts w:hint="eastAsia" w:ascii="宋体" w:hAnsi="宋体" w:cs="宋体"/>
                <w:color w:val="auto"/>
                <w:kern w:val="0"/>
                <w:sz w:val="24"/>
                <w:szCs w:val="24"/>
                <w:lang w:bidi="ar"/>
              </w:rPr>
              <w:t>备用发电机的噪声；</w:t>
            </w:r>
            <w:r>
              <w:rPr>
                <w:rFonts w:hint="eastAsia" w:ascii="宋体" w:hAnsi="宋体" w:cs="宋体"/>
                <w:color w:val="auto"/>
                <w:sz w:val="24"/>
              </w:rPr>
              <w:t>人群活动、排风扇、水泵噪声噪声源强60</w:t>
            </w:r>
            <w:r>
              <w:rPr>
                <w:rFonts w:hint="default" w:ascii="Times New Roman" w:hAnsi="Times New Roman" w:cs="Times New Roman"/>
                <w:color w:val="auto"/>
                <w:sz w:val="24"/>
              </w:rPr>
              <w:t>~</w:t>
            </w:r>
            <w:r>
              <w:rPr>
                <w:rFonts w:hint="eastAsia" w:ascii="宋体" w:hAnsi="宋体" w:cs="宋体"/>
                <w:color w:val="auto"/>
                <w:sz w:val="24"/>
              </w:rPr>
              <w:t>75dB（A）之间，</w:t>
            </w:r>
            <w:r>
              <w:rPr>
                <w:rFonts w:hint="eastAsia" w:ascii="宋体" w:hAnsi="宋体" w:cs="宋体"/>
                <w:color w:val="auto"/>
                <w:kern w:val="0"/>
                <w:sz w:val="24"/>
                <w:szCs w:val="24"/>
                <w:lang w:bidi="ar"/>
              </w:rPr>
              <w:t xml:space="preserve">备用发电机的噪声声级值范围在 </w:t>
            </w:r>
            <w:r>
              <w:rPr>
                <w:rFonts w:hint="default" w:ascii="Times New Roman" w:hAnsi="Times New Roman" w:cs="Times New Roman"/>
                <w:color w:val="auto"/>
                <w:kern w:val="0"/>
                <w:sz w:val="24"/>
                <w:szCs w:val="24"/>
                <w:lang w:bidi="ar"/>
              </w:rPr>
              <w:t>95dB</w:t>
            </w:r>
            <w:r>
              <w:rPr>
                <w:rFonts w:hint="eastAsia" w:ascii="宋体" w:hAnsi="宋体" w:cs="宋体"/>
                <w:color w:val="auto"/>
                <w:kern w:val="0"/>
                <w:sz w:val="24"/>
                <w:szCs w:val="24"/>
                <w:lang w:bidi="ar"/>
              </w:rPr>
              <w:t>（</w:t>
            </w:r>
            <w:r>
              <w:rPr>
                <w:rFonts w:hint="default" w:ascii="Times New Roman" w:hAnsi="Times New Roman" w:cs="Times New Roman"/>
                <w:color w:val="auto"/>
                <w:kern w:val="0"/>
                <w:sz w:val="24"/>
                <w:szCs w:val="24"/>
                <w:lang w:bidi="ar"/>
              </w:rPr>
              <w:t>A</w:t>
            </w:r>
            <w:r>
              <w:rPr>
                <w:rFonts w:hint="eastAsia" w:ascii="宋体" w:hAnsi="宋体" w:cs="宋体"/>
                <w:color w:val="auto"/>
                <w:kern w:val="0"/>
                <w:sz w:val="24"/>
                <w:szCs w:val="24"/>
                <w:lang w:bidi="ar"/>
              </w:rPr>
              <w:t xml:space="preserve">）左右，但项目备用发电机作为项目第二供电源，仅在市政停电紧急情况下使用，由于该区日常供电稳定，发电机使用频率较低，单次使用持续时间约 </w:t>
            </w:r>
            <w:r>
              <w:rPr>
                <w:rFonts w:hint="default" w:ascii="Times New Roman" w:hAnsi="Times New Roman" w:cs="Times New Roman"/>
                <w:color w:val="auto"/>
                <w:kern w:val="0"/>
                <w:sz w:val="24"/>
                <w:szCs w:val="24"/>
                <w:lang w:bidi="ar"/>
              </w:rPr>
              <w:t>1~3h</w:t>
            </w:r>
            <w:r>
              <w:rPr>
                <w:rFonts w:hint="eastAsia" w:ascii="宋体" w:hAnsi="宋体" w:cs="宋体"/>
                <w:color w:val="auto"/>
                <w:kern w:val="0"/>
                <w:sz w:val="24"/>
                <w:szCs w:val="24"/>
                <w:lang w:bidi="ar"/>
              </w:rPr>
              <w:t xml:space="preserve">。即备用发电机噪声为偶发噪声，单次排放持续时间为 </w:t>
            </w:r>
            <w:r>
              <w:rPr>
                <w:rFonts w:hint="default" w:ascii="Times New Roman" w:hAnsi="Times New Roman" w:cs="Times New Roman"/>
                <w:color w:val="auto"/>
                <w:kern w:val="0"/>
                <w:sz w:val="24"/>
                <w:szCs w:val="24"/>
                <w:lang w:bidi="ar"/>
              </w:rPr>
              <w:t>1~3h</w:t>
            </w:r>
            <w:r>
              <w:rPr>
                <w:rFonts w:hint="eastAsia" w:ascii="宋体" w:hAnsi="宋体" w:cs="宋体"/>
                <w:color w:val="auto"/>
                <w:kern w:val="0"/>
                <w:sz w:val="24"/>
                <w:szCs w:val="24"/>
                <w:lang w:bidi="ar"/>
              </w:rPr>
              <w:t xml:space="preserve">。项目将备用发电机置于单独的发电室内，并采取基础减震、构筑设施隔声、距离衰减后噪声排放值可降低在 </w:t>
            </w:r>
            <w:r>
              <w:rPr>
                <w:rFonts w:hint="default" w:ascii="Times New Roman" w:hAnsi="Times New Roman" w:cs="Times New Roman"/>
                <w:color w:val="auto"/>
                <w:kern w:val="0"/>
                <w:sz w:val="24"/>
                <w:szCs w:val="24"/>
                <w:lang w:bidi="ar"/>
              </w:rPr>
              <w:t>60dB</w:t>
            </w:r>
            <w:r>
              <w:rPr>
                <w:rFonts w:hint="eastAsia" w:ascii="宋体" w:hAnsi="宋体" w:cs="宋体"/>
                <w:color w:val="auto"/>
                <w:kern w:val="0"/>
                <w:sz w:val="24"/>
                <w:szCs w:val="24"/>
                <w:lang w:bidi="ar"/>
              </w:rPr>
              <w:t>（</w:t>
            </w:r>
            <w:r>
              <w:rPr>
                <w:rFonts w:hint="default" w:ascii="Times New Roman" w:hAnsi="Times New Roman" w:cs="Times New Roman"/>
                <w:color w:val="auto"/>
                <w:kern w:val="0"/>
                <w:sz w:val="24"/>
                <w:szCs w:val="24"/>
                <w:lang w:bidi="ar"/>
              </w:rPr>
              <w:t>A</w:t>
            </w:r>
            <w:r>
              <w:rPr>
                <w:rFonts w:hint="eastAsia" w:ascii="宋体" w:hAnsi="宋体" w:cs="宋体"/>
                <w:color w:val="auto"/>
                <w:kern w:val="0"/>
                <w:sz w:val="24"/>
                <w:szCs w:val="24"/>
                <w:lang w:bidi="ar"/>
              </w:rPr>
              <w:t>）以下，</w:t>
            </w:r>
            <w:r>
              <w:rPr>
                <w:rFonts w:hint="eastAsia" w:ascii="宋体" w:hAnsi="宋体" w:cs="宋体"/>
                <w:color w:val="auto"/>
                <w:sz w:val="24"/>
                <w:szCs w:val="24"/>
              </w:rPr>
              <w:t>在使用备用发电机时使用减震垫，在密闭的发电室内工作。</w:t>
            </w:r>
            <w:r>
              <w:rPr>
                <w:rFonts w:hint="eastAsia" w:ascii="宋体" w:hAnsi="宋体" w:cs="宋体"/>
                <w:color w:val="auto"/>
                <w:kern w:val="0"/>
                <w:sz w:val="24"/>
                <w:szCs w:val="24"/>
                <w:lang w:bidi="ar"/>
              </w:rPr>
              <w:t>可实现厂界噪声达标排放。</w:t>
            </w:r>
          </w:p>
          <w:p>
            <w:pPr>
              <w:pStyle w:val="36"/>
              <w:keepNext w:val="0"/>
              <w:keepLines w:val="0"/>
              <w:suppressLineNumbers w:val="0"/>
              <w:spacing w:before="0" w:beforeAutospacing="0" w:after="0" w:afterAutospacing="0"/>
              <w:ind w:left="0" w:right="0" w:firstLine="480" w:firstLineChars="200"/>
              <w:rPr>
                <w:rFonts w:hint="eastAsia" w:ascii="宋体" w:hAnsi="宋体" w:cs="宋体"/>
                <w:color w:val="auto"/>
                <w:spacing w:val="0"/>
                <w:kern w:val="2"/>
                <w:sz w:val="24"/>
                <w:lang w:val="en-US"/>
              </w:rPr>
            </w:pPr>
            <w:r>
              <w:rPr>
                <w:rFonts w:hint="eastAsia" w:ascii="宋体" w:hAnsi="宋体" w:cs="宋体"/>
                <w:color w:val="auto"/>
                <w:spacing w:val="0"/>
                <w:kern w:val="2"/>
                <w:sz w:val="24"/>
                <w:lang w:val="en-US"/>
              </w:rPr>
              <w:t>本项目运营期采取治理措施如下：</w:t>
            </w:r>
          </w:p>
          <w:p>
            <w:pPr>
              <w:pStyle w:val="36"/>
              <w:keepNext w:val="0"/>
              <w:keepLines w:val="0"/>
              <w:suppressLineNumbers w:val="0"/>
              <w:spacing w:before="0" w:beforeAutospacing="0" w:after="0" w:afterAutospacing="0"/>
              <w:ind w:left="0" w:right="0" w:firstLine="480" w:firstLineChars="200"/>
              <w:rPr>
                <w:rFonts w:hint="eastAsia" w:ascii="宋体" w:hAnsi="宋体" w:cs="宋体"/>
                <w:color w:val="auto"/>
                <w:spacing w:val="0"/>
                <w:kern w:val="2"/>
                <w:sz w:val="24"/>
                <w:lang w:val="en-US"/>
              </w:rPr>
            </w:pPr>
            <w:r>
              <w:rPr>
                <w:rFonts w:hint="eastAsia" w:ascii="宋体" w:hAnsi="宋体" w:cs="宋体"/>
                <w:color w:val="auto"/>
                <w:spacing w:val="0"/>
                <w:kern w:val="2"/>
                <w:sz w:val="24"/>
                <w:lang w:val="en-US"/>
              </w:rPr>
              <w:t>1）调节池水泵设置为潜水泵，污水处理站水泵放置在一体化设施内部。一体化污水处理站利用建筑物隔声，排风扇利用墙体和门窗隔声。</w:t>
            </w:r>
          </w:p>
          <w:p>
            <w:pPr>
              <w:pStyle w:val="36"/>
              <w:keepNext w:val="0"/>
              <w:keepLines w:val="0"/>
              <w:suppressLineNumbers w:val="0"/>
              <w:spacing w:before="0" w:beforeAutospacing="0" w:after="0" w:afterAutospacing="0"/>
              <w:ind w:left="0" w:right="0" w:firstLine="480" w:firstLineChars="200"/>
              <w:rPr>
                <w:rFonts w:hint="eastAsia" w:ascii="宋体" w:hAnsi="宋体" w:cs="宋体"/>
                <w:color w:val="auto"/>
                <w:spacing w:val="0"/>
                <w:kern w:val="2"/>
                <w:sz w:val="24"/>
                <w:lang w:val="en-US"/>
              </w:rPr>
            </w:pPr>
            <w:r>
              <w:rPr>
                <w:rFonts w:hint="eastAsia" w:ascii="宋体" w:hAnsi="宋体" w:cs="宋体"/>
                <w:color w:val="auto"/>
                <w:spacing w:val="0"/>
                <w:kern w:val="2"/>
                <w:sz w:val="24"/>
                <w:lang w:val="en-US"/>
              </w:rPr>
              <w:t>2）在医院车流入口处放置提示标语院内禁止鸣笛或低速慢行等标语。</w:t>
            </w:r>
          </w:p>
          <w:p>
            <w:pPr>
              <w:pStyle w:val="36"/>
              <w:keepNext w:val="0"/>
              <w:keepLines w:val="0"/>
              <w:suppressLineNumbers w:val="0"/>
              <w:spacing w:before="0" w:beforeAutospacing="0" w:after="0" w:afterAutospacing="0"/>
              <w:ind w:left="0" w:right="0" w:firstLine="480" w:firstLineChars="200"/>
              <w:rPr>
                <w:rFonts w:hint="eastAsia" w:ascii="宋体" w:hAnsi="宋体" w:cs="宋体"/>
                <w:color w:val="auto"/>
                <w:spacing w:val="0"/>
                <w:kern w:val="2"/>
                <w:sz w:val="24"/>
                <w:lang w:val="en-US"/>
              </w:rPr>
            </w:pPr>
            <w:r>
              <w:rPr>
                <w:rFonts w:hint="eastAsia" w:ascii="宋体" w:hAnsi="宋体" w:cs="宋体"/>
                <w:color w:val="auto"/>
                <w:spacing w:val="0"/>
                <w:kern w:val="2"/>
                <w:sz w:val="24"/>
                <w:lang w:val="en-US"/>
              </w:rPr>
              <w:t>3）医院内部贴标语“禁止大声喧哗”等，提醒病患和其他人员。</w:t>
            </w:r>
          </w:p>
          <w:p>
            <w:pPr>
              <w:pStyle w:val="36"/>
              <w:keepNext w:val="0"/>
              <w:keepLines w:val="0"/>
              <w:suppressLineNumbers w:val="0"/>
              <w:spacing w:before="0" w:beforeAutospacing="0" w:after="0" w:afterAutospacing="0"/>
              <w:ind w:left="0" w:right="0" w:firstLine="480" w:firstLineChars="200"/>
              <w:rPr>
                <w:rFonts w:hint="eastAsia" w:ascii="宋体" w:hAnsi="宋体" w:cs="宋体"/>
                <w:color w:val="auto"/>
                <w:spacing w:val="0"/>
                <w:kern w:val="2"/>
                <w:sz w:val="24"/>
                <w:lang w:val="en-US"/>
              </w:rPr>
            </w:pPr>
            <w:r>
              <w:rPr>
                <w:rFonts w:hint="eastAsia" w:ascii="宋体" w:hAnsi="宋体" w:cs="宋体"/>
                <w:color w:val="auto"/>
                <w:spacing w:val="0"/>
                <w:kern w:val="2"/>
                <w:sz w:val="24"/>
                <w:lang w:val="en-US"/>
              </w:rPr>
              <w:t>4）定期对产生噪声和振动的设备进行检修维护，避免设备产生故障噪声及振动。</w:t>
            </w:r>
          </w:p>
          <w:p>
            <w:pPr>
              <w:pStyle w:val="36"/>
              <w:keepNext w:val="0"/>
              <w:keepLines w:val="0"/>
              <w:suppressLineNumbers w:val="0"/>
              <w:spacing w:before="0" w:beforeAutospacing="0" w:after="0" w:afterAutospacing="0"/>
              <w:ind w:left="0" w:right="0" w:firstLine="480" w:firstLineChars="200"/>
              <w:rPr>
                <w:rFonts w:hint="eastAsia" w:ascii="宋体" w:hAnsi="宋体" w:cs="宋体"/>
                <w:color w:val="auto"/>
                <w:spacing w:val="0"/>
                <w:kern w:val="2"/>
                <w:sz w:val="24"/>
                <w:lang w:val="en-US"/>
              </w:rPr>
            </w:pPr>
            <w:r>
              <w:rPr>
                <w:rFonts w:hint="eastAsia" w:ascii="宋体" w:hAnsi="宋体" w:cs="宋体"/>
                <w:color w:val="auto"/>
                <w:spacing w:val="0"/>
                <w:kern w:val="2"/>
                <w:sz w:val="24"/>
                <w:lang w:val="en-US"/>
              </w:rPr>
              <w:t>5）</w:t>
            </w:r>
            <w:r>
              <w:rPr>
                <w:rFonts w:hint="eastAsia" w:ascii="Calibri" w:hAnsi="Calibri" w:cs="Times New Roman"/>
                <w:color w:val="auto"/>
                <w:spacing w:val="-3"/>
                <w:sz w:val="24"/>
                <w:szCs w:val="22"/>
              </w:rPr>
              <w:t>备用发电机置于</w:t>
            </w:r>
            <w:r>
              <w:rPr>
                <w:rFonts w:hint="eastAsia" w:ascii="Calibri" w:hAnsi="Calibri" w:cs="Times New Roman"/>
                <w:color w:val="auto"/>
                <w:sz w:val="24"/>
                <w:szCs w:val="22"/>
              </w:rPr>
              <w:t>单独的发电室</w:t>
            </w:r>
            <w:r>
              <w:rPr>
                <w:rFonts w:hint="eastAsia" w:ascii="Calibri" w:hAnsi="Calibri" w:cs="Times New Roman"/>
                <w:color w:val="auto"/>
                <w:spacing w:val="-3"/>
                <w:sz w:val="24"/>
                <w:szCs w:val="22"/>
              </w:rPr>
              <w:t>内，并采取基础减震、构筑设施隔声、距离衰减。</w:t>
            </w:r>
          </w:p>
          <w:p>
            <w:pPr>
              <w:pStyle w:val="36"/>
              <w:keepNext w:val="0"/>
              <w:keepLines w:val="0"/>
              <w:suppressLineNumbers w:val="0"/>
              <w:spacing w:before="0" w:beforeAutospacing="0" w:after="0" w:afterAutospacing="0"/>
              <w:ind w:left="0" w:right="0" w:firstLine="480" w:firstLineChars="200"/>
              <w:rPr>
                <w:rFonts w:hint="eastAsia" w:ascii="宋体" w:hAnsi="宋体" w:cs="宋体"/>
                <w:color w:val="auto"/>
                <w:spacing w:val="0"/>
                <w:kern w:val="2"/>
                <w:sz w:val="24"/>
                <w:lang w:val="en-US"/>
              </w:rPr>
            </w:pPr>
            <w:r>
              <w:rPr>
                <w:rFonts w:hint="eastAsia" w:ascii="宋体" w:hAnsi="宋体" w:cs="宋体"/>
                <w:color w:val="auto"/>
                <w:spacing w:val="0"/>
                <w:kern w:val="2"/>
                <w:sz w:val="24"/>
                <w:lang w:val="en-US"/>
              </w:rPr>
              <w:t xml:space="preserve">6) </w:t>
            </w:r>
            <w:r>
              <w:rPr>
                <w:rFonts w:hint="eastAsia" w:ascii="宋体" w:hAnsi="宋体" w:cs="宋体"/>
                <w:color w:val="auto"/>
                <w:sz w:val="24"/>
                <w:lang w:val="en-US"/>
              </w:rPr>
              <w:t>在使用备用发电机时使用减震垫，在密闭的发电室内工作。</w:t>
            </w:r>
          </w:p>
          <w:p>
            <w:pPr>
              <w:pStyle w:val="36"/>
              <w:keepNext w:val="0"/>
              <w:keepLines w:val="0"/>
              <w:suppressLineNumbers w:val="0"/>
              <w:spacing w:before="0" w:beforeAutospacing="0" w:after="0" w:afterAutospacing="0"/>
              <w:ind w:left="0" w:right="0" w:firstLine="480" w:firstLineChars="200"/>
              <w:rPr>
                <w:rFonts w:hint="eastAsia" w:ascii="宋体" w:hAnsi="宋体" w:cs="宋体"/>
                <w:color w:val="auto"/>
                <w:spacing w:val="0"/>
                <w:kern w:val="2"/>
                <w:sz w:val="24"/>
                <w:lang w:val="en-US"/>
              </w:rPr>
            </w:pPr>
            <w:r>
              <w:rPr>
                <w:rFonts w:hint="eastAsia" w:ascii="宋体" w:hAnsi="宋体" w:cs="宋体"/>
                <w:color w:val="auto"/>
                <w:spacing w:val="0"/>
                <w:kern w:val="2"/>
                <w:sz w:val="24"/>
                <w:lang w:val="en-US"/>
              </w:rPr>
              <w:t>本项目噪声源强见下表。</w:t>
            </w:r>
          </w:p>
          <w:p>
            <w:pPr>
              <w:pStyle w:val="79"/>
              <w:keepNext w:val="0"/>
              <w:keepLines w:val="0"/>
              <w:suppressLineNumbers w:val="0"/>
              <w:spacing w:before="0" w:beforeAutospacing="0" w:after="0" w:afterAutospacing="0"/>
              <w:ind w:left="0" w:right="0" w:firstLine="0"/>
              <w:jc w:val="center"/>
              <w:rPr>
                <w:rFonts w:hint="eastAsia" w:cs="宋体"/>
                <w:b/>
                <w:color w:val="auto"/>
                <w:spacing w:val="4"/>
                <w:kern w:val="24"/>
                <w:sz w:val="24"/>
                <w:szCs w:val="24"/>
                <w:lang w:val="zh-CN"/>
              </w:rPr>
            </w:pPr>
            <w:r>
              <w:rPr>
                <w:rFonts w:hint="eastAsia" w:cs="宋体"/>
                <w:b/>
                <w:color w:val="auto"/>
                <w:spacing w:val="4"/>
                <w:kern w:val="24"/>
                <w:sz w:val="24"/>
                <w:szCs w:val="24"/>
                <w:lang w:val="zh-CN"/>
              </w:rPr>
              <w:t>表4-</w:t>
            </w:r>
            <w:r>
              <w:rPr>
                <w:rFonts w:hint="default" w:cs="宋体"/>
                <w:b/>
                <w:color w:val="auto"/>
                <w:spacing w:val="4"/>
                <w:kern w:val="24"/>
                <w:sz w:val="24"/>
                <w:szCs w:val="24"/>
              </w:rPr>
              <w:t>8</w:t>
            </w:r>
            <w:r>
              <w:rPr>
                <w:rFonts w:hint="eastAsia" w:cs="宋体"/>
                <w:b/>
                <w:color w:val="auto"/>
                <w:spacing w:val="4"/>
                <w:kern w:val="24"/>
                <w:sz w:val="24"/>
                <w:szCs w:val="24"/>
                <w:lang w:val="zh-CN"/>
              </w:rPr>
              <w:t xml:space="preserve">  噪声源强一览表  单位：dB(A)</w:t>
            </w:r>
          </w:p>
          <w:tbl>
            <w:tblPr>
              <w:tblStyle w:val="27"/>
              <w:tblW w:w="8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
              <w:gridCol w:w="419"/>
              <w:gridCol w:w="398"/>
              <w:gridCol w:w="358"/>
              <w:gridCol w:w="723"/>
              <w:gridCol w:w="516"/>
              <w:gridCol w:w="573"/>
              <w:gridCol w:w="573"/>
              <w:gridCol w:w="424"/>
              <w:gridCol w:w="667"/>
              <w:gridCol w:w="753"/>
              <w:gridCol w:w="777"/>
              <w:gridCol w:w="774"/>
              <w:gridCol w:w="702"/>
              <w:gridCol w:w="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58" w:type="dxa"/>
                  <w:vMerge w:val="restart"/>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序号</w:t>
                  </w:r>
                </w:p>
              </w:tc>
              <w:tc>
                <w:tcPr>
                  <w:tcW w:w="419" w:type="dxa"/>
                  <w:vMerge w:val="restart"/>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建筑物名称</w:t>
                  </w:r>
                </w:p>
              </w:tc>
              <w:tc>
                <w:tcPr>
                  <w:tcW w:w="398" w:type="dxa"/>
                  <w:vMerge w:val="restart"/>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声源名称</w:t>
                  </w:r>
                </w:p>
              </w:tc>
              <w:tc>
                <w:tcPr>
                  <w:tcW w:w="358" w:type="dxa"/>
                  <w:vMerge w:val="restart"/>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型号</w:t>
                  </w:r>
                </w:p>
              </w:tc>
              <w:tc>
                <w:tcPr>
                  <w:tcW w:w="723" w:type="dxa"/>
                  <w:vMerge w:val="restart"/>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声源源强/ dB（A）</w:t>
                  </w:r>
                </w:p>
              </w:tc>
              <w:tc>
                <w:tcPr>
                  <w:tcW w:w="516" w:type="dxa"/>
                  <w:vMerge w:val="restart"/>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声源控制措施</w:t>
                  </w:r>
                </w:p>
              </w:tc>
              <w:tc>
                <w:tcPr>
                  <w:tcW w:w="1570" w:type="dxa"/>
                  <w:gridSpan w:val="3"/>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空间相对位置/m</w:t>
                  </w:r>
                </w:p>
              </w:tc>
              <w:tc>
                <w:tcPr>
                  <w:tcW w:w="667" w:type="dxa"/>
                  <w:vMerge w:val="restart"/>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距室内边界距离/（m）</w:t>
                  </w:r>
                </w:p>
              </w:tc>
              <w:tc>
                <w:tcPr>
                  <w:tcW w:w="753" w:type="dxa"/>
                  <w:vMerge w:val="restart"/>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室内边界声级/dB（A）</w:t>
                  </w:r>
                </w:p>
              </w:tc>
              <w:tc>
                <w:tcPr>
                  <w:tcW w:w="777" w:type="dxa"/>
                  <w:vMerge w:val="restart"/>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运行时段</w:t>
                  </w:r>
                </w:p>
              </w:tc>
              <w:tc>
                <w:tcPr>
                  <w:tcW w:w="774" w:type="dxa"/>
                  <w:vMerge w:val="restart"/>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建筑物插入损失/dB（A）</w:t>
                  </w:r>
                </w:p>
              </w:tc>
              <w:tc>
                <w:tcPr>
                  <w:tcW w:w="1141" w:type="dxa"/>
                  <w:gridSpan w:val="2"/>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建筑物外噪声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358" w:type="dxa"/>
                  <w:vMerge w:val="continue"/>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p>
              </w:tc>
              <w:tc>
                <w:tcPr>
                  <w:tcW w:w="419" w:type="dxa"/>
                  <w:vMerge w:val="continue"/>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p>
              </w:tc>
              <w:tc>
                <w:tcPr>
                  <w:tcW w:w="398" w:type="dxa"/>
                  <w:vMerge w:val="continue"/>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p>
              </w:tc>
              <w:tc>
                <w:tcPr>
                  <w:tcW w:w="358" w:type="dxa"/>
                  <w:vMerge w:val="continue"/>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p>
              </w:tc>
              <w:tc>
                <w:tcPr>
                  <w:tcW w:w="723" w:type="dxa"/>
                  <w:vMerge w:val="continue"/>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p>
              </w:tc>
              <w:tc>
                <w:tcPr>
                  <w:tcW w:w="516" w:type="dxa"/>
                  <w:vMerge w:val="continue"/>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p>
              </w:tc>
              <w:tc>
                <w:tcPr>
                  <w:tcW w:w="573"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X</w:t>
                  </w:r>
                </w:p>
              </w:tc>
              <w:tc>
                <w:tcPr>
                  <w:tcW w:w="573"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Y</w:t>
                  </w:r>
                </w:p>
              </w:tc>
              <w:tc>
                <w:tcPr>
                  <w:tcW w:w="424"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Z</w:t>
                  </w:r>
                </w:p>
              </w:tc>
              <w:tc>
                <w:tcPr>
                  <w:tcW w:w="667" w:type="dxa"/>
                  <w:vMerge w:val="continue"/>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p>
              </w:tc>
              <w:tc>
                <w:tcPr>
                  <w:tcW w:w="753" w:type="dxa"/>
                  <w:vMerge w:val="continue"/>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p>
              </w:tc>
              <w:tc>
                <w:tcPr>
                  <w:tcW w:w="777" w:type="dxa"/>
                  <w:vMerge w:val="continue"/>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p>
              </w:tc>
              <w:tc>
                <w:tcPr>
                  <w:tcW w:w="774" w:type="dxa"/>
                  <w:vMerge w:val="continue"/>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p>
              </w:tc>
              <w:tc>
                <w:tcPr>
                  <w:tcW w:w="702"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声压级/ dB（A）</w:t>
                  </w:r>
                </w:p>
              </w:tc>
              <w:tc>
                <w:tcPr>
                  <w:tcW w:w="439"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358"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p>
              </w:tc>
              <w:tc>
                <w:tcPr>
                  <w:tcW w:w="419"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污水站</w:t>
                  </w:r>
                </w:p>
              </w:tc>
              <w:tc>
                <w:tcPr>
                  <w:tcW w:w="398"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水泵</w:t>
                  </w:r>
                </w:p>
              </w:tc>
              <w:tc>
                <w:tcPr>
                  <w:tcW w:w="358"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rPr>
                    <w:t>/</w:t>
                  </w:r>
                </w:p>
              </w:tc>
              <w:tc>
                <w:tcPr>
                  <w:tcW w:w="723"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85</w:t>
                  </w:r>
                </w:p>
              </w:tc>
              <w:tc>
                <w:tcPr>
                  <w:tcW w:w="516"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安装减震垫及层板隔声</w:t>
                  </w:r>
                </w:p>
              </w:tc>
              <w:tc>
                <w:tcPr>
                  <w:tcW w:w="573"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30.6</w:t>
                  </w:r>
                </w:p>
              </w:tc>
              <w:tc>
                <w:tcPr>
                  <w:tcW w:w="573"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52.78</w:t>
                  </w:r>
                </w:p>
              </w:tc>
              <w:tc>
                <w:tcPr>
                  <w:tcW w:w="424"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rPr>
                    <w:t>-</w:t>
                  </w:r>
                  <w:r>
                    <w:rPr>
                      <w:rFonts w:hint="default" w:ascii="Times New Roman" w:hAnsi="Times New Roman" w:eastAsia="宋体" w:cs="Times New Roman"/>
                      <w:color w:val="auto"/>
                      <w:sz w:val="18"/>
                      <w:szCs w:val="18"/>
                    </w:rPr>
                    <w:t>1</w:t>
                  </w:r>
                </w:p>
              </w:tc>
              <w:tc>
                <w:tcPr>
                  <w:tcW w:w="667"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p>
              </w:tc>
              <w:tc>
                <w:tcPr>
                  <w:tcW w:w="753"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80</w:t>
                  </w:r>
                </w:p>
              </w:tc>
              <w:tc>
                <w:tcPr>
                  <w:tcW w:w="777"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24h/d【8760h（365d×24h）】</w:t>
                  </w:r>
                </w:p>
              </w:tc>
              <w:tc>
                <w:tcPr>
                  <w:tcW w:w="774"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10</w:t>
                  </w:r>
                </w:p>
              </w:tc>
              <w:tc>
                <w:tcPr>
                  <w:tcW w:w="702"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70</w:t>
                  </w:r>
                </w:p>
              </w:tc>
              <w:tc>
                <w:tcPr>
                  <w:tcW w:w="439"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358"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lang w:val="en-US"/>
                    </w:rPr>
                  </w:pPr>
                  <w:r>
                    <w:rPr>
                      <w:rFonts w:hint="default" w:eastAsia="宋体" w:cs="Times New Roman"/>
                      <w:color w:val="auto"/>
                      <w:sz w:val="18"/>
                      <w:szCs w:val="18"/>
                      <w:lang w:val="en-US"/>
                    </w:rPr>
                    <w:t>2</w:t>
                  </w:r>
                </w:p>
              </w:tc>
              <w:tc>
                <w:tcPr>
                  <w:tcW w:w="419"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污水站</w:t>
                  </w:r>
                </w:p>
              </w:tc>
              <w:tc>
                <w:tcPr>
                  <w:tcW w:w="398"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eastAsia" w:ascii="Times New Roman" w:hAnsi="Times New Roman" w:eastAsia="宋体" w:cs="Times New Roman"/>
                      <w:color w:val="auto"/>
                      <w:sz w:val="18"/>
                      <w:szCs w:val="18"/>
                      <w:lang w:eastAsia="zh-CN"/>
                    </w:rPr>
                  </w:pPr>
                  <w:r>
                    <w:rPr>
                      <w:rFonts w:hint="eastAsia" w:eastAsia="宋体" w:cs="Times New Roman"/>
                      <w:color w:val="auto"/>
                      <w:sz w:val="18"/>
                      <w:szCs w:val="18"/>
                      <w:lang w:eastAsia="zh-CN"/>
                    </w:rPr>
                    <w:t>风机</w:t>
                  </w:r>
                </w:p>
              </w:tc>
              <w:tc>
                <w:tcPr>
                  <w:tcW w:w="358"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lang w:val="en-US"/>
                    </w:rPr>
                  </w:pPr>
                  <w:r>
                    <w:rPr>
                      <w:rFonts w:hint="default" w:eastAsia="宋体" w:cs="Times New Roman"/>
                      <w:color w:val="auto"/>
                      <w:sz w:val="18"/>
                      <w:szCs w:val="18"/>
                      <w:lang w:val="en-US"/>
                    </w:rPr>
                    <w:t>/</w:t>
                  </w:r>
                </w:p>
              </w:tc>
              <w:tc>
                <w:tcPr>
                  <w:tcW w:w="723"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lang w:val="en-US"/>
                    </w:rPr>
                  </w:pPr>
                  <w:r>
                    <w:rPr>
                      <w:rFonts w:hint="default" w:eastAsia="宋体" w:cs="Times New Roman"/>
                      <w:color w:val="auto"/>
                      <w:sz w:val="18"/>
                      <w:szCs w:val="18"/>
                      <w:lang w:val="en-US"/>
                    </w:rPr>
                    <w:t>85</w:t>
                  </w:r>
                </w:p>
              </w:tc>
              <w:tc>
                <w:tcPr>
                  <w:tcW w:w="516"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leftChars="0" w:right="0" w:rightChars="0"/>
                    <w:textAlignment w:val="baseline"/>
                    <w:rPr>
                      <w:rFonts w:hint="default" w:ascii="Times New Roman" w:hAnsi="Times New Roman" w:eastAsia="宋体" w:cs="Times New Roman"/>
                      <w:color w:val="auto"/>
                      <w:kern w:val="0"/>
                      <w:sz w:val="18"/>
                      <w:szCs w:val="18"/>
                      <w:lang w:val="zh-CN" w:eastAsia="zh-CN" w:bidi="ar-SA"/>
                    </w:rPr>
                  </w:pPr>
                  <w:r>
                    <w:rPr>
                      <w:rFonts w:hint="default" w:ascii="Times New Roman" w:hAnsi="Times New Roman" w:eastAsia="宋体" w:cs="Times New Roman"/>
                      <w:color w:val="auto"/>
                      <w:sz w:val="18"/>
                      <w:szCs w:val="18"/>
                    </w:rPr>
                    <w:t>安装减震垫及层板隔声</w:t>
                  </w:r>
                </w:p>
              </w:tc>
              <w:tc>
                <w:tcPr>
                  <w:tcW w:w="573"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1"/>
                      <w:lang w:val="en-US" w:eastAsia="zh-CN" w:bidi="ar-SA"/>
                    </w:rPr>
                  </w:pPr>
                  <w:r>
                    <w:rPr>
                      <w:rFonts w:hint="default" w:ascii="Arial" w:hAnsi="Arial" w:eastAsia="Arial" w:cs="Arial"/>
                      <w:color w:val="auto"/>
                      <w:sz w:val="20"/>
                    </w:rPr>
                    <w:t>-41</w:t>
                  </w:r>
                </w:p>
              </w:tc>
              <w:tc>
                <w:tcPr>
                  <w:tcW w:w="573"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1"/>
                      <w:lang w:val="en-US" w:eastAsia="zh-CN" w:bidi="ar-SA"/>
                    </w:rPr>
                  </w:pPr>
                  <w:r>
                    <w:rPr>
                      <w:rFonts w:hint="default" w:ascii="Arial" w:hAnsi="Arial" w:eastAsia="Arial" w:cs="Arial"/>
                      <w:color w:val="auto"/>
                      <w:sz w:val="20"/>
                    </w:rPr>
                    <w:t>-13.8</w:t>
                  </w:r>
                </w:p>
              </w:tc>
              <w:tc>
                <w:tcPr>
                  <w:tcW w:w="424"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1"/>
                      <w:lang w:val="en-US" w:eastAsia="zh-CN" w:bidi="ar-SA"/>
                    </w:rPr>
                  </w:pPr>
                  <w:r>
                    <w:rPr>
                      <w:rFonts w:hint="default" w:ascii="Arial" w:hAnsi="Arial" w:eastAsia="Arial" w:cs="Arial"/>
                      <w:color w:val="auto"/>
                      <w:sz w:val="20"/>
                    </w:rPr>
                    <w:t>1.2</w:t>
                  </w:r>
                </w:p>
              </w:tc>
              <w:tc>
                <w:tcPr>
                  <w:tcW w:w="667"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lang w:val="en-US"/>
                    </w:rPr>
                  </w:pPr>
                  <w:r>
                    <w:rPr>
                      <w:rFonts w:hint="default" w:eastAsia="宋体" w:cs="Times New Roman"/>
                      <w:color w:val="auto"/>
                      <w:sz w:val="18"/>
                      <w:szCs w:val="18"/>
                      <w:lang w:val="en-US"/>
                    </w:rPr>
                    <w:t>1</w:t>
                  </w:r>
                </w:p>
              </w:tc>
              <w:tc>
                <w:tcPr>
                  <w:tcW w:w="753"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leftChars="0" w:right="0" w:rightChars="0"/>
                    <w:textAlignment w:val="baseline"/>
                    <w:rPr>
                      <w:rFonts w:hint="default" w:ascii="Times New Roman" w:hAnsi="Times New Roman" w:eastAsia="宋体" w:cs="Times New Roman"/>
                      <w:color w:val="auto"/>
                      <w:kern w:val="0"/>
                      <w:sz w:val="18"/>
                      <w:szCs w:val="18"/>
                      <w:lang w:val="zh-CN" w:eastAsia="zh-CN" w:bidi="ar-SA"/>
                    </w:rPr>
                  </w:pPr>
                  <w:r>
                    <w:rPr>
                      <w:rFonts w:hint="default" w:ascii="Times New Roman" w:hAnsi="Times New Roman" w:eastAsia="宋体" w:cs="Times New Roman"/>
                      <w:color w:val="auto"/>
                      <w:sz w:val="18"/>
                      <w:szCs w:val="18"/>
                    </w:rPr>
                    <w:t>80</w:t>
                  </w:r>
                </w:p>
              </w:tc>
              <w:tc>
                <w:tcPr>
                  <w:tcW w:w="777"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leftChars="0" w:right="0" w:rightChars="0"/>
                    <w:textAlignment w:val="baseline"/>
                    <w:rPr>
                      <w:rFonts w:hint="default" w:ascii="Times New Roman" w:hAnsi="Times New Roman" w:eastAsia="宋体" w:cs="Times New Roman"/>
                      <w:color w:val="auto"/>
                      <w:kern w:val="0"/>
                      <w:sz w:val="18"/>
                      <w:szCs w:val="18"/>
                      <w:lang w:val="zh-CN" w:eastAsia="zh-CN" w:bidi="ar-SA"/>
                    </w:rPr>
                  </w:pPr>
                  <w:r>
                    <w:rPr>
                      <w:rFonts w:hint="default" w:ascii="Times New Roman" w:hAnsi="Times New Roman" w:eastAsia="宋体" w:cs="Times New Roman"/>
                      <w:color w:val="auto"/>
                      <w:sz w:val="18"/>
                      <w:szCs w:val="18"/>
                    </w:rPr>
                    <w:t>24h/d【8760h（365d×24h）】</w:t>
                  </w:r>
                </w:p>
              </w:tc>
              <w:tc>
                <w:tcPr>
                  <w:tcW w:w="774"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leftChars="0" w:right="0" w:rightChars="0"/>
                    <w:textAlignment w:val="baseline"/>
                    <w:rPr>
                      <w:rFonts w:hint="default" w:ascii="Times New Roman" w:hAnsi="Times New Roman" w:eastAsia="宋体" w:cs="Times New Roman"/>
                      <w:color w:val="auto"/>
                      <w:kern w:val="0"/>
                      <w:sz w:val="18"/>
                      <w:szCs w:val="18"/>
                      <w:lang w:val="zh-CN" w:eastAsia="zh-CN" w:bidi="ar-SA"/>
                    </w:rPr>
                  </w:pPr>
                  <w:r>
                    <w:rPr>
                      <w:rFonts w:hint="default" w:ascii="Times New Roman" w:hAnsi="Times New Roman" w:eastAsia="宋体" w:cs="Times New Roman"/>
                      <w:color w:val="auto"/>
                      <w:sz w:val="18"/>
                      <w:szCs w:val="18"/>
                    </w:rPr>
                    <w:t>10</w:t>
                  </w:r>
                </w:p>
              </w:tc>
              <w:tc>
                <w:tcPr>
                  <w:tcW w:w="702"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leftChars="0" w:right="0" w:rightChars="0"/>
                    <w:textAlignment w:val="baseline"/>
                    <w:rPr>
                      <w:rFonts w:hint="default" w:ascii="Times New Roman" w:hAnsi="Times New Roman" w:eastAsia="宋体" w:cs="Times New Roman"/>
                      <w:color w:val="auto"/>
                      <w:kern w:val="0"/>
                      <w:sz w:val="18"/>
                      <w:szCs w:val="18"/>
                      <w:lang w:val="zh-CN" w:eastAsia="zh-CN" w:bidi="ar-SA"/>
                    </w:rPr>
                  </w:pPr>
                  <w:r>
                    <w:rPr>
                      <w:rFonts w:hint="default" w:ascii="Times New Roman" w:hAnsi="Times New Roman" w:eastAsia="宋体" w:cs="Times New Roman"/>
                      <w:color w:val="auto"/>
                      <w:sz w:val="18"/>
                      <w:szCs w:val="18"/>
                    </w:rPr>
                    <w:t>70</w:t>
                  </w:r>
                </w:p>
              </w:tc>
              <w:tc>
                <w:tcPr>
                  <w:tcW w:w="439"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leftChars="0" w:right="0" w:rightChars="0"/>
                    <w:textAlignment w:val="baseline"/>
                    <w:rPr>
                      <w:rFonts w:hint="default" w:ascii="Times New Roman" w:hAnsi="Times New Roman" w:eastAsia="宋体" w:cs="Times New Roman"/>
                      <w:color w:val="auto"/>
                      <w:kern w:val="0"/>
                      <w:sz w:val="18"/>
                      <w:szCs w:val="18"/>
                      <w:lang w:val="zh-CN" w:eastAsia="zh-CN" w:bidi="ar-SA"/>
                    </w:rPr>
                  </w:pPr>
                  <w:r>
                    <w:rPr>
                      <w:rFonts w:hint="default" w:ascii="Times New Roman" w:hAnsi="Times New Roman" w:eastAsia="宋体" w:cs="Times New Roman"/>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1" w:hRule="atLeast"/>
                <w:jc w:val="center"/>
              </w:trPr>
              <w:tc>
                <w:tcPr>
                  <w:tcW w:w="358"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lang w:val="en-US"/>
                    </w:rPr>
                  </w:pPr>
                  <w:r>
                    <w:rPr>
                      <w:rFonts w:hint="default" w:eastAsia="宋体" w:cs="Times New Roman"/>
                      <w:color w:val="auto"/>
                      <w:sz w:val="18"/>
                      <w:szCs w:val="18"/>
                      <w:lang w:val="en-US"/>
                    </w:rPr>
                    <w:t>3</w:t>
                  </w:r>
                </w:p>
              </w:tc>
              <w:tc>
                <w:tcPr>
                  <w:tcW w:w="419"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eastAsia" w:ascii="Times New Roman" w:hAnsi="Times New Roman" w:eastAsia="宋体" w:cs="Times New Roman"/>
                      <w:color w:val="auto"/>
                      <w:sz w:val="18"/>
                      <w:szCs w:val="18"/>
                      <w:lang w:eastAsia="zh-CN"/>
                    </w:rPr>
                  </w:pPr>
                  <w:r>
                    <w:rPr>
                      <w:rFonts w:hint="eastAsia" w:eastAsia="宋体" w:cs="Times New Roman"/>
                      <w:color w:val="auto"/>
                      <w:sz w:val="18"/>
                      <w:szCs w:val="18"/>
                      <w:lang w:eastAsia="zh-CN"/>
                    </w:rPr>
                    <w:t>发电机房</w:t>
                  </w:r>
                </w:p>
              </w:tc>
              <w:tc>
                <w:tcPr>
                  <w:tcW w:w="398"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eastAsia" w:ascii="Times New Roman" w:hAnsi="Times New Roman" w:eastAsia="宋体" w:cs="Times New Roman"/>
                      <w:color w:val="auto"/>
                      <w:sz w:val="18"/>
                      <w:szCs w:val="18"/>
                      <w:lang w:eastAsia="zh-CN"/>
                    </w:rPr>
                  </w:pPr>
                  <w:r>
                    <w:rPr>
                      <w:rFonts w:hint="eastAsia" w:eastAsia="宋体" w:cs="Times New Roman"/>
                      <w:color w:val="auto"/>
                      <w:sz w:val="18"/>
                      <w:szCs w:val="18"/>
                      <w:lang w:eastAsia="zh-CN"/>
                    </w:rPr>
                    <w:t>发电机</w:t>
                  </w:r>
                </w:p>
              </w:tc>
              <w:tc>
                <w:tcPr>
                  <w:tcW w:w="358"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lang w:val="en-US"/>
                    </w:rPr>
                  </w:pPr>
                  <w:r>
                    <w:rPr>
                      <w:rFonts w:hint="default" w:eastAsia="宋体" w:cs="Times New Roman"/>
                      <w:color w:val="auto"/>
                      <w:sz w:val="18"/>
                      <w:szCs w:val="18"/>
                      <w:lang w:val="en-US"/>
                    </w:rPr>
                    <w:t>/</w:t>
                  </w:r>
                </w:p>
              </w:tc>
              <w:tc>
                <w:tcPr>
                  <w:tcW w:w="723"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lang w:val="en-US"/>
                    </w:rPr>
                  </w:pPr>
                  <w:r>
                    <w:rPr>
                      <w:rFonts w:hint="default" w:eastAsia="宋体" w:cs="Times New Roman"/>
                      <w:color w:val="auto"/>
                      <w:sz w:val="18"/>
                      <w:szCs w:val="18"/>
                      <w:lang w:val="en-US"/>
                    </w:rPr>
                    <w:t>90</w:t>
                  </w:r>
                </w:p>
              </w:tc>
              <w:tc>
                <w:tcPr>
                  <w:tcW w:w="516"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leftChars="0" w:right="0" w:rightChars="0"/>
                    <w:textAlignment w:val="baseline"/>
                    <w:rPr>
                      <w:rFonts w:hint="default" w:ascii="Times New Roman" w:hAnsi="Times New Roman" w:eastAsia="宋体" w:cs="Times New Roman"/>
                      <w:color w:val="auto"/>
                      <w:kern w:val="0"/>
                      <w:sz w:val="18"/>
                      <w:szCs w:val="18"/>
                      <w:lang w:val="zh-CN" w:eastAsia="zh-CN" w:bidi="ar-SA"/>
                    </w:rPr>
                  </w:pPr>
                  <w:r>
                    <w:rPr>
                      <w:rFonts w:hint="default" w:ascii="Times New Roman" w:hAnsi="Times New Roman" w:eastAsia="宋体" w:cs="Times New Roman"/>
                      <w:color w:val="auto"/>
                      <w:sz w:val="18"/>
                      <w:szCs w:val="18"/>
                    </w:rPr>
                    <w:t>安装减震垫及层板隔声</w:t>
                  </w:r>
                </w:p>
              </w:tc>
              <w:tc>
                <w:tcPr>
                  <w:tcW w:w="573"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1"/>
                      <w:lang w:val="en-US" w:eastAsia="zh-CN" w:bidi="ar-SA"/>
                    </w:rPr>
                  </w:pPr>
                  <w:r>
                    <w:rPr>
                      <w:rFonts w:hint="default" w:ascii="Arial" w:hAnsi="Arial" w:eastAsia="Arial" w:cs="Arial"/>
                      <w:color w:val="auto"/>
                      <w:sz w:val="20"/>
                    </w:rPr>
                    <w:t>-45.3</w:t>
                  </w:r>
                </w:p>
              </w:tc>
              <w:tc>
                <w:tcPr>
                  <w:tcW w:w="573"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1"/>
                      <w:lang w:val="en-US" w:eastAsia="zh-CN" w:bidi="ar-SA"/>
                    </w:rPr>
                  </w:pPr>
                  <w:r>
                    <w:rPr>
                      <w:rFonts w:hint="default" w:ascii="Arial" w:hAnsi="Arial" w:eastAsia="Arial" w:cs="Arial"/>
                      <w:color w:val="auto"/>
                      <w:sz w:val="20"/>
                    </w:rPr>
                    <w:t>-10.1</w:t>
                  </w:r>
                </w:p>
              </w:tc>
              <w:tc>
                <w:tcPr>
                  <w:tcW w:w="424"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1"/>
                      <w:lang w:val="en-US" w:eastAsia="zh-CN" w:bidi="ar-SA"/>
                    </w:rPr>
                  </w:pPr>
                  <w:r>
                    <w:rPr>
                      <w:rFonts w:hint="default" w:ascii="Arial" w:hAnsi="Arial" w:eastAsia="Arial" w:cs="Arial"/>
                      <w:color w:val="auto"/>
                      <w:sz w:val="20"/>
                    </w:rPr>
                    <w:t>1.2</w:t>
                  </w:r>
                </w:p>
              </w:tc>
              <w:tc>
                <w:tcPr>
                  <w:tcW w:w="667"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lang w:val="en-US"/>
                    </w:rPr>
                  </w:pPr>
                  <w:r>
                    <w:rPr>
                      <w:rFonts w:hint="default" w:eastAsia="宋体" w:cs="Times New Roman"/>
                      <w:color w:val="auto"/>
                      <w:sz w:val="18"/>
                      <w:szCs w:val="18"/>
                      <w:lang w:val="en-US"/>
                    </w:rPr>
                    <w:t>1</w:t>
                  </w:r>
                </w:p>
              </w:tc>
              <w:tc>
                <w:tcPr>
                  <w:tcW w:w="753"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leftChars="0" w:right="0" w:rightChars="0"/>
                    <w:textAlignment w:val="baseline"/>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sz w:val="18"/>
                      <w:szCs w:val="18"/>
                    </w:rPr>
                    <w:t>8</w:t>
                  </w:r>
                  <w:r>
                    <w:rPr>
                      <w:rFonts w:hint="default" w:eastAsia="宋体" w:cs="Times New Roman"/>
                      <w:color w:val="auto"/>
                      <w:sz w:val="18"/>
                      <w:szCs w:val="18"/>
                      <w:lang w:val="en-US"/>
                    </w:rPr>
                    <w:t>5</w:t>
                  </w:r>
                </w:p>
              </w:tc>
              <w:tc>
                <w:tcPr>
                  <w:tcW w:w="777"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leftChars="0" w:right="0" w:rightChars="0"/>
                    <w:textAlignment w:val="baseline"/>
                    <w:rPr>
                      <w:rFonts w:hint="default" w:ascii="Times New Roman" w:hAnsi="Times New Roman" w:eastAsia="宋体" w:cs="Times New Roman"/>
                      <w:color w:val="auto"/>
                      <w:kern w:val="0"/>
                      <w:sz w:val="18"/>
                      <w:szCs w:val="18"/>
                      <w:lang w:val="zh-CN" w:eastAsia="zh-CN" w:bidi="ar-SA"/>
                    </w:rPr>
                  </w:pPr>
                  <w:r>
                    <w:rPr>
                      <w:rFonts w:hint="default" w:ascii="Times New Roman" w:hAnsi="Times New Roman" w:eastAsia="宋体" w:cs="Times New Roman"/>
                      <w:color w:val="auto"/>
                      <w:sz w:val="18"/>
                      <w:szCs w:val="18"/>
                    </w:rPr>
                    <w:t>24h/d【8760h（365d×24h）】</w:t>
                  </w:r>
                </w:p>
              </w:tc>
              <w:tc>
                <w:tcPr>
                  <w:tcW w:w="774"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leftChars="0" w:right="0" w:rightChars="0"/>
                    <w:textAlignment w:val="baseline"/>
                    <w:rPr>
                      <w:rFonts w:hint="default" w:ascii="Times New Roman" w:hAnsi="Times New Roman" w:eastAsia="宋体" w:cs="Times New Roman"/>
                      <w:color w:val="auto"/>
                      <w:kern w:val="0"/>
                      <w:sz w:val="18"/>
                      <w:szCs w:val="18"/>
                      <w:lang w:val="zh-CN" w:eastAsia="zh-CN" w:bidi="ar-SA"/>
                    </w:rPr>
                  </w:pPr>
                  <w:r>
                    <w:rPr>
                      <w:rFonts w:hint="default" w:ascii="Times New Roman" w:hAnsi="Times New Roman" w:eastAsia="宋体" w:cs="Times New Roman"/>
                      <w:color w:val="auto"/>
                      <w:sz w:val="18"/>
                      <w:szCs w:val="18"/>
                    </w:rPr>
                    <w:t>10</w:t>
                  </w:r>
                </w:p>
              </w:tc>
              <w:tc>
                <w:tcPr>
                  <w:tcW w:w="702"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leftChars="0" w:right="0" w:rightChars="0"/>
                    <w:textAlignment w:val="baseline"/>
                    <w:rPr>
                      <w:rFonts w:hint="default" w:ascii="Times New Roman" w:hAnsi="Times New Roman" w:eastAsia="宋体" w:cs="Times New Roman"/>
                      <w:color w:val="auto"/>
                      <w:kern w:val="0"/>
                      <w:sz w:val="18"/>
                      <w:szCs w:val="18"/>
                      <w:lang w:val="zh-CN" w:eastAsia="zh-CN" w:bidi="ar-SA"/>
                    </w:rPr>
                  </w:pPr>
                  <w:r>
                    <w:rPr>
                      <w:rFonts w:hint="default" w:ascii="Times New Roman" w:hAnsi="Times New Roman" w:eastAsia="宋体" w:cs="Times New Roman"/>
                      <w:color w:val="auto"/>
                      <w:sz w:val="18"/>
                      <w:szCs w:val="18"/>
                    </w:rPr>
                    <w:t>70</w:t>
                  </w:r>
                </w:p>
              </w:tc>
              <w:tc>
                <w:tcPr>
                  <w:tcW w:w="439"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leftChars="0" w:right="0" w:rightChars="0"/>
                    <w:textAlignment w:val="baseline"/>
                    <w:rPr>
                      <w:rFonts w:hint="default" w:ascii="Times New Roman" w:hAnsi="Times New Roman" w:eastAsia="宋体" w:cs="Times New Roman"/>
                      <w:color w:val="auto"/>
                      <w:kern w:val="0"/>
                      <w:sz w:val="18"/>
                      <w:szCs w:val="18"/>
                      <w:lang w:val="zh-CN" w:eastAsia="zh-CN" w:bidi="ar-SA"/>
                    </w:rPr>
                  </w:pPr>
                  <w:r>
                    <w:rPr>
                      <w:rFonts w:hint="default" w:ascii="Times New Roman" w:hAnsi="Times New Roman" w:eastAsia="宋体" w:cs="Times New Roman"/>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8454" w:type="dxa"/>
                  <w:gridSpan w:val="15"/>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注：原点位于项目区东</w:t>
                  </w:r>
                  <w:r>
                    <w:rPr>
                      <w:rFonts w:hint="eastAsia" w:ascii="Times New Roman" w:hAnsi="Times New Roman" w:eastAsia="宋体" w:cs="Times New Roman"/>
                      <w:color w:val="auto"/>
                      <w:sz w:val="18"/>
                      <w:szCs w:val="18"/>
                      <w:lang w:eastAsia="zh-CN"/>
                    </w:rPr>
                    <w:t>北</w:t>
                  </w:r>
                  <w:r>
                    <w:rPr>
                      <w:rFonts w:hint="default" w:ascii="Times New Roman" w:hAnsi="Times New Roman" w:eastAsia="宋体" w:cs="Times New Roman"/>
                      <w:color w:val="auto"/>
                      <w:sz w:val="18"/>
                      <w:szCs w:val="18"/>
                    </w:rPr>
                    <w:t>角（项目用地红线东</w:t>
                  </w:r>
                  <w:r>
                    <w:rPr>
                      <w:rFonts w:hint="eastAsia" w:ascii="Times New Roman" w:hAnsi="Times New Roman" w:eastAsia="宋体" w:cs="Times New Roman"/>
                      <w:color w:val="auto"/>
                      <w:sz w:val="18"/>
                      <w:szCs w:val="18"/>
                      <w:lang w:eastAsia="zh-CN"/>
                    </w:rPr>
                    <w:t>北</w:t>
                  </w:r>
                  <w:r>
                    <w:rPr>
                      <w:rFonts w:hint="default" w:ascii="Times New Roman" w:hAnsi="Times New Roman" w:eastAsia="宋体" w:cs="Times New Roman"/>
                      <w:color w:val="auto"/>
                      <w:sz w:val="18"/>
                      <w:szCs w:val="18"/>
                    </w:rPr>
                    <w:t>拐角处）</w:t>
                  </w:r>
                </w:p>
              </w:tc>
            </w:tr>
          </w:tbl>
          <w:p>
            <w:pPr>
              <w:pStyle w:val="98"/>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textAlignment w:val="baseline"/>
              <w:rPr>
                <w:rFonts w:hint="default" w:ascii="Calibri" w:hAnsi="Calibri" w:cs="Times New Roman"/>
                <w:color w:val="auto"/>
              </w:rPr>
            </w:pPr>
            <w:r>
              <w:rPr>
                <w:rFonts w:hint="default" w:ascii="Calibri" w:hAnsi="Calibri" w:cs="Times New Roman"/>
                <w:color w:val="auto"/>
                <w:sz w:val="24"/>
                <w:szCs w:val="24"/>
              </w:rPr>
              <w:t>表</w:t>
            </w:r>
            <w:r>
              <w:rPr>
                <w:rFonts w:hint="default" w:ascii="Calibri" w:hAnsi="Calibri" w:cs="Times New Roman"/>
                <w:color w:val="auto"/>
                <w:sz w:val="24"/>
                <w:szCs w:val="24"/>
                <w:lang w:val="en-US"/>
              </w:rPr>
              <w:t>4-9</w:t>
            </w:r>
            <w:r>
              <w:rPr>
                <w:rFonts w:hint="default" w:ascii="Calibri" w:hAnsi="Calibri" w:cs="Times New Roman"/>
                <w:color w:val="auto"/>
                <w:sz w:val="24"/>
                <w:szCs w:val="24"/>
              </w:rPr>
              <w:t xml:space="preserve"> 企业噪声源强调查清单（室外声源）  单位：dB（A）</w:t>
            </w:r>
          </w:p>
          <w:tbl>
            <w:tblPr>
              <w:tblStyle w:val="2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990"/>
              <w:gridCol w:w="905"/>
              <w:gridCol w:w="565"/>
              <w:gridCol w:w="553"/>
              <w:gridCol w:w="546"/>
              <w:gridCol w:w="1043"/>
              <w:gridCol w:w="1134"/>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2" w:type="pct"/>
                  <w:vMerge w:val="restart"/>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r>
                    <w:rPr>
                      <w:rFonts w:hint="default" w:ascii="Calibri" w:hAnsi="Calibri" w:eastAsia="宋体" w:cs="Times New Roman"/>
                      <w:color w:val="auto"/>
                    </w:rPr>
                    <w:t>序号</w:t>
                  </w:r>
                </w:p>
              </w:tc>
              <w:tc>
                <w:tcPr>
                  <w:tcW w:w="569" w:type="pct"/>
                  <w:vMerge w:val="restart"/>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r>
                    <w:rPr>
                      <w:rFonts w:hint="default" w:ascii="Calibri" w:hAnsi="Calibri" w:eastAsia="宋体" w:cs="Times New Roman"/>
                      <w:color w:val="auto"/>
                    </w:rPr>
                    <w:t>声源名称</w:t>
                  </w:r>
                </w:p>
              </w:tc>
              <w:tc>
                <w:tcPr>
                  <w:tcW w:w="520" w:type="pct"/>
                  <w:vMerge w:val="restart"/>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r>
                    <w:rPr>
                      <w:rFonts w:hint="default" w:ascii="Calibri" w:hAnsi="Calibri" w:eastAsia="宋体" w:cs="Times New Roman"/>
                      <w:color w:val="auto"/>
                    </w:rPr>
                    <w:t>型号</w:t>
                  </w:r>
                </w:p>
              </w:tc>
              <w:tc>
                <w:tcPr>
                  <w:tcW w:w="957" w:type="pct"/>
                  <w:gridSpan w:val="3"/>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r>
                    <w:rPr>
                      <w:rFonts w:hint="default" w:ascii="Calibri" w:hAnsi="Calibri" w:eastAsia="宋体" w:cs="Times New Roman"/>
                      <w:color w:val="auto"/>
                    </w:rPr>
                    <w:t>空间相对位置</w:t>
                  </w:r>
                  <w:r>
                    <w:rPr>
                      <w:rFonts w:hint="default" w:ascii="Calibri" w:hAnsi="Calibri" w:cs="Times New Roman"/>
                      <w:color w:val="auto"/>
                    </w:rPr>
                    <w:t>/m</w:t>
                  </w:r>
                </w:p>
              </w:tc>
              <w:tc>
                <w:tcPr>
                  <w:tcW w:w="600" w:type="pct"/>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r>
                    <w:rPr>
                      <w:rFonts w:hint="default" w:ascii="Calibri" w:hAnsi="Calibri" w:eastAsia="宋体" w:cs="Times New Roman"/>
                      <w:color w:val="auto"/>
                    </w:rPr>
                    <w:t>声源源强</w:t>
                  </w:r>
                </w:p>
              </w:tc>
              <w:tc>
                <w:tcPr>
                  <w:tcW w:w="652" w:type="pct"/>
                  <w:vMerge w:val="restart"/>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r>
                    <w:rPr>
                      <w:rFonts w:hint="default" w:ascii="Calibri" w:hAnsi="Calibri" w:eastAsia="宋体" w:cs="Times New Roman"/>
                      <w:color w:val="auto"/>
                    </w:rPr>
                    <w:t>声源控制措施</w:t>
                  </w:r>
                </w:p>
              </w:tc>
              <w:tc>
                <w:tcPr>
                  <w:tcW w:w="1307" w:type="pct"/>
                  <w:vMerge w:val="restart"/>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r>
                    <w:rPr>
                      <w:rFonts w:hint="default" w:ascii="Calibri" w:hAnsi="Calibri" w:eastAsia="宋体" w:cs="Times New Roman"/>
                      <w:color w:val="auto"/>
                    </w:rPr>
                    <w:t>运行时段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2" w:type="pct"/>
                  <w:vMerge w:val="continue"/>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p>
              </w:tc>
              <w:tc>
                <w:tcPr>
                  <w:tcW w:w="569" w:type="pct"/>
                  <w:vMerge w:val="continue"/>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p>
              </w:tc>
              <w:tc>
                <w:tcPr>
                  <w:tcW w:w="520" w:type="pct"/>
                  <w:vMerge w:val="continue"/>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p>
              </w:tc>
              <w:tc>
                <w:tcPr>
                  <w:tcW w:w="325" w:type="pct"/>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r>
                    <w:rPr>
                      <w:rFonts w:hint="default" w:ascii="Calibri" w:hAnsi="Calibri" w:cs="Times New Roman"/>
                      <w:color w:val="auto"/>
                    </w:rPr>
                    <w:t>X</w:t>
                  </w:r>
                </w:p>
              </w:tc>
              <w:tc>
                <w:tcPr>
                  <w:tcW w:w="318" w:type="pct"/>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r>
                    <w:rPr>
                      <w:rFonts w:hint="default" w:ascii="Calibri" w:hAnsi="Calibri" w:cs="Times New Roman"/>
                      <w:color w:val="auto"/>
                    </w:rPr>
                    <w:t>Y</w:t>
                  </w:r>
                </w:p>
              </w:tc>
              <w:tc>
                <w:tcPr>
                  <w:tcW w:w="313" w:type="pct"/>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r>
                    <w:rPr>
                      <w:rFonts w:hint="default" w:ascii="Calibri" w:hAnsi="Calibri" w:cs="Times New Roman"/>
                      <w:color w:val="auto"/>
                    </w:rPr>
                    <w:t>Z</w:t>
                  </w:r>
                </w:p>
              </w:tc>
              <w:tc>
                <w:tcPr>
                  <w:tcW w:w="600" w:type="pct"/>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r>
                    <w:rPr>
                      <w:rFonts w:hint="default" w:ascii="Calibri" w:hAnsi="Calibri" w:eastAsia="宋体" w:cs="Times New Roman"/>
                      <w:color w:val="auto"/>
                    </w:rPr>
                    <w:t>声功率级</w:t>
                  </w:r>
                  <w:r>
                    <w:rPr>
                      <w:rFonts w:hint="default" w:ascii="Calibri" w:hAnsi="Calibri" w:cs="Times New Roman"/>
                      <w:color w:val="auto"/>
                    </w:rPr>
                    <w:t>/dB</w:t>
                  </w:r>
                  <w:r>
                    <w:rPr>
                      <w:rFonts w:hint="default" w:ascii="Calibri" w:hAnsi="Calibri" w:eastAsia="宋体" w:cs="Times New Roman"/>
                      <w:color w:val="auto"/>
                    </w:rPr>
                    <w:t>（</w:t>
                  </w:r>
                  <w:r>
                    <w:rPr>
                      <w:rFonts w:hint="default" w:ascii="Calibri" w:hAnsi="Calibri" w:cs="Times New Roman"/>
                      <w:color w:val="auto"/>
                    </w:rPr>
                    <w:t>A</w:t>
                  </w:r>
                  <w:r>
                    <w:rPr>
                      <w:rFonts w:hint="default" w:ascii="Calibri" w:hAnsi="Calibri" w:eastAsia="宋体" w:cs="Times New Roman"/>
                      <w:color w:val="auto"/>
                    </w:rPr>
                    <w:t>）</w:t>
                  </w:r>
                </w:p>
              </w:tc>
              <w:tc>
                <w:tcPr>
                  <w:tcW w:w="652" w:type="pct"/>
                  <w:vMerge w:val="continue"/>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p>
              </w:tc>
              <w:tc>
                <w:tcPr>
                  <w:tcW w:w="1307" w:type="pct"/>
                  <w:vMerge w:val="continue"/>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2" w:type="pct"/>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r>
                    <w:rPr>
                      <w:rFonts w:hint="default" w:ascii="Calibri" w:hAnsi="Calibri" w:cs="Times New Roman"/>
                      <w:color w:val="auto"/>
                    </w:rPr>
                    <w:t>1</w:t>
                  </w:r>
                </w:p>
              </w:tc>
              <w:tc>
                <w:tcPr>
                  <w:tcW w:w="569" w:type="pct"/>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r>
                    <w:rPr>
                      <w:rFonts w:hint="default" w:ascii="Calibri" w:hAnsi="Calibri" w:eastAsia="宋体" w:cs="Times New Roman"/>
                      <w:color w:val="auto"/>
                    </w:rPr>
                    <w:t>污水站风机</w:t>
                  </w:r>
                </w:p>
              </w:tc>
              <w:tc>
                <w:tcPr>
                  <w:tcW w:w="520" w:type="pct"/>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r>
                    <w:rPr>
                      <w:rFonts w:hint="default" w:ascii="Calibri" w:hAnsi="Calibri" w:cs="Times New Roman"/>
                      <w:color w:val="auto"/>
                      <w:lang w:val="en-US"/>
                    </w:rPr>
                    <w:t>8</w:t>
                  </w:r>
                  <w:r>
                    <w:rPr>
                      <w:rFonts w:hint="default" w:ascii="Calibri" w:hAnsi="Calibri" w:cs="Times New Roman"/>
                      <w:color w:val="auto"/>
                    </w:rPr>
                    <w:t>000m³/h</w:t>
                  </w:r>
                </w:p>
              </w:tc>
              <w:tc>
                <w:tcPr>
                  <w:tcW w:w="325" w:type="pct"/>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Calibri" w:hAnsi="Calibri" w:cs="Times New Roman"/>
                      <w:color w:val="auto"/>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rPr>
                    <w:t>8</w:t>
                  </w:r>
                  <w:r>
                    <w:rPr>
                      <w:rFonts w:hint="default" w:ascii="Times New Roman" w:hAnsi="Times New Roman" w:eastAsia="宋体" w:cs="Times New Roman"/>
                      <w:color w:val="auto"/>
                      <w:sz w:val="18"/>
                      <w:szCs w:val="18"/>
                    </w:rPr>
                    <w:t>.46</w:t>
                  </w:r>
                </w:p>
              </w:tc>
              <w:tc>
                <w:tcPr>
                  <w:tcW w:w="318" w:type="pct"/>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Calibri" w:hAnsi="Calibri" w:cs="Times New Roman"/>
                      <w:color w:val="auto"/>
                      <w:lang w:val="en-US"/>
                    </w:rPr>
                  </w:pPr>
                  <w:r>
                    <w:rPr>
                      <w:rFonts w:hint="default" w:ascii="Times New Roman" w:hAnsi="Times New Roman" w:eastAsia="宋体" w:cs="Times New Roman"/>
                      <w:color w:val="auto"/>
                      <w:sz w:val="18"/>
                      <w:szCs w:val="18"/>
                      <w:lang w:val="en-US"/>
                    </w:rPr>
                    <w:t>51.66</w:t>
                  </w:r>
                </w:p>
              </w:tc>
              <w:tc>
                <w:tcPr>
                  <w:tcW w:w="313" w:type="pct"/>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Calibri" w:hAnsi="Calibri" w:cs="Times New Roman"/>
                      <w:color w:val="auto"/>
                    </w:rPr>
                  </w:pPr>
                  <w:r>
                    <w:rPr>
                      <w:rFonts w:hint="default" w:ascii="Times New Roman" w:hAnsi="Times New Roman" w:eastAsia="宋体" w:cs="Times New Roman"/>
                      <w:color w:val="auto"/>
                      <w:sz w:val="18"/>
                      <w:szCs w:val="18"/>
                    </w:rPr>
                    <w:t>1</w:t>
                  </w:r>
                </w:p>
              </w:tc>
              <w:tc>
                <w:tcPr>
                  <w:tcW w:w="600" w:type="pct"/>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r>
                    <w:rPr>
                      <w:rFonts w:hint="default" w:ascii="Calibri" w:hAnsi="Calibri" w:cs="Times New Roman"/>
                      <w:color w:val="auto"/>
                    </w:rPr>
                    <w:t>80</w:t>
                  </w:r>
                </w:p>
              </w:tc>
              <w:tc>
                <w:tcPr>
                  <w:tcW w:w="652" w:type="pct"/>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r>
                    <w:rPr>
                      <w:rFonts w:hint="default" w:ascii="Calibri" w:hAnsi="Calibri" w:eastAsia="宋体" w:cs="Times New Roman"/>
                      <w:color w:val="auto"/>
                    </w:rPr>
                    <w:t>安装减震垫</w:t>
                  </w:r>
                </w:p>
              </w:tc>
              <w:tc>
                <w:tcPr>
                  <w:tcW w:w="1307" w:type="pct"/>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r>
                    <w:rPr>
                      <w:rFonts w:hint="default" w:ascii="Calibri" w:hAnsi="Calibri" w:cs="Times New Roman"/>
                      <w:color w:val="auto"/>
                    </w:rPr>
                    <w:t>24h/d</w:t>
                  </w:r>
                  <w:r>
                    <w:rPr>
                      <w:rFonts w:hint="default" w:ascii="Calibri" w:hAnsi="Calibri" w:eastAsia="宋体" w:cs="Times New Roman"/>
                      <w:color w:val="auto"/>
                    </w:rPr>
                    <w:t>【</w:t>
                  </w:r>
                  <w:r>
                    <w:rPr>
                      <w:rFonts w:hint="default" w:ascii="Calibri" w:hAnsi="Calibri" w:cs="Times New Roman"/>
                      <w:color w:val="auto"/>
                    </w:rPr>
                    <w:t>≤7200h</w:t>
                  </w:r>
                  <w:r>
                    <w:rPr>
                      <w:rFonts w:hint="default" w:ascii="Calibri" w:hAnsi="Calibri" w:eastAsia="宋体" w:cs="Times New Roman"/>
                      <w:color w:val="auto"/>
                    </w:rPr>
                    <w:t>（</w:t>
                  </w:r>
                  <w:r>
                    <w:rPr>
                      <w:rFonts w:hint="default" w:ascii="Calibri" w:hAnsi="Calibri" w:cs="Times New Roman"/>
                      <w:color w:val="auto"/>
                    </w:rPr>
                    <w:t>300d×24h</w:t>
                  </w:r>
                  <w:r>
                    <w:rPr>
                      <w:rFonts w:hint="default" w:ascii="Calibri" w:hAnsi="Calibri" w:eastAsia="宋体"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9"/>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r>
                    <w:rPr>
                      <w:rFonts w:hint="default" w:ascii="Times New Roman" w:hAnsi="Times New Roman" w:eastAsia="宋体" w:cs="Times New Roman"/>
                      <w:color w:val="auto"/>
                      <w:sz w:val="18"/>
                      <w:szCs w:val="18"/>
                    </w:rPr>
                    <w:t>注：原点位于项目区东</w:t>
                  </w:r>
                  <w:r>
                    <w:rPr>
                      <w:rFonts w:hint="eastAsia" w:ascii="Times New Roman" w:hAnsi="Times New Roman" w:eastAsia="宋体" w:cs="Times New Roman"/>
                      <w:color w:val="auto"/>
                      <w:sz w:val="18"/>
                      <w:szCs w:val="18"/>
                      <w:lang w:eastAsia="zh-CN"/>
                    </w:rPr>
                    <w:t>北</w:t>
                  </w:r>
                  <w:r>
                    <w:rPr>
                      <w:rFonts w:hint="default" w:ascii="Times New Roman" w:hAnsi="Times New Roman" w:eastAsia="宋体" w:cs="Times New Roman"/>
                      <w:color w:val="auto"/>
                      <w:sz w:val="18"/>
                      <w:szCs w:val="18"/>
                    </w:rPr>
                    <w:t>角（项目用地红线东</w:t>
                  </w:r>
                  <w:r>
                    <w:rPr>
                      <w:rFonts w:hint="eastAsia" w:ascii="Times New Roman" w:hAnsi="Times New Roman" w:eastAsia="宋体" w:cs="Times New Roman"/>
                      <w:color w:val="auto"/>
                      <w:sz w:val="18"/>
                      <w:szCs w:val="18"/>
                      <w:lang w:eastAsia="zh-CN"/>
                    </w:rPr>
                    <w:t>北</w:t>
                  </w:r>
                  <w:r>
                    <w:rPr>
                      <w:rFonts w:hint="default" w:ascii="Times New Roman" w:hAnsi="Times New Roman" w:eastAsia="宋体" w:cs="Times New Roman"/>
                      <w:color w:val="auto"/>
                      <w:sz w:val="18"/>
                      <w:szCs w:val="18"/>
                    </w:rPr>
                    <w:t>拐角处）</w:t>
                  </w:r>
                </w:p>
              </w:tc>
            </w:tr>
          </w:tbl>
          <w:p>
            <w:pPr>
              <w:pStyle w:val="36"/>
              <w:keepNext w:val="0"/>
              <w:keepLines w:val="0"/>
              <w:suppressLineNumbers w:val="0"/>
              <w:spacing w:before="0" w:beforeAutospacing="0" w:after="0" w:afterAutospacing="0"/>
              <w:ind w:left="0" w:right="0" w:firstLine="480" w:firstLineChars="200"/>
              <w:rPr>
                <w:rFonts w:hint="eastAsia" w:ascii="宋体" w:hAnsi="宋体" w:cs="宋体"/>
                <w:color w:val="auto"/>
                <w:spacing w:val="0"/>
                <w:kern w:val="2"/>
                <w:sz w:val="24"/>
                <w:lang w:val="en-US"/>
              </w:rPr>
            </w:pPr>
            <w:r>
              <w:rPr>
                <w:rFonts w:hint="eastAsia" w:ascii="宋体" w:hAnsi="宋体" w:cs="宋体"/>
                <w:color w:val="auto"/>
                <w:spacing w:val="0"/>
                <w:kern w:val="2"/>
                <w:sz w:val="24"/>
                <w:lang w:val="en-US"/>
              </w:rPr>
              <w:t>2.预测结果</w:t>
            </w:r>
          </w:p>
          <w:p>
            <w:pPr>
              <w:pStyle w:val="36"/>
              <w:keepNext w:val="0"/>
              <w:keepLines w:val="0"/>
              <w:suppressLineNumbers w:val="0"/>
              <w:spacing w:before="0" w:beforeAutospacing="0" w:after="0" w:afterAutospacing="0"/>
              <w:ind w:left="0" w:right="0" w:firstLine="480" w:firstLineChars="200"/>
              <w:rPr>
                <w:rFonts w:hint="eastAsia" w:ascii="宋体" w:hAnsi="宋体" w:cs="宋体"/>
                <w:color w:val="auto"/>
                <w:spacing w:val="0"/>
                <w:kern w:val="2"/>
                <w:sz w:val="24"/>
                <w:lang w:val="en-US"/>
              </w:rPr>
            </w:pPr>
            <w:r>
              <w:rPr>
                <w:rFonts w:hint="eastAsia" w:ascii="宋体" w:hAnsi="宋体" w:cs="宋体"/>
                <w:color w:val="auto"/>
                <w:spacing w:val="0"/>
                <w:kern w:val="2"/>
                <w:sz w:val="24"/>
                <w:lang w:val="en-US"/>
              </w:rPr>
              <w:t>1）预测模式</w:t>
            </w:r>
          </w:p>
          <w:p>
            <w:pPr>
              <w:pStyle w:val="36"/>
              <w:keepNext w:val="0"/>
              <w:keepLines w:val="0"/>
              <w:suppressLineNumbers w:val="0"/>
              <w:spacing w:before="0" w:beforeAutospacing="0" w:after="0" w:afterAutospacing="0"/>
              <w:ind w:left="0" w:right="0" w:firstLine="480" w:firstLineChars="200"/>
              <w:rPr>
                <w:rFonts w:hint="eastAsia" w:ascii="宋体" w:hAnsi="宋体" w:cs="宋体"/>
                <w:color w:val="auto"/>
                <w:spacing w:val="0"/>
                <w:kern w:val="2"/>
                <w:sz w:val="24"/>
                <w:lang w:val="en-US" w:eastAsia="zh-CN"/>
              </w:rPr>
            </w:pPr>
            <w:r>
              <w:rPr>
                <w:rFonts w:hint="eastAsia" w:ascii="宋体" w:hAnsi="宋体" w:cs="宋体"/>
                <w:color w:val="auto"/>
                <w:spacing w:val="0"/>
                <w:kern w:val="2"/>
                <w:sz w:val="24"/>
                <w:lang w:val="en-US" w:eastAsia="zh-CN"/>
              </w:rPr>
              <w:t>采用</w:t>
            </w:r>
            <w:r>
              <w:rPr>
                <w:rFonts w:hint="eastAsia" w:ascii="宋体" w:hAnsi="宋体" w:cs="宋体"/>
                <w:color w:val="auto"/>
                <w:spacing w:val="0"/>
                <w:kern w:val="2"/>
                <w:sz w:val="24"/>
                <w:lang w:val="en-US"/>
              </w:rPr>
              <w:t>《环境影响评价技术导则 声环境》</w:t>
            </w:r>
            <w:r>
              <w:rPr>
                <w:rFonts w:hint="eastAsia" w:ascii="宋体" w:hAnsi="宋体" w:cs="宋体"/>
                <w:color w:val="auto"/>
                <w:spacing w:val="0"/>
                <w:kern w:val="2"/>
                <w:sz w:val="24"/>
                <w:lang w:val="en-US" w:eastAsia="zh-CN"/>
              </w:rPr>
              <w:t>（</w:t>
            </w:r>
            <w:r>
              <w:rPr>
                <w:rFonts w:hint="eastAsia" w:ascii="宋体" w:hAnsi="宋体" w:cs="宋体"/>
                <w:color w:val="auto"/>
                <w:spacing w:val="0"/>
                <w:kern w:val="2"/>
                <w:sz w:val="24"/>
                <w:lang w:val="en-US"/>
              </w:rPr>
              <w:t>HJ2.4-20</w:t>
            </w:r>
            <w:r>
              <w:rPr>
                <w:rFonts w:hint="default" w:ascii="宋体" w:hAnsi="宋体" w:cs="宋体"/>
                <w:color w:val="auto"/>
                <w:spacing w:val="0"/>
                <w:kern w:val="2"/>
                <w:sz w:val="24"/>
                <w:lang w:val="en-US"/>
              </w:rPr>
              <w:t>21</w:t>
            </w:r>
            <w:r>
              <w:rPr>
                <w:rFonts w:hint="eastAsia" w:ascii="宋体" w:hAnsi="宋体" w:cs="宋体"/>
                <w:color w:val="auto"/>
                <w:spacing w:val="0"/>
                <w:kern w:val="2"/>
                <w:sz w:val="24"/>
                <w:lang w:val="en-US" w:eastAsia="zh-CN"/>
              </w:rPr>
              <w:t>）中相关要求进行预测。</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①计算某一室内声源靠近围护结构处产生的倍频带声压级或A声级： </w:t>
            </w:r>
          </w:p>
          <w:p>
            <w:pPr>
              <w:pStyle w:val="3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pacing w:val="0"/>
                <w:kern w:val="2"/>
                <w:sz w:val="24"/>
                <w:szCs w:val="24"/>
                <w:lang w:val="en-US" w:eastAsia="zh-CN"/>
              </w:rPr>
            </w:pPr>
            <m:oMathPara>
              <m:oMath>
                <m:sSub>
                  <m:sSubPr>
                    <m:ctrlPr>
                      <w:rPr>
                        <w:rFonts w:hint="default" w:ascii="Cambria Math" w:hAnsi="Cambria Math" w:eastAsia="宋体" w:cs="Times New Roman"/>
                        <w:color w:val="auto"/>
                        <w:spacing w:val="0"/>
                        <w:kern w:val="2"/>
                        <w:sz w:val="24"/>
                        <w:szCs w:val="24"/>
                        <w:lang w:val="en-US" w:eastAsia="zh-CN" w:bidi="ar-SA"/>
                      </w:rPr>
                    </m:ctrlPr>
                  </m:sSubPr>
                  <m:e>
                    <m:r>
                      <m:rPr>
                        <m:sty m:val="p"/>
                      </m:rPr>
                      <w:rPr>
                        <w:rFonts w:hint="default" w:ascii="Cambria Math" w:hAnsi="Cambria Math" w:eastAsia="宋体" w:cs="Times New Roman"/>
                        <w:color w:val="auto"/>
                        <w:spacing w:val="0"/>
                        <w:kern w:val="2"/>
                        <w:sz w:val="24"/>
                        <w:szCs w:val="24"/>
                        <w:lang w:val="en-US" w:eastAsia="zh-CN" w:bidi="ar-SA"/>
                      </w:rPr>
                      <m:t>L</m:t>
                    </m:r>
                    <m:ctrlPr>
                      <w:rPr>
                        <w:rFonts w:hint="default" w:ascii="Cambria Math" w:hAnsi="Cambria Math" w:eastAsia="宋体" w:cs="Times New Roman"/>
                        <w:color w:val="auto"/>
                        <w:spacing w:val="0"/>
                        <w:kern w:val="2"/>
                        <w:sz w:val="24"/>
                        <w:szCs w:val="24"/>
                        <w:lang w:val="en-US" w:eastAsia="zh-CN" w:bidi="ar-SA"/>
                      </w:rPr>
                    </m:ctrlPr>
                  </m:e>
                  <m:sub>
                    <m:r>
                      <m:rPr>
                        <m:sty m:val="p"/>
                      </m:rPr>
                      <w:rPr>
                        <w:rFonts w:hint="default" w:ascii="Cambria Math" w:hAnsi="Cambria Math" w:eastAsia="宋体" w:cs="Times New Roman"/>
                        <w:color w:val="auto"/>
                        <w:spacing w:val="0"/>
                        <w:kern w:val="2"/>
                        <w:sz w:val="24"/>
                        <w:szCs w:val="24"/>
                        <w:lang w:val="en-US" w:eastAsia="zh-CN" w:bidi="ar-SA"/>
                      </w:rPr>
                      <m:t>p1</m:t>
                    </m:r>
                    <m:ctrlPr>
                      <w:rPr>
                        <w:rFonts w:hint="default" w:ascii="Cambria Math" w:hAnsi="Cambria Math" w:eastAsia="宋体" w:cs="Times New Roman"/>
                        <w:color w:val="auto"/>
                        <w:spacing w:val="0"/>
                        <w:kern w:val="2"/>
                        <w:sz w:val="24"/>
                        <w:szCs w:val="24"/>
                        <w:lang w:val="en-US" w:eastAsia="zh-CN" w:bidi="ar-SA"/>
                      </w:rPr>
                    </m:ctrlPr>
                  </m:sub>
                </m:sSub>
                <m:r>
                  <m:rPr>
                    <m:sty m:val="p"/>
                  </m:rPr>
                  <w:rPr>
                    <w:rFonts w:hint="default" w:ascii="Cambria Math" w:hAnsi="Cambria Math" w:eastAsia="宋体" w:cs="Times New Roman"/>
                    <w:color w:val="auto"/>
                    <w:spacing w:val="0"/>
                    <w:kern w:val="2"/>
                    <w:sz w:val="24"/>
                    <w:szCs w:val="24"/>
                    <w:lang w:val="en-US" w:eastAsia="zh-CN" w:bidi="ar-SA"/>
                  </w:rPr>
                  <m:t>=</m:t>
                </m:r>
                <m:sSub>
                  <m:sSubPr>
                    <m:ctrlPr>
                      <w:rPr>
                        <w:rFonts w:hint="default" w:ascii="Cambria Math" w:hAnsi="Cambria Math" w:eastAsia="宋体" w:cs="Times New Roman"/>
                        <w:color w:val="auto"/>
                        <w:spacing w:val="0"/>
                        <w:kern w:val="2"/>
                        <w:sz w:val="24"/>
                        <w:szCs w:val="24"/>
                        <w:lang w:val="en-US" w:eastAsia="zh-CN" w:bidi="ar-SA"/>
                      </w:rPr>
                    </m:ctrlPr>
                  </m:sSubPr>
                  <m:e>
                    <m:r>
                      <m:rPr>
                        <m:sty m:val="p"/>
                      </m:rPr>
                      <w:rPr>
                        <w:rFonts w:hint="default" w:ascii="Cambria Math" w:hAnsi="Cambria Math" w:eastAsia="宋体" w:cs="Times New Roman"/>
                        <w:color w:val="auto"/>
                        <w:spacing w:val="0"/>
                        <w:kern w:val="2"/>
                        <w:sz w:val="24"/>
                        <w:szCs w:val="24"/>
                        <w:lang w:val="en-US" w:eastAsia="zh-CN" w:bidi="ar-SA"/>
                      </w:rPr>
                      <m:t>L</m:t>
                    </m:r>
                    <m:ctrlPr>
                      <w:rPr>
                        <w:rFonts w:hint="default" w:ascii="Cambria Math" w:hAnsi="Cambria Math" w:eastAsia="宋体" w:cs="Times New Roman"/>
                        <w:color w:val="auto"/>
                        <w:spacing w:val="0"/>
                        <w:kern w:val="2"/>
                        <w:sz w:val="24"/>
                        <w:szCs w:val="24"/>
                        <w:lang w:val="en-US" w:eastAsia="zh-CN" w:bidi="ar-SA"/>
                      </w:rPr>
                    </m:ctrlPr>
                  </m:e>
                  <m:sub>
                    <m:r>
                      <m:rPr>
                        <m:sty m:val="p"/>
                      </m:rPr>
                      <w:rPr>
                        <w:rFonts w:hint="default" w:ascii="Cambria Math" w:hAnsi="Cambria Math" w:eastAsia="宋体" w:cs="Times New Roman"/>
                        <w:color w:val="auto"/>
                        <w:spacing w:val="0"/>
                        <w:kern w:val="2"/>
                        <w:sz w:val="24"/>
                        <w:szCs w:val="24"/>
                        <w:lang w:val="en-US" w:eastAsia="zh-CN" w:bidi="ar-SA"/>
                      </w:rPr>
                      <m:t>w</m:t>
                    </m:r>
                    <m:ctrlPr>
                      <w:rPr>
                        <w:rFonts w:hint="default" w:ascii="Cambria Math" w:hAnsi="Cambria Math" w:eastAsia="宋体" w:cs="Times New Roman"/>
                        <w:color w:val="auto"/>
                        <w:spacing w:val="0"/>
                        <w:kern w:val="2"/>
                        <w:sz w:val="24"/>
                        <w:szCs w:val="24"/>
                        <w:lang w:val="en-US" w:eastAsia="zh-CN" w:bidi="ar-SA"/>
                      </w:rPr>
                    </m:ctrlPr>
                  </m:sub>
                </m:sSub>
                <m:r>
                  <m:rPr>
                    <m:sty m:val="p"/>
                  </m:rPr>
                  <w:rPr>
                    <w:rFonts w:hint="default" w:ascii="Cambria Math" w:hAnsi="Cambria Math" w:eastAsia="宋体" w:cs="Times New Roman"/>
                    <w:color w:val="auto"/>
                    <w:spacing w:val="0"/>
                    <w:kern w:val="2"/>
                    <w:sz w:val="24"/>
                    <w:szCs w:val="24"/>
                    <w:lang w:val="en-US" w:eastAsia="zh-CN" w:bidi="ar-SA"/>
                  </w:rPr>
                  <m:t>+10lg（</m:t>
                </m:r>
                <m:f>
                  <m:fPr>
                    <m:ctrlPr>
                      <w:rPr>
                        <w:rFonts w:hint="default" w:ascii="Cambria Math" w:hAnsi="Cambria Math" w:eastAsia="宋体" w:cs="Times New Roman"/>
                        <w:color w:val="auto"/>
                        <w:spacing w:val="0"/>
                        <w:kern w:val="2"/>
                        <w:sz w:val="24"/>
                        <w:szCs w:val="24"/>
                        <w:lang w:val="en-US" w:eastAsia="zh-CN" w:bidi="ar-SA"/>
                      </w:rPr>
                    </m:ctrlPr>
                  </m:fPr>
                  <m:num>
                    <m:r>
                      <m:rPr>
                        <m:sty m:val="p"/>
                      </m:rPr>
                      <w:rPr>
                        <w:rFonts w:hint="default" w:ascii="Cambria Math" w:hAnsi="Cambria Math" w:eastAsia="宋体" w:cs="Times New Roman"/>
                        <w:color w:val="auto"/>
                        <w:spacing w:val="0"/>
                        <w:kern w:val="2"/>
                        <w:sz w:val="24"/>
                        <w:szCs w:val="24"/>
                        <w:lang w:val="en-US" w:eastAsia="zh-CN" w:bidi="ar-SA"/>
                      </w:rPr>
                      <m:t>Q</m:t>
                    </m:r>
                    <m:ctrlPr>
                      <w:rPr>
                        <w:rFonts w:hint="default" w:ascii="Cambria Math" w:hAnsi="Cambria Math" w:eastAsia="宋体" w:cs="Times New Roman"/>
                        <w:color w:val="auto"/>
                        <w:spacing w:val="0"/>
                        <w:kern w:val="2"/>
                        <w:sz w:val="24"/>
                        <w:szCs w:val="24"/>
                        <w:lang w:val="en-US" w:eastAsia="zh-CN" w:bidi="ar-SA"/>
                      </w:rPr>
                    </m:ctrlPr>
                  </m:num>
                  <m:den>
                    <m:r>
                      <m:rPr>
                        <m:sty m:val="p"/>
                      </m:rPr>
                      <w:rPr>
                        <w:rFonts w:hint="default" w:ascii="Cambria Math" w:hAnsi="Cambria Math" w:eastAsia="宋体" w:cs="Times New Roman"/>
                        <w:color w:val="auto"/>
                        <w:spacing w:val="0"/>
                        <w:kern w:val="2"/>
                        <w:sz w:val="24"/>
                        <w:szCs w:val="24"/>
                        <w:lang w:val="en-US" w:eastAsia="zh-CN" w:bidi="ar-SA"/>
                      </w:rPr>
                      <m:t>4</m:t>
                    </m:r>
                    <m:r>
                      <m:rPr>
                        <m:sty m:val="p"/>
                      </m:rPr>
                      <w:rPr>
                        <w:rFonts w:hint="default" w:ascii="Cambria Math" w:hAnsi="Cambria Math" w:eastAsia="宋体" w:cs="Times New Roman"/>
                        <w:color w:val="auto"/>
                        <w:spacing w:val="0"/>
                        <w:kern w:val="2"/>
                        <w:sz w:val="24"/>
                        <w:szCs w:val="24"/>
                        <w:lang w:val="en-US" w:bidi="ar-SA"/>
                      </w:rPr>
                      <m:t>π</m:t>
                    </m:r>
                    <m:sSup>
                      <m:sSupPr>
                        <m:ctrlPr>
                          <w:rPr>
                            <w:rFonts w:hint="default" w:ascii="Cambria Math" w:hAnsi="Cambria Math" w:eastAsia="宋体" w:cs="Times New Roman"/>
                            <w:color w:val="auto"/>
                            <w:spacing w:val="0"/>
                            <w:kern w:val="2"/>
                            <w:sz w:val="24"/>
                            <w:szCs w:val="24"/>
                            <w:lang w:val="en-US" w:bidi="ar-SA"/>
                          </w:rPr>
                        </m:ctrlPr>
                      </m:sSupPr>
                      <m:e>
                        <m:r>
                          <m:rPr>
                            <m:sty m:val="p"/>
                          </m:rPr>
                          <w:rPr>
                            <w:rFonts w:hint="default" w:ascii="Cambria Math" w:hAnsi="Cambria Math" w:eastAsia="宋体" w:cs="Times New Roman"/>
                            <w:color w:val="auto"/>
                            <w:spacing w:val="0"/>
                            <w:kern w:val="2"/>
                            <w:sz w:val="24"/>
                            <w:szCs w:val="24"/>
                            <w:lang w:val="en-US" w:bidi="ar-SA"/>
                          </w:rPr>
                          <m:t>r</m:t>
                        </m:r>
                        <m:ctrlPr>
                          <w:rPr>
                            <w:rFonts w:hint="default" w:ascii="Cambria Math" w:hAnsi="Cambria Math" w:eastAsia="宋体" w:cs="Times New Roman"/>
                            <w:color w:val="auto"/>
                            <w:spacing w:val="0"/>
                            <w:kern w:val="2"/>
                            <w:sz w:val="24"/>
                            <w:szCs w:val="24"/>
                            <w:lang w:val="en-US" w:bidi="ar-SA"/>
                          </w:rPr>
                        </m:ctrlPr>
                      </m:e>
                      <m:sup>
                        <m:r>
                          <m:rPr>
                            <m:sty m:val="p"/>
                          </m:rPr>
                          <w:rPr>
                            <w:rFonts w:hint="default" w:ascii="Cambria Math" w:hAnsi="Cambria Math" w:eastAsia="宋体" w:cs="Times New Roman"/>
                            <w:color w:val="auto"/>
                            <w:spacing w:val="0"/>
                            <w:kern w:val="2"/>
                            <w:sz w:val="24"/>
                            <w:szCs w:val="24"/>
                            <w:lang w:val="en-US" w:bidi="ar-SA"/>
                          </w:rPr>
                          <m:t>2</m:t>
                        </m:r>
                        <m:ctrlPr>
                          <w:rPr>
                            <w:rFonts w:hint="default" w:ascii="Cambria Math" w:hAnsi="Cambria Math" w:eastAsia="宋体" w:cs="Times New Roman"/>
                            <w:color w:val="auto"/>
                            <w:spacing w:val="0"/>
                            <w:kern w:val="2"/>
                            <w:sz w:val="24"/>
                            <w:szCs w:val="24"/>
                            <w:lang w:val="en-US" w:bidi="ar-SA"/>
                          </w:rPr>
                        </m:ctrlPr>
                      </m:sup>
                    </m:sSup>
                    <m:ctrlPr>
                      <w:rPr>
                        <w:rFonts w:hint="default" w:ascii="Cambria Math" w:hAnsi="Cambria Math" w:eastAsia="宋体" w:cs="Times New Roman"/>
                        <w:color w:val="auto"/>
                        <w:spacing w:val="0"/>
                        <w:kern w:val="2"/>
                        <w:sz w:val="24"/>
                        <w:szCs w:val="24"/>
                        <w:lang w:val="en-US" w:eastAsia="zh-CN" w:bidi="ar-SA"/>
                      </w:rPr>
                    </m:ctrlPr>
                  </m:den>
                </m:f>
                <m:r>
                  <m:rPr>
                    <m:sty m:val="p"/>
                  </m:rPr>
                  <w:rPr>
                    <w:rFonts w:hint="default" w:ascii="Cambria Math" w:hAnsi="Cambria Math" w:eastAsia="宋体" w:cs="Times New Roman"/>
                    <w:color w:val="auto"/>
                    <w:spacing w:val="0"/>
                    <w:kern w:val="2"/>
                    <w:sz w:val="24"/>
                    <w:szCs w:val="24"/>
                    <w:lang w:val="en-US" w:eastAsia="zh-CN" w:bidi="ar-SA"/>
                  </w:rPr>
                  <m:t>+</m:t>
                </m:r>
                <m:f>
                  <m:fPr>
                    <m:ctrlPr>
                      <w:rPr>
                        <w:rFonts w:hint="default" w:ascii="Cambria Math" w:hAnsi="Cambria Math" w:eastAsia="宋体" w:cs="Times New Roman"/>
                        <w:i w:val="0"/>
                        <w:color w:val="auto"/>
                        <w:spacing w:val="0"/>
                        <w:kern w:val="2"/>
                        <w:sz w:val="24"/>
                        <w:szCs w:val="24"/>
                        <w:lang w:val="en-US" w:eastAsia="zh-CN" w:bidi="ar-SA"/>
                      </w:rPr>
                    </m:ctrlPr>
                  </m:fPr>
                  <m:num>
                    <m:r>
                      <m:rPr>
                        <m:sty m:val="p"/>
                      </m:rPr>
                      <w:rPr>
                        <w:rFonts w:hint="default" w:ascii="Cambria Math" w:hAnsi="Cambria Math" w:eastAsia="宋体" w:cs="Times New Roman"/>
                        <w:color w:val="auto"/>
                        <w:spacing w:val="0"/>
                        <w:kern w:val="2"/>
                        <w:sz w:val="24"/>
                        <w:szCs w:val="24"/>
                        <w:lang w:val="en-US" w:eastAsia="zh-CN" w:bidi="ar-SA"/>
                      </w:rPr>
                      <m:t>4</m:t>
                    </m:r>
                    <m:ctrlPr>
                      <w:rPr>
                        <w:rFonts w:hint="default" w:ascii="Cambria Math" w:hAnsi="Cambria Math" w:eastAsia="宋体" w:cs="Times New Roman"/>
                        <w:i w:val="0"/>
                        <w:color w:val="auto"/>
                        <w:spacing w:val="0"/>
                        <w:kern w:val="2"/>
                        <w:sz w:val="24"/>
                        <w:szCs w:val="24"/>
                        <w:lang w:val="en-US" w:eastAsia="zh-CN" w:bidi="ar-SA"/>
                      </w:rPr>
                    </m:ctrlPr>
                  </m:num>
                  <m:den>
                    <m:r>
                      <m:rPr>
                        <m:sty m:val="p"/>
                      </m:rPr>
                      <w:rPr>
                        <w:rFonts w:hint="default" w:ascii="Cambria Math" w:hAnsi="Cambria Math" w:eastAsia="宋体" w:cs="Times New Roman"/>
                        <w:color w:val="auto"/>
                        <w:spacing w:val="0"/>
                        <w:kern w:val="2"/>
                        <w:sz w:val="24"/>
                        <w:szCs w:val="24"/>
                        <w:lang w:val="en-US" w:eastAsia="zh-CN" w:bidi="ar-SA"/>
                      </w:rPr>
                      <m:t>R</m:t>
                    </m:r>
                    <m:ctrlPr>
                      <w:rPr>
                        <w:rFonts w:hint="default" w:ascii="Cambria Math" w:hAnsi="Cambria Math" w:eastAsia="宋体" w:cs="Times New Roman"/>
                        <w:i w:val="0"/>
                        <w:color w:val="auto"/>
                        <w:spacing w:val="0"/>
                        <w:kern w:val="2"/>
                        <w:sz w:val="24"/>
                        <w:szCs w:val="24"/>
                        <w:lang w:val="en-US" w:eastAsia="zh-CN" w:bidi="ar-SA"/>
                      </w:rPr>
                    </m:ctrlPr>
                  </m:den>
                </m:f>
                <m:r>
                  <m:rPr>
                    <m:sty m:val="p"/>
                  </m:rPr>
                  <w:rPr>
                    <w:rFonts w:hint="default" w:ascii="Cambria Math" w:hAnsi="Cambria Math" w:eastAsia="宋体" w:cs="Times New Roman"/>
                    <w:color w:val="auto"/>
                    <w:spacing w:val="0"/>
                    <w:kern w:val="2"/>
                    <w:sz w:val="24"/>
                    <w:szCs w:val="24"/>
                    <w:lang w:val="en-US" w:eastAsia="zh-CN" w:bidi="ar-SA"/>
                  </w:rPr>
                  <m:t>）</m:t>
                </m:r>
              </m:oMath>
            </m:oMathPara>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式中：Lp1：靠近开口处（或窗户）室内某倍频带的声压级或A声级，dB；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1200" w:firstLineChars="5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Lw ：点声源声功率级（A计权或倍频带），dB；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1200" w:firstLineChars="5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Q：指向性因数；通常对无指向性声源，当声源放在房间中心时，Q=1；当放在一面墙的中心时，Q=2；当放在两面墙夹角处时，Q=4；当放在三面墙夹角处时，Q=8；</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1200" w:firstLineChars="5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R——房间常数；R=Sa/（1-a），S 为房间内表面面积，m2；α为平均吸声系数；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②声源位于室内，室内声源可采用等效室外声源声功率级法进行计算。设靠近开口处（或窗户）室内、室外某倍频带的声压级或A声级分别为Lp1和Lp2。若声源所在室内声场为近似扩散声场，则室外的倍频带声压级可按以下公式近似求出：</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lang w:val="en-US" w:eastAsia="zh-CN"/>
              </w:rPr>
            </w:pPr>
            <m:oMathPara>
              <m:oMath>
                <m:sSub>
                  <m:sSubPr>
                    <m:ctrlPr>
                      <w:rPr>
                        <w:rFonts w:hint="default" w:ascii="Cambria Math" w:hAnsi="Cambria Math" w:eastAsia="宋体" w:cs="Times New Roman"/>
                        <w:i w:val="0"/>
                        <w:iCs/>
                        <w:color w:val="auto"/>
                        <w:sz w:val="24"/>
                        <w:szCs w:val="24"/>
                        <w:lang w:val="en-US"/>
                      </w:rPr>
                    </m:ctrlPr>
                  </m:sSubPr>
                  <m:e>
                    <m:r>
                      <m:rPr>
                        <m:sty m:val="p"/>
                      </m:rPr>
                      <w:rPr>
                        <w:rFonts w:hint="default" w:ascii="Cambria Math" w:hAnsi="Cambria Math" w:eastAsia="宋体" w:cs="Times New Roman"/>
                        <w:color w:val="auto"/>
                        <w:sz w:val="24"/>
                        <w:szCs w:val="24"/>
                        <w:lang w:val="en-US"/>
                      </w:rPr>
                      <m:t>L</m:t>
                    </m:r>
                    <m:ctrlPr>
                      <w:rPr>
                        <w:rFonts w:hint="default" w:ascii="Cambria Math" w:hAnsi="Cambria Math" w:eastAsia="宋体" w:cs="Times New Roman"/>
                        <w:i w:val="0"/>
                        <w:iCs/>
                        <w:color w:val="auto"/>
                        <w:sz w:val="24"/>
                        <w:szCs w:val="24"/>
                        <w:lang w:val="en-US"/>
                      </w:rPr>
                    </m:ctrlPr>
                  </m:e>
                  <m:sub>
                    <m:r>
                      <m:rPr>
                        <m:sty m:val="p"/>
                      </m:rPr>
                      <w:rPr>
                        <w:rFonts w:hint="default" w:ascii="Cambria Math" w:hAnsi="Cambria Math" w:eastAsia="宋体" w:cs="Times New Roman"/>
                        <w:color w:val="auto"/>
                        <w:sz w:val="24"/>
                        <w:szCs w:val="24"/>
                        <w:lang w:val="en-US"/>
                      </w:rPr>
                      <m:t>p2</m:t>
                    </m:r>
                    <m:ctrlPr>
                      <w:rPr>
                        <w:rFonts w:hint="default" w:ascii="Cambria Math" w:hAnsi="Cambria Math" w:eastAsia="宋体" w:cs="Times New Roman"/>
                        <w:i w:val="0"/>
                        <w:iCs/>
                        <w:color w:val="auto"/>
                        <w:sz w:val="24"/>
                        <w:szCs w:val="24"/>
                        <w:lang w:val="en-US"/>
                      </w:rPr>
                    </m:ctrlPr>
                  </m:sub>
                </m:sSub>
                <m:r>
                  <m:rPr>
                    <m:sty m:val="p"/>
                  </m:rPr>
                  <w:rPr>
                    <w:rFonts w:hint="default" w:ascii="Cambria Math" w:hAnsi="Cambria Math" w:eastAsia="宋体" w:cs="Times New Roman"/>
                    <w:color w:val="auto"/>
                    <w:sz w:val="24"/>
                    <w:szCs w:val="24"/>
                    <w:lang w:val="en-US"/>
                  </w:rPr>
                  <m:t>=</m:t>
                </m:r>
                <m:sSub>
                  <m:sSubPr>
                    <m:ctrlPr>
                      <w:rPr>
                        <w:rFonts w:hint="default" w:ascii="Cambria Math" w:hAnsi="Cambria Math" w:eastAsia="宋体" w:cs="Times New Roman"/>
                        <w:i w:val="0"/>
                        <w:iCs/>
                        <w:color w:val="auto"/>
                        <w:sz w:val="24"/>
                        <w:szCs w:val="24"/>
                        <w:lang w:val="en-US"/>
                      </w:rPr>
                    </m:ctrlPr>
                  </m:sSubPr>
                  <m:e>
                    <m:r>
                      <m:rPr>
                        <m:sty m:val="p"/>
                      </m:rPr>
                      <w:rPr>
                        <w:rFonts w:hint="default" w:ascii="Cambria Math" w:hAnsi="Cambria Math" w:eastAsia="宋体" w:cs="Times New Roman"/>
                        <w:color w:val="auto"/>
                        <w:sz w:val="24"/>
                        <w:szCs w:val="24"/>
                        <w:lang w:val="en-US"/>
                      </w:rPr>
                      <m:t>L</m:t>
                    </m:r>
                    <m:ctrlPr>
                      <w:rPr>
                        <w:rFonts w:hint="default" w:ascii="Cambria Math" w:hAnsi="Cambria Math" w:eastAsia="宋体" w:cs="Times New Roman"/>
                        <w:i w:val="0"/>
                        <w:iCs/>
                        <w:color w:val="auto"/>
                        <w:sz w:val="24"/>
                        <w:szCs w:val="24"/>
                        <w:lang w:val="en-US"/>
                      </w:rPr>
                    </m:ctrlPr>
                  </m:e>
                  <m:sub>
                    <m:r>
                      <m:rPr>
                        <m:sty m:val="p"/>
                      </m:rPr>
                      <w:rPr>
                        <w:rFonts w:hint="default" w:ascii="Cambria Math" w:hAnsi="Cambria Math" w:eastAsia="宋体" w:cs="Times New Roman"/>
                        <w:color w:val="auto"/>
                        <w:sz w:val="24"/>
                        <w:szCs w:val="24"/>
                        <w:lang w:val="en-US"/>
                      </w:rPr>
                      <m:t>p1</m:t>
                    </m:r>
                    <m:ctrlPr>
                      <w:rPr>
                        <w:rFonts w:hint="default" w:ascii="Cambria Math" w:hAnsi="Cambria Math" w:eastAsia="宋体" w:cs="Times New Roman"/>
                        <w:i w:val="0"/>
                        <w:iCs/>
                        <w:color w:val="auto"/>
                        <w:sz w:val="24"/>
                        <w:szCs w:val="24"/>
                        <w:lang w:val="en-US"/>
                      </w:rPr>
                    </m:ctrlPr>
                  </m:sub>
                </m:sSub>
                <m:r>
                  <m:rPr>
                    <m:sty m:val="p"/>
                  </m:rPr>
                  <w:rPr>
                    <w:rFonts w:hint="default" w:ascii="Cambria Math" w:hAnsi="Cambria Math" w:eastAsia="宋体" w:cs="Times New Roman"/>
                    <w:color w:val="auto"/>
                    <w:sz w:val="24"/>
                    <w:szCs w:val="24"/>
                    <w:lang w:val="en-US"/>
                  </w:rPr>
                  <m:t>−</m:t>
                </m:r>
                <m:r>
                  <m:rPr>
                    <m:sty m:val="p"/>
                  </m:rPr>
                  <w:rPr>
                    <w:rFonts w:hint="default" w:ascii="Cambria Math" w:hAnsi="Cambria Math" w:eastAsia="宋体" w:cs="Times New Roman"/>
                    <w:color w:val="auto"/>
                    <w:sz w:val="24"/>
                    <w:szCs w:val="24"/>
                    <w:lang w:val="en-US" w:eastAsia="zh-CN"/>
                  </w:rPr>
                  <m:t>（TL+6）</m:t>
                </m:r>
              </m:oMath>
            </m:oMathPara>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式中：Lp1：靠近开口处（或窗户）室内某倍频带的声压级或A声级，dB；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1200" w:firstLineChars="5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Lp2：靠近开口处（或窗户）室外某倍频带的声压级或A声级，dB；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1200" w:firstLineChars="5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TL：隔墙（或窗户）倍频带或A声级的隔声量，dB。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③无指向性点声源的几何发散衰减公式进行预测：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LA(r)=LA(r0)-20lg(r/r0)</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式中：r、ro——距离噪声源的距离，m；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1200" w:firstLineChars="5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LA(r)、LA(r0)——距离噪声源 r、r0处的A声级，dB（A）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④预测点的贡献值和背景值按能量叠加方法计算得到的声级。噪声预测值（Leq）计算公式为：</w:t>
            </w:r>
          </w:p>
          <w:p>
            <w:pPr>
              <w:pStyle w:val="3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pacing w:val="0"/>
                <w:kern w:val="2"/>
                <w:sz w:val="24"/>
                <w:szCs w:val="24"/>
                <w:lang w:val="en-US" w:eastAsia="zh-CN"/>
              </w:rPr>
            </w:pPr>
            <m:oMathPara>
              <m:oMath>
                <m:sSub>
                  <m:sSubPr>
                    <m:ctrlPr>
                      <w:rPr>
                        <w:rFonts w:hint="default" w:ascii="Cambria Math" w:hAnsi="Cambria Math" w:eastAsia="宋体" w:cs="Times New Roman"/>
                        <w:i w:val="0"/>
                        <w:iCs/>
                        <w:color w:val="auto"/>
                        <w:spacing w:val="0"/>
                        <w:kern w:val="2"/>
                        <w:sz w:val="24"/>
                        <w:szCs w:val="24"/>
                        <w:lang w:val="en-US"/>
                      </w:rPr>
                    </m:ctrlPr>
                  </m:sSubPr>
                  <m:e>
                    <m:r>
                      <m:rPr>
                        <m:sty m:val="p"/>
                      </m:rPr>
                      <w:rPr>
                        <w:rFonts w:hint="default" w:ascii="Cambria Math" w:hAnsi="Cambria Math" w:eastAsia="宋体" w:cs="Times New Roman"/>
                        <w:color w:val="auto"/>
                        <w:spacing w:val="0"/>
                        <w:kern w:val="2"/>
                        <w:sz w:val="24"/>
                        <w:szCs w:val="24"/>
                        <w:lang w:val="en-US"/>
                      </w:rPr>
                      <m:t>L</m:t>
                    </m:r>
                    <m:ctrlPr>
                      <w:rPr>
                        <w:rFonts w:hint="default" w:ascii="Cambria Math" w:hAnsi="Cambria Math" w:eastAsia="宋体" w:cs="Times New Roman"/>
                        <w:i w:val="0"/>
                        <w:iCs/>
                        <w:color w:val="auto"/>
                        <w:spacing w:val="0"/>
                        <w:kern w:val="2"/>
                        <w:sz w:val="24"/>
                        <w:szCs w:val="24"/>
                        <w:lang w:val="en-US"/>
                      </w:rPr>
                    </m:ctrlPr>
                  </m:e>
                  <m:sub>
                    <m:r>
                      <m:rPr>
                        <m:sty m:val="p"/>
                      </m:rPr>
                      <w:rPr>
                        <w:rFonts w:hint="default" w:ascii="Cambria Math" w:hAnsi="Cambria Math" w:eastAsia="宋体" w:cs="Times New Roman"/>
                        <w:color w:val="auto"/>
                        <w:spacing w:val="0"/>
                        <w:kern w:val="2"/>
                        <w:sz w:val="24"/>
                        <w:szCs w:val="24"/>
                        <w:lang w:val="en-US"/>
                      </w:rPr>
                      <m:t>eq</m:t>
                    </m:r>
                    <m:ctrlPr>
                      <w:rPr>
                        <w:rFonts w:hint="default" w:ascii="Cambria Math" w:hAnsi="Cambria Math" w:eastAsia="宋体" w:cs="Times New Roman"/>
                        <w:i w:val="0"/>
                        <w:iCs/>
                        <w:color w:val="auto"/>
                        <w:spacing w:val="0"/>
                        <w:kern w:val="2"/>
                        <w:sz w:val="24"/>
                        <w:szCs w:val="24"/>
                        <w:lang w:val="en-US"/>
                      </w:rPr>
                    </m:ctrlPr>
                  </m:sub>
                </m:sSub>
                <m:r>
                  <m:rPr>
                    <m:sty m:val="p"/>
                  </m:rPr>
                  <w:rPr>
                    <w:rFonts w:hint="default" w:ascii="Cambria Math" w:hAnsi="Cambria Math" w:eastAsia="宋体" w:cs="Times New Roman"/>
                    <w:color w:val="auto"/>
                    <w:spacing w:val="0"/>
                    <w:kern w:val="2"/>
                    <w:sz w:val="24"/>
                    <w:szCs w:val="24"/>
                    <w:lang w:val="en-US"/>
                  </w:rPr>
                  <m:t>=10lg</m:t>
                </m:r>
                <m:r>
                  <m:rPr>
                    <m:sty m:val="p"/>
                  </m:rPr>
                  <w:rPr>
                    <w:rFonts w:hint="default" w:ascii="Cambria Math" w:hAnsi="Cambria Math" w:eastAsia="宋体" w:cs="Times New Roman"/>
                    <w:color w:val="auto"/>
                    <w:spacing w:val="0"/>
                    <w:kern w:val="2"/>
                    <w:sz w:val="24"/>
                    <w:szCs w:val="24"/>
                    <w:lang w:val="en-US" w:eastAsia="zh-CN"/>
                  </w:rPr>
                  <m:t>（</m:t>
                </m:r>
                <m:sSup>
                  <m:sSupPr>
                    <m:ctrlPr>
                      <w:rPr>
                        <w:rFonts w:hint="default" w:ascii="Cambria Math" w:hAnsi="Cambria Math" w:eastAsia="宋体" w:cs="Times New Roman"/>
                        <w:i w:val="0"/>
                        <w:iCs/>
                        <w:color w:val="auto"/>
                        <w:spacing w:val="0"/>
                        <w:kern w:val="2"/>
                        <w:sz w:val="24"/>
                        <w:szCs w:val="24"/>
                        <w:lang w:val="en-US" w:eastAsia="zh-CN"/>
                      </w:rPr>
                    </m:ctrlPr>
                  </m:sSupPr>
                  <m:e>
                    <m:r>
                      <m:rPr>
                        <m:sty m:val="p"/>
                      </m:rPr>
                      <w:rPr>
                        <w:rFonts w:hint="default" w:ascii="Cambria Math" w:hAnsi="Cambria Math" w:eastAsia="宋体" w:cs="Times New Roman"/>
                        <w:color w:val="auto"/>
                        <w:spacing w:val="0"/>
                        <w:kern w:val="2"/>
                        <w:sz w:val="24"/>
                        <w:szCs w:val="24"/>
                        <w:lang w:val="en-US" w:eastAsia="zh-CN"/>
                      </w:rPr>
                      <m:t>10</m:t>
                    </m:r>
                    <m:ctrlPr>
                      <w:rPr>
                        <w:rFonts w:hint="default" w:ascii="Cambria Math" w:hAnsi="Cambria Math" w:eastAsia="宋体" w:cs="Times New Roman"/>
                        <w:i w:val="0"/>
                        <w:iCs/>
                        <w:color w:val="auto"/>
                        <w:spacing w:val="0"/>
                        <w:kern w:val="2"/>
                        <w:sz w:val="24"/>
                        <w:szCs w:val="24"/>
                        <w:lang w:val="en-US" w:eastAsia="zh-CN"/>
                      </w:rPr>
                    </m:ctrlPr>
                  </m:e>
                  <m:sup>
                    <m:r>
                      <m:rPr>
                        <m:sty m:val="p"/>
                      </m:rPr>
                      <w:rPr>
                        <w:rFonts w:hint="default" w:ascii="Cambria Math" w:hAnsi="Cambria Math" w:eastAsia="宋体" w:cs="Times New Roman"/>
                        <w:color w:val="auto"/>
                        <w:spacing w:val="0"/>
                        <w:kern w:val="2"/>
                        <w:sz w:val="24"/>
                        <w:szCs w:val="24"/>
                        <w:lang w:val="en-US" w:eastAsia="zh-CN"/>
                      </w:rPr>
                      <m:t>0.1</m:t>
                    </m:r>
                    <m:sSub>
                      <m:sSubPr>
                        <m:ctrlPr>
                          <w:rPr>
                            <w:rFonts w:hint="default" w:ascii="Cambria Math" w:hAnsi="Cambria Math" w:eastAsia="宋体" w:cs="Times New Roman"/>
                            <w:i w:val="0"/>
                            <w:iCs/>
                            <w:color w:val="auto"/>
                            <w:spacing w:val="0"/>
                            <w:kern w:val="2"/>
                            <w:sz w:val="24"/>
                            <w:szCs w:val="24"/>
                            <w:lang w:val="en-US" w:eastAsia="zh-CN"/>
                          </w:rPr>
                        </m:ctrlPr>
                      </m:sSubPr>
                      <m:e>
                        <m:r>
                          <m:rPr>
                            <m:sty m:val="p"/>
                          </m:rPr>
                          <w:rPr>
                            <w:rFonts w:hint="default" w:ascii="Cambria Math" w:hAnsi="Cambria Math" w:eastAsia="宋体" w:cs="Times New Roman"/>
                            <w:color w:val="auto"/>
                            <w:spacing w:val="0"/>
                            <w:kern w:val="2"/>
                            <w:sz w:val="24"/>
                            <w:szCs w:val="24"/>
                            <w:lang w:val="en-US" w:eastAsia="zh-CN"/>
                          </w:rPr>
                          <m:t>L</m:t>
                        </m:r>
                        <m:ctrlPr>
                          <w:rPr>
                            <w:rFonts w:hint="default" w:ascii="Cambria Math" w:hAnsi="Cambria Math" w:eastAsia="宋体" w:cs="Times New Roman"/>
                            <w:i w:val="0"/>
                            <w:iCs/>
                            <w:color w:val="auto"/>
                            <w:spacing w:val="0"/>
                            <w:kern w:val="2"/>
                            <w:sz w:val="24"/>
                            <w:szCs w:val="24"/>
                            <w:lang w:val="en-US" w:eastAsia="zh-CN"/>
                          </w:rPr>
                        </m:ctrlPr>
                      </m:e>
                      <m:sub>
                        <m:r>
                          <m:rPr>
                            <m:sty m:val="p"/>
                          </m:rPr>
                          <w:rPr>
                            <w:rFonts w:hint="default" w:ascii="Cambria Math" w:hAnsi="Cambria Math" w:eastAsia="宋体" w:cs="Times New Roman"/>
                            <w:color w:val="auto"/>
                            <w:spacing w:val="0"/>
                            <w:kern w:val="2"/>
                            <w:sz w:val="24"/>
                            <w:szCs w:val="24"/>
                            <w:lang w:val="en-US" w:eastAsia="zh-CN"/>
                          </w:rPr>
                          <m:t>eqg</m:t>
                        </m:r>
                        <m:ctrlPr>
                          <w:rPr>
                            <w:rFonts w:hint="default" w:ascii="Cambria Math" w:hAnsi="Cambria Math" w:eastAsia="宋体" w:cs="Times New Roman"/>
                            <w:i w:val="0"/>
                            <w:iCs/>
                            <w:color w:val="auto"/>
                            <w:spacing w:val="0"/>
                            <w:kern w:val="2"/>
                            <w:sz w:val="24"/>
                            <w:szCs w:val="24"/>
                            <w:lang w:val="en-US" w:eastAsia="zh-CN"/>
                          </w:rPr>
                        </m:ctrlPr>
                      </m:sub>
                    </m:sSub>
                    <m:ctrlPr>
                      <w:rPr>
                        <w:rFonts w:hint="default" w:ascii="Cambria Math" w:hAnsi="Cambria Math" w:eastAsia="宋体" w:cs="Times New Roman"/>
                        <w:i w:val="0"/>
                        <w:iCs/>
                        <w:color w:val="auto"/>
                        <w:spacing w:val="0"/>
                        <w:kern w:val="2"/>
                        <w:sz w:val="24"/>
                        <w:szCs w:val="24"/>
                        <w:lang w:val="en-US" w:eastAsia="zh-CN"/>
                      </w:rPr>
                    </m:ctrlPr>
                  </m:sup>
                </m:sSup>
                <m:r>
                  <m:rPr>
                    <m:sty m:val="p"/>
                  </m:rPr>
                  <w:rPr>
                    <w:rFonts w:hint="default" w:ascii="Cambria Math" w:hAnsi="Cambria Math" w:eastAsia="宋体" w:cs="Times New Roman"/>
                    <w:color w:val="auto"/>
                    <w:spacing w:val="0"/>
                    <w:kern w:val="2"/>
                    <w:sz w:val="24"/>
                    <w:szCs w:val="24"/>
                    <w:lang w:val="en-US" w:eastAsia="zh-CN"/>
                  </w:rPr>
                  <m:t>+</m:t>
                </m:r>
                <m:sSup>
                  <m:sSupPr>
                    <m:ctrlPr>
                      <w:rPr>
                        <w:rFonts w:hint="default" w:ascii="Cambria Math" w:hAnsi="Cambria Math" w:eastAsia="宋体" w:cs="Times New Roman"/>
                        <w:i w:val="0"/>
                        <w:iCs/>
                        <w:color w:val="auto"/>
                        <w:spacing w:val="0"/>
                        <w:kern w:val="2"/>
                        <w:sz w:val="24"/>
                        <w:szCs w:val="24"/>
                        <w:lang w:val="en-US" w:eastAsia="zh-CN"/>
                      </w:rPr>
                    </m:ctrlPr>
                  </m:sSupPr>
                  <m:e>
                    <m:r>
                      <m:rPr>
                        <m:sty m:val="p"/>
                      </m:rPr>
                      <w:rPr>
                        <w:rFonts w:hint="default" w:ascii="Cambria Math" w:hAnsi="Cambria Math" w:eastAsia="宋体" w:cs="Times New Roman"/>
                        <w:color w:val="auto"/>
                        <w:spacing w:val="0"/>
                        <w:kern w:val="2"/>
                        <w:sz w:val="24"/>
                        <w:szCs w:val="24"/>
                        <w:lang w:val="en-US" w:eastAsia="zh-CN"/>
                      </w:rPr>
                      <m:t>10</m:t>
                    </m:r>
                    <m:ctrlPr>
                      <w:rPr>
                        <w:rFonts w:hint="default" w:ascii="Cambria Math" w:hAnsi="Cambria Math" w:eastAsia="宋体" w:cs="Times New Roman"/>
                        <w:i w:val="0"/>
                        <w:iCs/>
                        <w:color w:val="auto"/>
                        <w:spacing w:val="0"/>
                        <w:kern w:val="2"/>
                        <w:sz w:val="24"/>
                        <w:szCs w:val="24"/>
                        <w:lang w:val="en-US" w:eastAsia="zh-CN"/>
                      </w:rPr>
                    </m:ctrlPr>
                  </m:e>
                  <m:sup>
                    <m:r>
                      <m:rPr>
                        <m:sty m:val="p"/>
                      </m:rPr>
                      <w:rPr>
                        <w:rFonts w:hint="default" w:ascii="Cambria Math" w:hAnsi="Cambria Math" w:eastAsia="宋体" w:cs="Times New Roman"/>
                        <w:color w:val="auto"/>
                        <w:spacing w:val="0"/>
                        <w:kern w:val="2"/>
                        <w:sz w:val="24"/>
                        <w:szCs w:val="24"/>
                        <w:lang w:val="en-US" w:eastAsia="zh-CN"/>
                      </w:rPr>
                      <m:t>0.1</m:t>
                    </m:r>
                    <m:sSup>
                      <m:sSupPr>
                        <m:ctrlPr>
                          <w:rPr>
                            <w:rFonts w:hint="default" w:ascii="Cambria Math" w:hAnsi="Cambria Math" w:eastAsia="宋体" w:cs="Times New Roman"/>
                            <w:i w:val="0"/>
                            <w:iCs/>
                            <w:color w:val="auto"/>
                            <w:spacing w:val="0"/>
                            <w:kern w:val="2"/>
                            <w:sz w:val="24"/>
                            <w:szCs w:val="24"/>
                            <w:lang w:val="en-US" w:eastAsia="zh-CN"/>
                          </w:rPr>
                        </m:ctrlPr>
                      </m:sSupPr>
                      <m:e>
                        <m:r>
                          <m:rPr>
                            <m:sty m:val="p"/>
                          </m:rPr>
                          <w:rPr>
                            <w:rFonts w:hint="default" w:ascii="Cambria Math" w:hAnsi="Cambria Math" w:eastAsia="宋体" w:cs="Times New Roman"/>
                            <w:color w:val="auto"/>
                            <w:spacing w:val="0"/>
                            <w:kern w:val="2"/>
                            <w:sz w:val="24"/>
                            <w:szCs w:val="24"/>
                            <w:lang w:val="en-US" w:eastAsia="zh-CN"/>
                          </w:rPr>
                          <m:t>L</m:t>
                        </m:r>
                        <m:ctrlPr>
                          <w:rPr>
                            <w:rFonts w:hint="default" w:ascii="Cambria Math" w:hAnsi="Cambria Math" w:eastAsia="宋体" w:cs="Times New Roman"/>
                            <w:i w:val="0"/>
                            <w:iCs/>
                            <w:color w:val="auto"/>
                            <w:spacing w:val="0"/>
                            <w:kern w:val="2"/>
                            <w:sz w:val="24"/>
                            <w:szCs w:val="24"/>
                            <w:lang w:val="en-US" w:eastAsia="zh-CN"/>
                          </w:rPr>
                        </m:ctrlPr>
                      </m:e>
                      <m:sup>
                        <m:r>
                          <m:rPr>
                            <m:sty m:val="p"/>
                          </m:rPr>
                          <w:rPr>
                            <w:rFonts w:hint="default" w:ascii="Cambria Math" w:hAnsi="Cambria Math" w:eastAsia="宋体" w:cs="Times New Roman"/>
                            <w:color w:val="auto"/>
                            <w:spacing w:val="0"/>
                            <w:kern w:val="2"/>
                            <w:sz w:val="24"/>
                            <w:szCs w:val="24"/>
                            <w:lang w:val="en-US" w:eastAsia="zh-CN"/>
                          </w:rPr>
                          <m:t>eqb</m:t>
                        </m:r>
                        <m:ctrlPr>
                          <w:rPr>
                            <w:rFonts w:hint="default" w:ascii="Cambria Math" w:hAnsi="Cambria Math" w:eastAsia="宋体" w:cs="Times New Roman"/>
                            <w:i w:val="0"/>
                            <w:iCs/>
                            <w:color w:val="auto"/>
                            <w:spacing w:val="0"/>
                            <w:kern w:val="2"/>
                            <w:sz w:val="24"/>
                            <w:szCs w:val="24"/>
                            <w:lang w:val="en-US" w:eastAsia="zh-CN"/>
                          </w:rPr>
                        </m:ctrlPr>
                      </m:sup>
                    </m:sSup>
                    <m:ctrlPr>
                      <w:rPr>
                        <w:rFonts w:hint="default" w:ascii="Cambria Math" w:hAnsi="Cambria Math" w:eastAsia="宋体" w:cs="Times New Roman"/>
                        <w:i w:val="0"/>
                        <w:iCs/>
                        <w:color w:val="auto"/>
                        <w:spacing w:val="0"/>
                        <w:kern w:val="2"/>
                        <w:sz w:val="24"/>
                        <w:szCs w:val="24"/>
                        <w:lang w:val="en-US" w:eastAsia="zh-CN"/>
                      </w:rPr>
                    </m:ctrlPr>
                  </m:sup>
                </m:sSup>
                <m:r>
                  <m:rPr>
                    <m:sty m:val="p"/>
                  </m:rPr>
                  <w:rPr>
                    <w:rFonts w:hint="default" w:ascii="Cambria Math" w:hAnsi="Cambria Math" w:eastAsia="宋体" w:cs="Times New Roman"/>
                    <w:color w:val="auto"/>
                    <w:spacing w:val="0"/>
                    <w:kern w:val="2"/>
                    <w:sz w:val="24"/>
                    <w:szCs w:val="24"/>
                    <w:lang w:val="en-US" w:eastAsia="zh-CN"/>
                  </w:rPr>
                  <m:t>）</m:t>
                </m:r>
              </m:oMath>
            </m:oMathPara>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式中：Leq：预测点的噪声预测值，dB；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1200" w:firstLineChars="5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Leqg：建设项目声源在预测点产生的噪声贡献值，dB；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1200" w:firstLineChars="5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Leqb ：预测点的背景噪声值，dB。 </w:t>
            </w:r>
          </w:p>
          <w:p>
            <w:pPr>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2）预测结果</w:t>
            </w:r>
          </w:p>
          <w:p>
            <w:pPr>
              <w:keepNext w:val="0"/>
              <w:keepLines w:val="0"/>
              <w:widowControl/>
              <w:suppressLineNumbers w:val="0"/>
              <w:spacing w:before="0" w:beforeAutospacing="0" w:after="0" w:afterAutospacing="0"/>
              <w:ind w:left="0" w:right="0" w:firstLine="480" w:firstLineChars="200"/>
              <w:jc w:val="left"/>
              <w:rPr>
                <w:rFonts w:hint="default" w:ascii="Calibri" w:hAnsi="Calibri" w:cs="Times New Roman"/>
                <w:color w:val="auto"/>
              </w:rPr>
            </w:pPr>
            <w:r>
              <w:rPr>
                <w:rFonts w:hint="eastAsia" w:ascii="宋体" w:hAnsi="宋体" w:eastAsia="宋体" w:cs="宋体"/>
                <w:color w:val="auto"/>
                <w:kern w:val="0"/>
                <w:sz w:val="24"/>
                <w:szCs w:val="24"/>
                <w:lang w:val="en-US" w:eastAsia="zh-CN" w:bidi="ar"/>
              </w:rPr>
              <w:t>通过预测模型计算，项目厂界噪声预测结果与达标分析见表</w:t>
            </w:r>
            <w:r>
              <w:rPr>
                <w:rFonts w:hint="default" w:ascii="Times New Roman" w:hAnsi="Times New Roman" w:eastAsia="宋体" w:cs="Times New Roman"/>
                <w:color w:val="auto"/>
                <w:kern w:val="0"/>
                <w:sz w:val="24"/>
                <w:szCs w:val="24"/>
                <w:lang w:val="en-US" w:eastAsia="zh-CN" w:bidi="ar"/>
              </w:rPr>
              <w:t>4-10</w:t>
            </w:r>
            <w:r>
              <w:rPr>
                <w:rFonts w:hint="eastAsia" w:ascii="宋体" w:hAnsi="宋体" w:eastAsia="宋体" w:cs="宋体"/>
                <w:color w:val="auto"/>
                <w:kern w:val="0"/>
                <w:sz w:val="24"/>
                <w:szCs w:val="24"/>
                <w:lang w:val="en-US" w:eastAsia="zh-CN" w:bidi="ar"/>
              </w:rPr>
              <w:t>。</w:t>
            </w:r>
          </w:p>
          <w:p>
            <w:pPr>
              <w:keepNext w:val="0"/>
              <w:keepLines w:val="0"/>
              <w:suppressLineNumbers w:val="0"/>
              <w:tabs>
                <w:tab w:val="left" w:pos="1060"/>
              </w:tabs>
              <w:spacing w:before="0" w:beforeAutospacing="0" w:after="0" w:afterAutospacing="0"/>
              <w:ind w:left="198" w:right="0"/>
              <w:jc w:val="center"/>
              <w:rPr>
                <w:rFonts w:hint="eastAsia" w:ascii="宋体" w:hAnsi="宋体" w:cs="宋体"/>
                <w:b/>
                <w:color w:val="auto"/>
                <w:sz w:val="24"/>
                <w:szCs w:val="24"/>
              </w:rPr>
            </w:pPr>
            <w:r>
              <w:rPr>
                <w:rFonts w:hint="eastAsia" w:ascii="宋体" w:hAnsi="宋体" w:cs="宋体"/>
                <w:b/>
                <w:color w:val="auto"/>
                <w:sz w:val="24"/>
                <w:szCs w:val="24"/>
              </w:rPr>
              <w:t>表4-</w:t>
            </w:r>
            <w:r>
              <w:rPr>
                <w:rFonts w:hint="default" w:ascii="宋体" w:hAnsi="宋体" w:cs="宋体"/>
                <w:b/>
                <w:color w:val="auto"/>
                <w:sz w:val="24"/>
                <w:szCs w:val="24"/>
                <w:lang w:val="en-US"/>
              </w:rPr>
              <w:t>10-1</w:t>
            </w:r>
            <w:r>
              <w:rPr>
                <w:rFonts w:hint="eastAsia" w:ascii="宋体" w:hAnsi="宋体" w:cs="宋体"/>
                <w:b/>
                <w:color w:val="auto"/>
                <w:sz w:val="24"/>
                <w:szCs w:val="24"/>
              </w:rPr>
              <w:t xml:space="preserve"> 项目各厂界的噪声贡献预测值   单位：dB(A)</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03"/>
              <w:gridCol w:w="803"/>
              <w:gridCol w:w="803"/>
              <w:gridCol w:w="993"/>
              <w:gridCol w:w="1417"/>
              <w:gridCol w:w="1418"/>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exact"/>
                <w:jc w:val="center"/>
              </w:trPr>
              <w:tc>
                <w:tcPr>
                  <w:tcW w:w="1101"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预测方位</w:t>
                  </w:r>
                </w:p>
              </w:tc>
              <w:tc>
                <w:tcPr>
                  <w:tcW w:w="2409"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lang w:val="en-US" w:eastAsia="zh-CN"/>
                    </w:rPr>
                    <w:t>最大值点</w:t>
                  </w:r>
                  <w:r>
                    <w:rPr>
                      <w:rFonts w:hint="default" w:ascii="Times New Roman" w:hAnsi="Times New Roman" w:eastAsia="宋体" w:cs="Times New Roman"/>
                      <w:b/>
                      <w:color w:val="auto"/>
                      <w:sz w:val="21"/>
                      <w:szCs w:val="21"/>
                    </w:rPr>
                    <w:t>空间相对位置/m</w:t>
                  </w:r>
                </w:p>
              </w:tc>
              <w:tc>
                <w:tcPr>
                  <w:tcW w:w="993"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时段</w:t>
                  </w:r>
                </w:p>
              </w:tc>
              <w:tc>
                <w:tcPr>
                  <w:tcW w:w="1417"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贡献值（dB(A)）</w:t>
                  </w:r>
                </w:p>
              </w:tc>
              <w:tc>
                <w:tcPr>
                  <w:tcW w:w="1418"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标准限值（dB(A)）</w:t>
                  </w:r>
                </w:p>
              </w:tc>
              <w:tc>
                <w:tcPr>
                  <w:tcW w:w="1188"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01" w:type="dxa"/>
                  <w:vMerge w:val="continue"/>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803"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X</w:t>
                  </w:r>
                </w:p>
              </w:tc>
              <w:tc>
                <w:tcPr>
                  <w:tcW w:w="803"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Y</w:t>
                  </w:r>
                </w:p>
              </w:tc>
              <w:tc>
                <w:tcPr>
                  <w:tcW w:w="803"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Z</w:t>
                  </w:r>
                </w:p>
              </w:tc>
              <w:tc>
                <w:tcPr>
                  <w:tcW w:w="993" w:type="dxa"/>
                  <w:vMerge w:val="continue"/>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417" w:type="dxa"/>
                  <w:vMerge w:val="continue"/>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418" w:type="dxa"/>
                  <w:vMerge w:val="continue"/>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188" w:type="dxa"/>
                  <w:vMerge w:val="continue"/>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408" w:hRule="exact"/>
                <w:jc w:val="center"/>
              </w:trPr>
              <w:tc>
                <w:tcPr>
                  <w:tcW w:w="1101" w:type="dxa"/>
                  <w:vMerge w:val="restart"/>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东侧</w:t>
                  </w:r>
                </w:p>
              </w:tc>
              <w:tc>
                <w:tcPr>
                  <w:tcW w:w="803"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67.4</w:t>
                  </w:r>
                </w:p>
              </w:tc>
              <w:tc>
                <w:tcPr>
                  <w:tcW w:w="803"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-64.6</w:t>
                  </w:r>
                </w:p>
              </w:tc>
              <w:tc>
                <w:tcPr>
                  <w:tcW w:w="803"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993"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417"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1418"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60</w:t>
                  </w:r>
                </w:p>
              </w:tc>
              <w:tc>
                <w:tcPr>
                  <w:tcW w:w="1188"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408" w:hRule="exact"/>
                <w:jc w:val="center"/>
              </w:trPr>
              <w:tc>
                <w:tcPr>
                  <w:tcW w:w="1101" w:type="dxa"/>
                  <w:vMerge w:val="continue"/>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东侧</w:t>
                  </w:r>
                </w:p>
              </w:tc>
              <w:tc>
                <w:tcPr>
                  <w:tcW w:w="803"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67.4</w:t>
                  </w:r>
                </w:p>
              </w:tc>
              <w:tc>
                <w:tcPr>
                  <w:tcW w:w="803"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-64.6</w:t>
                  </w:r>
                </w:p>
              </w:tc>
              <w:tc>
                <w:tcPr>
                  <w:tcW w:w="803"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993"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夜间</w:t>
                  </w:r>
                </w:p>
              </w:tc>
              <w:tc>
                <w:tcPr>
                  <w:tcW w:w="1417"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1418"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50</w:t>
                  </w:r>
                </w:p>
              </w:tc>
              <w:tc>
                <w:tcPr>
                  <w:tcW w:w="1188"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408" w:hRule="exact"/>
                <w:jc w:val="center"/>
              </w:trPr>
              <w:tc>
                <w:tcPr>
                  <w:tcW w:w="1101" w:type="dxa"/>
                  <w:vMerge w:val="restart"/>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南侧</w:t>
                  </w:r>
                </w:p>
              </w:tc>
              <w:tc>
                <w:tcPr>
                  <w:tcW w:w="803"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-63.8</w:t>
                  </w:r>
                </w:p>
              </w:tc>
              <w:tc>
                <w:tcPr>
                  <w:tcW w:w="803"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-64.4</w:t>
                  </w:r>
                </w:p>
              </w:tc>
              <w:tc>
                <w:tcPr>
                  <w:tcW w:w="803"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993"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417"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41.8</w:t>
                  </w:r>
                </w:p>
              </w:tc>
              <w:tc>
                <w:tcPr>
                  <w:tcW w:w="1418"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rPr>
                    <w:t>60</w:t>
                  </w:r>
                </w:p>
              </w:tc>
              <w:tc>
                <w:tcPr>
                  <w:tcW w:w="1188"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408" w:hRule="exact"/>
                <w:jc w:val="center"/>
              </w:trPr>
              <w:tc>
                <w:tcPr>
                  <w:tcW w:w="1101" w:type="dxa"/>
                  <w:vMerge w:val="continue"/>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南侧</w:t>
                  </w:r>
                </w:p>
              </w:tc>
              <w:tc>
                <w:tcPr>
                  <w:tcW w:w="803"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-63.8</w:t>
                  </w:r>
                </w:p>
              </w:tc>
              <w:tc>
                <w:tcPr>
                  <w:tcW w:w="803"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-64.4</w:t>
                  </w:r>
                </w:p>
              </w:tc>
              <w:tc>
                <w:tcPr>
                  <w:tcW w:w="803"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993"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夜间</w:t>
                  </w:r>
                </w:p>
              </w:tc>
              <w:tc>
                <w:tcPr>
                  <w:tcW w:w="1417"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41.8</w:t>
                  </w:r>
                </w:p>
              </w:tc>
              <w:tc>
                <w:tcPr>
                  <w:tcW w:w="1418"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rPr>
                    <w:t>50</w:t>
                  </w:r>
                </w:p>
              </w:tc>
              <w:tc>
                <w:tcPr>
                  <w:tcW w:w="1188"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408" w:hRule="exact"/>
                <w:jc w:val="center"/>
              </w:trPr>
              <w:tc>
                <w:tcPr>
                  <w:tcW w:w="1101" w:type="dxa"/>
                  <w:vMerge w:val="restart"/>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西侧</w:t>
                  </w:r>
                </w:p>
              </w:tc>
              <w:tc>
                <w:tcPr>
                  <w:tcW w:w="803"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-74.4</w:t>
                  </w:r>
                </w:p>
              </w:tc>
              <w:tc>
                <w:tcPr>
                  <w:tcW w:w="803"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-36.3</w:t>
                  </w:r>
                </w:p>
              </w:tc>
              <w:tc>
                <w:tcPr>
                  <w:tcW w:w="803"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993"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417"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44.4</w:t>
                  </w:r>
                </w:p>
              </w:tc>
              <w:tc>
                <w:tcPr>
                  <w:tcW w:w="1418"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rPr>
                    <w:t>60</w:t>
                  </w:r>
                </w:p>
              </w:tc>
              <w:tc>
                <w:tcPr>
                  <w:tcW w:w="1188"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408" w:hRule="exact"/>
                <w:jc w:val="center"/>
              </w:trPr>
              <w:tc>
                <w:tcPr>
                  <w:tcW w:w="1101" w:type="dxa"/>
                  <w:vMerge w:val="continue"/>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西侧</w:t>
                  </w:r>
                </w:p>
              </w:tc>
              <w:tc>
                <w:tcPr>
                  <w:tcW w:w="803"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-74.4</w:t>
                  </w:r>
                </w:p>
              </w:tc>
              <w:tc>
                <w:tcPr>
                  <w:tcW w:w="803"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-36.3</w:t>
                  </w:r>
                </w:p>
              </w:tc>
              <w:tc>
                <w:tcPr>
                  <w:tcW w:w="803"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993"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夜间</w:t>
                  </w:r>
                </w:p>
              </w:tc>
              <w:tc>
                <w:tcPr>
                  <w:tcW w:w="1417"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44.4</w:t>
                  </w:r>
                </w:p>
              </w:tc>
              <w:tc>
                <w:tcPr>
                  <w:tcW w:w="1418"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rPr>
                    <w:t>50</w:t>
                  </w:r>
                </w:p>
              </w:tc>
              <w:tc>
                <w:tcPr>
                  <w:tcW w:w="1188"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408" w:hRule="exact"/>
                <w:jc w:val="center"/>
              </w:trPr>
              <w:tc>
                <w:tcPr>
                  <w:tcW w:w="1101" w:type="dxa"/>
                  <w:vMerge w:val="restart"/>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北侧</w:t>
                  </w:r>
                </w:p>
              </w:tc>
              <w:tc>
                <w:tcPr>
                  <w:tcW w:w="803"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-63.8</w:t>
                  </w:r>
                </w:p>
              </w:tc>
              <w:tc>
                <w:tcPr>
                  <w:tcW w:w="803"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64</w:t>
                  </w:r>
                </w:p>
              </w:tc>
              <w:tc>
                <w:tcPr>
                  <w:tcW w:w="803"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993"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417"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37.6</w:t>
                  </w:r>
                </w:p>
              </w:tc>
              <w:tc>
                <w:tcPr>
                  <w:tcW w:w="1418"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rPr>
                    <w:t>60</w:t>
                  </w:r>
                </w:p>
              </w:tc>
              <w:tc>
                <w:tcPr>
                  <w:tcW w:w="1188"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408" w:hRule="exact"/>
                <w:jc w:val="center"/>
              </w:trPr>
              <w:tc>
                <w:tcPr>
                  <w:tcW w:w="1101" w:type="dxa"/>
                  <w:vMerge w:val="continue"/>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北侧</w:t>
                  </w:r>
                </w:p>
              </w:tc>
              <w:tc>
                <w:tcPr>
                  <w:tcW w:w="803"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-63.8</w:t>
                  </w:r>
                </w:p>
              </w:tc>
              <w:tc>
                <w:tcPr>
                  <w:tcW w:w="803"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64</w:t>
                  </w:r>
                </w:p>
              </w:tc>
              <w:tc>
                <w:tcPr>
                  <w:tcW w:w="803"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993"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夜间</w:t>
                  </w:r>
                </w:p>
              </w:tc>
              <w:tc>
                <w:tcPr>
                  <w:tcW w:w="1417"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37.6</w:t>
                  </w:r>
                </w:p>
              </w:tc>
              <w:tc>
                <w:tcPr>
                  <w:tcW w:w="1418"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rPr>
                    <w:t>50</w:t>
                  </w:r>
                </w:p>
              </w:tc>
              <w:tc>
                <w:tcPr>
                  <w:tcW w:w="1188"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bl>
          <w:p>
            <w:pPr>
              <w:keepNext w:val="0"/>
              <w:keepLines w:val="0"/>
              <w:suppressLineNumbers w:val="0"/>
              <w:tabs>
                <w:tab w:val="left" w:pos="1060"/>
              </w:tabs>
              <w:spacing w:before="0" w:beforeAutospacing="0" w:after="0" w:afterAutospacing="0"/>
              <w:ind w:left="198" w:right="0"/>
              <w:jc w:val="center"/>
              <w:rPr>
                <w:rFonts w:hint="eastAsia" w:ascii="宋体" w:hAnsi="宋体" w:cs="宋体"/>
                <w:b/>
                <w:color w:val="auto"/>
                <w:sz w:val="24"/>
                <w:szCs w:val="24"/>
              </w:rPr>
            </w:pPr>
            <w:r>
              <w:rPr>
                <w:rFonts w:hint="eastAsia" w:ascii="宋体" w:hAnsi="宋体" w:cs="宋体"/>
                <w:b/>
                <w:color w:val="auto"/>
                <w:sz w:val="24"/>
                <w:szCs w:val="24"/>
              </w:rPr>
              <w:t>表4-</w:t>
            </w:r>
            <w:r>
              <w:rPr>
                <w:rFonts w:hint="default" w:ascii="宋体" w:hAnsi="宋体" w:cs="宋体"/>
                <w:b/>
                <w:color w:val="auto"/>
                <w:sz w:val="24"/>
                <w:szCs w:val="24"/>
                <w:lang w:val="en-US"/>
              </w:rPr>
              <w:t>10-2</w:t>
            </w:r>
            <w:r>
              <w:rPr>
                <w:rFonts w:hint="eastAsia" w:ascii="宋体" w:hAnsi="宋体" w:cs="宋体"/>
                <w:b/>
                <w:color w:val="auto"/>
                <w:sz w:val="24"/>
                <w:szCs w:val="24"/>
              </w:rPr>
              <w:t xml:space="preserve"> </w:t>
            </w:r>
            <w:r>
              <w:rPr>
                <w:rFonts w:hint="default" w:cs="Times New Roman" w:asciiTheme="minorEastAsia" w:hAnsiTheme="minorEastAsia" w:eastAsiaTheme="minorEastAsia"/>
                <w:b/>
                <w:color w:val="auto"/>
                <w:spacing w:val="-3"/>
                <w:lang w:eastAsia="zh-CN"/>
              </w:rPr>
              <w:t>环境</w:t>
            </w:r>
            <w:r>
              <w:rPr>
                <w:rFonts w:hint="default" w:cs="Times New Roman" w:asciiTheme="minorEastAsia" w:hAnsiTheme="minorEastAsia" w:eastAsiaTheme="minorEastAsia"/>
                <w:b/>
                <w:color w:val="auto"/>
                <w:lang w:eastAsia="zh-CN"/>
              </w:rPr>
              <w:t>保护</w:t>
            </w:r>
            <w:r>
              <w:rPr>
                <w:rFonts w:hint="default" w:cs="Times New Roman" w:asciiTheme="minorEastAsia" w:hAnsiTheme="minorEastAsia" w:eastAsiaTheme="minorEastAsia"/>
                <w:b/>
                <w:color w:val="auto"/>
                <w:spacing w:val="-3"/>
                <w:lang w:eastAsia="zh-CN"/>
              </w:rPr>
              <w:t>目</w:t>
            </w:r>
            <w:r>
              <w:rPr>
                <w:rFonts w:hint="default" w:cs="Times New Roman" w:asciiTheme="minorEastAsia" w:hAnsiTheme="minorEastAsia" w:eastAsiaTheme="minorEastAsia"/>
                <w:b/>
                <w:color w:val="auto"/>
                <w:lang w:eastAsia="zh-CN"/>
              </w:rPr>
              <w:t>标</w:t>
            </w:r>
            <w:r>
              <w:rPr>
                <w:rFonts w:hint="default" w:cs="Times New Roman" w:asciiTheme="minorEastAsia" w:hAnsiTheme="minorEastAsia" w:eastAsiaTheme="minorEastAsia"/>
                <w:b/>
                <w:color w:val="auto"/>
                <w:spacing w:val="-3"/>
                <w:lang w:eastAsia="zh-CN"/>
              </w:rPr>
              <w:t>噪</w:t>
            </w:r>
            <w:r>
              <w:rPr>
                <w:rFonts w:hint="default" w:cs="Times New Roman" w:asciiTheme="minorEastAsia" w:hAnsiTheme="minorEastAsia" w:eastAsiaTheme="minorEastAsia"/>
                <w:b/>
                <w:color w:val="auto"/>
                <w:lang w:eastAsia="zh-CN"/>
              </w:rPr>
              <w:t>声</w:t>
            </w:r>
            <w:r>
              <w:rPr>
                <w:rFonts w:hint="default" w:cs="Times New Roman" w:asciiTheme="minorEastAsia" w:hAnsiTheme="minorEastAsia" w:eastAsiaTheme="minorEastAsia"/>
                <w:b/>
                <w:color w:val="auto"/>
                <w:spacing w:val="-3"/>
                <w:lang w:eastAsia="zh-CN"/>
              </w:rPr>
              <w:t>预</w:t>
            </w:r>
            <w:r>
              <w:rPr>
                <w:rFonts w:hint="default" w:cs="Times New Roman" w:asciiTheme="minorEastAsia" w:hAnsiTheme="minorEastAsia" w:eastAsiaTheme="minorEastAsia"/>
                <w:b/>
                <w:color w:val="auto"/>
                <w:lang w:eastAsia="zh-CN"/>
              </w:rPr>
              <w:t>测</w:t>
            </w:r>
            <w:r>
              <w:rPr>
                <w:rFonts w:hint="default" w:cs="Times New Roman" w:asciiTheme="minorEastAsia" w:hAnsiTheme="minorEastAsia" w:eastAsiaTheme="minorEastAsia"/>
                <w:b/>
                <w:color w:val="auto"/>
                <w:spacing w:val="-3"/>
                <w:lang w:eastAsia="zh-CN"/>
              </w:rPr>
              <w:t>结</w:t>
            </w:r>
            <w:r>
              <w:rPr>
                <w:rFonts w:hint="default" w:cs="Times New Roman" w:asciiTheme="minorEastAsia" w:hAnsiTheme="minorEastAsia" w:eastAsiaTheme="minorEastAsia"/>
                <w:b/>
                <w:color w:val="auto"/>
                <w:lang w:eastAsia="zh-CN"/>
              </w:rPr>
              <w:t>果</w:t>
            </w:r>
            <w:r>
              <w:rPr>
                <w:rFonts w:hint="default" w:cs="Times New Roman" w:asciiTheme="minorEastAsia" w:hAnsiTheme="minorEastAsia" w:eastAsiaTheme="minorEastAsia"/>
                <w:b/>
                <w:color w:val="auto"/>
                <w:spacing w:val="-3"/>
                <w:lang w:eastAsia="zh-CN"/>
              </w:rPr>
              <w:t>与</w:t>
            </w:r>
            <w:r>
              <w:rPr>
                <w:rFonts w:hint="default" w:cs="Times New Roman" w:asciiTheme="minorEastAsia" w:hAnsiTheme="minorEastAsia" w:eastAsiaTheme="minorEastAsia"/>
                <w:b/>
                <w:color w:val="auto"/>
                <w:lang w:eastAsia="zh-CN"/>
              </w:rPr>
              <w:t>达标</w:t>
            </w:r>
            <w:r>
              <w:rPr>
                <w:rFonts w:hint="default" w:cs="Times New Roman" w:asciiTheme="minorEastAsia" w:hAnsiTheme="minorEastAsia" w:eastAsiaTheme="minorEastAsia"/>
                <w:b/>
                <w:color w:val="auto"/>
                <w:spacing w:val="-3"/>
                <w:lang w:eastAsia="zh-CN"/>
              </w:rPr>
              <w:t>分</w:t>
            </w:r>
            <w:r>
              <w:rPr>
                <w:rFonts w:hint="default" w:cs="Times New Roman" w:asciiTheme="minorEastAsia" w:hAnsiTheme="minorEastAsia" w:eastAsiaTheme="minorEastAsia"/>
                <w:b/>
                <w:color w:val="auto"/>
                <w:lang w:eastAsia="zh-CN"/>
              </w:rPr>
              <w:t>析表</w:t>
            </w:r>
            <w:r>
              <w:rPr>
                <w:rFonts w:hint="eastAsia" w:ascii="宋体" w:hAnsi="宋体" w:cs="宋体"/>
                <w:b/>
                <w:color w:val="auto"/>
                <w:sz w:val="24"/>
                <w:szCs w:val="24"/>
              </w:rPr>
              <w:t xml:space="preserve">  单位：dB(A)</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680"/>
              <w:gridCol w:w="588"/>
              <w:gridCol w:w="590"/>
              <w:gridCol w:w="589"/>
              <w:gridCol w:w="590"/>
              <w:gridCol w:w="455"/>
              <w:gridCol w:w="455"/>
              <w:gridCol w:w="589"/>
              <w:gridCol w:w="590"/>
              <w:gridCol w:w="589"/>
              <w:gridCol w:w="590"/>
              <w:gridCol w:w="512"/>
              <w:gridCol w:w="513"/>
              <w:gridCol w:w="447"/>
              <w:gridCol w:w="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9" w:hRule="exact"/>
                <w:jc w:val="center"/>
              </w:trPr>
              <w:tc>
                <w:tcPr>
                  <w:tcW w:w="40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color w:val="auto"/>
                      <w:sz w:val="21"/>
                      <w:szCs w:val="21"/>
                    </w:rPr>
                    <w:t>序号</w:t>
                  </w:r>
                </w:p>
              </w:tc>
              <w:tc>
                <w:tcPr>
                  <w:tcW w:w="680"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color w:val="auto"/>
                      <w:sz w:val="21"/>
                      <w:szCs w:val="21"/>
                    </w:rPr>
                    <w:t>声环境保护目标名称</w:t>
                  </w:r>
                </w:p>
              </w:tc>
              <w:tc>
                <w:tcPr>
                  <w:tcW w:w="1178"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color w:val="auto"/>
                      <w:sz w:val="21"/>
                      <w:szCs w:val="21"/>
                    </w:rPr>
                    <w:t>噪声背景值/dB(A)</w:t>
                  </w:r>
                </w:p>
              </w:tc>
              <w:tc>
                <w:tcPr>
                  <w:tcW w:w="1179"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color w:val="auto"/>
                      <w:sz w:val="21"/>
                      <w:szCs w:val="21"/>
                    </w:rPr>
                    <w:t>噪声现状值/dB(A)</w:t>
                  </w:r>
                </w:p>
              </w:tc>
              <w:tc>
                <w:tcPr>
                  <w:tcW w:w="91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color w:val="auto"/>
                      <w:sz w:val="21"/>
                      <w:szCs w:val="21"/>
                    </w:rPr>
                    <w:t>噪声标准/dB(A)</w:t>
                  </w:r>
                </w:p>
              </w:tc>
              <w:tc>
                <w:tcPr>
                  <w:tcW w:w="1179"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color w:val="auto"/>
                      <w:sz w:val="21"/>
                      <w:szCs w:val="21"/>
                    </w:rPr>
                    <w:t>噪声贡献值/dB(A)</w:t>
                  </w:r>
                </w:p>
              </w:tc>
              <w:tc>
                <w:tcPr>
                  <w:tcW w:w="1179"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color w:val="auto"/>
                      <w:sz w:val="21"/>
                      <w:szCs w:val="21"/>
                    </w:rPr>
                    <w:t>噪声预测值/dB(A)</w:t>
                  </w:r>
                </w:p>
              </w:tc>
              <w:tc>
                <w:tcPr>
                  <w:tcW w:w="1025"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color w:val="auto"/>
                      <w:sz w:val="21"/>
                      <w:szCs w:val="21"/>
                    </w:rPr>
                    <w:t>较现状增量/dB(A)</w:t>
                  </w:r>
                </w:p>
              </w:tc>
              <w:tc>
                <w:tcPr>
                  <w:tcW w:w="896"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color w:val="auto"/>
                      <w:sz w:val="21"/>
                      <w:szCs w:val="21"/>
                    </w:rPr>
                    <w:t>超标和达标情况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09" w:type="dxa"/>
                  <w:vMerge w:val="continue"/>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rPr>
                  </w:pPr>
                </w:p>
              </w:tc>
              <w:tc>
                <w:tcPr>
                  <w:tcW w:w="680" w:type="dxa"/>
                  <w:vMerge w:val="continue"/>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rPr>
                  </w:pPr>
                </w:p>
              </w:tc>
              <w:tc>
                <w:tcPr>
                  <w:tcW w:w="588"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昼间</w:t>
                  </w:r>
                </w:p>
              </w:tc>
              <w:tc>
                <w:tcPr>
                  <w:tcW w:w="590"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夜间</w:t>
                  </w:r>
                </w:p>
              </w:tc>
              <w:tc>
                <w:tcPr>
                  <w:tcW w:w="589"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昼间</w:t>
                  </w:r>
                </w:p>
              </w:tc>
              <w:tc>
                <w:tcPr>
                  <w:tcW w:w="590"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夜间</w:t>
                  </w:r>
                </w:p>
              </w:tc>
              <w:tc>
                <w:tcPr>
                  <w:tcW w:w="455"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昼间</w:t>
                  </w:r>
                </w:p>
              </w:tc>
              <w:tc>
                <w:tcPr>
                  <w:tcW w:w="455"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夜间</w:t>
                  </w:r>
                </w:p>
              </w:tc>
              <w:tc>
                <w:tcPr>
                  <w:tcW w:w="589"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昼间</w:t>
                  </w:r>
                </w:p>
              </w:tc>
              <w:tc>
                <w:tcPr>
                  <w:tcW w:w="590"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夜间</w:t>
                  </w:r>
                </w:p>
              </w:tc>
              <w:tc>
                <w:tcPr>
                  <w:tcW w:w="589"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昼间</w:t>
                  </w:r>
                </w:p>
              </w:tc>
              <w:tc>
                <w:tcPr>
                  <w:tcW w:w="590"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夜间</w:t>
                  </w:r>
                </w:p>
              </w:tc>
              <w:tc>
                <w:tcPr>
                  <w:tcW w:w="512"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昼间</w:t>
                  </w:r>
                </w:p>
              </w:tc>
              <w:tc>
                <w:tcPr>
                  <w:tcW w:w="513"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夜间</w:t>
                  </w:r>
                </w:p>
              </w:tc>
              <w:tc>
                <w:tcPr>
                  <w:tcW w:w="447"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昼间</w:t>
                  </w:r>
                </w:p>
              </w:tc>
              <w:tc>
                <w:tcPr>
                  <w:tcW w:w="449" w:type="dxa"/>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3" w:hRule="atLeast"/>
                <w:jc w:val="center"/>
              </w:trPr>
              <w:tc>
                <w:tcPr>
                  <w:tcW w:w="409" w:type="dxa"/>
                  <w:shd w:val="clear" w:color="auto" w:fill="FFFFFF"/>
                  <w:vAlign w:val="center"/>
                </w:tcPr>
                <w:p>
                  <w:pPr>
                    <w:keepNext w:val="0"/>
                    <w:keepLines w:val="0"/>
                    <w:suppressLineNumbers w:val="0"/>
                    <w:spacing w:before="0" w:beforeAutospacing="0" w:after="0" w:afterAutospacing="0"/>
                    <w:ind w:left="0" w:right="0"/>
                    <w:rPr>
                      <w:rFonts w:hint="default"/>
                      <w:color w:val="auto"/>
                    </w:rPr>
                  </w:pPr>
                  <w:r>
                    <w:rPr>
                      <w:rFonts w:hint="default" w:ascii="Arial" w:hAnsi="Arial" w:eastAsia="Arial" w:cs="Arial"/>
                      <w:color w:val="auto"/>
                      <w:sz w:val="20"/>
                    </w:rPr>
                    <w:t>1</w:t>
                  </w:r>
                </w:p>
              </w:tc>
              <w:tc>
                <w:tcPr>
                  <w:tcW w:w="680" w:type="dxa"/>
                  <w:shd w:val="clear" w:color="auto" w:fill="FFFFFF"/>
                  <w:vAlign w:val="center"/>
                </w:tcPr>
                <w:p>
                  <w:pPr>
                    <w:keepNext w:val="0"/>
                    <w:keepLines w:val="0"/>
                    <w:suppressLineNumbers w:val="0"/>
                    <w:spacing w:before="0" w:beforeAutospacing="0" w:after="0" w:afterAutospacing="0"/>
                    <w:ind w:left="0" w:right="0"/>
                    <w:rPr>
                      <w:rFonts w:hint="default"/>
                      <w:color w:val="auto"/>
                    </w:rPr>
                  </w:pPr>
                  <w:r>
                    <w:rPr>
                      <w:rFonts w:hint="default" w:ascii="Arial" w:hAnsi="Arial" w:eastAsia="Arial" w:cs="Arial"/>
                      <w:color w:val="auto"/>
                      <w:sz w:val="20"/>
                    </w:rPr>
                    <w:t>石羊社区</w:t>
                  </w:r>
                </w:p>
              </w:tc>
              <w:tc>
                <w:tcPr>
                  <w:tcW w:w="588" w:type="dxa"/>
                  <w:shd w:val="clear" w:color="auto" w:fill="FFFFFF"/>
                  <w:vAlign w:val="center"/>
                </w:tcPr>
                <w:p>
                  <w:pPr>
                    <w:keepNext w:val="0"/>
                    <w:keepLines w:val="0"/>
                    <w:suppressLineNumbers w:val="0"/>
                    <w:spacing w:before="0" w:beforeAutospacing="0" w:after="0" w:afterAutospacing="0"/>
                    <w:ind w:left="0" w:right="0"/>
                    <w:rPr>
                      <w:rFonts w:hint="default"/>
                      <w:color w:val="auto"/>
                    </w:rPr>
                  </w:pPr>
                  <w:r>
                    <w:rPr>
                      <w:rFonts w:hint="default" w:ascii="Arial" w:hAnsi="Arial" w:eastAsia="Arial" w:cs="Arial"/>
                      <w:color w:val="auto"/>
                      <w:sz w:val="20"/>
                    </w:rPr>
                    <w:t>53.0</w:t>
                  </w:r>
                </w:p>
              </w:tc>
              <w:tc>
                <w:tcPr>
                  <w:tcW w:w="590" w:type="dxa"/>
                  <w:shd w:val="clear" w:color="auto" w:fill="FFFFFF"/>
                  <w:vAlign w:val="center"/>
                </w:tcPr>
                <w:p>
                  <w:pPr>
                    <w:keepNext w:val="0"/>
                    <w:keepLines w:val="0"/>
                    <w:suppressLineNumbers w:val="0"/>
                    <w:spacing w:before="0" w:beforeAutospacing="0" w:after="0" w:afterAutospacing="0"/>
                    <w:ind w:left="0" w:right="0"/>
                    <w:rPr>
                      <w:rFonts w:hint="default"/>
                      <w:color w:val="auto"/>
                    </w:rPr>
                  </w:pPr>
                  <w:r>
                    <w:rPr>
                      <w:rFonts w:hint="default" w:ascii="Arial" w:hAnsi="Arial" w:eastAsia="Arial" w:cs="Arial"/>
                      <w:color w:val="auto"/>
                      <w:sz w:val="20"/>
                    </w:rPr>
                    <w:t>44.9</w:t>
                  </w:r>
                </w:p>
              </w:tc>
              <w:tc>
                <w:tcPr>
                  <w:tcW w:w="589" w:type="dxa"/>
                  <w:shd w:val="clear" w:color="auto" w:fill="FFFFFF"/>
                  <w:vAlign w:val="center"/>
                </w:tcPr>
                <w:p>
                  <w:pPr>
                    <w:keepNext w:val="0"/>
                    <w:keepLines w:val="0"/>
                    <w:suppressLineNumbers w:val="0"/>
                    <w:spacing w:before="0" w:beforeAutospacing="0" w:after="0" w:afterAutospacing="0"/>
                    <w:ind w:left="0" w:right="0"/>
                    <w:rPr>
                      <w:rFonts w:hint="default"/>
                      <w:color w:val="auto"/>
                    </w:rPr>
                  </w:pPr>
                  <w:r>
                    <w:rPr>
                      <w:rFonts w:hint="default" w:ascii="Arial" w:hAnsi="Arial" w:eastAsia="Arial" w:cs="Arial"/>
                      <w:color w:val="auto"/>
                      <w:sz w:val="20"/>
                    </w:rPr>
                    <w:t>53.0</w:t>
                  </w:r>
                </w:p>
              </w:tc>
              <w:tc>
                <w:tcPr>
                  <w:tcW w:w="590" w:type="dxa"/>
                  <w:shd w:val="clear" w:color="auto" w:fill="FFFFFF"/>
                  <w:vAlign w:val="center"/>
                </w:tcPr>
                <w:p>
                  <w:pPr>
                    <w:keepNext w:val="0"/>
                    <w:keepLines w:val="0"/>
                    <w:suppressLineNumbers w:val="0"/>
                    <w:spacing w:before="0" w:beforeAutospacing="0" w:after="0" w:afterAutospacing="0"/>
                    <w:ind w:left="0" w:right="0"/>
                    <w:rPr>
                      <w:rFonts w:hint="default"/>
                      <w:color w:val="auto"/>
                    </w:rPr>
                  </w:pPr>
                  <w:r>
                    <w:rPr>
                      <w:rFonts w:hint="default" w:ascii="Arial" w:hAnsi="Arial" w:eastAsia="Arial" w:cs="Arial"/>
                      <w:color w:val="auto"/>
                      <w:sz w:val="20"/>
                    </w:rPr>
                    <w:t>44.9</w:t>
                  </w:r>
                </w:p>
              </w:tc>
              <w:tc>
                <w:tcPr>
                  <w:tcW w:w="455" w:type="dxa"/>
                  <w:shd w:val="clear" w:color="auto" w:fill="FFFFFF"/>
                  <w:vAlign w:val="center"/>
                </w:tcPr>
                <w:p>
                  <w:pPr>
                    <w:keepNext w:val="0"/>
                    <w:keepLines w:val="0"/>
                    <w:suppressLineNumbers w:val="0"/>
                    <w:spacing w:before="0" w:beforeAutospacing="0" w:after="0" w:afterAutospacing="0"/>
                    <w:ind w:left="0" w:right="0"/>
                    <w:rPr>
                      <w:rFonts w:hint="default"/>
                      <w:color w:val="auto"/>
                    </w:rPr>
                  </w:pPr>
                  <w:r>
                    <w:rPr>
                      <w:rFonts w:hint="default" w:ascii="Arial" w:hAnsi="Arial" w:eastAsia="Arial" w:cs="Arial"/>
                      <w:color w:val="auto"/>
                      <w:sz w:val="20"/>
                    </w:rPr>
                    <w:t>60</w:t>
                  </w:r>
                </w:p>
              </w:tc>
              <w:tc>
                <w:tcPr>
                  <w:tcW w:w="455" w:type="dxa"/>
                  <w:shd w:val="clear" w:color="auto" w:fill="FFFFFF"/>
                  <w:vAlign w:val="center"/>
                </w:tcPr>
                <w:p>
                  <w:pPr>
                    <w:keepNext w:val="0"/>
                    <w:keepLines w:val="0"/>
                    <w:suppressLineNumbers w:val="0"/>
                    <w:spacing w:before="0" w:beforeAutospacing="0" w:after="0" w:afterAutospacing="0"/>
                    <w:ind w:left="0" w:right="0"/>
                    <w:rPr>
                      <w:rFonts w:hint="default"/>
                      <w:color w:val="auto"/>
                    </w:rPr>
                  </w:pPr>
                  <w:r>
                    <w:rPr>
                      <w:rFonts w:hint="default" w:ascii="Arial" w:hAnsi="Arial" w:eastAsia="Arial" w:cs="Arial"/>
                      <w:color w:val="auto"/>
                      <w:sz w:val="20"/>
                    </w:rPr>
                    <w:t>50</w:t>
                  </w:r>
                </w:p>
              </w:tc>
              <w:tc>
                <w:tcPr>
                  <w:tcW w:w="589" w:type="dxa"/>
                  <w:shd w:val="clear" w:color="auto" w:fill="FFFFFF"/>
                  <w:vAlign w:val="center"/>
                </w:tcPr>
                <w:p>
                  <w:pPr>
                    <w:keepNext w:val="0"/>
                    <w:keepLines w:val="0"/>
                    <w:suppressLineNumbers w:val="0"/>
                    <w:spacing w:before="0" w:beforeAutospacing="0" w:after="0" w:afterAutospacing="0"/>
                    <w:ind w:left="0" w:right="0"/>
                    <w:rPr>
                      <w:rFonts w:hint="default"/>
                      <w:color w:val="auto"/>
                    </w:rPr>
                  </w:pPr>
                  <w:r>
                    <w:rPr>
                      <w:rFonts w:hint="default" w:ascii="Arial" w:hAnsi="Arial" w:eastAsia="Arial" w:cs="Arial"/>
                      <w:color w:val="auto"/>
                      <w:sz w:val="20"/>
                    </w:rPr>
                    <w:t>13.2</w:t>
                  </w:r>
                </w:p>
              </w:tc>
              <w:tc>
                <w:tcPr>
                  <w:tcW w:w="590" w:type="dxa"/>
                  <w:shd w:val="clear" w:color="auto" w:fill="FFFFFF"/>
                  <w:vAlign w:val="center"/>
                </w:tcPr>
                <w:p>
                  <w:pPr>
                    <w:keepNext w:val="0"/>
                    <w:keepLines w:val="0"/>
                    <w:suppressLineNumbers w:val="0"/>
                    <w:spacing w:before="0" w:beforeAutospacing="0" w:after="0" w:afterAutospacing="0"/>
                    <w:ind w:left="0" w:right="0"/>
                    <w:rPr>
                      <w:rFonts w:hint="default"/>
                      <w:color w:val="auto"/>
                    </w:rPr>
                  </w:pPr>
                  <w:r>
                    <w:rPr>
                      <w:rFonts w:hint="default" w:ascii="Arial" w:hAnsi="Arial" w:eastAsia="Arial" w:cs="Arial"/>
                      <w:color w:val="auto"/>
                      <w:sz w:val="20"/>
                    </w:rPr>
                    <w:t>13.2</w:t>
                  </w:r>
                </w:p>
              </w:tc>
              <w:tc>
                <w:tcPr>
                  <w:tcW w:w="589" w:type="dxa"/>
                  <w:shd w:val="clear" w:color="auto" w:fill="FFFFFF"/>
                  <w:vAlign w:val="center"/>
                </w:tcPr>
                <w:p>
                  <w:pPr>
                    <w:keepNext w:val="0"/>
                    <w:keepLines w:val="0"/>
                    <w:suppressLineNumbers w:val="0"/>
                    <w:spacing w:before="0" w:beforeAutospacing="0" w:after="0" w:afterAutospacing="0"/>
                    <w:ind w:left="0" w:right="0"/>
                    <w:rPr>
                      <w:rFonts w:hint="default"/>
                      <w:color w:val="auto"/>
                    </w:rPr>
                  </w:pPr>
                  <w:r>
                    <w:rPr>
                      <w:rFonts w:hint="default" w:ascii="Arial" w:hAnsi="Arial" w:eastAsia="Arial" w:cs="Arial"/>
                      <w:color w:val="auto"/>
                      <w:sz w:val="20"/>
                    </w:rPr>
                    <w:t>53.0</w:t>
                  </w:r>
                </w:p>
              </w:tc>
              <w:tc>
                <w:tcPr>
                  <w:tcW w:w="590" w:type="dxa"/>
                  <w:shd w:val="clear" w:color="auto" w:fill="FFFFFF"/>
                  <w:vAlign w:val="center"/>
                </w:tcPr>
                <w:p>
                  <w:pPr>
                    <w:keepNext w:val="0"/>
                    <w:keepLines w:val="0"/>
                    <w:suppressLineNumbers w:val="0"/>
                    <w:spacing w:before="0" w:beforeAutospacing="0" w:after="0" w:afterAutospacing="0"/>
                    <w:ind w:left="0" w:right="0"/>
                    <w:rPr>
                      <w:rFonts w:hint="default"/>
                      <w:color w:val="auto"/>
                    </w:rPr>
                  </w:pPr>
                  <w:r>
                    <w:rPr>
                      <w:rFonts w:hint="default" w:ascii="Arial" w:hAnsi="Arial" w:eastAsia="Arial" w:cs="Arial"/>
                      <w:color w:val="auto"/>
                      <w:sz w:val="20"/>
                    </w:rPr>
                    <w:t>44.9</w:t>
                  </w:r>
                </w:p>
              </w:tc>
              <w:tc>
                <w:tcPr>
                  <w:tcW w:w="512" w:type="dxa"/>
                  <w:shd w:val="clear" w:color="auto" w:fill="FFFFFF"/>
                  <w:vAlign w:val="center"/>
                </w:tcPr>
                <w:p>
                  <w:pPr>
                    <w:keepNext w:val="0"/>
                    <w:keepLines w:val="0"/>
                    <w:suppressLineNumbers w:val="0"/>
                    <w:spacing w:before="0" w:beforeAutospacing="0" w:after="0" w:afterAutospacing="0"/>
                    <w:ind w:left="0" w:right="0"/>
                    <w:rPr>
                      <w:rFonts w:hint="default"/>
                      <w:color w:val="auto"/>
                    </w:rPr>
                  </w:pPr>
                  <w:r>
                    <w:rPr>
                      <w:rFonts w:hint="default" w:ascii="Arial" w:hAnsi="Arial" w:eastAsia="Arial" w:cs="Arial"/>
                      <w:color w:val="auto"/>
                      <w:sz w:val="20"/>
                    </w:rPr>
                    <w:t>0.0</w:t>
                  </w:r>
                </w:p>
              </w:tc>
              <w:tc>
                <w:tcPr>
                  <w:tcW w:w="513" w:type="dxa"/>
                  <w:shd w:val="clear" w:color="auto" w:fill="FFFFFF"/>
                  <w:vAlign w:val="center"/>
                </w:tcPr>
                <w:p>
                  <w:pPr>
                    <w:keepNext w:val="0"/>
                    <w:keepLines w:val="0"/>
                    <w:suppressLineNumbers w:val="0"/>
                    <w:spacing w:before="0" w:beforeAutospacing="0" w:after="0" w:afterAutospacing="0"/>
                    <w:ind w:left="0" w:right="0"/>
                    <w:rPr>
                      <w:rFonts w:hint="default"/>
                      <w:color w:val="auto"/>
                    </w:rPr>
                  </w:pPr>
                  <w:r>
                    <w:rPr>
                      <w:rFonts w:hint="default" w:ascii="Arial" w:hAnsi="Arial" w:eastAsia="Arial" w:cs="Arial"/>
                      <w:color w:val="auto"/>
                      <w:sz w:val="20"/>
                    </w:rPr>
                    <w:t>0.0</w:t>
                  </w:r>
                </w:p>
              </w:tc>
              <w:tc>
                <w:tcPr>
                  <w:tcW w:w="447" w:type="dxa"/>
                  <w:shd w:val="clear" w:color="auto" w:fill="FFFFFF"/>
                  <w:vAlign w:val="center"/>
                </w:tcPr>
                <w:p>
                  <w:pPr>
                    <w:keepNext w:val="0"/>
                    <w:keepLines w:val="0"/>
                    <w:suppressLineNumbers w:val="0"/>
                    <w:spacing w:before="0" w:beforeAutospacing="0" w:after="0" w:afterAutospacing="0"/>
                    <w:ind w:left="0" w:right="0"/>
                    <w:rPr>
                      <w:rFonts w:hint="default"/>
                      <w:color w:val="auto"/>
                    </w:rPr>
                  </w:pPr>
                  <w:r>
                    <w:rPr>
                      <w:rFonts w:hint="default" w:ascii="Arial" w:hAnsi="Arial" w:eastAsia="Arial" w:cs="Arial"/>
                      <w:color w:val="auto"/>
                      <w:sz w:val="20"/>
                    </w:rPr>
                    <w:t>达标</w:t>
                  </w:r>
                </w:p>
              </w:tc>
              <w:tc>
                <w:tcPr>
                  <w:tcW w:w="449" w:type="dxa"/>
                  <w:shd w:val="clear" w:color="auto" w:fill="FFFFFF"/>
                  <w:vAlign w:val="center"/>
                </w:tcPr>
                <w:p>
                  <w:pPr>
                    <w:keepNext w:val="0"/>
                    <w:keepLines w:val="0"/>
                    <w:suppressLineNumbers w:val="0"/>
                    <w:spacing w:before="0" w:beforeAutospacing="0" w:after="0" w:afterAutospacing="0"/>
                    <w:ind w:left="0" w:right="0"/>
                    <w:rPr>
                      <w:rFonts w:hint="default"/>
                      <w:color w:val="auto"/>
                    </w:rPr>
                  </w:pPr>
                  <w:r>
                    <w:rPr>
                      <w:rFonts w:hint="default" w:ascii="Arial" w:hAnsi="Arial" w:eastAsia="Arial" w:cs="Arial"/>
                      <w:color w:val="auto"/>
                      <w:sz w:val="20"/>
                    </w:rPr>
                    <w:t>达标</w:t>
                  </w:r>
                </w:p>
              </w:tc>
            </w:tr>
          </w:tbl>
          <w:p>
            <w:pPr>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根据预测，本项目昼间和夜间厂界噪声贡献值满足</w:t>
            </w:r>
            <w:r>
              <w:rPr>
                <w:rFonts w:hint="default"/>
                <w:color w:val="auto"/>
                <w:sz w:val="24"/>
                <w:szCs w:val="24"/>
              </w:rPr>
              <w:t>《工业企业厂界环境噪声排放标准》（GB</w:t>
            </w:r>
            <w:r>
              <w:rPr>
                <w:rFonts w:hint="eastAsia"/>
                <w:color w:val="auto"/>
                <w:sz w:val="24"/>
                <w:szCs w:val="24"/>
                <w:lang w:eastAsia="zh-CN"/>
              </w:rPr>
              <w:t>*****</w:t>
            </w:r>
            <w:r>
              <w:rPr>
                <w:rFonts w:hint="default"/>
                <w:color w:val="auto"/>
                <w:sz w:val="24"/>
                <w:szCs w:val="24"/>
              </w:rPr>
              <w:t>-2008）</w:t>
            </w:r>
            <w:r>
              <w:rPr>
                <w:rFonts w:hint="default" w:ascii="Times New Roman" w:hAnsi="Times New Roman" w:eastAsia="宋体" w:cs="Times New Roman"/>
                <w:i w:val="0"/>
                <w:iCs w:val="0"/>
                <w:color w:val="auto"/>
                <w:sz w:val="24"/>
                <w:szCs w:val="24"/>
              </w:rPr>
              <w:t>2类标准</w:t>
            </w:r>
            <w:r>
              <w:rPr>
                <w:rFonts w:hint="eastAsia" w:ascii="宋体" w:hAnsi="宋体" w:cs="宋体"/>
                <w:color w:val="auto"/>
                <w:sz w:val="24"/>
                <w:szCs w:val="24"/>
              </w:rPr>
              <w:t>，厂界噪声达标排放</w:t>
            </w:r>
            <w:r>
              <w:rPr>
                <w:rFonts w:hint="eastAsia" w:ascii="宋体" w:hAnsi="宋体" w:cs="宋体"/>
                <w:color w:val="auto"/>
                <w:sz w:val="24"/>
                <w:szCs w:val="24"/>
                <w:lang w:eastAsia="zh-CN"/>
              </w:rPr>
              <w:t>，敏感点噪声达标</w:t>
            </w:r>
            <w:r>
              <w:rPr>
                <w:rFonts w:hint="eastAsia" w:ascii="宋体" w:hAnsi="宋体" w:cs="宋体"/>
                <w:color w:val="auto"/>
                <w:sz w:val="24"/>
                <w:szCs w:val="24"/>
              </w:rPr>
              <w:t>。</w:t>
            </w:r>
          </w:p>
          <w:p>
            <w:pPr>
              <w:pStyle w:val="36"/>
              <w:keepNext w:val="0"/>
              <w:keepLines w:val="0"/>
              <w:suppressLineNumbers w:val="0"/>
              <w:spacing w:before="0" w:beforeAutospacing="0" w:after="0" w:afterAutospacing="0"/>
              <w:ind w:left="0" w:right="0" w:firstLine="496" w:firstLineChars="200"/>
              <w:rPr>
                <w:rFonts w:hint="eastAsia" w:ascii="宋体" w:hAnsi="宋体" w:cs="宋体"/>
                <w:color w:val="auto"/>
                <w:sz w:val="24"/>
                <w:lang w:val="en-US"/>
              </w:rPr>
            </w:pPr>
            <w:r>
              <w:rPr>
                <w:rFonts w:hint="eastAsia" w:ascii="宋体" w:hAnsi="宋体" w:cs="宋体"/>
                <w:color w:val="auto"/>
                <w:sz w:val="24"/>
                <w:lang w:val="en-US"/>
              </w:rPr>
              <w:t>因此本项目设备噪声对环保目标的影响程度小。</w:t>
            </w:r>
          </w:p>
          <w:p>
            <w:pPr>
              <w:pStyle w:val="3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96"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rPr>
              <w:t>3.</w:t>
            </w:r>
            <w:r>
              <w:rPr>
                <w:rFonts w:hint="default" w:ascii="Times New Roman" w:hAnsi="Times New Roman" w:eastAsia="宋体" w:cs="Times New Roman"/>
                <w:color w:val="auto"/>
                <w:sz w:val="24"/>
                <w:lang w:val="en-US" w:eastAsia="zh-CN"/>
              </w:rPr>
              <w:t>监测要求</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Calibri" w:hAnsi="Calibri" w:cs="Times New Roman"/>
                <w:color w:val="auto"/>
              </w:rPr>
            </w:pPr>
            <w:r>
              <w:rPr>
                <w:rFonts w:hint="default" w:ascii="Times New Roman" w:hAnsi="Times New Roman" w:eastAsia="宋体" w:cs="Times New Roman"/>
                <w:color w:val="auto"/>
                <w:kern w:val="0"/>
                <w:sz w:val="24"/>
                <w:szCs w:val="24"/>
                <w:lang w:val="en-US" w:eastAsia="zh-CN" w:bidi="ar"/>
              </w:rPr>
              <w:t>参考《排污许可证申请与核发技术规范医疗机构》（HJ1105-2020），项目噪声监测计划见表4-11。</w:t>
            </w:r>
            <w:r>
              <w:rPr>
                <w:rFonts w:hint="eastAsia" w:ascii="宋体" w:hAnsi="宋体" w:eastAsia="宋体" w:cs="宋体"/>
                <w:color w:val="auto"/>
                <w:kern w:val="0"/>
                <w:sz w:val="24"/>
                <w:szCs w:val="24"/>
                <w:lang w:val="en-US" w:eastAsia="zh-CN" w:bidi="ar"/>
              </w:rPr>
              <w:t xml:space="preserve"> </w:t>
            </w:r>
          </w:p>
          <w:p>
            <w:pPr>
              <w:keepNext w:val="0"/>
              <w:keepLines w:val="0"/>
              <w:widowControl/>
              <w:suppressLineNumbers w:val="0"/>
              <w:spacing w:before="0" w:beforeAutospacing="0" w:after="0" w:afterAutospacing="0"/>
              <w:ind w:left="0" w:right="0"/>
              <w:jc w:val="center"/>
              <w:rPr>
                <w:rFonts w:hint="default" w:ascii="Calibri" w:hAnsi="Calibri" w:cs="Times New Roman"/>
                <w:color w:val="auto"/>
                <w:sz w:val="24"/>
                <w:szCs w:val="24"/>
              </w:rPr>
            </w:pPr>
            <w:r>
              <w:rPr>
                <w:rFonts w:hint="eastAsia" w:ascii="宋体" w:hAnsi="宋体" w:eastAsia="宋体" w:cs="宋体"/>
                <w:b/>
                <w:bCs/>
                <w:color w:val="auto"/>
                <w:kern w:val="0"/>
                <w:sz w:val="24"/>
                <w:szCs w:val="24"/>
                <w:lang w:val="en-US" w:eastAsia="zh-CN" w:bidi="ar"/>
              </w:rPr>
              <w:t>表</w:t>
            </w:r>
            <w:r>
              <w:rPr>
                <w:rFonts w:hint="default" w:ascii="Times New Roman" w:hAnsi="Times New Roman" w:eastAsia="宋体" w:cs="Times New Roman"/>
                <w:b/>
                <w:bCs/>
                <w:color w:val="auto"/>
                <w:kern w:val="0"/>
                <w:sz w:val="24"/>
                <w:szCs w:val="24"/>
                <w:lang w:val="en-US" w:eastAsia="zh-CN" w:bidi="ar"/>
              </w:rPr>
              <w:t xml:space="preserve">4-11 </w:t>
            </w:r>
            <w:r>
              <w:rPr>
                <w:rFonts w:hint="eastAsia" w:ascii="宋体" w:hAnsi="宋体" w:eastAsia="宋体" w:cs="宋体"/>
                <w:b/>
                <w:bCs/>
                <w:color w:val="auto"/>
                <w:kern w:val="0"/>
                <w:sz w:val="24"/>
                <w:szCs w:val="24"/>
                <w:lang w:val="en-US" w:eastAsia="zh-CN" w:bidi="ar"/>
              </w:rPr>
              <w:t>厂界噪声监测计划</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389"/>
              <w:gridCol w:w="1291"/>
              <w:gridCol w:w="1465"/>
              <w:gridCol w:w="3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trPr>
              <w:tc>
                <w:tcPr>
                  <w:tcW w:w="995" w:type="dxa"/>
                  <w:vAlign w:val="center"/>
                </w:tcPr>
                <w:p>
                  <w:pPr>
                    <w:pStyle w:val="3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环境要素</w:t>
                  </w:r>
                </w:p>
              </w:tc>
              <w:tc>
                <w:tcPr>
                  <w:tcW w:w="1389" w:type="dxa"/>
                  <w:vAlign w:val="center"/>
                </w:tcPr>
                <w:p>
                  <w:pPr>
                    <w:pStyle w:val="3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监测项目</w:t>
                  </w:r>
                </w:p>
              </w:tc>
              <w:tc>
                <w:tcPr>
                  <w:tcW w:w="1291" w:type="dxa"/>
                  <w:vAlign w:val="center"/>
                </w:tcPr>
                <w:p>
                  <w:pPr>
                    <w:pStyle w:val="3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监测点位</w:t>
                  </w:r>
                </w:p>
              </w:tc>
              <w:tc>
                <w:tcPr>
                  <w:tcW w:w="1465" w:type="dxa"/>
                  <w:vAlign w:val="center"/>
                </w:tcPr>
                <w:p>
                  <w:pPr>
                    <w:pStyle w:val="3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监测频次</w:t>
                  </w:r>
                </w:p>
              </w:tc>
              <w:tc>
                <w:tcPr>
                  <w:tcW w:w="3458" w:type="dxa"/>
                  <w:vAlign w:val="center"/>
                </w:tcPr>
                <w:p>
                  <w:pPr>
                    <w:pStyle w:val="3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95" w:type="dxa"/>
                  <w:vAlign w:val="center"/>
                </w:tcPr>
                <w:p>
                  <w:pPr>
                    <w:pStyle w:val="3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噪声</w:t>
                  </w:r>
                </w:p>
              </w:tc>
              <w:tc>
                <w:tcPr>
                  <w:tcW w:w="1389" w:type="dxa"/>
                  <w:vAlign w:val="center"/>
                </w:tcPr>
                <w:p>
                  <w:pPr>
                    <w:pStyle w:val="3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等效连续A声级</w:t>
                  </w:r>
                </w:p>
              </w:tc>
              <w:tc>
                <w:tcPr>
                  <w:tcW w:w="1291" w:type="dxa"/>
                  <w:vAlign w:val="center"/>
                </w:tcPr>
                <w:p>
                  <w:pPr>
                    <w:pStyle w:val="3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厂界四周1m处</w:t>
                  </w:r>
                </w:p>
              </w:tc>
              <w:tc>
                <w:tcPr>
                  <w:tcW w:w="1465" w:type="dxa"/>
                  <w:vAlign w:val="center"/>
                </w:tcPr>
                <w:p>
                  <w:pPr>
                    <w:pStyle w:val="3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季度/次</w:t>
                  </w:r>
                </w:p>
              </w:tc>
              <w:tc>
                <w:tcPr>
                  <w:tcW w:w="3458" w:type="dxa"/>
                  <w:vAlign w:val="center"/>
                </w:tcPr>
                <w:p>
                  <w:pPr>
                    <w:pStyle w:val="3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i w:val="0"/>
                      <w:iCs w:val="0"/>
                      <w:color w:val="auto"/>
                      <w:sz w:val="21"/>
                      <w:szCs w:val="21"/>
                      <w:lang w:val="en-US" w:eastAsia="zh-CN"/>
                    </w:rPr>
                    <w:t>《</w:t>
                  </w:r>
                  <w:r>
                    <w:rPr>
                      <w:rFonts w:hint="default" w:ascii="Times New Roman" w:hAnsi="Times New Roman" w:eastAsia="宋体" w:cs="Times New Roman"/>
                      <w:i w:val="0"/>
                      <w:iCs w:val="0"/>
                      <w:color w:val="auto"/>
                      <w:sz w:val="21"/>
                      <w:szCs w:val="21"/>
                      <w:lang w:val="en-US" w:eastAsia="zh-CN"/>
                    </w:rPr>
                    <w:fldChar w:fldCharType="begin"/>
                  </w:r>
                  <w:r>
                    <w:rPr>
                      <w:rFonts w:hint="default" w:ascii="Times New Roman" w:hAnsi="Times New Roman" w:eastAsia="宋体" w:cs="Times New Roman"/>
                      <w:i w:val="0"/>
                      <w:iCs w:val="0"/>
                      <w:color w:val="auto"/>
                      <w:sz w:val="21"/>
                      <w:szCs w:val="21"/>
                      <w:lang w:val="en-US" w:eastAsia="zh-CN"/>
                    </w:rPr>
                    <w:instrText xml:space="preserve"> HYPERLINK "https://www.mee.gov.cn/ywgz/fgbz/bz/bzwb/wlhj/hjzspfbz/200809/W020111121353694435553.pdf" </w:instrText>
                  </w:r>
                  <w:r>
                    <w:rPr>
                      <w:rFonts w:hint="default" w:ascii="Times New Roman" w:hAnsi="Times New Roman" w:eastAsia="宋体" w:cs="Times New Roman"/>
                      <w:i w:val="0"/>
                      <w:iCs w:val="0"/>
                      <w:color w:val="auto"/>
                      <w:sz w:val="21"/>
                      <w:szCs w:val="21"/>
                      <w:lang w:val="en-US" w:eastAsia="zh-CN"/>
                    </w:rPr>
                    <w:fldChar w:fldCharType="separate"/>
                  </w:r>
                  <w:r>
                    <w:rPr>
                      <w:rFonts w:hint="default" w:ascii="Times New Roman" w:hAnsi="Times New Roman" w:eastAsia="宋体" w:cs="Times New Roman"/>
                      <w:i w:val="0"/>
                      <w:iCs w:val="0"/>
                      <w:color w:val="auto"/>
                      <w:sz w:val="21"/>
                      <w:szCs w:val="21"/>
                      <w:lang w:val="en-US" w:eastAsia="zh-CN"/>
                    </w:rPr>
                    <w:t>社会生活环境噪声排放标准（GB 22337-2008）</w:t>
                  </w:r>
                  <w:r>
                    <w:rPr>
                      <w:rFonts w:hint="default" w:ascii="Times New Roman" w:hAnsi="Times New Roman" w:eastAsia="宋体" w:cs="Times New Roman"/>
                      <w:i w:val="0"/>
                      <w:iCs w:val="0"/>
                      <w:color w:val="auto"/>
                      <w:sz w:val="21"/>
                      <w:szCs w:val="21"/>
                      <w:lang w:val="en-US" w:eastAsia="zh-CN"/>
                    </w:rPr>
                    <w:fldChar w:fldCharType="end"/>
                  </w:r>
                  <w:r>
                    <w:rPr>
                      <w:rFonts w:hint="default" w:ascii="Times New Roman" w:hAnsi="Times New Roman" w:eastAsia="宋体" w:cs="Times New Roman"/>
                      <w:i w:val="0"/>
                      <w:iCs w:val="0"/>
                      <w:color w:val="auto"/>
                      <w:sz w:val="21"/>
                      <w:szCs w:val="21"/>
                    </w:rPr>
                    <w:t>2类标准</w:t>
                  </w:r>
                </w:p>
              </w:tc>
            </w:tr>
          </w:tbl>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b/>
                <w:color w:val="auto"/>
                <w:sz w:val="24"/>
                <w:szCs w:val="24"/>
              </w:rPr>
            </w:pPr>
            <w:r>
              <w:rPr>
                <w:rFonts w:hint="eastAsia" w:ascii="宋体" w:hAnsi="宋体" w:cs="宋体"/>
                <w:b/>
                <w:color w:val="auto"/>
                <w:sz w:val="24"/>
                <w:szCs w:val="24"/>
              </w:rPr>
              <w:t>4、固废</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eastAsia="宋体" w:cs="Times New Roman"/>
                <w:b/>
                <w:bCs/>
                <w:color w:val="auto"/>
                <w:sz w:val="24"/>
                <w:szCs w:val="24"/>
                <w:lang w:eastAsia="zh-CN"/>
              </w:rPr>
            </w:pPr>
            <w:r>
              <w:rPr>
                <w:rFonts w:hint="default" w:ascii="Times New Roman" w:hAnsi="Times New Roman" w:cs="Times New Roman"/>
                <w:b/>
                <w:bCs/>
                <w:color w:val="auto"/>
                <w:sz w:val="24"/>
                <w:szCs w:val="24"/>
                <w:lang w:eastAsia="zh-CN"/>
              </w:rPr>
              <w:t>（</w:t>
            </w:r>
            <w:r>
              <w:rPr>
                <w:rFonts w:hint="default" w:ascii="Times New Roman" w:hAnsi="Times New Roman" w:cs="Times New Roman"/>
                <w:b/>
                <w:bCs/>
                <w:color w:val="auto"/>
                <w:sz w:val="24"/>
                <w:szCs w:val="24"/>
                <w:lang w:val="en-US" w:eastAsia="zh-CN"/>
              </w:rPr>
              <w:t>1</w:t>
            </w:r>
            <w:r>
              <w:rPr>
                <w:rFonts w:hint="default" w:ascii="Times New Roman" w:hAnsi="Times New Roman" w:cs="Times New Roman"/>
                <w:b/>
                <w:bCs/>
                <w:color w:val="auto"/>
                <w:sz w:val="24"/>
                <w:szCs w:val="24"/>
                <w:lang w:eastAsia="zh-CN"/>
              </w:rPr>
              <w:t>）</w:t>
            </w:r>
            <w:r>
              <w:rPr>
                <w:rFonts w:hint="default" w:ascii="Times New Roman" w:hAnsi="Times New Roman" w:cs="Times New Roman"/>
                <w:b/>
                <w:bCs/>
                <w:color w:val="auto"/>
                <w:sz w:val="24"/>
                <w:szCs w:val="24"/>
              </w:rPr>
              <w:t>固废产生及处置情况</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①生活垃圾</w:t>
            </w:r>
          </w:p>
          <w:p>
            <w:pPr>
              <w:pStyle w:val="13"/>
              <w:keepNext w:val="0"/>
              <w:keepLines w:val="0"/>
              <w:suppressLineNumbers w:val="0"/>
              <w:spacing w:before="0" w:beforeAutospacing="0" w:after="0" w:afterAutospacing="0" w:line="360" w:lineRule="auto"/>
              <w:ind w:left="0" w:right="0" w:firstLine="480" w:firstLineChars="200"/>
              <w:rPr>
                <w:rFonts w:hAnsi="宋体" w:cs="宋体"/>
                <w:color w:val="auto"/>
                <w:sz w:val="24"/>
                <w:szCs w:val="24"/>
              </w:rPr>
            </w:pPr>
            <w:r>
              <w:rPr>
                <w:rFonts w:hAnsi="宋体" w:cs="宋体"/>
                <w:color w:val="auto"/>
                <w:sz w:val="24"/>
                <w:szCs w:val="24"/>
              </w:rPr>
              <w:t>项目共设病床数为</w:t>
            </w:r>
            <w:r>
              <w:rPr>
                <w:rFonts w:hint="default" w:hAnsi="宋体" w:cs="宋体"/>
                <w:color w:val="auto"/>
                <w:sz w:val="24"/>
                <w:szCs w:val="24"/>
              </w:rPr>
              <w:t>2</w:t>
            </w:r>
            <w:r>
              <w:rPr>
                <w:rFonts w:hint="default" w:hAnsi="宋体" w:cs="宋体"/>
                <w:color w:val="auto"/>
                <w:sz w:val="24"/>
                <w:szCs w:val="24"/>
                <w:lang w:val="en-US"/>
              </w:rPr>
              <w:t>5</w:t>
            </w:r>
            <w:r>
              <w:rPr>
                <w:rFonts w:hAnsi="宋体" w:cs="宋体"/>
                <w:color w:val="auto"/>
                <w:sz w:val="24"/>
                <w:szCs w:val="24"/>
              </w:rPr>
              <w:t>0张，住院病人按每病床每日产生生活垃圾按1.0kg 计，产生生活垃圾</w:t>
            </w:r>
            <w:r>
              <w:rPr>
                <w:rFonts w:hint="default" w:hAnsi="宋体" w:cs="宋体"/>
                <w:color w:val="auto"/>
                <w:sz w:val="24"/>
                <w:szCs w:val="24"/>
              </w:rPr>
              <w:t>2</w:t>
            </w:r>
            <w:r>
              <w:rPr>
                <w:rFonts w:hint="default" w:hAnsi="宋体" w:cs="宋体"/>
                <w:color w:val="auto"/>
                <w:sz w:val="24"/>
                <w:szCs w:val="24"/>
                <w:lang w:val="en-US"/>
              </w:rPr>
              <w:t>5</w:t>
            </w:r>
            <w:r>
              <w:rPr>
                <w:rFonts w:hAnsi="宋体" w:cs="宋体"/>
                <w:color w:val="auto"/>
                <w:sz w:val="24"/>
                <w:szCs w:val="24"/>
              </w:rPr>
              <w:t>0kg/d；门诊垃圾按0.2kg/人·日，门诊人数</w:t>
            </w:r>
            <w:r>
              <w:rPr>
                <w:rFonts w:hint="default" w:hAnsi="宋体" w:cs="宋体"/>
                <w:color w:val="auto"/>
                <w:sz w:val="24"/>
                <w:szCs w:val="24"/>
                <w:lang w:val="en-US"/>
              </w:rPr>
              <w:t>8</w:t>
            </w:r>
            <w:r>
              <w:rPr>
                <w:rFonts w:hint="default" w:hAnsi="宋体" w:cs="宋体"/>
                <w:color w:val="auto"/>
                <w:sz w:val="24"/>
                <w:szCs w:val="24"/>
              </w:rPr>
              <w:t>0</w:t>
            </w:r>
            <w:r>
              <w:rPr>
                <w:rFonts w:hAnsi="宋体" w:cs="宋体"/>
                <w:color w:val="auto"/>
                <w:sz w:val="24"/>
                <w:szCs w:val="24"/>
              </w:rPr>
              <w:t>人，产生生活垃圾</w:t>
            </w:r>
            <w:r>
              <w:rPr>
                <w:rFonts w:hint="default" w:hAnsi="宋体" w:cs="宋体"/>
                <w:color w:val="auto"/>
                <w:sz w:val="24"/>
                <w:szCs w:val="24"/>
                <w:lang w:val="en-US"/>
              </w:rPr>
              <w:t>16</w:t>
            </w:r>
            <w:r>
              <w:rPr>
                <w:rFonts w:hAnsi="宋体" w:cs="宋体"/>
                <w:color w:val="auto"/>
                <w:sz w:val="24"/>
                <w:szCs w:val="24"/>
              </w:rPr>
              <w:t>kg/d；医院员工</w:t>
            </w:r>
            <w:r>
              <w:rPr>
                <w:rFonts w:hint="default" w:hAnsi="宋体" w:cs="宋体"/>
                <w:color w:val="auto"/>
                <w:sz w:val="24"/>
                <w:szCs w:val="24"/>
              </w:rPr>
              <w:t>110</w:t>
            </w:r>
            <w:r>
              <w:rPr>
                <w:rFonts w:hAnsi="宋体" w:cs="宋体"/>
                <w:color w:val="auto"/>
                <w:sz w:val="24"/>
                <w:szCs w:val="24"/>
              </w:rPr>
              <w:t>人，按0.5kg/d 计，产生生活垃圾</w:t>
            </w:r>
            <w:r>
              <w:rPr>
                <w:rFonts w:hint="default" w:hAnsi="宋体" w:cs="宋体"/>
                <w:color w:val="auto"/>
                <w:sz w:val="24"/>
                <w:szCs w:val="24"/>
              </w:rPr>
              <w:t>55</w:t>
            </w:r>
            <w:r>
              <w:rPr>
                <w:rFonts w:hAnsi="宋体" w:cs="宋体"/>
                <w:color w:val="auto"/>
                <w:sz w:val="24"/>
                <w:szCs w:val="24"/>
              </w:rPr>
              <w:t>kg/d，全院共产生生活垃圾</w:t>
            </w:r>
            <w:r>
              <w:rPr>
                <w:rFonts w:hint="default" w:hAnsi="宋体" w:cs="宋体"/>
                <w:color w:val="auto"/>
                <w:sz w:val="24"/>
                <w:szCs w:val="24"/>
                <w:lang w:val="en-US"/>
              </w:rPr>
              <w:t>321</w:t>
            </w:r>
            <w:r>
              <w:rPr>
                <w:rFonts w:hAnsi="宋体" w:cs="宋体"/>
                <w:color w:val="auto"/>
                <w:sz w:val="24"/>
                <w:szCs w:val="24"/>
              </w:rPr>
              <w:t>kg/d(约</w:t>
            </w:r>
            <w:r>
              <w:rPr>
                <w:rFonts w:hint="default" w:hAnsi="宋体" w:cs="宋体"/>
                <w:color w:val="auto"/>
                <w:sz w:val="24"/>
                <w:szCs w:val="24"/>
                <w:lang w:val="en-US"/>
              </w:rPr>
              <w:t>117.165</w:t>
            </w:r>
            <w:r>
              <w:rPr>
                <w:rFonts w:hAnsi="宋体" w:cs="宋体"/>
                <w:color w:val="auto"/>
                <w:sz w:val="24"/>
                <w:szCs w:val="24"/>
              </w:rPr>
              <w:t>t/a)。</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生活垃圾使用垃圾桶集中收集，委托环卫部门按日清运。</w:t>
            </w:r>
          </w:p>
          <w:p>
            <w:pPr>
              <w:keepNext w:val="0"/>
              <w:keepLines w:val="0"/>
              <w:suppressLineNumbers w:val="0"/>
              <w:adjustRightInd w:val="0"/>
              <w:snapToGrid w:val="0"/>
              <w:spacing w:before="0" w:beforeAutospacing="0" w:after="0" w:afterAutospacing="0" w:line="360" w:lineRule="auto"/>
              <w:ind w:left="0" w:right="0" w:firstLine="482" w:firstLineChars="200"/>
              <w:rPr>
                <w:rFonts w:hint="eastAsia" w:ascii="宋体" w:hAnsi="宋体" w:cs="宋体"/>
                <w:b/>
                <w:bCs/>
                <w:color w:val="auto"/>
                <w:sz w:val="24"/>
                <w:szCs w:val="24"/>
              </w:rPr>
            </w:pPr>
            <w:r>
              <w:rPr>
                <w:rFonts w:hint="eastAsia" w:ascii="仿宋" w:hAnsi="仿宋" w:eastAsia="仿宋" w:cs="仿宋"/>
                <w:b/>
                <w:bCs/>
                <w:color w:val="auto"/>
                <w:sz w:val="24"/>
                <w:szCs w:val="24"/>
              </w:rPr>
              <w:t>②</w:t>
            </w:r>
            <w:r>
              <w:rPr>
                <w:rFonts w:hint="eastAsia" w:ascii="宋体" w:hAnsi="宋体" w:cs="宋体"/>
                <w:b/>
                <w:bCs/>
                <w:color w:val="auto"/>
                <w:sz w:val="24"/>
                <w:szCs w:val="24"/>
              </w:rPr>
              <w:t>污泥</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Calibri" w:hAnsi="Calibri" w:cs="Times New Roman"/>
                <w:color w:val="auto"/>
              </w:rPr>
            </w:pPr>
            <w:r>
              <w:rPr>
                <w:rFonts w:hint="eastAsia" w:ascii="宋体" w:hAnsi="宋体" w:cs="宋体"/>
                <w:color w:val="auto"/>
                <w:sz w:val="24"/>
                <w:szCs w:val="24"/>
              </w:rPr>
              <w:t>根据《医疗机构水污染物排放标准》（GB</w:t>
            </w:r>
            <w:r>
              <w:rPr>
                <w:rFonts w:hint="eastAsia" w:ascii="宋体" w:hAnsi="宋体" w:cs="宋体"/>
                <w:color w:val="auto"/>
                <w:sz w:val="24"/>
                <w:szCs w:val="24"/>
                <w:lang w:eastAsia="zh-CN"/>
              </w:rPr>
              <w:t>*****</w:t>
            </w:r>
            <w:r>
              <w:rPr>
                <w:rFonts w:hint="eastAsia" w:ascii="宋体" w:hAnsi="宋体" w:cs="宋体"/>
                <w:color w:val="auto"/>
                <w:sz w:val="24"/>
                <w:szCs w:val="24"/>
              </w:rPr>
              <w:t>-2005）4.3 污泥控制与处置 4.3.1栅渣、化粪池和污水处理站污泥属危险废物，应按危险废物进行处理和处置。根据《国家危险废物名录》（2021版），化粪池、污水处理污泥属于其中HW49其他废物类，废物代码：772-006-49，采用物理、化学、物理化学或生物方法处理或处置毒性或感染性危险废物过程中产生的废水处理污泥、残渣（液）。环境危险特性为毒性和感染性。经类比同类项目，污泥产生量一般约为污水量的0.1%，本项目污水处理量为</w:t>
            </w:r>
            <w:r>
              <w:rPr>
                <w:rFonts w:hint="default" w:ascii="宋体" w:hAnsi="宋体" w:cs="宋体"/>
                <w:color w:val="auto"/>
                <w:sz w:val="24"/>
                <w:szCs w:val="24"/>
                <w:lang w:val="en-US"/>
              </w:rPr>
              <w:t>39449.565</w:t>
            </w:r>
            <w:r>
              <w:rPr>
                <w:rFonts w:hint="eastAsia" w:ascii="宋体" w:hAnsi="宋体" w:cs="宋体"/>
                <w:color w:val="auto"/>
                <w:sz w:val="24"/>
                <w:szCs w:val="24"/>
              </w:rPr>
              <w:t>m</w:t>
            </w:r>
            <w:r>
              <w:rPr>
                <w:rFonts w:hint="eastAsia" w:ascii="宋体" w:hAnsi="宋体" w:cs="宋体"/>
                <w:color w:val="auto"/>
                <w:sz w:val="24"/>
                <w:szCs w:val="24"/>
                <w:vertAlign w:val="superscript"/>
              </w:rPr>
              <w:t>3</w:t>
            </w:r>
            <w:r>
              <w:rPr>
                <w:rFonts w:hint="eastAsia" w:ascii="宋体" w:hAnsi="宋体" w:cs="宋体"/>
                <w:color w:val="auto"/>
                <w:sz w:val="24"/>
                <w:szCs w:val="24"/>
              </w:rPr>
              <w:t>/a，污泥产生量</w:t>
            </w:r>
            <w:r>
              <w:rPr>
                <w:rFonts w:hint="default" w:ascii="宋体" w:hAnsi="宋体" w:cs="宋体"/>
                <w:color w:val="auto"/>
                <w:sz w:val="24"/>
                <w:szCs w:val="24"/>
                <w:lang w:val="en-US"/>
              </w:rPr>
              <w:t>39.45</w:t>
            </w:r>
            <w:r>
              <w:rPr>
                <w:rFonts w:hint="eastAsia" w:ascii="宋体" w:hAnsi="宋体" w:cs="宋体"/>
                <w:color w:val="auto"/>
                <w:sz w:val="24"/>
                <w:szCs w:val="24"/>
              </w:rPr>
              <w:t>t/a；污泥委托有资质的单位</w:t>
            </w:r>
            <w:r>
              <w:rPr>
                <w:rFonts w:hint="eastAsia" w:ascii="宋体" w:hAnsi="宋体" w:cs="宋体"/>
                <w:color w:val="auto"/>
                <w:sz w:val="24"/>
                <w:szCs w:val="24"/>
                <w:lang w:eastAsia="zh-CN"/>
              </w:rPr>
              <w:t>现场消毒脱水并</w:t>
            </w:r>
            <w:r>
              <w:rPr>
                <w:rFonts w:hint="eastAsia" w:ascii="宋体" w:hAnsi="宋体" w:cs="宋体"/>
                <w:color w:val="auto"/>
                <w:sz w:val="24"/>
                <w:szCs w:val="24"/>
              </w:rPr>
              <w:t>处置。</w:t>
            </w:r>
          </w:p>
          <w:p>
            <w:pPr>
              <w:pStyle w:val="21"/>
              <w:keepNext w:val="0"/>
              <w:keepLines w:val="0"/>
              <w:suppressLineNumbers w:val="0"/>
              <w:spacing w:beforeAutospacing="0" w:after="0" w:afterAutospacing="0" w:line="360" w:lineRule="auto"/>
              <w:ind w:firstLine="482" w:firstLineChars="200"/>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③隔油池浮油</w:t>
            </w:r>
          </w:p>
          <w:p>
            <w:pPr>
              <w:pStyle w:val="21"/>
              <w:keepNext w:val="0"/>
              <w:keepLines w:val="0"/>
              <w:suppressLineNumbers w:val="0"/>
              <w:spacing w:beforeAutospacing="0" w:after="0" w:afterAutospacing="0" w:line="360" w:lineRule="auto"/>
              <w:ind w:firstLine="480" w:firstLineChars="200"/>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食堂含油废水产生量为</w:t>
            </w:r>
            <w:r>
              <w:rPr>
                <w:rFonts w:hint="default" w:ascii="Times New Roman" w:hAnsi="Times New Roman" w:eastAsia="宋体" w:cs="Times New Roman"/>
                <w:b w:val="0"/>
                <w:bCs w:val="0"/>
                <w:color w:val="auto"/>
                <w:sz w:val="24"/>
                <w:lang w:val="en-US"/>
              </w:rPr>
              <w:t>1130.04</w:t>
            </w:r>
            <w:r>
              <w:rPr>
                <w:rFonts w:hint="default" w:ascii="Times New Roman" w:hAnsi="Times New Roman" w:eastAsia="宋体" w:cs="Times New Roman"/>
                <w:b w:val="0"/>
                <w:bCs w:val="0"/>
                <w:color w:val="auto"/>
                <w:sz w:val="24"/>
              </w:rPr>
              <w:t>m</w:t>
            </w:r>
            <w:r>
              <w:rPr>
                <w:rFonts w:hint="default" w:ascii="Times New Roman" w:hAnsi="Times New Roman" w:eastAsia="宋体" w:cs="Times New Roman"/>
                <w:b w:val="0"/>
                <w:bCs w:val="0"/>
                <w:color w:val="auto"/>
                <w:sz w:val="24"/>
                <w:vertAlign w:val="superscript"/>
              </w:rPr>
              <w:t>3</w:t>
            </w:r>
            <w:r>
              <w:rPr>
                <w:rFonts w:hint="default" w:ascii="Times New Roman" w:hAnsi="Times New Roman" w:eastAsia="宋体" w:cs="Times New Roman"/>
                <w:b w:val="0"/>
                <w:bCs w:val="0"/>
                <w:color w:val="auto"/>
                <w:sz w:val="24"/>
              </w:rPr>
              <w:t>/a，含油废水中动植物油浓度约为150mg/L，隔油池处理效率为90%，则隔油池油污产生量为</w:t>
            </w:r>
            <w:r>
              <w:rPr>
                <w:rFonts w:hint="default" w:ascii="Times New Roman" w:hAnsi="Times New Roman" w:eastAsia="宋体" w:cs="Times New Roman"/>
                <w:b w:val="0"/>
                <w:bCs w:val="0"/>
                <w:color w:val="auto"/>
                <w:sz w:val="24"/>
                <w:lang w:val="en-US"/>
              </w:rPr>
              <w:t>0.17</w:t>
            </w:r>
            <w:r>
              <w:rPr>
                <w:rFonts w:hint="default" w:ascii="Times New Roman" w:hAnsi="Times New Roman" w:eastAsia="宋体" w:cs="Times New Roman"/>
                <w:b w:val="0"/>
                <w:bCs w:val="0"/>
                <w:color w:val="auto"/>
                <w:sz w:val="24"/>
              </w:rPr>
              <w:t>t/a，委托有资质单位清运处置。</w:t>
            </w:r>
          </w:p>
          <w:p>
            <w:pPr>
              <w:pStyle w:val="21"/>
              <w:keepNext w:val="0"/>
              <w:keepLines w:val="0"/>
              <w:suppressLineNumbers w:val="0"/>
              <w:spacing w:beforeAutospacing="0" w:after="0" w:afterAutospacing="0" w:line="360" w:lineRule="auto"/>
              <w:ind w:firstLine="482" w:firstLineChars="200"/>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④食堂餐厨垃圾</w:t>
            </w:r>
          </w:p>
          <w:p>
            <w:pPr>
              <w:pStyle w:val="21"/>
              <w:keepNext w:val="0"/>
              <w:keepLines w:val="0"/>
              <w:suppressLineNumbers w:val="0"/>
              <w:spacing w:beforeAutospacing="0" w:after="0" w:afterAutospacing="0" w:line="360" w:lineRule="auto"/>
              <w:ind w:firstLine="480" w:firstLineChars="200"/>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本项目食堂在运营过程中会产生餐饮垃圾，餐饮垃圾产生量以0.5kg/（人·d）计，每天就餐人数以</w:t>
            </w:r>
            <w:r>
              <w:rPr>
                <w:rFonts w:hint="default" w:ascii="Times New Roman" w:hAnsi="Times New Roman" w:eastAsia="宋体" w:cs="Times New Roman"/>
                <w:b w:val="0"/>
                <w:bCs w:val="0"/>
                <w:color w:val="auto"/>
                <w:sz w:val="24"/>
                <w:lang w:val="en-US"/>
              </w:rPr>
              <w:t>360</w:t>
            </w:r>
            <w:r>
              <w:rPr>
                <w:rFonts w:hint="default" w:ascii="Times New Roman" w:hAnsi="Times New Roman" w:eastAsia="宋体" w:cs="Times New Roman"/>
                <w:b w:val="0"/>
                <w:bCs w:val="0"/>
                <w:color w:val="auto"/>
                <w:sz w:val="24"/>
              </w:rPr>
              <w:t>人计，则餐饮垃圾产生量为</w:t>
            </w:r>
            <w:r>
              <w:rPr>
                <w:rFonts w:hint="default" w:ascii="Times New Roman" w:hAnsi="Times New Roman" w:eastAsia="宋体" w:cs="Times New Roman"/>
                <w:b w:val="0"/>
                <w:bCs w:val="0"/>
                <w:color w:val="auto"/>
                <w:sz w:val="24"/>
                <w:lang w:val="en-US"/>
              </w:rPr>
              <w:t>180</w:t>
            </w:r>
            <w:r>
              <w:rPr>
                <w:rFonts w:hint="default" w:ascii="Times New Roman" w:hAnsi="Times New Roman" w:eastAsia="宋体" w:cs="Times New Roman"/>
                <w:b w:val="0"/>
                <w:bCs w:val="0"/>
                <w:color w:val="auto"/>
                <w:sz w:val="24"/>
              </w:rPr>
              <w:t>kg/d，</w:t>
            </w:r>
            <w:r>
              <w:rPr>
                <w:rFonts w:hint="default" w:ascii="Times New Roman" w:hAnsi="Times New Roman" w:eastAsia="宋体" w:cs="Times New Roman"/>
                <w:b w:val="0"/>
                <w:bCs w:val="0"/>
                <w:color w:val="auto"/>
                <w:sz w:val="24"/>
                <w:lang w:val="en-US"/>
              </w:rPr>
              <w:t>65.7</w:t>
            </w:r>
            <w:r>
              <w:rPr>
                <w:rFonts w:hint="default" w:ascii="Times New Roman" w:hAnsi="Times New Roman" w:eastAsia="宋体" w:cs="Times New Roman"/>
                <w:b w:val="0"/>
                <w:bCs w:val="0"/>
                <w:color w:val="auto"/>
                <w:sz w:val="24"/>
              </w:rPr>
              <w:t>t/a。餐饮垃圾集中收集后委托有资质的回收部门回收利用。</w:t>
            </w:r>
          </w:p>
          <w:p>
            <w:pPr>
              <w:pStyle w:val="21"/>
              <w:keepNext w:val="0"/>
              <w:keepLines w:val="0"/>
              <w:suppressLineNumbers w:val="0"/>
              <w:spacing w:beforeAutospacing="0" w:after="0" w:afterAutospacing="0" w:line="360" w:lineRule="auto"/>
              <w:ind w:firstLine="482" w:firstLineChars="200"/>
              <w:rPr>
                <w:rFonts w:hint="eastAsia" w:ascii="宋体" w:hAnsi="宋体" w:eastAsia="宋体" w:cs="宋体"/>
                <w:b/>
                <w:bCs/>
                <w:color w:val="auto"/>
                <w:sz w:val="24"/>
                <w:lang w:eastAsia="zh-CN"/>
              </w:rPr>
            </w:pPr>
            <w:r>
              <w:rPr>
                <w:rFonts w:hint="eastAsia" w:ascii="宋体" w:hAnsi="宋体" w:eastAsia="宋体" w:cs="宋体"/>
                <w:b/>
                <w:bCs/>
                <w:color w:val="auto"/>
                <w:sz w:val="24"/>
              </w:rPr>
              <w:t>⑤</w:t>
            </w:r>
            <w:r>
              <w:rPr>
                <w:rFonts w:hint="eastAsia" w:ascii="宋体" w:hAnsi="宋体" w:cs="宋体"/>
                <w:b/>
                <w:bCs/>
                <w:color w:val="auto"/>
                <w:sz w:val="24"/>
                <w:lang w:eastAsia="zh-CN"/>
              </w:rPr>
              <w:t>废紫外线灯管</w:t>
            </w:r>
          </w:p>
          <w:p>
            <w:pPr>
              <w:pStyle w:val="21"/>
              <w:keepNext w:val="0"/>
              <w:keepLines w:val="0"/>
              <w:suppressLineNumbers w:val="0"/>
              <w:spacing w:beforeAutospacing="0" w:after="0" w:afterAutospacing="0" w:line="360" w:lineRule="auto"/>
              <w:ind w:firstLine="480" w:firstLineChars="200"/>
              <w:rPr>
                <w:rFonts w:hint="eastAsia" w:ascii="宋体" w:hAnsi="宋体" w:eastAsia="宋体" w:cs="宋体"/>
                <w:b/>
                <w:bCs/>
                <w:color w:val="auto"/>
                <w:sz w:val="24"/>
              </w:rPr>
            </w:pPr>
            <w:r>
              <w:rPr>
                <w:rFonts w:hint="eastAsia" w:ascii="宋体" w:hAnsi="宋体"/>
                <w:color w:val="auto"/>
                <w:sz w:val="24"/>
                <w:lang w:val="en-US" w:eastAsia="zh-CN"/>
              </w:rPr>
              <w:t>项目医疗废物暂存间的消毒方式为紫外消毒，每年产生10根紫外灯管，约0.005t/a。据《国家危险废物名录（2021年版）》，废紫外灯管属于</w:t>
            </w:r>
            <w:r>
              <w:rPr>
                <w:rFonts w:hint="default" w:ascii="宋体" w:hAnsi="宋体"/>
                <w:color w:val="auto"/>
                <w:sz w:val="24"/>
                <w:lang w:val="en-US" w:eastAsia="zh-CN"/>
              </w:rPr>
              <w:t>HW</w:t>
            </w:r>
            <w:r>
              <w:rPr>
                <w:rFonts w:hint="eastAsia" w:ascii="宋体" w:hAnsi="宋体"/>
                <w:color w:val="auto"/>
                <w:sz w:val="24"/>
                <w:lang w:val="en-US" w:eastAsia="zh-CN"/>
              </w:rPr>
              <w:t>29含汞他废物中</w:t>
            </w:r>
            <w:r>
              <w:rPr>
                <w:rFonts w:hint="default" w:ascii="宋体" w:hAnsi="宋体"/>
                <w:color w:val="auto"/>
                <w:sz w:val="24"/>
                <w:lang w:val="en-US" w:eastAsia="zh-CN"/>
              </w:rPr>
              <w:t>“</w:t>
            </w:r>
            <w:r>
              <w:rPr>
                <w:rFonts w:hint="eastAsia" w:ascii="宋体" w:hAnsi="宋体"/>
                <w:color w:val="auto"/>
                <w:sz w:val="24"/>
                <w:lang w:val="en-US" w:eastAsia="zh-CN"/>
              </w:rPr>
              <w:t>非特定行业</w:t>
            </w:r>
            <w:r>
              <w:rPr>
                <w:rFonts w:hint="default" w:ascii="宋体" w:hAnsi="宋体"/>
                <w:color w:val="auto"/>
                <w:sz w:val="24"/>
                <w:lang w:val="en-US" w:eastAsia="zh-CN"/>
              </w:rPr>
              <w:t>-</w:t>
            </w:r>
            <w:r>
              <w:rPr>
                <w:rFonts w:hint="eastAsia" w:ascii="宋体" w:hAnsi="宋体"/>
                <w:color w:val="auto"/>
                <w:sz w:val="24"/>
                <w:lang w:val="en-US" w:eastAsia="zh-CN"/>
              </w:rPr>
              <w:t>生产、销售及使用过程中产生的废含汞荧光灯管及其他废含汞电光源</w:t>
            </w:r>
            <w:r>
              <w:rPr>
                <w:rFonts w:hint="default" w:ascii="宋体" w:hAnsi="宋体"/>
                <w:color w:val="auto"/>
                <w:sz w:val="24"/>
                <w:lang w:val="en-US" w:eastAsia="zh-CN"/>
              </w:rPr>
              <w:t>”</w:t>
            </w:r>
            <w:r>
              <w:rPr>
                <w:rFonts w:hint="eastAsia" w:ascii="宋体" w:hAnsi="宋体"/>
                <w:color w:val="auto"/>
                <w:sz w:val="24"/>
                <w:lang w:val="en-US" w:eastAsia="zh-CN"/>
              </w:rPr>
              <w:t>，其废物代码为900-023-29，废紫外灯管应暂存于危险废物废暂存间内，并定期交由有资质单位进行处理。</w:t>
            </w:r>
          </w:p>
          <w:p>
            <w:pPr>
              <w:keepNext w:val="0"/>
              <w:keepLines w:val="0"/>
              <w:suppressLineNumbers w:val="0"/>
              <w:snapToGrid w:val="0"/>
              <w:spacing w:before="0" w:beforeAutospacing="0" w:after="0" w:afterAutospacing="0" w:line="360" w:lineRule="auto"/>
              <w:ind w:left="0" w:right="0" w:firstLine="482" w:firstLineChars="200"/>
              <w:rPr>
                <w:rFonts w:hint="default" w:hAnsi="宋体"/>
                <w:b/>
                <w:bCs/>
                <w:color w:val="auto"/>
                <w:sz w:val="24"/>
              </w:rPr>
            </w:pPr>
            <w:r>
              <w:rPr>
                <w:rFonts w:hint="eastAsia" w:ascii="宋体" w:hAnsi="宋体" w:eastAsia="宋体" w:cs="宋体"/>
                <w:b/>
                <w:bCs/>
                <w:color w:val="auto"/>
                <w:sz w:val="24"/>
              </w:rPr>
              <w:t>⑥</w:t>
            </w:r>
            <w:r>
              <w:rPr>
                <w:rFonts w:hint="eastAsia" w:hAnsi="宋体"/>
                <w:b/>
                <w:bCs/>
                <w:color w:val="auto"/>
                <w:sz w:val="24"/>
              </w:rPr>
              <w:t>检验废液</w:t>
            </w:r>
          </w:p>
          <w:p>
            <w:pPr>
              <w:keepNext w:val="0"/>
              <w:keepLines w:val="0"/>
              <w:suppressLineNumbers w:val="0"/>
              <w:snapToGrid w:val="0"/>
              <w:spacing w:before="0" w:beforeAutospacing="0" w:after="0" w:afterAutospacing="0" w:line="360" w:lineRule="auto"/>
              <w:ind w:left="0" w:right="0" w:firstLine="480" w:firstLineChars="200"/>
              <w:textAlignment w:val="auto"/>
              <w:rPr>
                <w:rFonts w:hint="default" w:hAnsi="宋体"/>
                <w:color w:val="auto"/>
                <w:sz w:val="24"/>
              </w:rPr>
            </w:pPr>
            <w:r>
              <w:rPr>
                <w:rFonts w:hint="eastAsia" w:hAnsi="宋体"/>
                <w:color w:val="auto"/>
                <w:sz w:val="24"/>
              </w:rPr>
              <w:t>检验废液主要包括检验科设备和实验器皿首次清洗产生高浓度废液和废试剂。其中检验科设备和实验器皿首次清洗产生的高浓度废液，视为危险废物；</w:t>
            </w:r>
            <w:r>
              <w:rPr>
                <w:rFonts w:hint="eastAsia" w:hAnsi="宋体"/>
                <w:color w:val="auto"/>
                <w:sz w:val="24"/>
                <w:lang w:eastAsia="zh-CN"/>
              </w:rPr>
              <w:t>代码为：</w:t>
            </w:r>
            <w:r>
              <w:rPr>
                <w:rFonts w:hint="default" w:hAnsi="宋体"/>
                <w:color w:val="auto"/>
                <w:sz w:val="24"/>
                <w:lang w:val="en-US" w:eastAsia="zh-CN"/>
              </w:rPr>
              <w:t>900-047-49</w:t>
            </w:r>
            <w:r>
              <w:rPr>
                <w:rFonts w:hint="eastAsia" w:hAnsi="宋体"/>
                <w:color w:val="auto"/>
                <w:sz w:val="24"/>
                <w:lang w:val="en-US" w:eastAsia="zh-CN"/>
              </w:rPr>
              <w:t>，</w:t>
            </w:r>
            <w:r>
              <w:rPr>
                <w:rFonts w:hint="eastAsia" w:hAnsi="宋体"/>
                <w:color w:val="auto"/>
                <w:sz w:val="24"/>
              </w:rPr>
              <w:t>废药剂主要为试剂废液，视为危险废物。</w:t>
            </w:r>
          </w:p>
          <w:p>
            <w:pPr>
              <w:pStyle w:val="21"/>
              <w:keepNext w:val="0"/>
              <w:keepLines w:val="0"/>
              <w:suppressLineNumbers w:val="0"/>
              <w:spacing w:beforeAutospacing="0" w:after="0" w:afterAutospacing="0" w:line="360" w:lineRule="auto"/>
              <w:ind w:firstLine="480" w:firstLineChars="200"/>
              <w:rPr>
                <w:rFonts w:hint="eastAsia" w:ascii="宋体" w:hAnsi="宋体" w:cs="宋体"/>
                <w:b/>
                <w:bCs/>
                <w:color w:val="auto"/>
                <w:sz w:val="24"/>
              </w:rPr>
            </w:pPr>
            <w:r>
              <w:rPr>
                <w:rFonts w:hint="eastAsia" w:hAnsi="宋体"/>
                <w:color w:val="auto"/>
                <w:sz w:val="24"/>
              </w:rPr>
              <w:t>检验废液产生量约为</w:t>
            </w:r>
            <w:r>
              <w:rPr>
                <w:rFonts w:hint="default" w:hAnsi="宋体"/>
                <w:color w:val="auto"/>
                <w:sz w:val="24"/>
              </w:rPr>
              <w:t>0.05t/a</w:t>
            </w:r>
            <w:r>
              <w:rPr>
                <w:rFonts w:hint="eastAsia" w:hAnsi="宋体"/>
                <w:color w:val="auto"/>
                <w:sz w:val="24"/>
              </w:rPr>
              <w:t>。该部分废液使用专用收集容器单独收集，送至危险废物暂存间进行暂存，定期交由有资质单位清运处置。</w:t>
            </w:r>
          </w:p>
          <w:p>
            <w:pPr>
              <w:pStyle w:val="21"/>
              <w:keepNext w:val="0"/>
              <w:keepLines w:val="0"/>
              <w:suppressLineNumbers w:val="0"/>
              <w:spacing w:beforeAutospacing="0" w:after="0" w:afterAutospacing="0" w:line="360" w:lineRule="auto"/>
              <w:ind w:firstLine="482" w:firstLineChars="200"/>
              <w:rPr>
                <w:rFonts w:hint="eastAsia" w:ascii="宋体" w:hAnsi="宋体" w:cs="宋体"/>
                <w:b/>
                <w:bCs/>
                <w:color w:val="auto"/>
                <w:sz w:val="24"/>
              </w:rPr>
            </w:pPr>
            <w:r>
              <w:rPr>
                <w:rFonts w:hint="eastAsia" w:ascii="宋体" w:hAnsi="宋体" w:eastAsia="宋体" w:cs="宋体"/>
                <w:b/>
                <w:bCs/>
                <w:color w:val="auto"/>
                <w:sz w:val="24"/>
              </w:rPr>
              <w:t>⑦</w:t>
            </w:r>
            <w:r>
              <w:rPr>
                <w:rFonts w:hint="eastAsia" w:ascii="宋体" w:hAnsi="宋体" w:cs="宋体"/>
                <w:b/>
                <w:bCs/>
                <w:color w:val="auto"/>
                <w:sz w:val="24"/>
              </w:rPr>
              <w:t>医疗废物</w:t>
            </w:r>
          </w:p>
          <w:p>
            <w:pPr>
              <w:pStyle w:val="21"/>
              <w:keepNext w:val="0"/>
              <w:keepLines w:val="0"/>
              <w:suppressLineNumbers w:val="0"/>
              <w:spacing w:beforeAutospacing="0" w:after="0" w:afterAutospacing="0" w:line="360" w:lineRule="auto"/>
              <w:ind w:firstLine="480" w:firstLineChars="200"/>
              <w:rPr>
                <w:rFonts w:hint="eastAsia" w:ascii="宋体" w:hAnsi="宋体" w:cs="宋体"/>
                <w:color w:val="auto"/>
                <w:sz w:val="24"/>
              </w:rPr>
            </w:pPr>
            <w:r>
              <w:rPr>
                <w:rFonts w:hint="eastAsia" w:ascii="宋体" w:hAnsi="宋体" w:cs="宋体"/>
                <w:color w:val="auto"/>
                <w:sz w:val="24"/>
              </w:rPr>
              <w:t>医疗废弃物来源广泛、成分复杂，如化学试剂、过期药品、一次性医疗器具等；废弃物成分包括金属、玻璃、塑料、纸类、纱布等，往往还带有大量病毒、细菌，具有较高的感染性。其中医院医疗废物已列入我国危险废物名录（编号 HW01），必须规范处置。</w:t>
            </w:r>
          </w:p>
          <w:p>
            <w:pPr>
              <w:pStyle w:val="21"/>
              <w:keepNext w:val="0"/>
              <w:keepLines w:val="0"/>
              <w:suppressLineNumbers w:val="0"/>
              <w:spacing w:beforeAutospacing="0" w:after="0" w:afterAutospacing="0" w:line="360" w:lineRule="auto"/>
              <w:ind w:firstLine="480" w:firstLineChars="200"/>
              <w:rPr>
                <w:rFonts w:hint="eastAsia" w:ascii="宋体" w:hAnsi="宋体" w:cs="宋体"/>
                <w:color w:val="auto"/>
                <w:sz w:val="24"/>
              </w:rPr>
            </w:pPr>
            <w:r>
              <w:rPr>
                <w:rFonts w:hint="eastAsia" w:ascii="宋体" w:hAnsi="宋体" w:cs="宋体"/>
                <w:color w:val="auto"/>
                <w:sz w:val="24"/>
              </w:rPr>
              <w:t>据项目诊疗科室设置，本项目不产生病理性废物，项目药品主要为镇定类药物，医院的过期药品药房工作人员将快到禁销期的药品，提前三个月联系医药公司，做退货处理。过期药品的药物管控要求：严格执行《品管理法条例》、《精神药品管理条例》、《处方管理办法》的相关规定，做好用药流程的管理，对近期近期失效药品提前三个月退还供应商。</w:t>
            </w:r>
          </w:p>
          <w:p>
            <w:pPr>
              <w:pStyle w:val="21"/>
              <w:keepNext w:val="0"/>
              <w:keepLines w:val="0"/>
              <w:suppressLineNumbers w:val="0"/>
              <w:spacing w:beforeAutospacing="0" w:after="0" w:afterAutospacing="0" w:line="360" w:lineRule="auto"/>
              <w:ind w:firstLine="480" w:firstLineChars="200"/>
              <w:rPr>
                <w:rFonts w:hint="eastAsia" w:ascii="宋体" w:hAnsi="宋体" w:cs="宋体"/>
                <w:color w:val="auto"/>
                <w:sz w:val="24"/>
              </w:rPr>
            </w:pPr>
            <w:r>
              <w:rPr>
                <w:rFonts w:hint="eastAsia" w:ascii="宋体" w:hAnsi="宋体" w:cs="宋体"/>
                <w:color w:val="auto"/>
                <w:sz w:val="24"/>
              </w:rPr>
              <w:t>本项目医疗废物主要为门诊、住院部产生的废输液管、废输液袋</w:t>
            </w:r>
            <w:r>
              <w:rPr>
                <w:rFonts w:hint="default" w:ascii="宋体" w:hAnsi="宋体" w:cs="宋体"/>
                <w:color w:val="auto"/>
                <w:sz w:val="24"/>
              </w:rPr>
              <w:t>/</w:t>
            </w:r>
            <w:r>
              <w:rPr>
                <w:rFonts w:hint="eastAsia" w:ascii="宋体" w:hAnsi="宋体" w:cs="宋体"/>
                <w:color w:val="auto"/>
                <w:sz w:val="24"/>
              </w:rPr>
              <w:t>瓶、废棉签棒、过期药品等，其中废输液管、废输液袋</w:t>
            </w:r>
            <w:r>
              <w:rPr>
                <w:rFonts w:hint="default" w:ascii="宋体" w:hAnsi="宋体" w:cs="宋体"/>
                <w:color w:val="auto"/>
                <w:sz w:val="24"/>
              </w:rPr>
              <w:t>/</w:t>
            </w:r>
            <w:r>
              <w:rPr>
                <w:rFonts w:hint="eastAsia" w:ascii="宋体" w:hAnsi="宋体" w:cs="宋体"/>
                <w:color w:val="auto"/>
                <w:sz w:val="24"/>
              </w:rPr>
              <w:t>瓶、废棉签棒等属于《国家危废管理名录》（</w:t>
            </w:r>
            <w:r>
              <w:rPr>
                <w:rFonts w:hint="default" w:ascii="宋体" w:hAnsi="宋体" w:cs="宋体"/>
                <w:color w:val="auto"/>
                <w:sz w:val="24"/>
              </w:rPr>
              <w:t>2021</w:t>
            </w:r>
            <w:r>
              <w:rPr>
                <w:rFonts w:hint="eastAsia" w:ascii="宋体" w:hAnsi="宋体" w:cs="宋体"/>
                <w:color w:val="auto"/>
                <w:sz w:val="24"/>
              </w:rPr>
              <w:t>版）中“</w:t>
            </w:r>
            <w:r>
              <w:rPr>
                <w:rFonts w:hint="default" w:ascii="宋体" w:hAnsi="宋体" w:cs="宋体"/>
                <w:color w:val="auto"/>
                <w:sz w:val="24"/>
              </w:rPr>
              <w:t>HW01</w:t>
            </w:r>
            <w:r>
              <w:rPr>
                <w:rFonts w:hint="eastAsia" w:ascii="宋体" w:hAnsi="宋体" w:cs="宋体"/>
                <w:color w:val="auto"/>
                <w:sz w:val="24"/>
              </w:rPr>
              <w:t xml:space="preserve">医疗废物——感染性废物，废物代码为 </w:t>
            </w:r>
            <w:r>
              <w:rPr>
                <w:rFonts w:hint="default" w:ascii="宋体" w:hAnsi="宋体" w:cs="宋体"/>
                <w:color w:val="auto"/>
                <w:sz w:val="24"/>
              </w:rPr>
              <w:t>841-00</w:t>
            </w:r>
            <w:r>
              <w:rPr>
                <w:rFonts w:hint="eastAsia" w:ascii="宋体" w:hAnsi="宋体" w:cs="宋体"/>
                <w:color w:val="auto"/>
                <w:sz w:val="24"/>
              </w:rPr>
              <w:t>1</w:t>
            </w:r>
            <w:r>
              <w:rPr>
                <w:rFonts w:hint="default" w:ascii="宋体" w:hAnsi="宋体" w:cs="宋体"/>
                <w:color w:val="auto"/>
                <w:sz w:val="24"/>
              </w:rPr>
              <w:t>-01</w:t>
            </w:r>
            <w:r>
              <w:rPr>
                <w:rFonts w:hint="eastAsia" w:ascii="宋体" w:hAnsi="宋体" w:cs="宋体"/>
                <w:color w:val="auto"/>
                <w:sz w:val="24"/>
              </w:rPr>
              <w:t>”；废针头属于《国家危废管理名录》（</w:t>
            </w:r>
            <w:r>
              <w:rPr>
                <w:rFonts w:hint="default" w:ascii="宋体" w:hAnsi="宋体" w:cs="宋体"/>
                <w:color w:val="auto"/>
                <w:sz w:val="24"/>
              </w:rPr>
              <w:t>2021</w:t>
            </w:r>
            <w:r>
              <w:rPr>
                <w:rFonts w:hint="eastAsia" w:ascii="宋体" w:hAnsi="宋体" w:cs="宋体"/>
                <w:color w:val="auto"/>
                <w:sz w:val="24"/>
              </w:rPr>
              <w:t>版）中“</w:t>
            </w:r>
            <w:r>
              <w:rPr>
                <w:rFonts w:hint="default" w:ascii="宋体" w:hAnsi="宋体" w:cs="宋体"/>
                <w:color w:val="auto"/>
                <w:sz w:val="24"/>
              </w:rPr>
              <w:t xml:space="preserve">HW01 </w:t>
            </w:r>
            <w:r>
              <w:rPr>
                <w:rFonts w:hint="eastAsia" w:ascii="宋体" w:hAnsi="宋体" w:cs="宋体"/>
                <w:color w:val="auto"/>
                <w:sz w:val="24"/>
              </w:rPr>
              <w:t xml:space="preserve">医疗废物——损伤性废物，废物代码为 </w:t>
            </w:r>
            <w:r>
              <w:rPr>
                <w:rFonts w:hint="default" w:ascii="宋体" w:hAnsi="宋体" w:cs="宋体"/>
                <w:color w:val="auto"/>
                <w:sz w:val="24"/>
              </w:rPr>
              <w:t>841-002-01</w:t>
            </w:r>
            <w:r>
              <w:rPr>
                <w:rFonts w:hint="eastAsia" w:ascii="宋体" w:hAnsi="宋体" w:cs="宋体"/>
                <w:color w:val="auto"/>
                <w:sz w:val="24"/>
              </w:rPr>
              <w:t>”；</w:t>
            </w:r>
          </w:p>
          <w:p>
            <w:pPr>
              <w:pStyle w:val="21"/>
              <w:keepNext w:val="0"/>
              <w:keepLines w:val="0"/>
              <w:suppressLineNumbers w:val="0"/>
              <w:spacing w:beforeAutospacing="0" w:after="0" w:afterAutospacing="0" w:line="360" w:lineRule="auto"/>
              <w:ind w:firstLine="480" w:firstLineChars="200"/>
              <w:rPr>
                <w:rFonts w:hint="eastAsia" w:ascii="宋体" w:hAnsi="宋体" w:cs="宋体"/>
                <w:color w:val="auto"/>
                <w:sz w:val="24"/>
              </w:rPr>
            </w:pPr>
            <w:r>
              <w:rPr>
                <w:rFonts w:hint="eastAsia" w:ascii="宋体" w:hAnsi="宋体" w:cs="宋体"/>
                <w:color w:val="auto"/>
                <w:sz w:val="24"/>
              </w:rPr>
              <w:t>①门诊部医疗废物：项目门诊部产生的废物主要为废输液管、废输液袋、废针头等。门诊病人医疗废物产生系数按0.2kg/人•日计，门诊病人医疗废物产生量约为</w:t>
            </w:r>
            <w:r>
              <w:rPr>
                <w:rFonts w:hint="default" w:ascii="宋体" w:hAnsi="宋体" w:cs="宋体"/>
                <w:color w:val="auto"/>
                <w:sz w:val="24"/>
                <w:lang w:val="en-US"/>
              </w:rPr>
              <w:t>16kg/d</w:t>
            </w:r>
            <w:r>
              <w:rPr>
                <w:rFonts w:hint="eastAsia" w:ascii="宋体" w:hAnsi="宋体" w:cs="宋体"/>
                <w:color w:val="auto"/>
                <w:sz w:val="24"/>
                <w:lang w:val="en-US" w:eastAsia="zh-CN"/>
              </w:rPr>
              <w:t>，</w:t>
            </w:r>
            <w:r>
              <w:rPr>
                <w:rFonts w:hint="default" w:ascii="宋体" w:hAnsi="宋体" w:cs="宋体"/>
                <w:color w:val="auto"/>
                <w:sz w:val="24"/>
                <w:lang w:val="en-US"/>
              </w:rPr>
              <w:t>5.84</w:t>
            </w:r>
            <w:r>
              <w:rPr>
                <w:rFonts w:hint="eastAsia" w:ascii="宋体" w:hAnsi="宋体" w:cs="宋体"/>
                <w:color w:val="auto"/>
                <w:sz w:val="24"/>
              </w:rPr>
              <w:t>t/a。</w:t>
            </w:r>
          </w:p>
          <w:p>
            <w:pPr>
              <w:pStyle w:val="21"/>
              <w:keepNext w:val="0"/>
              <w:keepLines w:val="0"/>
              <w:suppressLineNumbers w:val="0"/>
              <w:spacing w:beforeAutospacing="0" w:after="0" w:afterAutospacing="0" w:line="360" w:lineRule="auto"/>
              <w:ind w:firstLine="480" w:firstLineChars="200"/>
              <w:rPr>
                <w:rFonts w:hint="eastAsia" w:ascii="宋体" w:hAnsi="宋体" w:cs="宋体"/>
                <w:color w:val="auto"/>
                <w:sz w:val="24"/>
              </w:rPr>
            </w:pPr>
            <w:r>
              <w:rPr>
                <w:rFonts w:hint="eastAsia" w:ascii="宋体" w:hAnsi="宋体" w:cs="宋体"/>
                <w:color w:val="auto"/>
                <w:sz w:val="24"/>
              </w:rPr>
              <w:t>②住院部医疗废物：本项目住院病人医疗废物产生系数按0.53kg/床•日，医疗废物产生量约为</w:t>
            </w:r>
            <w:r>
              <w:rPr>
                <w:rFonts w:hint="default" w:ascii="宋体" w:hAnsi="宋体" w:cs="宋体"/>
                <w:color w:val="auto"/>
                <w:sz w:val="24"/>
                <w:lang w:val="en-US"/>
              </w:rPr>
              <w:t>132.5kg/d</w:t>
            </w:r>
            <w:r>
              <w:rPr>
                <w:rFonts w:hint="eastAsia" w:ascii="宋体" w:hAnsi="宋体" w:cs="宋体"/>
                <w:color w:val="auto"/>
                <w:sz w:val="24"/>
                <w:lang w:val="en-US" w:eastAsia="zh-CN"/>
              </w:rPr>
              <w:t>，</w:t>
            </w:r>
            <w:r>
              <w:rPr>
                <w:rFonts w:hint="default" w:ascii="宋体" w:hAnsi="宋体" w:cs="宋体"/>
                <w:color w:val="auto"/>
                <w:sz w:val="24"/>
                <w:lang w:val="en-US"/>
              </w:rPr>
              <w:t>48.36</w:t>
            </w:r>
            <w:r>
              <w:rPr>
                <w:rFonts w:hint="eastAsia" w:ascii="宋体" w:hAnsi="宋体" w:cs="宋体"/>
                <w:color w:val="auto"/>
                <w:sz w:val="24"/>
              </w:rPr>
              <w:t>t/a。</w:t>
            </w:r>
          </w:p>
          <w:p>
            <w:pPr>
              <w:pStyle w:val="21"/>
              <w:keepNext w:val="0"/>
              <w:keepLines w:val="0"/>
              <w:suppressLineNumbers w:val="0"/>
              <w:spacing w:beforeAutospacing="0" w:after="0" w:afterAutospacing="0" w:line="360" w:lineRule="auto"/>
              <w:ind w:firstLine="480" w:firstLineChars="200"/>
              <w:rPr>
                <w:rFonts w:hint="eastAsia" w:ascii="宋体" w:hAnsi="宋体" w:cs="宋体"/>
                <w:color w:val="auto"/>
                <w:sz w:val="24"/>
              </w:rPr>
            </w:pPr>
            <w:r>
              <w:rPr>
                <w:rFonts w:hint="eastAsia" w:ascii="宋体" w:hAnsi="宋体" w:cs="宋体"/>
                <w:color w:val="auto"/>
                <w:sz w:val="24"/>
              </w:rPr>
              <w:t>本项目医疗废物产生量合计</w:t>
            </w:r>
            <w:r>
              <w:rPr>
                <w:rFonts w:hint="default" w:ascii="宋体" w:hAnsi="宋体" w:cs="宋体"/>
                <w:color w:val="auto"/>
                <w:sz w:val="24"/>
                <w:lang w:val="en-US"/>
              </w:rPr>
              <w:t>54.2</w:t>
            </w:r>
            <w:r>
              <w:rPr>
                <w:rFonts w:hint="eastAsia" w:ascii="宋体" w:hAnsi="宋体" w:cs="宋体"/>
                <w:color w:val="auto"/>
                <w:sz w:val="24"/>
              </w:rPr>
              <w:t>t/a，医疗废物分类暂存在医疗废物暂存间内，委托有资质单位清运处置。</w:t>
            </w:r>
          </w:p>
          <w:p>
            <w:pPr>
              <w:pStyle w:val="21"/>
              <w:keepNext w:val="0"/>
              <w:keepLines w:val="0"/>
              <w:suppressLineNumbers w:val="0"/>
              <w:spacing w:beforeAutospacing="0" w:after="0" w:afterAutospacing="0" w:line="360" w:lineRule="auto"/>
              <w:ind w:firstLine="480" w:firstLineChars="200"/>
              <w:rPr>
                <w:rFonts w:hint="eastAsia" w:ascii="宋体" w:hAnsi="宋体" w:cs="宋体"/>
                <w:color w:val="auto"/>
                <w:sz w:val="24"/>
              </w:rPr>
            </w:pPr>
            <w:r>
              <w:rPr>
                <w:rFonts w:hint="eastAsia" w:ascii="宋体" w:hAnsi="宋体" w:cs="宋体"/>
                <w:color w:val="auto"/>
                <w:sz w:val="24"/>
              </w:rPr>
              <w:t>本项目医疗废物据感染性废物、损伤性废物两类进行分类后，暂存在医疗废物暂存间内，不能混合收集。医疗废物暂存间位于外院西北角，平时有专人看管，不得随意进出。</w:t>
            </w:r>
          </w:p>
          <w:p>
            <w:pPr>
              <w:keepNext w:val="0"/>
              <w:keepLines w:val="0"/>
              <w:suppressLineNumbers w:val="0"/>
              <w:adjustRightInd w:val="0"/>
              <w:snapToGrid w:val="0"/>
              <w:spacing w:before="0" w:beforeAutospacing="0" w:after="0" w:afterAutospacing="0"/>
              <w:ind w:left="0" w:right="0"/>
              <w:jc w:val="center"/>
              <w:rPr>
                <w:rFonts w:hint="eastAsia" w:ascii="Calibri" w:hAnsi="Calibri" w:cs="Times New Roman"/>
                <w:b/>
                <w:bCs/>
                <w:color w:val="auto"/>
                <w:sz w:val="24"/>
                <w:szCs w:val="22"/>
              </w:rPr>
            </w:pPr>
            <w:r>
              <w:rPr>
                <w:rFonts w:hint="eastAsia" w:ascii="宋体" w:hAnsi="宋体" w:cs="宋体"/>
                <w:b/>
                <w:bCs/>
                <w:color w:val="auto"/>
                <w:sz w:val="24"/>
              </w:rPr>
              <w:t>表4-</w:t>
            </w:r>
            <w:r>
              <w:rPr>
                <w:rFonts w:hint="default" w:ascii="宋体" w:hAnsi="宋体" w:cs="宋体"/>
                <w:b/>
                <w:bCs/>
                <w:color w:val="auto"/>
                <w:sz w:val="24"/>
              </w:rPr>
              <w:t>1</w:t>
            </w:r>
            <w:r>
              <w:rPr>
                <w:rFonts w:hint="default" w:ascii="宋体" w:hAnsi="宋体" w:cs="宋体"/>
                <w:b/>
                <w:bCs/>
                <w:color w:val="auto"/>
                <w:sz w:val="24"/>
                <w:lang w:val="en-US"/>
              </w:rPr>
              <w:t>2</w:t>
            </w:r>
            <w:r>
              <w:rPr>
                <w:rFonts w:hint="default" w:ascii="宋体" w:hAnsi="宋体" w:cs="宋体"/>
                <w:b/>
                <w:bCs/>
                <w:color w:val="auto"/>
                <w:sz w:val="24"/>
              </w:rPr>
              <w:t xml:space="preserve"> </w:t>
            </w:r>
            <w:r>
              <w:rPr>
                <w:rFonts w:hint="eastAsia" w:ascii="Calibri" w:hAnsi="Calibri" w:cs="Times New Roman"/>
                <w:b/>
                <w:bCs/>
                <w:color w:val="auto"/>
                <w:sz w:val="24"/>
                <w:szCs w:val="22"/>
              </w:rPr>
              <w:t>医疗救治过程的医疗废物属性一览表</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1307"/>
              <w:gridCol w:w="1255"/>
              <w:gridCol w:w="1248"/>
              <w:gridCol w:w="3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9" w:type="pct"/>
                  <w:noWrap w:val="0"/>
                  <w:vAlign w:val="center"/>
                </w:tcPr>
                <w:p>
                  <w:pPr>
                    <w:keepNext w:val="0"/>
                    <w:keepLines w:val="0"/>
                    <w:suppressLineNumbers w:val="0"/>
                    <w:spacing w:before="0" w:beforeAutospacing="0" w:after="0" w:afterAutospacing="0"/>
                    <w:ind w:left="0" w:right="0"/>
                    <w:jc w:val="center"/>
                    <w:rPr>
                      <w:rFonts w:hint="eastAsia" w:ascii="Calibri" w:hAnsi="Calibri" w:cs="Times New Roman"/>
                      <w:color w:val="auto"/>
                    </w:rPr>
                  </w:pPr>
                  <w:r>
                    <w:rPr>
                      <w:rFonts w:hint="eastAsia" w:ascii="Calibri" w:hAnsi="Calibri" w:cs="Times New Roman"/>
                      <w:color w:val="auto"/>
                      <w:szCs w:val="22"/>
                    </w:rPr>
                    <w:t>废物名称</w:t>
                  </w:r>
                </w:p>
              </w:tc>
              <w:tc>
                <w:tcPr>
                  <w:tcW w:w="751" w:type="pct"/>
                  <w:noWrap w:val="0"/>
                  <w:vAlign w:val="center"/>
                </w:tcPr>
                <w:p>
                  <w:pPr>
                    <w:keepNext w:val="0"/>
                    <w:keepLines w:val="0"/>
                    <w:suppressLineNumbers w:val="0"/>
                    <w:spacing w:before="0" w:beforeAutospacing="0" w:after="0" w:afterAutospacing="0"/>
                    <w:ind w:left="0" w:right="0"/>
                    <w:jc w:val="center"/>
                    <w:rPr>
                      <w:rFonts w:hint="eastAsia" w:ascii="Calibri" w:hAnsi="Calibri" w:cs="Times New Roman"/>
                      <w:color w:val="auto"/>
                    </w:rPr>
                  </w:pPr>
                  <w:r>
                    <w:rPr>
                      <w:rFonts w:hint="eastAsia" w:ascii="Calibri" w:hAnsi="Calibri" w:cs="Times New Roman"/>
                      <w:color w:val="auto"/>
                      <w:szCs w:val="22"/>
                    </w:rPr>
                    <w:t>废物类别</w:t>
                  </w:r>
                </w:p>
              </w:tc>
              <w:tc>
                <w:tcPr>
                  <w:tcW w:w="721"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2"/>
                    </w:rPr>
                  </w:pPr>
                  <w:r>
                    <w:rPr>
                      <w:rFonts w:hint="eastAsia" w:ascii="Times New Roman" w:hAnsi="Times New Roman" w:cs="Times New Roman"/>
                      <w:color w:val="auto"/>
                      <w:szCs w:val="22"/>
                    </w:rPr>
                    <w:t>废物代码</w:t>
                  </w:r>
                </w:p>
              </w:tc>
              <w:tc>
                <w:tcPr>
                  <w:tcW w:w="717" w:type="pct"/>
                  <w:noWrap w:val="0"/>
                  <w:vAlign w:val="center"/>
                </w:tcPr>
                <w:p>
                  <w:pPr>
                    <w:keepNext w:val="0"/>
                    <w:keepLines w:val="0"/>
                    <w:suppressLineNumbers w:val="0"/>
                    <w:spacing w:before="0" w:beforeAutospacing="0" w:after="0" w:afterAutospacing="0"/>
                    <w:ind w:left="0" w:right="0"/>
                    <w:jc w:val="center"/>
                    <w:rPr>
                      <w:rFonts w:hint="eastAsia" w:ascii="Calibri" w:hAnsi="Calibri" w:cs="Times New Roman"/>
                      <w:color w:val="auto"/>
                    </w:rPr>
                  </w:pPr>
                  <w:r>
                    <w:rPr>
                      <w:rFonts w:hint="eastAsia" w:ascii="Calibri" w:hAnsi="Calibri" w:cs="Times New Roman"/>
                      <w:color w:val="auto"/>
                      <w:szCs w:val="22"/>
                    </w:rPr>
                    <w:t>废物来源</w:t>
                  </w:r>
                </w:p>
              </w:tc>
              <w:tc>
                <w:tcPr>
                  <w:tcW w:w="1810" w:type="pct"/>
                  <w:noWrap w:val="0"/>
                  <w:vAlign w:val="center"/>
                </w:tcPr>
                <w:p>
                  <w:pPr>
                    <w:keepNext w:val="0"/>
                    <w:keepLines w:val="0"/>
                    <w:suppressLineNumbers w:val="0"/>
                    <w:spacing w:before="0" w:beforeAutospacing="0" w:after="0" w:afterAutospacing="0"/>
                    <w:ind w:left="0" w:right="0"/>
                    <w:jc w:val="center"/>
                    <w:rPr>
                      <w:rFonts w:hint="eastAsia" w:ascii="Calibri" w:hAnsi="Calibri" w:cs="Times New Roman"/>
                      <w:color w:val="auto"/>
                    </w:rPr>
                  </w:pPr>
                  <w:r>
                    <w:rPr>
                      <w:rFonts w:hint="eastAsia" w:ascii="Calibri" w:hAnsi="Calibri" w:cs="Times New Roman"/>
                      <w:color w:val="auto"/>
                      <w:szCs w:val="22"/>
                    </w:rPr>
                    <w:t>常见危害组分或废物名称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9" w:type="pct"/>
                  <w:noWrap w:val="0"/>
                  <w:vAlign w:val="center"/>
                </w:tcPr>
                <w:p>
                  <w:pPr>
                    <w:keepNext w:val="0"/>
                    <w:keepLines w:val="0"/>
                    <w:suppressLineNumbers w:val="0"/>
                    <w:spacing w:before="0" w:beforeAutospacing="0" w:after="0" w:afterAutospacing="0"/>
                    <w:ind w:left="0" w:right="0"/>
                    <w:jc w:val="center"/>
                    <w:rPr>
                      <w:rFonts w:hint="eastAsia" w:ascii="Calibri" w:hAnsi="Calibri" w:cs="Times New Roman"/>
                      <w:color w:val="auto"/>
                    </w:rPr>
                  </w:pPr>
                  <w:r>
                    <w:rPr>
                      <w:rFonts w:hint="eastAsia" w:ascii="Calibri" w:hAnsi="Calibri" w:cs="Times New Roman"/>
                      <w:color w:val="auto"/>
                      <w:szCs w:val="22"/>
                    </w:rPr>
                    <w:t>废输液管、废输液袋</w:t>
                  </w:r>
                </w:p>
              </w:tc>
              <w:tc>
                <w:tcPr>
                  <w:tcW w:w="751" w:type="pct"/>
                  <w:noWrap w:val="0"/>
                  <w:vAlign w:val="center"/>
                </w:tcPr>
                <w:p>
                  <w:pPr>
                    <w:pStyle w:val="82"/>
                    <w:keepNext w:val="0"/>
                    <w:keepLines w:val="0"/>
                    <w:suppressLineNumbers w:val="0"/>
                    <w:spacing w:before="16" w:beforeAutospacing="0" w:after="0" w:afterAutospacing="0" w:line="241" w:lineRule="exact"/>
                    <w:ind w:left="93" w:right="88"/>
                    <w:jc w:val="center"/>
                    <w:rPr>
                      <w:rFonts w:hint="default" w:ascii="Times New Roman" w:hAnsi="Calibri" w:cs="Times New Roman"/>
                      <w:color w:val="auto"/>
                      <w:sz w:val="21"/>
                    </w:rPr>
                  </w:pPr>
                  <w:r>
                    <w:rPr>
                      <w:rFonts w:hint="default" w:ascii="Times New Roman" w:hAnsi="Calibri" w:cs="Times New Roman"/>
                      <w:color w:val="auto"/>
                      <w:sz w:val="21"/>
                    </w:rPr>
                    <w:t>HW01</w:t>
                  </w:r>
                </w:p>
                <w:p>
                  <w:pPr>
                    <w:keepNext w:val="0"/>
                    <w:keepLines w:val="0"/>
                    <w:suppressLineNumbers w:val="0"/>
                    <w:spacing w:before="0" w:beforeAutospacing="0" w:after="0" w:afterAutospacing="0"/>
                    <w:ind w:left="0" w:right="0"/>
                    <w:jc w:val="center"/>
                    <w:rPr>
                      <w:rFonts w:hint="eastAsia" w:ascii="Calibri" w:hAnsi="Calibri" w:cs="Times New Roman"/>
                      <w:color w:val="auto"/>
                    </w:rPr>
                  </w:pPr>
                  <w:r>
                    <w:rPr>
                      <w:rFonts w:hint="eastAsia" w:ascii="Calibri" w:hAnsi="Calibri" w:cs="Times New Roman"/>
                      <w:color w:val="auto"/>
                      <w:szCs w:val="22"/>
                    </w:rPr>
                    <w:t>医疗废物</w:t>
                  </w:r>
                </w:p>
              </w:tc>
              <w:tc>
                <w:tcPr>
                  <w:tcW w:w="721"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2"/>
                    </w:rPr>
                  </w:pPr>
                  <w:r>
                    <w:rPr>
                      <w:rFonts w:hint="eastAsia" w:ascii="Times New Roman" w:hAnsi="Times New Roman" w:cs="Times New Roman"/>
                      <w:color w:val="auto"/>
                      <w:szCs w:val="22"/>
                    </w:rPr>
                    <w:t>841-005-01</w:t>
                  </w:r>
                </w:p>
              </w:tc>
              <w:tc>
                <w:tcPr>
                  <w:tcW w:w="717" w:type="pct"/>
                  <w:noWrap w:val="0"/>
                  <w:vAlign w:val="center"/>
                </w:tcPr>
                <w:p>
                  <w:pPr>
                    <w:keepNext w:val="0"/>
                    <w:keepLines w:val="0"/>
                    <w:suppressLineNumbers w:val="0"/>
                    <w:spacing w:before="0" w:beforeAutospacing="0" w:after="0" w:afterAutospacing="0"/>
                    <w:ind w:left="0" w:right="0"/>
                    <w:jc w:val="center"/>
                    <w:rPr>
                      <w:rFonts w:hint="eastAsia" w:ascii="Calibri" w:hAnsi="Calibri" w:cs="Times New Roman"/>
                      <w:color w:val="auto"/>
                    </w:rPr>
                  </w:pPr>
                  <w:r>
                    <w:rPr>
                      <w:rFonts w:hint="eastAsia" w:ascii="Calibri" w:hAnsi="Calibri" w:cs="Times New Roman"/>
                      <w:color w:val="auto"/>
                      <w:szCs w:val="22"/>
                    </w:rPr>
                    <w:t>门诊、住院</w:t>
                  </w:r>
                </w:p>
              </w:tc>
              <w:tc>
                <w:tcPr>
                  <w:tcW w:w="1810" w:type="pct"/>
                  <w:noWrap w:val="0"/>
                  <w:vAlign w:val="center"/>
                </w:tcPr>
                <w:p>
                  <w:pPr>
                    <w:keepNext w:val="0"/>
                    <w:keepLines w:val="0"/>
                    <w:suppressLineNumbers w:val="0"/>
                    <w:spacing w:before="0" w:beforeAutospacing="0" w:after="0" w:afterAutospacing="0"/>
                    <w:ind w:left="0" w:right="0"/>
                    <w:jc w:val="center"/>
                    <w:rPr>
                      <w:rFonts w:hint="eastAsia" w:ascii="Calibri" w:hAnsi="Calibri" w:cs="Times New Roman"/>
                      <w:color w:val="auto"/>
                    </w:rPr>
                  </w:pPr>
                  <w:r>
                    <w:rPr>
                      <w:rFonts w:hint="eastAsia" w:ascii="Calibri" w:hAnsi="Calibri" w:cs="Times New Roman"/>
                      <w:color w:val="auto"/>
                      <w:szCs w:val="22"/>
                    </w:rPr>
                    <w:t>被病人血液、体液、排泄物污染的物品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9" w:type="pct"/>
                  <w:noWrap w:val="0"/>
                  <w:vAlign w:val="center"/>
                </w:tcPr>
                <w:p>
                  <w:pPr>
                    <w:keepNext w:val="0"/>
                    <w:keepLines w:val="0"/>
                    <w:suppressLineNumbers w:val="0"/>
                    <w:spacing w:before="0" w:beforeAutospacing="0" w:after="0" w:afterAutospacing="0"/>
                    <w:ind w:left="0" w:right="0"/>
                    <w:jc w:val="center"/>
                    <w:rPr>
                      <w:rFonts w:hint="eastAsia" w:ascii="Calibri" w:hAnsi="Calibri" w:cs="Times New Roman"/>
                      <w:color w:val="auto"/>
                    </w:rPr>
                  </w:pPr>
                  <w:r>
                    <w:rPr>
                      <w:rFonts w:hint="eastAsia" w:ascii="Calibri" w:hAnsi="Calibri" w:cs="Times New Roman"/>
                      <w:color w:val="auto"/>
                      <w:szCs w:val="22"/>
                    </w:rPr>
                    <w:t>废针头</w:t>
                  </w:r>
                </w:p>
              </w:tc>
              <w:tc>
                <w:tcPr>
                  <w:tcW w:w="751" w:type="pct"/>
                  <w:noWrap w:val="0"/>
                  <w:vAlign w:val="center"/>
                </w:tcPr>
                <w:p>
                  <w:pPr>
                    <w:pStyle w:val="82"/>
                    <w:keepNext w:val="0"/>
                    <w:keepLines w:val="0"/>
                    <w:suppressLineNumbers w:val="0"/>
                    <w:spacing w:before="19" w:beforeAutospacing="0" w:after="0" w:afterAutospacing="0" w:line="241" w:lineRule="exact"/>
                    <w:ind w:left="93" w:right="88"/>
                    <w:jc w:val="center"/>
                    <w:rPr>
                      <w:rFonts w:hint="default" w:ascii="Times New Roman" w:hAnsi="Calibri" w:cs="Times New Roman"/>
                      <w:color w:val="auto"/>
                      <w:sz w:val="21"/>
                    </w:rPr>
                  </w:pPr>
                  <w:r>
                    <w:rPr>
                      <w:rFonts w:hint="default" w:ascii="Times New Roman" w:hAnsi="Calibri" w:cs="Times New Roman"/>
                      <w:color w:val="auto"/>
                      <w:sz w:val="21"/>
                    </w:rPr>
                    <w:t>HW01</w:t>
                  </w:r>
                </w:p>
                <w:p>
                  <w:pPr>
                    <w:keepNext w:val="0"/>
                    <w:keepLines w:val="0"/>
                    <w:suppressLineNumbers w:val="0"/>
                    <w:spacing w:before="0" w:beforeAutospacing="0" w:after="0" w:afterAutospacing="0"/>
                    <w:ind w:left="0" w:right="0"/>
                    <w:jc w:val="center"/>
                    <w:rPr>
                      <w:rFonts w:hint="eastAsia" w:ascii="Calibri" w:hAnsi="Calibri" w:cs="Times New Roman"/>
                      <w:color w:val="auto"/>
                    </w:rPr>
                  </w:pPr>
                  <w:r>
                    <w:rPr>
                      <w:rFonts w:hint="eastAsia" w:ascii="Calibri" w:hAnsi="Calibri" w:cs="Times New Roman"/>
                      <w:color w:val="auto"/>
                      <w:szCs w:val="22"/>
                    </w:rPr>
                    <w:t>医疗废物</w:t>
                  </w:r>
                </w:p>
              </w:tc>
              <w:tc>
                <w:tcPr>
                  <w:tcW w:w="721"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2"/>
                    </w:rPr>
                  </w:pPr>
                  <w:r>
                    <w:rPr>
                      <w:rFonts w:hint="eastAsia" w:ascii="Times New Roman" w:hAnsi="Times New Roman" w:cs="Times New Roman"/>
                      <w:color w:val="auto"/>
                      <w:szCs w:val="22"/>
                    </w:rPr>
                    <w:t>841-002-01</w:t>
                  </w:r>
                </w:p>
              </w:tc>
              <w:tc>
                <w:tcPr>
                  <w:tcW w:w="717" w:type="pct"/>
                  <w:noWrap w:val="0"/>
                  <w:vAlign w:val="center"/>
                </w:tcPr>
                <w:p>
                  <w:pPr>
                    <w:keepNext w:val="0"/>
                    <w:keepLines w:val="0"/>
                    <w:suppressLineNumbers w:val="0"/>
                    <w:spacing w:before="0" w:beforeAutospacing="0" w:after="0" w:afterAutospacing="0"/>
                    <w:ind w:left="0" w:right="0"/>
                    <w:jc w:val="center"/>
                    <w:rPr>
                      <w:rFonts w:hint="default" w:ascii="Calibri" w:hAnsi="Calibri" w:cs="Times New Roman"/>
                      <w:color w:val="auto"/>
                    </w:rPr>
                  </w:pPr>
                  <w:r>
                    <w:rPr>
                      <w:rFonts w:hint="eastAsia" w:ascii="Calibri" w:hAnsi="Calibri" w:cs="Times New Roman"/>
                      <w:color w:val="auto"/>
                      <w:szCs w:val="22"/>
                    </w:rPr>
                    <w:t>门诊、住院</w:t>
                  </w:r>
                </w:p>
              </w:tc>
              <w:tc>
                <w:tcPr>
                  <w:tcW w:w="1810" w:type="pct"/>
                  <w:noWrap w:val="0"/>
                  <w:vAlign w:val="center"/>
                </w:tcPr>
                <w:p>
                  <w:pPr>
                    <w:keepNext w:val="0"/>
                    <w:keepLines w:val="0"/>
                    <w:suppressLineNumbers w:val="0"/>
                    <w:spacing w:before="0" w:beforeAutospacing="0" w:after="0" w:afterAutospacing="0"/>
                    <w:ind w:left="0" w:right="0"/>
                    <w:jc w:val="center"/>
                    <w:rPr>
                      <w:rFonts w:hint="eastAsia" w:ascii="Calibri" w:hAnsi="Calibri" w:cs="Times New Roman"/>
                      <w:color w:val="auto"/>
                    </w:rPr>
                  </w:pPr>
                  <w:r>
                    <w:rPr>
                      <w:rFonts w:hint="eastAsia" w:ascii="Calibri" w:hAnsi="Calibri" w:cs="Times New Roman"/>
                      <w:color w:val="auto"/>
                      <w:szCs w:val="22"/>
                    </w:rPr>
                    <w:t>能够扎（刺）伤或者割伤人体的废弃的</w:t>
                  </w:r>
                  <w:r>
                    <w:rPr>
                      <w:rFonts w:hint="eastAsia" w:ascii="Calibri" w:hAnsi="Calibri" w:cs="Times New Roman"/>
                      <w:color w:val="auto"/>
                      <w:spacing w:val="-8"/>
                      <w:szCs w:val="22"/>
                    </w:rPr>
                    <w:t>锐利器物</w:t>
                  </w:r>
                  <w:r>
                    <w:rPr>
                      <w:rFonts w:hint="eastAsia" w:ascii="Calibri" w:hAnsi="Calibri" w:cs="Times New Roman"/>
                      <w:color w:val="auto"/>
                      <w:szCs w:val="22"/>
                    </w:rPr>
                    <w:t>（所有锐器视为感染性</w:t>
                  </w:r>
                  <w:r>
                    <w:rPr>
                      <w:rFonts w:hint="eastAsia" w:ascii="Calibri" w:hAnsi="Calibri" w:cs="Times New Roman"/>
                      <w:color w:val="auto"/>
                      <w:spacing w:val="-29"/>
                      <w:szCs w:val="22"/>
                    </w:rPr>
                    <w:t>），</w:t>
                  </w:r>
                  <w:r>
                    <w:rPr>
                      <w:rFonts w:hint="eastAsia" w:ascii="Calibri" w:hAnsi="Calibri" w:cs="Times New Roman"/>
                      <w:color w:val="auto"/>
                      <w:spacing w:val="-10"/>
                      <w:szCs w:val="22"/>
                    </w:rPr>
                    <w:t>如针头、缝合针、各类刀、锯、废弃的载</w:t>
                  </w:r>
                  <w:r>
                    <w:rPr>
                      <w:rFonts w:hint="eastAsia" w:ascii="Calibri" w:hAnsi="Calibri" w:cs="Times New Roman"/>
                      <w:color w:val="auto"/>
                      <w:szCs w:val="22"/>
                    </w:rPr>
                    <w:t>玻片、玻璃试管等。</w:t>
                  </w:r>
                </w:p>
              </w:tc>
            </w:tr>
          </w:tbl>
          <w:p>
            <w:pPr>
              <w:pStyle w:val="22"/>
              <w:keepNext w:val="0"/>
              <w:keepLines w:val="0"/>
              <w:suppressLineNumbers w:val="0"/>
              <w:spacing w:before="0" w:beforeAutospacing="0" w:after="0" w:afterAutospacing="0" w:line="360" w:lineRule="auto"/>
              <w:ind w:left="0" w:right="0" w:firstLine="482" w:firstLineChars="200"/>
              <w:jc w:val="both"/>
              <w:rPr>
                <w:rFonts w:hint="default" w:ascii="Times New Roman" w:hAnsi="Times New Roman" w:eastAsia="宋体" w:cs="Times New Roman"/>
                <w:b/>
                <w:bCs/>
                <w:color w:val="auto"/>
                <w:szCs w:val="24"/>
                <w:lang w:val="en-US" w:eastAsia="zh-CN"/>
              </w:rPr>
            </w:pPr>
            <w:r>
              <w:rPr>
                <w:rFonts w:hint="default" w:ascii="Times New Roman" w:hAnsi="Times New Roman" w:cs="Times New Roman"/>
                <w:b/>
                <w:bCs/>
                <w:color w:val="auto"/>
                <w:szCs w:val="24"/>
              </w:rPr>
              <w:t>（</w:t>
            </w:r>
            <w:r>
              <w:rPr>
                <w:rFonts w:hint="default" w:ascii="Times New Roman" w:hAnsi="Times New Roman" w:cs="Times New Roman"/>
                <w:b/>
                <w:bCs/>
                <w:color w:val="auto"/>
                <w:szCs w:val="24"/>
                <w:lang w:val="en-US" w:eastAsia="zh-CN"/>
              </w:rPr>
              <w:t>2</w:t>
            </w:r>
            <w:r>
              <w:rPr>
                <w:rFonts w:hint="default" w:ascii="Times New Roman" w:hAnsi="Times New Roman" w:cs="Times New Roman"/>
                <w:b/>
                <w:bCs/>
                <w:color w:val="auto"/>
                <w:szCs w:val="24"/>
              </w:rPr>
              <w:t>）医疗废物</w:t>
            </w:r>
            <w:r>
              <w:rPr>
                <w:rFonts w:hint="default" w:ascii="Times New Roman" w:hAnsi="Times New Roman" w:cs="Times New Roman"/>
                <w:b/>
                <w:bCs/>
                <w:color w:val="auto"/>
                <w:szCs w:val="24"/>
                <w:lang w:val="en-US" w:eastAsia="zh-CN"/>
              </w:rPr>
              <w:t>管理要求</w:t>
            </w:r>
          </w:p>
          <w:p>
            <w:pPr>
              <w:pStyle w:val="21"/>
              <w:keepNext w:val="0"/>
              <w:keepLines w:val="0"/>
              <w:suppressLineNumbers w:val="0"/>
              <w:spacing w:beforeAutospacing="0" w:after="0" w:afterAutospacing="0" w:line="360" w:lineRule="auto"/>
              <w:ind w:firstLine="480" w:firstLineChars="200"/>
              <w:rPr>
                <w:rFonts w:hint="eastAsia" w:ascii="宋体" w:hAnsi="宋体" w:cs="宋体"/>
                <w:color w:val="auto"/>
                <w:sz w:val="24"/>
              </w:rPr>
            </w:pPr>
            <w:r>
              <w:rPr>
                <w:rFonts w:hint="eastAsia" w:ascii="宋体" w:hAnsi="宋体" w:cs="宋体"/>
                <w:color w:val="auto"/>
                <w:sz w:val="24"/>
              </w:rPr>
              <w:t>医院所产生医疗废物主要包括损伤性废物、感染性废物。</w:t>
            </w:r>
          </w:p>
          <w:p>
            <w:pPr>
              <w:pStyle w:val="21"/>
              <w:keepNext w:val="0"/>
              <w:keepLines w:val="0"/>
              <w:suppressLineNumbers w:val="0"/>
              <w:spacing w:beforeAutospacing="0" w:after="0" w:afterAutospacing="0" w:line="360" w:lineRule="auto"/>
              <w:ind w:firstLine="480" w:firstLineChars="200"/>
              <w:rPr>
                <w:rFonts w:hint="eastAsia" w:ascii="宋体" w:hAnsi="宋体" w:cs="宋体"/>
                <w:color w:val="auto"/>
                <w:sz w:val="24"/>
              </w:rPr>
            </w:pPr>
            <w:r>
              <w:rPr>
                <w:rFonts w:hint="eastAsia" w:ascii="宋体" w:hAnsi="宋体" w:cs="宋体"/>
                <w:color w:val="auto"/>
                <w:sz w:val="24"/>
              </w:rPr>
              <w:t>本项目医疗垃圾严格按照《医疗废物管理条例》及时收集本单位产生的医疗废物，并按照类别分置于防渗漏、防锐器穿透的专用包装物或者密闭的容器内，医疗废物专用包装物、容器，应当有明显的警示标识和警示说明；委托有资质的单位进行处置。</w:t>
            </w:r>
          </w:p>
          <w:p>
            <w:pPr>
              <w:pStyle w:val="21"/>
              <w:keepNext w:val="0"/>
              <w:keepLines w:val="0"/>
              <w:suppressLineNumbers w:val="0"/>
              <w:spacing w:beforeAutospacing="0" w:after="0" w:afterAutospacing="0" w:line="360" w:lineRule="auto"/>
              <w:ind w:firstLine="480" w:firstLineChars="200"/>
              <w:rPr>
                <w:rFonts w:hint="eastAsia" w:ascii="宋体" w:hAnsi="宋体" w:cs="宋体"/>
                <w:color w:val="auto"/>
                <w:sz w:val="24"/>
              </w:rPr>
            </w:pPr>
            <w:r>
              <w:rPr>
                <w:rFonts w:hint="eastAsia" w:ascii="宋体" w:hAnsi="宋体" w:cs="宋体"/>
                <w:color w:val="auto"/>
                <w:sz w:val="24"/>
              </w:rPr>
              <w:t>本项目新建一栋医废楼进行暂存，面积</w:t>
            </w:r>
            <w:r>
              <w:rPr>
                <w:rFonts w:hint="default" w:ascii="宋体" w:hAnsi="宋体" w:cs="宋体"/>
                <w:color w:val="auto"/>
                <w:sz w:val="24"/>
              </w:rPr>
              <w:t>43.8</w:t>
            </w:r>
            <w:r>
              <w:rPr>
                <w:rFonts w:hint="eastAsia" w:ascii="宋体" w:hAnsi="宋体" w:cs="宋体"/>
                <w:color w:val="auto"/>
                <w:sz w:val="24"/>
              </w:rPr>
              <w:t>m</w:t>
            </w:r>
            <w:r>
              <w:rPr>
                <w:rFonts w:hint="eastAsia" w:ascii="宋体" w:hAnsi="宋体" w:cs="宋体"/>
                <w:color w:val="auto"/>
                <w:sz w:val="24"/>
                <w:vertAlign w:val="superscript"/>
              </w:rPr>
              <w:t>2</w:t>
            </w:r>
            <w:r>
              <w:rPr>
                <w:rFonts w:hint="eastAsia" w:ascii="宋体" w:hAnsi="宋体" w:cs="宋体"/>
                <w:color w:val="auto"/>
                <w:sz w:val="24"/>
              </w:rPr>
              <w:t>。医疗废物污染环境、传播疾病、威胁健康，危害很大，是《国家危险废物名录》规定的危险废物，医疗废物混入生活垃圾，极易成为疾病的传染源。</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ascii="宋体" w:hAnsi="宋体" w:cs="宋体"/>
                <w:b/>
                <w:bCs/>
                <w:color w:val="auto"/>
                <w:sz w:val="24"/>
                <w:szCs w:val="24"/>
              </w:rPr>
            </w:pPr>
            <w:r>
              <w:rPr>
                <w:rFonts w:hint="eastAsia" w:ascii="宋体" w:hAnsi="宋体" w:cs="宋体"/>
                <w:b/>
                <w:bCs/>
                <w:color w:val="auto"/>
                <w:sz w:val="24"/>
                <w:szCs w:val="24"/>
              </w:rPr>
              <w:t xml:space="preserve">1）医疗废物暂存间管理要求  </w:t>
            </w:r>
          </w:p>
          <w:p>
            <w:pPr>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①根据医疗废物的类别，将医疗废物分置于符合《医疗废物专用包装物、容器的标准和警示标识的规定》的包装物或者容器内；</w:t>
            </w:r>
          </w:p>
          <w:p>
            <w:pPr>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②在盛装医疗废物前，应当对医疗废物包装物或者容器进行认真检查，确保无破损、渗漏和其它缺陷；性废物不能混合收集。</w:t>
            </w:r>
          </w:p>
          <w:p>
            <w:pPr>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③感染性废物、损伤性废物及其相关的废物的管理，依照有关法律、行政法规和国家有关规定、标准执行；</w:t>
            </w:r>
          </w:p>
          <w:p>
            <w:pPr>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④放入包装物或者容器内的感染性废物、损伤性废物不得取出。</w:t>
            </w:r>
          </w:p>
          <w:p>
            <w:pPr>
              <w:keepNext w:val="0"/>
              <w:keepLines w:val="0"/>
              <w:suppressLineNumbers w:val="0"/>
              <w:spacing w:before="0" w:beforeAutospacing="0" w:after="0" w:afterAutospacing="0" w:line="360" w:lineRule="auto"/>
              <w:ind w:left="0" w:right="0" w:firstLine="482" w:firstLineChars="200"/>
              <w:rPr>
                <w:rFonts w:hint="eastAsia" w:ascii="宋体" w:hAnsi="宋体" w:cs="宋体"/>
                <w:b/>
                <w:bCs/>
                <w:color w:val="auto"/>
                <w:sz w:val="24"/>
                <w:szCs w:val="24"/>
              </w:rPr>
            </w:pPr>
            <w:r>
              <w:rPr>
                <w:rFonts w:hint="eastAsia" w:ascii="宋体" w:hAnsi="宋体" w:cs="宋体"/>
                <w:b/>
                <w:bCs/>
                <w:color w:val="auto"/>
                <w:sz w:val="24"/>
                <w:szCs w:val="24"/>
              </w:rPr>
              <w:t>2）医疗废物的暂存</w:t>
            </w:r>
          </w:p>
          <w:p>
            <w:pPr>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①医疗废物产生地点应当有医疗废物分类收集方法的示意图或者文字说明。</w:t>
            </w:r>
          </w:p>
          <w:p>
            <w:pPr>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②盛装的医疗废物达到包装物或者容器的3/4时，应当使用有效的封口方式，使包装物或者容器的封口紧实、严密。</w:t>
            </w:r>
          </w:p>
          <w:p>
            <w:pPr>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③包装物或者容器的外表面被感染性废物污染时，应当对被污染处进行消毒处理或者增加一层包装。</w:t>
            </w:r>
          </w:p>
          <w:p>
            <w:pPr>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④盛装医疗废物的每个包装物、容器外表面应当有警示标识，在每个包装物、容器上应当系中文标签，中文标签的内容应当包括：医疗废物产生单位、产生日期、类别及需要的特别说明等。</w:t>
            </w:r>
          </w:p>
          <w:p>
            <w:pPr>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⑤医疗卫生机构应当建立医疗废物暂时贮存设施、设备，不得露天存放医疗废物；医疗废物暂时贮存的时间不得超过48h。</w:t>
            </w:r>
          </w:p>
          <w:p>
            <w:pPr>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⑥医疗卫生机构应当将医疗废物交由取得县级以上人民政府环境保护行政主管部门许可的医疗废物集中处置单位处置，依照危险废物转移联单制度填写和保存转移联单。</w:t>
            </w:r>
          </w:p>
          <w:p>
            <w:pPr>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⑦医疗卫生机构应当对医疗废物进行登记，登记内容应当包括医疗废物的来源、种类、重量或者数量、交接时间、最终去向以及经办人签名等项目。登记资料至少保存3年。</w:t>
            </w:r>
          </w:p>
          <w:p>
            <w:pPr>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⑧医疗废物转交出去后，应当对暂时贮存地点、设施及时进行清洁和消毒处理。</w:t>
            </w:r>
          </w:p>
          <w:p>
            <w:pPr>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⑨禁止医疗卫生机构工作人员转让买卖医疗废物。</w:t>
            </w:r>
          </w:p>
          <w:p>
            <w:pPr>
              <w:keepNext w:val="0"/>
              <w:keepLines w:val="0"/>
              <w:suppressLineNumbers w:val="0"/>
              <w:spacing w:before="0" w:beforeAutospacing="0" w:after="0" w:afterAutospacing="0" w:line="360" w:lineRule="auto"/>
              <w:ind w:left="0" w:right="0" w:firstLine="480" w:firstLineChars="200"/>
              <w:jc w:val="left"/>
              <w:rPr>
                <w:rFonts w:hint="eastAsia" w:ascii="Calibri" w:hAnsi="Calibri" w:cs="Times New Roman"/>
                <w:color w:val="auto"/>
              </w:rPr>
            </w:pPr>
            <w:r>
              <w:rPr>
                <w:rFonts w:hint="eastAsia" w:ascii="宋体" w:hAnsi="宋体" w:cs="宋体"/>
                <w:color w:val="auto"/>
                <w:sz w:val="24"/>
                <w:szCs w:val="24"/>
              </w:rPr>
              <w:t>⑩禁止在非收集、非暂时贮存地点倾倒、堆放医疗废物，禁止将医疗废物混入其它废物和生活垃圾。</w:t>
            </w:r>
          </w:p>
          <w:p>
            <w:pPr>
              <w:keepNext w:val="0"/>
              <w:keepLines w:val="0"/>
              <w:suppressLineNumbers w:val="0"/>
              <w:adjustRightInd w:val="0"/>
              <w:snapToGrid w:val="0"/>
              <w:spacing w:before="0" w:beforeAutospacing="0" w:after="0" w:afterAutospacing="0" w:line="360" w:lineRule="auto"/>
              <w:ind w:left="420" w:leftChars="200" w:right="0"/>
              <w:rPr>
                <w:rFonts w:hint="eastAsia" w:ascii="Calibri" w:hAnsi="Calibri" w:eastAsia="宋体" w:cs="Times New Roman"/>
                <w:b/>
                <w:bCs/>
                <w:color w:val="auto"/>
                <w:sz w:val="24"/>
                <w:szCs w:val="24"/>
                <w:lang w:eastAsia="zh-CN"/>
              </w:rPr>
            </w:pPr>
            <w:r>
              <w:rPr>
                <w:rFonts w:hint="default" w:ascii="Times New Roman" w:hAnsi="Times New Roman" w:cs="宋体"/>
                <w:b/>
                <w:bCs/>
                <w:color w:val="auto"/>
                <w:sz w:val="24"/>
                <w:szCs w:val="24"/>
                <w:lang w:val="en-US" w:bidi="ar"/>
              </w:rPr>
              <w:t>3</w:t>
            </w:r>
            <w:r>
              <w:rPr>
                <w:rFonts w:hint="eastAsia" w:ascii="Times New Roman" w:hAnsi="Times New Roman" w:cs="宋体"/>
                <w:b/>
                <w:bCs/>
                <w:color w:val="auto"/>
                <w:sz w:val="24"/>
                <w:szCs w:val="24"/>
                <w:lang w:bidi="ar"/>
              </w:rPr>
              <w:t>）</w:t>
            </w:r>
            <w:r>
              <w:rPr>
                <w:rFonts w:hint="eastAsia" w:ascii="Times New Roman" w:hAnsi="Times New Roman" w:cs="宋体"/>
                <w:b/>
                <w:bCs/>
                <w:color w:val="auto"/>
                <w:sz w:val="24"/>
                <w:szCs w:val="24"/>
                <w:lang w:eastAsia="zh-CN" w:bidi="ar"/>
              </w:rPr>
              <w:t>医疗</w:t>
            </w:r>
            <w:r>
              <w:rPr>
                <w:rFonts w:hint="eastAsia" w:ascii="Times New Roman" w:hAnsi="Times New Roman" w:cs="宋体"/>
                <w:b/>
                <w:bCs/>
                <w:color w:val="auto"/>
                <w:sz w:val="24"/>
                <w:szCs w:val="24"/>
                <w:lang w:bidi="ar"/>
              </w:rPr>
              <w:t>废物暂存间</w:t>
            </w:r>
            <w:r>
              <w:rPr>
                <w:rFonts w:hint="eastAsia" w:ascii="Times New Roman" w:hAnsi="Times New Roman" w:cs="宋体"/>
                <w:b/>
                <w:bCs/>
                <w:color w:val="auto"/>
                <w:sz w:val="24"/>
                <w:szCs w:val="24"/>
                <w:lang w:eastAsia="zh-CN" w:bidi="ar"/>
              </w:rPr>
              <w:t>建设要求</w:t>
            </w:r>
          </w:p>
          <w:p>
            <w:pPr>
              <w:pStyle w:val="2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rPr>
              <w:t>A</w:t>
            </w:r>
            <w:r>
              <w:rPr>
                <w:rFonts w:hint="default" w:ascii="Times New Roman" w:hAnsi="Times New Roman" w:eastAsia="宋体" w:cs="Times New Roman"/>
                <w:color w:val="auto"/>
                <w:kern w:val="2"/>
                <w:sz w:val="24"/>
                <w:szCs w:val="24"/>
                <w:lang w:val="en-US" w:eastAsia="zh-CN"/>
              </w:rPr>
              <w:t>.房屋要求</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①项目共设有1间，建筑面积均为43.8m</w:t>
            </w:r>
            <w:r>
              <w:rPr>
                <w:rFonts w:hint="default" w:ascii="Times New Roman" w:hAnsi="Times New Roman" w:eastAsia="宋体" w:cs="Times New Roman"/>
                <w:color w:val="auto"/>
                <w:kern w:val="0"/>
                <w:sz w:val="24"/>
                <w:szCs w:val="24"/>
                <w:vertAlign w:val="superscript"/>
                <w:lang w:val="en-US" w:eastAsia="zh-CN" w:bidi="ar"/>
              </w:rPr>
              <w:t>2</w:t>
            </w:r>
            <w:r>
              <w:rPr>
                <w:rFonts w:hint="default" w:ascii="Times New Roman" w:hAnsi="Times New Roman" w:eastAsia="宋体" w:cs="Times New Roman"/>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②地面和墙裙（不低于1.0m高）必须进行防渗处理，且地面要有良好的排水性能，易于清洁和消毒；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③清洁和消毒产生的废水应采用管道直接排入医疗医疗废水处理设施，不得排入外环境；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④有严密的封闭措施，达到防蝇、防鼠、防盗以及预防儿童接触等要求；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⑤室内应分医疗废物存放处及工作人员防护用品、工具用具存放处，并设有分类存放的标识；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⑥应根据《危险废物贮存污染控制标准》（GB </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-2023）中对危废暂存间要求建设，贮存设施应根据危险废物的形态、物理化学性质、包装形式和污染物迁移途径，采取必要的防风、防晒、防雨、防漏、防渗、防腐以及其他环境污染防治措施，不应露天堆放危险废物。贮存设施或贮存分区内地面、墙面裙脚、堵截泄漏的围堰、接触危险废物的隔板和墙体等应采用坚固的材料建造，表面无裂缝。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hint="default" w:ascii="Times New Roman" w:hAnsi="Times New Roman" w:eastAsia="宋体" w:cs="Times New Roman"/>
                <w:color w:val="auto"/>
                <w:kern w:val="0"/>
                <w:sz w:val="24"/>
                <w:szCs w:val="24"/>
                <w:vertAlign w:val="superscript"/>
                <w:lang w:val="en-US" w:eastAsia="zh-CN" w:bidi="ar"/>
              </w:rPr>
              <w:t>-7</w:t>
            </w:r>
            <w:r>
              <w:rPr>
                <w:rFonts w:hint="default" w:ascii="Times New Roman" w:hAnsi="Times New Roman" w:eastAsia="宋体" w:cs="Times New Roman"/>
                <w:color w:val="auto"/>
                <w:kern w:val="0"/>
                <w:sz w:val="24"/>
                <w:szCs w:val="24"/>
                <w:lang w:val="en-US" w:eastAsia="zh-CN" w:bidi="ar"/>
              </w:rPr>
              <w:t xml:space="preserve"> cm/s），或至少2mm 厚高密度聚乙烯膜等人工防渗材料（渗透系数不大于10</w:t>
            </w:r>
            <w:r>
              <w:rPr>
                <w:rFonts w:hint="default" w:ascii="Times New Roman" w:hAnsi="Times New Roman" w:eastAsia="宋体" w:cs="Times New Roman"/>
                <w:color w:val="auto"/>
                <w:kern w:val="0"/>
                <w:sz w:val="24"/>
                <w:szCs w:val="24"/>
                <w:vertAlign w:val="superscript"/>
                <w:lang w:val="en-US" w:eastAsia="zh-CN" w:bidi="ar"/>
              </w:rPr>
              <w:t>-10</w:t>
            </w:r>
            <w:r>
              <w:rPr>
                <w:rFonts w:hint="default" w:ascii="Times New Roman" w:hAnsi="Times New Roman" w:eastAsia="宋体" w:cs="Times New Roman"/>
                <w:color w:val="auto"/>
                <w:kern w:val="0"/>
                <w:sz w:val="24"/>
                <w:szCs w:val="24"/>
                <w:lang w:val="en-US" w:eastAsia="zh-CN" w:bidi="ar"/>
              </w:rPr>
              <w:t xml:space="preserve"> cm/s），或其他防渗性能等效的材料。同一贮存设施宜采用相同的防渗、防腐工艺（包括防渗、防腐结构或材料），防渗、防腐材料应覆盖所有可能与废物及其渗滤液、渗漏液等接触的构筑物表面；采用不同防渗、防腐工艺应分别建设贮存分区。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cs="宋体"/>
                <w:b/>
                <w:bCs/>
                <w:color w:val="auto"/>
                <w:sz w:val="24"/>
                <w:szCs w:val="24"/>
              </w:rPr>
            </w:pPr>
            <w:r>
              <w:rPr>
                <w:rFonts w:hint="default" w:ascii="Times New Roman" w:hAnsi="Times New Roman" w:eastAsia="宋体" w:cs="Times New Roman"/>
                <w:color w:val="auto"/>
                <w:kern w:val="2"/>
                <w:sz w:val="24"/>
                <w:szCs w:val="24"/>
                <w:lang w:val="en-US" w:eastAsia="zh-CN"/>
              </w:rPr>
              <w:t>B.</w:t>
            </w:r>
            <w:r>
              <w:rPr>
                <w:rFonts w:hint="default" w:ascii="Times New Roman" w:hAnsi="Times New Roman" w:eastAsia="宋体" w:cs="Times New Roman"/>
                <w:color w:val="auto"/>
                <w:kern w:val="0"/>
                <w:sz w:val="24"/>
                <w:szCs w:val="24"/>
                <w:lang w:val="en-US" w:eastAsia="zh-CN" w:bidi="ar"/>
              </w:rPr>
              <w:t xml:space="preserve">标识要求：暂存间门外应张贴“医疗废物暂存间”、“废物暂存间”、及“禁止吸烟、饮食”的警示标识。 </w:t>
            </w:r>
          </w:p>
          <w:p>
            <w:pPr>
              <w:keepNext w:val="0"/>
              <w:keepLines w:val="0"/>
              <w:suppressLineNumbers w:val="0"/>
              <w:spacing w:before="0" w:beforeAutospacing="0" w:after="0" w:afterAutospacing="0" w:line="360" w:lineRule="auto"/>
              <w:ind w:left="0" w:right="0" w:firstLine="480" w:firstLineChars="200"/>
              <w:rPr>
                <w:rFonts w:hint="eastAsia" w:ascii="宋体" w:hAnsi="宋体" w:cs="宋体"/>
                <w:b/>
                <w:bCs/>
                <w:color w:val="auto"/>
                <w:sz w:val="24"/>
                <w:szCs w:val="24"/>
              </w:rPr>
            </w:pPr>
            <w:r>
              <w:rPr>
                <w:rFonts w:hint="eastAsia" w:ascii="宋体" w:hAnsi="宋体" w:cs="宋体"/>
                <w:b w:val="0"/>
                <w:bCs w:val="0"/>
                <w:color w:val="auto"/>
                <w:sz w:val="24"/>
                <w:szCs w:val="24"/>
              </w:rPr>
              <w:t>项目医疗、生活固废均可得到妥善处置及利用，处置率为100%，对环境影响不大。此外，建设单位应强化固废产生、收集、贮放各环节的管理，各种固废按照类别分类存放，杜绝固废在项目区内散失、渗漏，达到无害化的目的，避免产生二次污染。因此，采取以上措施后，本项目产生的各种固废均得到合理有效处置和利用，对当地周围环境影响可控。同时上述所采取措施合理可行。</w:t>
            </w:r>
          </w:p>
          <w:p>
            <w:pPr>
              <w:keepNext w:val="0"/>
              <w:keepLines w:val="0"/>
              <w:suppressLineNumbers w:val="0"/>
              <w:spacing w:before="0" w:beforeAutospacing="0" w:after="0" w:afterAutospacing="0" w:line="360" w:lineRule="auto"/>
              <w:ind w:left="0" w:right="0" w:firstLine="482" w:firstLineChars="200"/>
              <w:rPr>
                <w:rFonts w:hint="eastAsia" w:ascii="宋体" w:hAnsi="宋体" w:cs="宋体"/>
                <w:b/>
                <w:bCs/>
                <w:color w:val="auto"/>
                <w:sz w:val="24"/>
                <w:szCs w:val="24"/>
              </w:rPr>
            </w:pPr>
            <w:r>
              <w:rPr>
                <w:rFonts w:hint="eastAsia" w:ascii="宋体" w:hAnsi="宋体" w:cs="宋体"/>
                <w:b/>
                <w:bCs/>
                <w:color w:val="auto"/>
                <w:sz w:val="24"/>
                <w:szCs w:val="24"/>
              </w:rPr>
              <w:t>（</w:t>
            </w:r>
            <w:r>
              <w:rPr>
                <w:rFonts w:hint="default" w:ascii="宋体" w:hAnsi="宋体" w:cs="宋体"/>
                <w:b/>
                <w:bCs/>
                <w:color w:val="auto"/>
                <w:sz w:val="24"/>
                <w:szCs w:val="24"/>
                <w:lang w:val="en-US"/>
              </w:rPr>
              <w:t>5</w:t>
            </w:r>
            <w:r>
              <w:rPr>
                <w:rFonts w:hint="eastAsia" w:ascii="宋体" w:hAnsi="宋体" w:cs="宋体"/>
                <w:b/>
                <w:bCs/>
                <w:color w:val="auto"/>
                <w:sz w:val="24"/>
                <w:szCs w:val="24"/>
              </w:rPr>
              <w:t>）小结</w:t>
            </w:r>
          </w:p>
          <w:p>
            <w:pPr>
              <w:pStyle w:val="21"/>
              <w:keepNext w:val="0"/>
              <w:keepLines w:val="0"/>
              <w:suppressLineNumbers w:val="0"/>
              <w:spacing w:beforeAutospacing="0" w:after="0" w:afterAutospacing="0" w:line="360" w:lineRule="auto"/>
              <w:ind w:firstLine="480" w:firstLineChars="200"/>
              <w:rPr>
                <w:rFonts w:hint="eastAsia" w:ascii="宋体" w:hAnsi="宋体" w:cs="宋体"/>
                <w:color w:val="auto"/>
                <w:sz w:val="24"/>
              </w:rPr>
            </w:pPr>
            <w:r>
              <w:rPr>
                <w:rFonts w:hint="eastAsia" w:ascii="宋体" w:hAnsi="宋体" w:cs="宋体"/>
                <w:color w:val="auto"/>
                <w:sz w:val="24"/>
              </w:rPr>
              <w:t>本项目生活垃圾使用垃圾桶收集后委托环卫部门清运；</w:t>
            </w:r>
            <w:r>
              <w:rPr>
                <w:rFonts w:hint="eastAsia" w:ascii="宋体" w:hAnsi="宋体" w:cs="宋体"/>
                <w:color w:val="auto"/>
                <w:sz w:val="24"/>
                <w:lang w:eastAsia="zh-CN"/>
              </w:rPr>
              <w:t>餐厨垃圾、隔油池废油委托有资质单位清运处置，</w:t>
            </w:r>
            <w:r>
              <w:rPr>
                <w:rFonts w:hint="eastAsia" w:ascii="宋体" w:hAnsi="宋体" w:cs="宋体"/>
                <w:color w:val="auto"/>
                <w:sz w:val="24"/>
              </w:rPr>
              <w:t>污泥委托有资质单位</w:t>
            </w:r>
            <w:r>
              <w:rPr>
                <w:rFonts w:hint="eastAsia" w:ascii="宋体" w:hAnsi="宋体" w:cs="宋体"/>
                <w:color w:val="auto"/>
                <w:sz w:val="24"/>
                <w:lang w:eastAsia="zh-CN"/>
              </w:rPr>
              <w:t>现场消毒脱水并清运</w:t>
            </w:r>
            <w:r>
              <w:rPr>
                <w:rFonts w:hint="eastAsia" w:ascii="宋体" w:hAnsi="宋体" w:cs="宋体"/>
                <w:color w:val="auto"/>
                <w:sz w:val="24"/>
              </w:rPr>
              <w:t>处置；医疗废物委托有资质的单位进行处置，固体废物均得到妥善处置，处置率为100%，对周围环境影响不大。</w:t>
            </w:r>
          </w:p>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b/>
                <w:color w:val="auto"/>
                <w:sz w:val="24"/>
                <w:szCs w:val="24"/>
              </w:rPr>
            </w:pPr>
            <w:r>
              <w:rPr>
                <w:rFonts w:hint="default" w:ascii="宋体" w:hAnsi="宋体" w:cs="宋体"/>
                <w:b/>
                <w:color w:val="auto"/>
                <w:sz w:val="24"/>
                <w:szCs w:val="24"/>
              </w:rPr>
              <w:t>5</w:t>
            </w:r>
            <w:r>
              <w:rPr>
                <w:rFonts w:hint="eastAsia" w:ascii="宋体" w:hAnsi="宋体" w:cs="宋体"/>
                <w:b/>
                <w:color w:val="auto"/>
                <w:sz w:val="24"/>
                <w:szCs w:val="24"/>
              </w:rPr>
              <w:t>、环境风险影响分析</w:t>
            </w:r>
          </w:p>
          <w:p>
            <w:pPr>
              <w:keepNext w:val="0"/>
              <w:keepLines w:val="0"/>
              <w:suppressLineNumbers w:val="0"/>
              <w:snapToGrid w:val="0"/>
              <w:spacing w:before="0" w:beforeAutospacing="0" w:after="0" w:afterAutospacing="0" w:line="360" w:lineRule="auto"/>
              <w:ind w:left="0" w:right="0"/>
              <w:rPr>
                <w:rFonts w:hint="eastAsia" w:ascii="宋体" w:hAnsi="宋体" w:cs="宋体"/>
                <w:b/>
                <w:color w:val="auto"/>
                <w:sz w:val="24"/>
                <w:szCs w:val="24"/>
              </w:rPr>
            </w:pPr>
            <w:r>
              <w:rPr>
                <w:rFonts w:hint="default" w:ascii="宋体" w:hAnsi="宋体" w:cs="宋体"/>
                <w:b/>
                <w:color w:val="auto"/>
                <w:sz w:val="24"/>
                <w:szCs w:val="24"/>
              </w:rPr>
              <w:t>5</w:t>
            </w:r>
            <w:r>
              <w:rPr>
                <w:rFonts w:hint="eastAsia" w:ascii="宋体" w:hAnsi="宋体" w:cs="宋体"/>
                <w:b/>
                <w:color w:val="auto"/>
                <w:sz w:val="24"/>
                <w:szCs w:val="24"/>
              </w:rPr>
              <w:t xml:space="preserve">.1环境风险评价依据 </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（1）评价目的</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lang w:bidi="ar"/>
              </w:rPr>
            </w:pPr>
            <w:r>
              <w:rPr>
                <w:rFonts w:hint="eastAsia" w:ascii="宋体" w:hAnsi="宋体" w:cs="宋体"/>
                <w:color w:val="auto"/>
                <w:sz w:val="24"/>
                <w:szCs w:val="24"/>
                <w:lang w:bidi="ar"/>
              </w:rPr>
              <w:t>环境风险评价的目的是分析和预测项目存在的潜在危险、有害因素，建设项目建设和运行期间可能发生的突发性事件或事故（一般不包括人为破坏及自然灾害），引起有毒有害和易燃易爆等物质泄漏，所造成的人身安全与环境影响和损害程度，提出合理可行的防范、应急与减缓措施，以使建设项目事故率、损失和环境影响达到可接受水平。</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据《建设项目环境风险评价技术导则》（HJ169-2018）的要求，对于涉及有毒有害和易燃易爆物质的生产、使用、储存的建设项目可能发生突发性事故的应进行环境风险评价。本次环境风险评价的目的在于识别、分析、评估项目生产运行及物料储运中的风险所造成对人身安全与环境的影响和损害，并针对潜在的环境风险，提出相应的预防措施，力求将项目建设中潜在的风险危害程度降至最低。</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（2）风险调查</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污水处理站消毒剂使用次氯酸钠，本</w:t>
            </w:r>
            <w:r>
              <w:rPr>
                <w:rFonts w:hint="eastAsia" w:ascii="Calibri" w:hAnsi="Calibri" w:cs="Times New Roman"/>
                <w:color w:val="auto"/>
                <w:spacing w:val="-10"/>
                <w:sz w:val="24"/>
                <w:szCs w:val="22"/>
              </w:rPr>
              <w:t>项目设置有</w:t>
            </w:r>
            <w:r>
              <w:rPr>
                <w:rFonts w:hint="default" w:ascii="Times New Roman" w:hAnsi="Times New Roman" w:eastAsia="Times New Roman" w:cs="Times New Roman"/>
                <w:color w:val="auto"/>
                <w:sz w:val="24"/>
                <w:szCs w:val="22"/>
              </w:rPr>
              <w:t>1</w:t>
            </w:r>
            <w:r>
              <w:rPr>
                <w:rFonts w:hint="eastAsia" w:ascii="Calibri" w:hAnsi="Calibri" w:cs="Times New Roman"/>
                <w:color w:val="auto"/>
                <w:spacing w:val="-7"/>
                <w:sz w:val="24"/>
                <w:szCs w:val="22"/>
              </w:rPr>
              <w:t>台备用柴油发电机作为备用电源，仅供停电时使用，该发电机采用轻质柴油（含硫率</w:t>
            </w:r>
            <w:r>
              <w:rPr>
                <w:rFonts w:hint="default" w:ascii="Times New Roman" w:hAnsi="Times New Roman" w:eastAsia="Times New Roman" w:cs="Times New Roman"/>
                <w:color w:val="auto"/>
                <w:spacing w:val="-7"/>
                <w:sz w:val="24"/>
                <w:szCs w:val="22"/>
              </w:rPr>
              <w:t>≤10mg/kg</w:t>
            </w:r>
            <w:r>
              <w:rPr>
                <w:rFonts w:hint="eastAsia" w:ascii="Calibri" w:hAnsi="Calibri" w:cs="Times New Roman"/>
                <w:color w:val="auto"/>
                <w:spacing w:val="-7"/>
                <w:sz w:val="24"/>
                <w:szCs w:val="22"/>
              </w:rPr>
              <w:t>）作燃料；</w:t>
            </w:r>
            <w:r>
              <w:rPr>
                <w:rFonts w:hint="eastAsia" w:ascii="宋体" w:hAnsi="宋体" w:cs="宋体"/>
                <w:color w:val="auto"/>
                <w:sz w:val="24"/>
                <w:szCs w:val="24"/>
              </w:rPr>
              <w:t>本项目涉及到的危险化学品主要为</w:t>
            </w:r>
            <w:r>
              <w:rPr>
                <w:rFonts w:hint="eastAsia" w:ascii="宋体" w:hAnsi="宋体" w:cs="宋体"/>
                <w:color w:val="auto"/>
                <w:sz w:val="24"/>
                <w:szCs w:val="24"/>
                <w:lang w:eastAsia="zh-CN"/>
              </w:rPr>
              <w:t>实验试剂、</w:t>
            </w:r>
            <w:r>
              <w:rPr>
                <w:rFonts w:hint="eastAsia" w:ascii="宋体" w:hAnsi="宋体" w:cs="宋体"/>
                <w:color w:val="auto"/>
                <w:sz w:val="24"/>
                <w:szCs w:val="24"/>
              </w:rPr>
              <w:t>次氯酸钠</w:t>
            </w:r>
            <w:r>
              <w:rPr>
                <w:rFonts w:hint="eastAsia" w:ascii="宋体" w:hAnsi="宋体" w:cs="宋体"/>
                <w:color w:val="auto"/>
                <w:sz w:val="24"/>
                <w:szCs w:val="24"/>
                <w:lang w:eastAsia="zh-CN"/>
              </w:rPr>
              <w:t>、乙醇</w:t>
            </w:r>
            <w:r>
              <w:rPr>
                <w:rFonts w:hint="eastAsia" w:ascii="宋体" w:hAnsi="宋体" w:cs="宋体"/>
                <w:color w:val="auto"/>
                <w:sz w:val="24"/>
                <w:szCs w:val="24"/>
              </w:rPr>
              <w:t>和柴油。</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次氯酸钠、柴油的理化性质及危险特性详见下表。</w:t>
            </w:r>
          </w:p>
          <w:p>
            <w:pPr>
              <w:pStyle w:val="92"/>
              <w:keepNext/>
              <w:keepLines/>
              <w:widowControl w:val="0"/>
              <w:suppressLineNumbers w:val="0"/>
              <w:shd w:val="clear" w:color="auto" w:fill="auto"/>
              <w:tabs>
                <w:tab w:val="left" w:pos="9158"/>
              </w:tabs>
              <w:spacing w:before="0" w:beforeAutospacing="0" w:after="0" w:afterAutospacing="0"/>
              <w:ind w:left="0" w:right="0"/>
              <w:rPr>
                <w:rFonts w:hint="eastAsia" w:ascii="宋体" w:hAnsi="宋体" w:eastAsia="宋体" w:cs="宋体"/>
                <w:b/>
                <w:bCs/>
                <w:color w:val="auto"/>
                <w:sz w:val="24"/>
                <w:szCs w:val="24"/>
              </w:rPr>
            </w:pPr>
            <w:r>
              <w:rPr>
                <w:rFonts w:hint="eastAsia" w:ascii="宋体" w:hAnsi="宋体" w:eastAsia="宋体" w:cs="宋体"/>
                <w:color w:val="auto"/>
                <w:sz w:val="24"/>
                <w:szCs w:val="24"/>
                <w:lang w:val="en-US"/>
              </w:rPr>
              <w:t xml:space="preserve"> </w:t>
            </w:r>
            <w:r>
              <w:rPr>
                <w:rFonts w:hint="eastAsia" w:ascii="宋体" w:hAnsi="宋体" w:eastAsia="宋体" w:cs="宋体"/>
                <w:b/>
                <w:bCs/>
                <w:color w:val="auto"/>
                <w:sz w:val="24"/>
                <w:szCs w:val="24"/>
                <w:lang w:val="en-US"/>
              </w:rPr>
              <w:t xml:space="preserve"> 表4-1</w:t>
            </w:r>
            <w:r>
              <w:rPr>
                <w:rFonts w:hint="default" w:ascii="宋体" w:hAnsi="宋体" w:eastAsia="宋体" w:cs="宋体"/>
                <w:b/>
                <w:bCs/>
                <w:color w:val="auto"/>
                <w:sz w:val="24"/>
                <w:szCs w:val="24"/>
                <w:lang w:val="en-US"/>
              </w:rPr>
              <w:t xml:space="preserve">3 </w:t>
            </w:r>
            <w:r>
              <w:rPr>
                <w:rFonts w:hint="eastAsia" w:ascii="宋体" w:hAnsi="宋体" w:eastAsia="宋体" w:cs="宋体"/>
                <w:b/>
                <w:bCs/>
                <w:color w:val="auto"/>
                <w:sz w:val="24"/>
                <w:szCs w:val="24"/>
              </w:rPr>
              <w:t>次氯酸钠溶液的理化性质及危险特性</w:t>
            </w:r>
          </w:p>
          <w:tbl>
            <w:tblPr>
              <w:tblStyle w:val="26"/>
              <w:tblW w:w="0" w:type="auto"/>
              <w:jc w:val="center"/>
              <w:tblLayout w:type="fixed"/>
              <w:tblCellMar>
                <w:top w:w="0" w:type="dxa"/>
                <w:left w:w="10" w:type="dxa"/>
                <w:bottom w:w="0" w:type="dxa"/>
                <w:right w:w="10" w:type="dxa"/>
              </w:tblCellMar>
            </w:tblPr>
            <w:tblGrid>
              <w:gridCol w:w="979"/>
              <w:gridCol w:w="1489"/>
              <w:gridCol w:w="982"/>
              <w:gridCol w:w="893"/>
              <w:gridCol w:w="1653"/>
              <w:gridCol w:w="397"/>
              <w:gridCol w:w="2111"/>
            </w:tblGrid>
            <w:tr>
              <w:trPr>
                <w:trHeight w:val="376" w:hRule="exact"/>
                <w:jc w:val="center"/>
              </w:trPr>
              <w:tc>
                <w:tcPr>
                  <w:tcW w:w="979" w:type="dxa"/>
                  <w:vMerge w:val="restart"/>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标识</w:t>
                  </w:r>
                </w:p>
              </w:tc>
              <w:tc>
                <w:tcPr>
                  <w:tcW w:w="5414" w:type="dxa"/>
                  <w:gridSpan w:val="5"/>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firstLine="210" w:firstLineChars="100"/>
                    <w:jc w:val="both"/>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bidi="ar-SA"/>
                    </w:rPr>
                    <w:t>中文名：次氯酸钠溶液 [含有效氯〉5%]：漂白水</w:t>
                  </w:r>
                </w:p>
              </w:tc>
              <w:tc>
                <w:tcPr>
                  <w:tcW w:w="2111" w:type="dxa"/>
                  <w:tcBorders>
                    <w:top w:val="single" w:color="auto" w:sz="4" w:space="0"/>
                    <w:left w:val="single" w:color="auto" w:sz="4" w:space="0"/>
                    <w:right w:val="single" w:color="auto" w:sz="4" w:space="0"/>
                  </w:tcBorders>
                  <w:shd w:val="clear" w:color="auto" w:fill="FFFFFF"/>
                  <w:noWrap w:val="0"/>
                  <w:vAlign w:val="center"/>
                </w:tcPr>
                <w:p>
                  <w:pPr>
                    <w:pStyle w:val="93"/>
                    <w:keepNext w:val="0"/>
                    <w:keepLines w:val="0"/>
                    <w:widowControl w:val="0"/>
                    <w:suppressLineNumbers w:val="0"/>
                    <w:shd w:val="clear" w:color="auto" w:fill="auto"/>
                    <w:tabs>
                      <w:tab w:val="left" w:pos="2661"/>
                    </w:tabs>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危险货物编号：83501</w:t>
                  </w:r>
                </w:p>
              </w:tc>
            </w:tr>
            <w:tr>
              <w:tblPrEx>
                <w:tblCellMar>
                  <w:top w:w="0" w:type="dxa"/>
                  <w:left w:w="10" w:type="dxa"/>
                  <w:bottom w:w="0" w:type="dxa"/>
                  <w:right w:w="10" w:type="dxa"/>
                </w:tblCellMar>
              </w:tblPrEx>
              <w:trPr>
                <w:trHeight w:val="636" w:hRule="exact"/>
                <w:jc w:val="center"/>
              </w:trPr>
              <w:tc>
                <w:tcPr>
                  <w:tcW w:w="979" w:type="dxa"/>
                  <w:vMerge w:val="continue"/>
                  <w:tcBorders>
                    <w:left w:val="single" w:color="auto" w:sz="4" w:space="0"/>
                  </w:tcBorders>
                  <w:shd w:val="clear" w:color="auto" w:fill="FFFFFF"/>
                  <w:noWrap w:val="0"/>
                  <w:vAlign w:val="center"/>
                </w:tcPr>
                <w:p>
                  <w:pPr>
                    <w:pStyle w:val="76"/>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eastAsia="en-US" w:bidi="en-US"/>
                    </w:rPr>
                  </w:pPr>
                </w:p>
              </w:tc>
              <w:tc>
                <w:tcPr>
                  <w:tcW w:w="5414" w:type="dxa"/>
                  <w:gridSpan w:val="5"/>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rPr>
                    <w:t>英文名</w:t>
                  </w:r>
                  <w:r>
                    <w:rPr>
                      <w:rFonts w:hint="eastAsia" w:ascii="宋体" w:hAnsi="宋体" w:eastAsia="宋体" w:cs="宋体"/>
                      <w:color w:val="auto"/>
                      <w:sz w:val="21"/>
                      <w:szCs w:val="21"/>
                      <w:lang w:val="en-US"/>
                    </w:rPr>
                    <w:t>：</w:t>
                  </w:r>
                  <w:r>
                    <w:rPr>
                      <w:rFonts w:hint="eastAsia" w:ascii="宋体" w:hAnsi="宋体" w:eastAsia="宋体" w:cs="宋体"/>
                      <w:color w:val="auto"/>
                      <w:sz w:val="21"/>
                      <w:szCs w:val="21"/>
                      <w:lang w:val="en-US" w:eastAsia="en-US" w:bidi="en-US"/>
                    </w:rPr>
                    <w:t xml:space="preserve">Sodium hypochloritesolutio ncontainingmore than </w:t>
                  </w:r>
                  <w:r>
                    <w:rPr>
                      <w:rFonts w:hint="eastAsia" w:ascii="宋体" w:hAnsi="宋体" w:eastAsia="宋体" w:cs="宋体"/>
                      <w:color w:val="auto"/>
                      <w:sz w:val="21"/>
                      <w:szCs w:val="21"/>
                      <w:lang w:val="en-US"/>
                    </w:rPr>
                    <w:t xml:space="preserve">5% </w:t>
                  </w:r>
                  <w:r>
                    <w:rPr>
                      <w:rFonts w:hint="eastAsia" w:ascii="宋体" w:hAnsi="宋体" w:eastAsia="宋体" w:cs="宋体"/>
                      <w:color w:val="auto"/>
                      <w:sz w:val="21"/>
                      <w:szCs w:val="21"/>
                      <w:lang w:val="en-US" w:eastAsia="en-US" w:bidi="en-US"/>
                    </w:rPr>
                    <w:t>available chlorine</w:t>
                  </w:r>
                  <w:r>
                    <w:rPr>
                      <w:rFonts w:hint="eastAsia" w:ascii="宋体" w:hAnsi="宋体" w:eastAsia="宋体" w:cs="宋体"/>
                      <w:color w:val="auto"/>
                      <w:sz w:val="21"/>
                      <w:szCs w:val="21"/>
                      <w:lang w:val="en-US" w:bidi="en-US"/>
                    </w:rPr>
                    <w:t>:</w:t>
                  </w:r>
                  <w:r>
                    <w:rPr>
                      <w:rFonts w:hint="eastAsia" w:ascii="宋体" w:hAnsi="宋体" w:eastAsia="宋体" w:cs="宋体"/>
                      <w:color w:val="auto"/>
                      <w:sz w:val="21"/>
                      <w:szCs w:val="21"/>
                      <w:lang w:val="en-US" w:eastAsia="en-US" w:bidi="en-US"/>
                    </w:rPr>
                    <w:t xml:space="preserve"> Javele</w:t>
                  </w:r>
                </w:p>
              </w:tc>
              <w:tc>
                <w:tcPr>
                  <w:tcW w:w="2111" w:type="dxa"/>
                  <w:tcBorders>
                    <w:top w:val="single" w:color="auto" w:sz="4" w:space="0"/>
                    <w:left w:val="single" w:color="auto" w:sz="4" w:space="0"/>
                    <w:righ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en-US" w:bidi="en-US"/>
                    </w:rPr>
                    <w:t>UN</w:t>
                  </w:r>
                  <w:r>
                    <w:rPr>
                      <w:rFonts w:hint="eastAsia" w:ascii="宋体" w:hAnsi="宋体" w:eastAsia="宋体" w:cs="宋体"/>
                      <w:color w:val="auto"/>
                      <w:sz w:val="21"/>
                      <w:szCs w:val="21"/>
                    </w:rPr>
                    <w:t>编号：1791</w:t>
                  </w:r>
                </w:p>
              </w:tc>
            </w:tr>
            <w:tr>
              <w:tblPrEx>
                <w:tblCellMar>
                  <w:top w:w="0" w:type="dxa"/>
                  <w:left w:w="10" w:type="dxa"/>
                  <w:bottom w:w="0" w:type="dxa"/>
                  <w:right w:w="10" w:type="dxa"/>
                </w:tblCellMar>
              </w:tblPrEx>
              <w:trPr>
                <w:trHeight w:val="342" w:hRule="exact"/>
                <w:jc w:val="center"/>
              </w:trPr>
              <w:tc>
                <w:tcPr>
                  <w:tcW w:w="979" w:type="dxa"/>
                  <w:vMerge w:val="continue"/>
                  <w:tcBorders>
                    <w:left w:val="single" w:color="auto" w:sz="4" w:space="0"/>
                  </w:tcBorders>
                  <w:shd w:val="clear" w:color="auto" w:fill="FFFFFF"/>
                  <w:noWrap w:val="0"/>
                  <w:vAlign w:val="center"/>
                </w:tcPr>
                <w:p>
                  <w:pPr>
                    <w:pStyle w:val="76"/>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eastAsia="en-US" w:bidi="en-US"/>
                    </w:rPr>
                  </w:pPr>
                </w:p>
              </w:tc>
              <w:tc>
                <w:tcPr>
                  <w:tcW w:w="5414" w:type="dxa"/>
                  <w:gridSpan w:val="5"/>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tabs>
                      <w:tab w:val="left" w:pos="2661"/>
                    </w:tabs>
                    <w:spacing w:before="0" w:beforeAutospacing="0" w:after="0" w:afterAutospacing="0"/>
                    <w:ind w:left="0" w:right="0"/>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rPr>
                    <w:t>分子式</w:t>
                  </w:r>
                  <w:r>
                    <w:rPr>
                      <w:rFonts w:hint="eastAsia" w:ascii="宋体" w:hAnsi="宋体" w:eastAsia="宋体" w:cs="宋体"/>
                      <w:color w:val="auto"/>
                      <w:sz w:val="21"/>
                      <w:szCs w:val="21"/>
                      <w:lang w:val="en-US"/>
                    </w:rPr>
                    <w:t>：</w:t>
                  </w:r>
                  <w:r>
                    <w:rPr>
                      <w:rFonts w:hint="eastAsia" w:ascii="宋体" w:hAnsi="宋体" w:eastAsia="宋体" w:cs="宋体"/>
                      <w:color w:val="auto"/>
                      <w:sz w:val="21"/>
                      <w:szCs w:val="21"/>
                      <w:lang w:val="en-US" w:eastAsia="en-US" w:bidi="en-US"/>
                    </w:rPr>
                    <w:t>NaC</w:t>
                  </w:r>
                  <w:r>
                    <w:rPr>
                      <w:rFonts w:hint="eastAsia" w:ascii="宋体" w:hAnsi="宋体" w:eastAsia="宋体" w:cs="宋体"/>
                      <w:color w:val="auto"/>
                      <w:sz w:val="21"/>
                      <w:szCs w:val="21"/>
                      <w:lang w:val="en-US" w:bidi="en-US"/>
                    </w:rPr>
                    <w:t>l</w:t>
                  </w:r>
                  <w:r>
                    <w:rPr>
                      <w:rFonts w:hint="eastAsia" w:ascii="宋体" w:hAnsi="宋体" w:eastAsia="宋体" w:cs="宋体"/>
                      <w:color w:val="auto"/>
                      <w:sz w:val="21"/>
                      <w:szCs w:val="21"/>
                      <w:lang w:val="en-US" w:eastAsia="en-US" w:bidi="en-US"/>
                    </w:rPr>
                    <w:t>O</w:t>
                  </w:r>
                  <w:r>
                    <w:rPr>
                      <w:rFonts w:hint="eastAsia" w:ascii="宋体" w:hAnsi="宋体" w:eastAsia="宋体" w:cs="宋体"/>
                      <w:color w:val="auto"/>
                      <w:sz w:val="21"/>
                      <w:szCs w:val="21"/>
                      <w:lang w:val="en-US" w:bidi="en-US"/>
                    </w:rPr>
                    <w:t xml:space="preserve">  </w:t>
                  </w:r>
                  <w:r>
                    <w:rPr>
                      <w:rFonts w:hint="eastAsia" w:ascii="宋体" w:hAnsi="宋体" w:eastAsia="宋体" w:cs="宋体"/>
                      <w:color w:val="auto"/>
                      <w:sz w:val="21"/>
                      <w:szCs w:val="21"/>
                    </w:rPr>
                    <w:t>分子量</w:t>
                  </w:r>
                  <w:r>
                    <w:rPr>
                      <w:rFonts w:hint="eastAsia" w:ascii="宋体" w:hAnsi="宋体" w:eastAsia="宋体" w:cs="宋体"/>
                      <w:color w:val="auto"/>
                      <w:sz w:val="21"/>
                      <w:szCs w:val="21"/>
                      <w:lang w:val="en-US"/>
                    </w:rPr>
                    <w:t>：</w:t>
                  </w:r>
                  <w:r>
                    <w:rPr>
                      <w:rFonts w:hint="eastAsia" w:ascii="宋体" w:hAnsi="宋体" w:eastAsia="宋体" w:cs="宋体"/>
                      <w:color w:val="auto"/>
                      <w:sz w:val="21"/>
                      <w:szCs w:val="21"/>
                      <w:lang w:val="en-US" w:eastAsia="en-US" w:bidi="en-US"/>
                    </w:rPr>
                    <w:t>74.44</w:t>
                  </w:r>
                </w:p>
              </w:tc>
              <w:tc>
                <w:tcPr>
                  <w:tcW w:w="2111" w:type="dxa"/>
                  <w:tcBorders>
                    <w:top w:val="single" w:color="auto" w:sz="4" w:space="0"/>
                    <w:left w:val="single" w:color="auto" w:sz="4" w:space="0"/>
                    <w:righ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en-US" w:bidi="en-US"/>
                    </w:rPr>
                    <w:t>CAS</w:t>
                  </w:r>
                  <w:r>
                    <w:rPr>
                      <w:rFonts w:hint="eastAsia" w:ascii="宋体" w:hAnsi="宋体" w:eastAsia="宋体" w:cs="宋体"/>
                      <w:color w:val="auto"/>
                      <w:sz w:val="21"/>
                      <w:szCs w:val="21"/>
                    </w:rPr>
                    <w:t>号：</w:t>
                  </w:r>
                  <w:r>
                    <w:rPr>
                      <w:rFonts w:hint="eastAsia" w:ascii="宋体" w:hAnsi="宋体" w:eastAsia="宋体" w:cs="宋体"/>
                      <w:color w:val="auto"/>
                      <w:sz w:val="21"/>
                      <w:szCs w:val="21"/>
                      <w:lang w:val="en-US" w:eastAsia="en-US" w:bidi="en-US"/>
                    </w:rPr>
                    <w:t>7681-52-9</w:t>
                  </w:r>
                </w:p>
              </w:tc>
            </w:tr>
            <w:tr>
              <w:tblPrEx>
                <w:tblCellMar>
                  <w:top w:w="0" w:type="dxa"/>
                  <w:left w:w="10" w:type="dxa"/>
                  <w:bottom w:w="0" w:type="dxa"/>
                  <w:right w:w="10" w:type="dxa"/>
                </w:tblCellMar>
              </w:tblPrEx>
              <w:trPr>
                <w:trHeight w:val="386" w:hRule="exact"/>
                <w:jc w:val="center"/>
              </w:trPr>
              <w:tc>
                <w:tcPr>
                  <w:tcW w:w="979" w:type="dxa"/>
                  <w:vMerge w:val="restart"/>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理化性质</w:t>
                  </w:r>
                </w:p>
              </w:tc>
              <w:tc>
                <w:tcPr>
                  <w:tcW w:w="1489" w:type="dxa"/>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外观与性状</w:t>
                  </w:r>
                </w:p>
              </w:tc>
              <w:tc>
                <w:tcPr>
                  <w:tcW w:w="6036" w:type="dxa"/>
                  <w:gridSpan w:val="5"/>
                  <w:tcBorders>
                    <w:top w:val="single" w:color="auto" w:sz="4" w:space="0"/>
                    <w:left w:val="single" w:color="auto" w:sz="4" w:space="0"/>
                    <w:righ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微黄色溶液，有似氯气的气味。</w:t>
                  </w:r>
                </w:p>
              </w:tc>
            </w:tr>
            <w:tr>
              <w:trPr>
                <w:trHeight w:val="346" w:hRule="exact"/>
                <w:jc w:val="center"/>
              </w:trPr>
              <w:tc>
                <w:tcPr>
                  <w:tcW w:w="979" w:type="dxa"/>
                  <w:vMerge w:val="continue"/>
                  <w:tcBorders>
                    <w:left w:val="single" w:color="auto" w:sz="4" w:space="0"/>
                  </w:tcBorders>
                  <w:shd w:val="clear" w:color="auto" w:fill="FFFFFF"/>
                  <w:noWrap w:val="0"/>
                  <w:vAlign w:val="center"/>
                </w:tcPr>
                <w:p>
                  <w:pPr>
                    <w:pStyle w:val="76"/>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bidi="en-US"/>
                    </w:rPr>
                  </w:pPr>
                </w:p>
              </w:tc>
              <w:tc>
                <w:tcPr>
                  <w:tcW w:w="1489" w:type="dxa"/>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熔点（</w:t>
                  </w:r>
                  <w:r>
                    <w:rPr>
                      <w:rFonts w:hint="eastAsia" w:ascii="宋体" w:hAnsi="宋体" w:eastAsia="宋体" w:cs="宋体"/>
                      <w:color w:val="auto"/>
                      <w:sz w:val="21"/>
                      <w:szCs w:val="21"/>
                      <w:lang w:val="en-US" w:eastAsia="en-US" w:bidi="en-US"/>
                    </w:rPr>
                    <w:t xml:space="preserve">C </w:t>
                  </w:r>
                  <w:r>
                    <w:rPr>
                      <w:rFonts w:hint="eastAsia" w:ascii="宋体" w:hAnsi="宋体" w:eastAsia="宋体" w:cs="宋体"/>
                      <w:color w:val="auto"/>
                      <w:sz w:val="21"/>
                      <w:szCs w:val="21"/>
                    </w:rPr>
                    <w:t>）</w:t>
                  </w:r>
                </w:p>
              </w:tc>
              <w:tc>
                <w:tcPr>
                  <w:tcW w:w="1875" w:type="dxa"/>
                  <w:gridSpan w:val="2"/>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en-US" w:bidi="en-US"/>
                    </w:rPr>
                    <w:t>-6</w:t>
                  </w:r>
                </w:p>
              </w:tc>
              <w:tc>
                <w:tcPr>
                  <w:tcW w:w="2050" w:type="dxa"/>
                  <w:gridSpan w:val="2"/>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tabs>
                      <w:tab w:val="left" w:pos="3810"/>
                    </w:tabs>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相对密度（水=1）</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en-US" w:bidi="en-US"/>
                    </w:rPr>
                    <w:t>1.10</w:t>
                  </w:r>
                </w:p>
              </w:tc>
              <w:tc>
                <w:tcPr>
                  <w:tcW w:w="2111" w:type="dxa"/>
                  <w:tcBorders>
                    <w:top w:val="single" w:color="auto" w:sz="4" w:space="0"/>
                    <w:left w:val="single" w:color="auto" w:sz="4" w:space="0"/>
                    <w:right w:val="single" w:color="auto" w:sz="4" w:space="0"/>
                  </w:tcBorders>
                  <w:shd w:val="clear" w:color="auto" w:fill="FFFFFF"/>
                  <w:noWrap w:val="0"/>
                  <w:vAlign w:val="center"/>
                </w:tcPr>
                <w:p>
                  <w:pPr>
                    <w:pStyle w:val="93"/>
                    <w:keepNext w:val="0"/>
                    <w:keepLines w:val="0"/>
                    <w:widowControl w:val="0"/>
                    <w:suppressLineNumbers w:val="0"/>
                    <w:shd w:val="clear" w:color="auto" w:fill="auto"/>
                    <w:tabs>
                      <w:tab w:val="left" w:pos="3938"/>
                    </w:tabs>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相对密度（空气=1）/</w:t>
                  </w:r>
                </w:p>
              </w:tc>
            </w:tr>
            <w:tr>
              <w:trPr>
                <w:trHeight w:val="321" w:hRule="exact"/>
                <w:jc w:val="center"/>
              </w:trPr>
              <w:tc>
                <w:tcPr>
                  <w:tcW w:w="979" w:type="dxa"/>
                  <w:vMerge w:val="continue"/>
                  <w:tcBorders>
                    <w:left w:val="single" w:color="auto" w:sz="4" w:space="0"/>
                  </w:tcBorders>
                  <w:shd w:val="clear" w:color="auto" w:fill="FFFFFF"/>
                  <w:noWrap w:val="0"/>
                  <w:vAlign w:val="center"/>
                </w:tcPr>
                <w:p>
                  <w:pPr>
                    <w:pStyle w:val="76"/>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eastAsia="en-US" w:bidi="en-US"/>
                    </w:rPr>
                  </w:pPr>
                </w:p>
              </w:tc>
              <w:tc>
                <w:tcPr>
                  <w:tcW w:w="1489" w:type="dxa"/>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沸点（</w:t>
                  </w:r>
                  <w:r>
                    <w:rPr>
                      <w:rFonts w:hint="eastAsia" w:ascii="宋体" w:hAnsi="宋体" w:eastAsia="宋体" w:cs="宋体"/>
                      <w:color w:val="auto"/>
                      <w:sz w:val="21"/>
                      <w:szCs w:val="21"/>
                      <w:lang w:val="en-US" w:eastAsia="en-US" w:bidi="en-US"/>
                    </w:rPr>
                    <w:t xml:space="preserve">C </w:t>
                  </w:r>
                  <w:r>
                    <w:rPr>
                      <w:rFonts w:hint="eastAsia" w:ascii="宋体" w:hAnsi="宋体" w:eastAsia="宋体" w:cs="宋体"/>
                      <w:color w:val="auto"/>
                      <w:sz w:val="21"/>
                      <w:szCs w:val="21"/>
                    </w:rPr>
                    <w:t>）</w:t>
                  </w:r>
                </w:p>
              </w:tc>
              <w:tc>
                <w:tcPr>
                  <w:tcW w:w="1875" w:type="dxa"/>
                  <w:gridSpan w:val="2"/>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en-US" w:bidi="en-US"/>
                    </w:rPr>
                    <w:t>102.2</w:t>
                  </w:r>
                </w:p>
              </w:tc>
              <w:tc>
                <w:tcPr>
                  <w:tcW w:w="2050" w:type="dxa"/>
                  <w:gridSpan w:val="2"/>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饱和蒸气压（</w:t>
                  </w:r>
                  <w:r>
                    <w:rPr>
                      <w:rFonts w:hint="eastAsia" w:ascii="宋体" w:hAnsi="宋体" w:eastAsia="宋体" w:cs="宋体"/>
                      <w:color w:val="auto"/>
                      <w:sz w:val="21"/>
                      <w:szCs w:val="21"/>
                      <w:lang w:val="en-US" w:bidi="en-US"/>
                    </w:rPr>
                    <w:t>kPa</w:t>
                  </w:r>
                  <w:r>
                    <w:rPr>
                      <w:rFonts w:hint="eastAsia" w:ascii="宋体" w:hAnsi="宋体" w:eastAsia="宋体" w:cs="宋体"/>
                      <w:color w:val="auto"/>
                      <w:sz w:val="21"/>
                      <w:szCs w:val="21"/>
                    </w:rPr>
                    <w:t>）</w:t>
                  </w:r>
                </w:p>
              </w:tc>
              <w:tc>
                <w:tcPr>
                  <w:tcW w:w="2111" w:type="dxa"/>
                  <w:tcBorders>
                    <w:top w:val="single" w:color="auto" w:sz="4" w:space="0"/>
                    <w:left w:val="single" w:color="auto" w:sz="4" w:space="0"/>
                    <w:righ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tblPrEx>
                <w:tblCellMar>
                  <w:top w:w="0" w:type="dxa"/>
                  <w:left w:w="10" w:type="dxa"/>
                  <w:bottom w:w="0" w:type="dxa"/>
                  <w:right w:w="10" w:type="dxa"/>
                </w:tblCellMar>
              </w:tblPrEx>
              <w:trPr>
                <w:trHeight w:val="316" w:hRule="exact"/>
                <w:jc w:val="center"/>
              </w:trPr>
              <w:tc>
                <w:tcPr>
                  <w:tcW w:w="979" w:type="dxa"/>
                  <w:vMerge w:val="continue"/>
                  <w:tcBorders>
                    <w:left w:val="single" w:color="auto" w:sz="4" w:space="0"/>
                  </w:tcBorders>
                  <w:shd w:val="clear" w:color="auto" w:fill="FFFFFF"/>
                  <w:noWrap w:val="0"/>
                  <w:vAlign w:val="center"/>
                </w:tcPr>
                <w:p>
                  <w:pPr>
                    <w:pStyle w:val="76"/>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eastAsia="en-US" w:bidi="en-US"/>
                    </w:rPr>
                  </w:pPr>
                </w:p>
              </w:tc>
              <w:tc>
                <w:tcPr>
                  <w:tcW w:w="1489" w:type="dxa"/>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溶解性</w:t>
                  </w:r>
                </w:p>
              </w:tc>
              <w:tc>
                <w:tcPr>
                  <w:tcW w:w="6036" w:type="dxa"/>
                  <w:gridSpan w:val="5"/>
                  <w:tcBorders>
                    <w:top w:val="single" w:color="auto" w:sz="4" w:space="0"/>
                    <w:left w:val="single" w:color="auto" w:sz="4" w:space="0"/>
                    <w:righ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溶于水。</w:t>
                  </w:r>
                </w:p>
              </w:tc>
            </w:tr>
            <w:tr>
              <w:trPr>
                <w:trHeight w:val="303" w:hRule="exact"/>
                <w:jc w:val="center"/>
              </w:trPr>
              <w:tc>
                <w:tcPr>
                  <w:tcW w:w="979" w:type="dxa"/>
                  <w:vMerge w:val="restart"/>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毒性及健康危害</w:t>
                  </w:r>
                </w:p>
              </w:tc>
              <w:tc>
                <w:tcPr>
                  <w:tcW w:w="1489" w:type="dxa"/>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侵入途径</w:t>
                  </w:r>
                </w:p>
              </w:tc>
              <w:tc>
                <w:tcPr>
                  <w:tcW w:w="6036" w:type="dxa"/>
                  <w:gridSpan w:val="5"/>
                  <w:tcBorders>
                    <w:top w:val="single" w:color="auto" w:sz="4" w:space="0"/>
                    <w:left w:val="single" w:color="auto" w:sz="4" w:space="0"/>
                    <w:righ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吸入、食入、经皮吸收。</w:t>
                  </w:r>
                </w:p>
              </w:tc>
            </w:tr>
            <w:tr>
              <w:trPr>
                <w:trHeight w:val="326" w:hRule="exact"/>
                <w:jc w:val="center"/>
              </w:trPr>
              <w:tc>
                <w:tcPr>
                  <w:tcW w:w="979" w:type="dxa"/>
                  <w:vMerge w:val="continue"/>
                  <w:tcBorders>
                    <w:left w:val="single" w:color="auto" w:sz="4" w:space="0"/>
                  </w:tcBorders>
                  <w:shd w:val="clear" w:color="auto" w:fill="FFFFFF"/>
                  <w:noWrap w:val="0"/>
                  <w:vAlign w:val="center"/>
                </w:tcPr>
                <w:p>
                  <w:pPr>
                    <w:pStyle w:val="76"/>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bidi="en-US"/>
                    </w:rPr>
                  </w:pPr>
                </w:p>
              </w:tc>
              <w:tc>
                <w:tcPr>
                  <w:tcW w:w="1489" w:type="dxa"/>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毒性</w:t>
                  </w:r>
                </w:p>
              </w:tc>
              <w:tc>
                <w:tcPr>
                  <w:tcW w:w="6036" w:type="dxa"/>
                  <w:gridSpan w:val="5"/>
                  <w:tcBorders>
                    <w:top w:val="single" w:color="auto" w:sz="4" w:space="0"/>
                    <w:left w:val="single" w:color="auto" w:sz="4" w:space="0"/>
                    <w:righ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en-US" w:bidi="en-US"/>
                    </w:rPr>
                    <w:t xml:space="preserve">LD </w:t>
                  </w:r>
                  <w:r>
                    <w:rPr>
                      <w:rFonts w:hint="eastAsia" w:ascii="宋体" w:hAnsi="宋体" w:eastAsia="宋体" w:cs="宋体"/>
                      <w:color w:val="auto"/>
                      <w:sz w:val="21"/>
                      <w:szCs w:val="21"/>
                    </w:rPr>
                    <w:t xml:space="preserve">50: </w:t>
                  </w:r>
                  <w:r>
                    <w:rPr>
                      <w:rFonts w:hint="eastAsia" w:ascii="宋体" w:hAnsi="宋体" w:eastAsia="宋体" w:cs="宋体"/>
                      <w:color w:val="auto"/>
                      <w:sz w:val="21"/>
                      <w:szCs w:val="21"/>
                      <w:lang w:val="en-US" w:eastAsia="en-US" w:bidi="en-US"/>
                    </w:rPr>
                    <w:t>5800mg/kg（</w:t>
                  </w:r>
                  <w:r>
                    <w:rPr>
                      <w:rFonts w:hint="eastAsia" w:ascii="宋体" w:hAnsi="宋体" w:eastAsia="宋体" w:cs="宋体"/>
                      <w:color w:val="auto"/>
                      <w:sz w:val="21"/>
                      <w:szCs w:val="21"/>
                    </w:rPr>
                    <w:t>小鼠经口</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en-US" w:bidi="en-US"/>
                    </w:rPr>
                    <w:t xml:space="preserve">LC </w:t>
                  </w:r>
                  <w:r>
                    <w:rPr>
                      <w:rFonts w:hint="eastAsia" w:ascii="宋体" w:hAnsi="宋体" w:eastAsia="宋体" w:cs="宋体"/>
                      <w:color w:val="auto"/>
                      <w:sz w:val="21"/>
                      <w:szCs w:val="21"/>
                    </w:rPr>
                    <w:t>50:</w:t>
                  </w:r>
                </w:p>
              </w:tc>
            </w:tr>
            <w:tr>
              <w:trPr>
                <w:trHeight w:val="799" w:hRule="exact"/>
                <w:jc w:val="center"/>
              </w:trPr>
              <w:tc>
                <w:tcPr>
                  <w:tcW w:w="979" w:type="dxa"/>
                  <w:vMerge w:val="continue"/>
                  <w:tcBorders>
                    <w:left w:val="single" w:color="auto" w:sz="4" w:space="0"/>
                  </w:tcBorders>
                  <w:shd w:val="clear" w:color="auto" w:fill="FFFFFF"/>
                  <w:noWrap w:val="0"/>
                  <w:vAlign w:val="center"/>
                </w:tcPr>
                <w:p>
                  <w:pPr>
                    <w:pStyle w:val="76"/>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eastAsia="en-US" w:bidi="en-US"/>
                    </w:rPr>
                  </w:pPr>
                </w:p>
              </w:tc>
              <w:tc>
                <w:tcPr>
                  <w:tcW w:w="1489" w:type="dxa"/>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健康危害</w:t>
                  </w:r>
                </w:p>
              </w:tc>
              <w:tc>
                <w:tcPr>
                  <w:tcW w:w="6036" w:type="dxa"/>
                  <w:gridSpan w:val="5"/>
                  <w:tcBorders>
                    <w:top w:val="single" w:color="auto" w:sz="4" w:space="0"/>
                    <w:left w:val="single" w:color="auto" w:sz="4" w:space="0"/>
                    <w:righ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次氯酸钠放出的游离氯可引起中毒，亦可引起皮肤病。已知本品有 致敏作用。用次氯酸钠漂白液洗手的工人，手掌大量出汗，指甲薄，毛发脱落。</w:t>
                  </w:r>
                </w:p>
              </w:tc>
            </w:tr>
            <w:tr>
              <w:trPr>
                <w:trHeight w:val="1148" w:hRule="exact"/>
                <w:jc w:val="center"/>
              </w:trPr>
              <w:tc>
                <w:tcPr>
                  <w:tcW w:w="979" w:type="dxa"/>
                  <w:vMerge w:val="continue"/>
                  <w:tcBorders>
                    <w:left w:val="single" w:color="auto" w:sz="4" w:space="0"/>
                  </w:tcBorders>
                  <w:shd w:val="clear" w:color="auto" w:fill="FFFFFF"/>
                  <w:noWrap w:val="0"/>
                  <w:vAlign w:val="center"/>
                </w:tcPr>
                <w:p>
                  <w:pPr>
                    <w:pStyle w:val="76"/>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bidi="en-US"/>
                    </w:rPr>
                  </w:pPr>
                </w:p>
              </w:tc>
              <w:tc>
                <w:tcPr>
                  <w:tcW w:w="1489" w:type="dxa"/>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急救方法</w:t>
                  </w:r>
                </w:p>
              </w:tc>
              <w:tc>
                <w:tcPr>
                  <w:tcW w:w="6036" w:type="dxa"/>
                  <w:gridSpan w:val="5"/>
                  <w:tcBorders>
                    <w:top w:val="single" w:color="auto" w:sz="4" w:space="0"/>
                    <w:left w:val="single" w:color="auto" w:sz="4" w:space="0"/>
                    <w:righ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皮肤接触：脱去被污染的衣着，用大量流动清水冲洗。眼睛接触：提起眼睑，用流动清水或生理盐水冲洗。就医。吸入：迅速脱离现场至空气新鲜处。保持呼吸道通畅。如呼吸困难，给输氧。如呼吸停止，立即进行人工呼吸。就医。食入：饮足量温水，催吐。就医。</w:t>
                  </w:r>
                </w:p>
              </w:tc>
            </w:tr>
            <w:tr>
              <w:trPr>
                <w:trHeight w:val="316" w:hRule="exact"/>
                <w:jc w:val="center"/>
              </w:trPr>
              <w:tc>
                <w:tcPr>
                  <w:tcW w:w="979" w:type="dxa"/>
                  <w:vMerge w:val="restart"/>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燃烧爆炸危险性</w:t>
                  </w:r>
                </w:p>
              </w:tc>
              <w:tc>
                <w:tcPr>
                  <w:tcW w:w="1489" w:type="dxa"/>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燃烧性</w:t>
                  </w:r>
                </w:p>
              </w:tc>
              <w:tc>
                <w:tcPr>
                  <w:tcW w:w="982" w:type="dxa"/>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不燃</w:t>
                  </w:r>
                </w:p>
              </w:tc>
              <w:tc>
                <w:tcPr>
                  <w:tcW w:w="2546" w:type="dxa"/>
                  <w:gridSpan w:val="2"/>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燃烧分解物</w:t>
                  </w:r>
                </w:p>
              </w:tc>
              <w:tc>
                <w:tcPr>
                  <w:tcW w:w="2508" w:type="dxa"/>
                  <w:gridSpan w:val="2"/>
                  <w:tcBorders>
                    <w:top w:val="single" w:color="auto" w:sz="4" w:space="0"/>
                    <w:left w:val="single" w:color="auto" w:sz="4" w:space="0"/>
                    <w:righ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氯化物。</w:t>
                  </w:r>
                </w:p>
              </w:tc>
            </w:tr>
            <w:tr>
              <w:trPr>
                <w:trHeight w:val="402" w:hRule="exact"/>
                <w:jc w:val="center"/>
              </w:trPr>
              <w:tc>
                <w:tcPr>
                  <w:tcW w:w="979" w:type="dxa"/>
                  <w:vMerge w:val="continue"/>
                  <w:tcBorders>
                    <w:left w:val="single" w:color="auto" w:sz="4" w:space="0"/>
                  </w:tcBorders>
                  <w:shd w:val="clear" w:color="auto" w:fill="FFFFFF"/>
                  <w:noWrap w:val="0"/>
                  <w:vAlign w:val="center"/>
                </w:tcPr>
                <w:p>
                  <w:pPr>
                    <w:pStyle w:val="76"/>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eastAsia="en-US" w:bidi="en-US"/>
                    </w:rPr>
                  </w:pPr>
                </w:p>
              </w:tc>
              <w:tc>
                <w:tcPr>
                  <w:tcW w:w="1489" w:type="dxa"/>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闪点</w:t>
                  </w:r>
                </w:p>
              </w:tc>
              <w:tc>
                <w:tcPr>
                  <w:tcW w:w="982" w:type="dxa"/>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2546" w:type="dxa"/>
                  <w:gridSpan w:val="2"/>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爆炸上限（V%）</w:t>
                  </w:r>
                </w:p>
              </w:tc>
              <w:tc>
                <w:tcPr>
                  <w:tcW w:w="2508" w:type="dxa"/>
                  <w:gridSpan w:val="2"/>
                  <w:tcBorders>
                    <w:top w:val="single" w:color="auto" w:sz="4" w:space="0"/>
                    <w:left w:val="single" w:color="auto" w:sz="4" w:space="0"/>
                    <w:righ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trPr>
                <w:trHeight w:val="419" w:hRule="exact"/>
                <w:jc w:val="center"/>
              </w:trPr>
              <w:tc>
                <w:tcPr>
                  <w:tcW w:w="979" w:type="dxa"/>
                  <w:vMerge w:val="continue"/>
                  <w:tcBorders>
                    <w:left w:val="single" w:color="auto" w:sz="4" w:space="0"/>
                  </w:tcBorders>
                  <w:shd w:val="clear" w:color="auto" w:fill="FFFFFF"/>
                  <w:noWrap w:val="0"/>
                  <w:vAlign w:val="center"/>
                </w:tcPr>
                <w:p>
                  <w:pPr>
                    <w:pStyle w:val="76"/>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eastAsia="en-US" w:bidi="en-US"/>
                    </w:rPr>
                  </w:pPr>
                </w:p>
              </w:tc>
              <w:tc>
                <w:tcPr>
                  <w:tcW w:w="1489" w:type="dxa"/>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引燃温度</w:t>
                  </w:r>
                </w:p>
              </w:tc>
              <w:tc>
                <w:tcPr>
                  <w:tcW w:w="982" w:type="dxa"/>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2546" w:type="dxa"/>
                  <w:gridSpan w:val="2"/>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爆炸下限（V%）</w:t>
                  </w:r>
                </w:p>
              </w:tc>
              <w:tc>
                <w:tcPr>
                  <w:tcW w:w="2508" w:type="dxa"/>
                  <w:gridSpan w:val="2"/>
                  <w:tcBorders>
                    <w:top w:val="single" w:color="auto" w:sz="4" w:space="0"/>
                    <w:left w:val="single" w:color="auto" w:sz="4" w:space="0"/>
                    <w:righ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trPr>
                <w:trHeight w:val="544" w:hRule="exact"/>
                <w:jc w:val="center"/>
              </w:trPr>
              <w:tc>
                <w:tcPr>
                  <w:tcW w:w="979" w:type="dxa"/>
                  <w:vMerge w:val="continue"/>
                  <w:tcBorders>
                    <w:left w:val="single" w:color="auto" w:sz="4" w:space="0"/>
                  </w:tcBorders>
                  <w:shd w:val="clear" w:color="auto" w:fill="FFFFFF"/>
                  <w:noWrap w:val="0"/>
                  <w:vAlign w:val="center"/>
                </w:tcPr>
                <w:p>
                  <w:pPr>
                    <w:pStyle w:val="76"/>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eastAsia="en-US" w:bidi="en-US"/>
                    </w:rPr>
                  </w:pPr>
                </w:p>
              </w:tc>
              <w:tc>
                <w:tcPr>
                  <w:tcW w:w="1489" w:type="dxa"/>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危险特性</w:t>
                  </w:r>
                </w:p>
              </w:tc>
              <w:tc>
                <w:tcPr>
                  <w:tcW w:w="6036" w:type="dxa"/>
                  <w:gridSpan w:val="5"/>
                  <w:tcBorders>
                    <w:top w:val="single" w:color="auto" w:sz="4" w:space="0"/>
                    <w:left w:val="single" w:color="auto" w:sz="4" w:space="0"/>
                    <w:right w:val="single" w:color="auto" w:sz="4" w:space="0"/>
                  </w:tcBorders>
                  <w:shd w:val="clear" w:color="auto" w:fill="FFFFFF"/>
                  <w:noWrap w:val="0"/>
                  <w:vAlign w:val="center"/>
                </w:tcPr>
                <w:p>
                  <w:pPr>
                    <w:pStyle w:val="93"/>
                    <w:keepNext w:val="0"/>
                    <w:keepLines w:val="0"/>
                    <w:widowControl w:val="0"/>
                    <w:suppressLineNumbers w:val="0"/>
                    <w:shd w:val="clear" w:color="auto" w:fill="auto"/>
                    <w:tabs>
                      <w:tab w:val="left" w:pos="6135"/>
                    </w:tabs>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与有机物、日光接触发出有毒的氯气。对大多数金属有轻微的腐蚀。与酸接触时散出具有强刺激性和腐蚀性气体。</w:t>
                  </w:r>
                </w:p>
              </w:tc>
            </w:tr>
            <w:tr>
              <w:trPr>
                <w:trHeight w:val="335" w:hRule="exact"/>
                <w:jc w:val="center"/>
              </w:trPr>
              <w:tc>
                <w:tcPr>
                  <w:tcW w:w="979" w:type="dxa"/>
                  <w:vMerge w:val="continue"/>
                  <w:tcBorders>
                    <w:left w:val="single" w:color="auto" w:sz="4" w:space="0"/>
                  </w:tcBorders>
                  <w:shd w:val="clear" w:color="auto" w:fill="FFFFFF"/>
                  <w:noWrap w:val="0"/>
                  <w:vAlign w:val="center"/>
                </w:tcPr>
                <w:p>
                  <w:pPr>
                    <w:pStyle w:val="76"/>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bidi="en-US"/>
                    </w:rPr>
                  </w:pPr>
                </w:p>
              </w:tc>
              <w:tc>
                <w:tcPr>
                  <w:tcW w:w="1489" w:type="dxa"/>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火险分级</w:t>
                  </w:r>
                </w:p>
              </w:tc>
              <w:tc>
                <w:tcPr>
                  <w:tcW w:w="982" w:type="dxa"/>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戊</w:t>
                  </w:r>
                </w:p>
              </w:tc>
              <w:tc>
                <w:tcPr>
                  <w:tcW w:w="2546" w:type="dxa"/>
                  <w:gridSpan w:val="2"/>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tabs>
                      <w:tab w:val="left" w:pos="2594"/>
                    </w:tabs>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稳定性：不稳定</w:t>
                  </w:r>
                </w:p>
              </w:tc>
              <w:tc>
                <w:tcPr>
                  <w:tcW w:w="2508" w:type="dxa"/>
                  <w:gridSpan w:val="2"/>
                  <w:tcBorders>
                    <w:top w:val="single" w:color="auto" w:sz="4" w:space="0"/>
                    <w:left w:val="single" w:color="auto" w:sz="4" w:space="0"/>
                    <w:right w:val="single" w:color="auto" w:sz="4" w:space="0"/>
                  </w:tcBorders>
                  <w:shd w:val="clear" w:color="auto" w:fill="FFFFFF"/>
                  <w:noWrap w:val="0"/>
                  <w:vAlign w:val="center"/>
                </w:tcPr>
                <w:p>
                  <w:pPr>
                    <w:pStyle w:val="93"/>
                    <w:keepNext w:val="0"/>
                    <w:keepLines w:val="0"/>
                    <w:widowControl w:val="0"/>
                    <w:suppressLineNumbers w:val="0"/>
                    <w:shd w:val="clear" w:color="auto" w:fill="auto"/>
                    <w:tabs>
                      <w:tab w:val="left" w:pos="2503"/>
                    </w:tabs>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聚合危害：不聚合</w:t>
                  </w:r>
                </w:p>
              </w:tc>
            </w:tr>
            <w:tr>
              <w:tblPrEx>
                <w:tblCellMar>
                  <w:top w:w="0" w:type="dxa"/>
                  <w:left w:w="10" w:type="dxa"/>
                  <w:bottom w:w="0" w:type="dxa"/>
                  <w:right w:w="10" w:type="dxa"/>
                </w:tblCellMar>
              </w:tblPrEx>
              <w:trPr>
                <w:trHeight w:val="318" w:hRule="exact"/>
                <w:jc w:val="center"/>
              </w:trPr>
              <w:tc>
                <w:tcPr>
                  <w:tcW w:w="979" w:type="dxa"/>
                  <w:vMerge w:val="continue"/>
                  <w:tcBorders>
                    <w:left w:val="single" w:color="auto" w:sz="4" w:space="0"/>
                  </w:tcBorders>
                  <w:shd w:val="clear" w:color="auto" w:fill="FFFFFF"/>
                  <w:noWrap w:val="0"/>
                  <w:vAlign w:val="center"/>
                </w:tcPr>
                <w:p>
                  <w:pPr>
                    <w:pStyle w:val="76"/>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eastAsia="en-US" w:bidi="en-US"/>
                    </w:rPr>
                  </w:pPr>
                </w:p>
              </w:tc>
              <w:tc>
                <w:tcPr>
                  <w:tcW w:w="1489" w:type="dxa"/>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禁忌物</w:t>
                  </w:r>
                </w:p>
              </w:tc>
              <w:tc>
                <w:tcPr>
                  <w:tcW w:w="6036" w:type="dxa"/>
                  <w:gridSpan w:val="5"/>
                  <w:tcBorders>
                    <w:top w:val="single" w:color="auto" w:sz="4" w:space="0"/>
                    <w:left w:val="single" w:color="auto" w:sz="4" w:space="0"/>
                    <w:righ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还原剂、易燃或可燃物、自燃物、酸类、碱类。</w:t>
                  </w:r>
                </w:p>
              </w:tc>
            </w:tr>
            <w:tr>
              <w:tblPrEx>
                <w:tblCellMar>
                  <w:top w:w="0" w:type="dxa"/>
                  <w:left w:w="10" w:type="dxa"/>
                  <w:bottom w:w="0" w:type="dxa"/>
                  <w:right w:w="10" w:type="dxa"/>
                </w:tblCellMar>
              </w:tblPrEx>
              <w:trPr>
                <w:trHeight w:val="2761" w:hRule="exact"/>
                <w:jc w:val="center"/>
              </w:trPr>
              <w:tc>
                <w:tcPr>
                  <w:tcW w:w="979" w:type="dxa"/>
                  <w:vMerge w:val="continue"/>
                  <w:tcBorders>
                    <w:left w:val="single" w:color="auto" w:sz="4" w:space="0"/>
                  </w:tcBorders>
                  <w:shd w:val="clear" w:color="auto" w:fill="FFFFFF"/>
                  <w:noWrap w:val="0"/>
                  <w:vAlign w:val="center"/>
                </w:tcPr>
                <w:p>
                  <w:pPr>
                    <w:pStyle w:val="76"/>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bidi="en-US"/>
                    </w:rPr>
                  </w:pPr>
                </w:p>
              </w:tc>
              <w:tc>
                <w:tcPr>
                  <w:tcW w:w="1489" w:type="dxa"/>
                  <w:tcBorders>
                    <w:top w:val="single" w:color="auto" w:sz="4" w:space="0"/>
                    <w:left w:val="single" w:color="auto" w:sz="4" w:space="0"/>
                    <w:bottom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储运条件与泄漏处理</w:t>
                  </w:r>
                </w:p>
              </w:tc>
              <w:tc>
                <w:tcPr>
                  <w:tcW w:w="6036"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储运条件：储存于阴凉、干燥、通风的仓间内。远离火种、热源， 防止阳光直射。应与还原剂、易燃或可燃物、酸类、碱类分开存放。 分装和搬运作业应注意个人防护。搬运时应轻装轻卸，防止包装和 容器损坏。泄漏处理：迅速撤离泄漏污染区人员至安全区，并进行隔离，严格限制出入。建议应急处理人员戴自给正压式呼吸器，穿一般作业工作服。不要直接接触泄漏物。尽可能切断泄漏源。防止进入下水道、排洪沟 等限制性空间。小量泄漏：用砂土、蛭石或其它惰性材料吸收。大量泄漏：构筑围堤或挖坑收容。用泡沫覆盖，降低蒸气灾害。用泵转移至槽车或专用收集器内。回收或运至废物处理场所处置。</w:t>
                  </w:r>
                </w:p>
              </w:tc>
            </w:tr>
            <w:tr>
              <w:trPr>
                <w:trHeight w:val="384" w:hRule="exact"/>
                <w:jc w:val="center"/>
              </w:trPr>
              <w:tc>
                <w:tcPr>
                  <w:tcW w:w="979" w:type="dxa"/>
                  <w:vMerge w:val="continue"/>
                  <w:tcBorders>
                    <w:left w:val="single" w:color="auto" w:sz="4" w:space="0"/>
                    <w:bottom w:val="single" w:color="auto" w:sz="4" w:space="0"/>
                  </w:tcBorders>
                  <w:shd w:val="clear" w:color="auto" w:fill="FFFFFF"/>
                  <w:noWrap w:val="0"/>
                  <w:vAlign w:val="center"/>
                </w:tcPr>
                <w:p>
                  <w:pPr>
                    <w:pStyle w:val="76"/>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bidi="en-US"/>
                    </w:rPr>
                  </w:pPr>
                </w:p>
              </w:tc>
              <w:tc>
                <w:tcPr>
                  <w:tcW w:w="1489" w:type="dxa"/>
                  <w:tcBorders>
                    <w:top w:val="single" w:color="auto" w:sz="4" w:space="0"/>
                    <w:left w:val="single" w:color="auto" w:sz="4" w:space="0"/>
                    <w:bottom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灭火方法</w:t>
                  </w:r>
                </w:p>
              </w:tc>
              <w:tc>
                <w:tcPr>
                  <w:tcW w:w="6036"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用雾状水、泡沫、二氧化碳、砂土灭火。</w:t>
                  </w:r>
                </w:p>
              </w:tc>
            </w:tr>
          </w:tbl>
          <w:p>
            <w:pPr>
              <w:keepNext w:val="0"/>
              <w:keepLines w:val="0"/>
              <w:suppressLineNumbers w:val="0"/>
              <w:spacing w:before="0" w:beforeAutospacing="0" w:after="0" w:afterAutospacing="0"/>
              <w:ind w:left="0" w:right="0" w:firstLine="2168" w:firstLineChars="900"/>
              <w:rPr>
                <w:rFonts w:hint="eastAsia" w:ascii="Calibri" w:hAnsi="Calibri" w:cs="Times New Roman"/>
                <w:b/>
                <w:bCs/>
                <w:color w:val="auto"/>
                <w:sz w:val="28"/>
              </w:rPr>
            </w:pPr>
            <w:r>
              <w:rPr>
                <w:rFonts w:hint="eastAsia" w:ascii="宋体" w:hAnsi="宋体" w:cs="宋体"/>
                <w:b/>
                <w:bCs/>
                <w:color w:val="auto"/>
                <w:sz w:val="24"/>
                <w:szCs w:val="24"/>
              </w:rPr>
              <w:t>表4-1</w:t>
            </w:r>
            <w:r>
              <w:rPr>
                <w:rFonts w:hint="default" w:ascii="宋体" w:hAnsi="宋体" w:cs="宋体"/>
                <w:b/>
                <w:bCs/>
                <w:color w:val="auto"/>
                <w:sz w:val="24"/>
                <w:szCs w:val="24"/>
                <w:lang w:val="en-US"/>
              </w:rPr>
              <w:t>4</w:t>
            </w:r>
            <w:r>
              <w:rPr>
                <w:rFonts w:hint="eastAsia" w:ascii="宋体" w:hAnsi="宋体" w:cs="宋体"/>
                <w:b/>
                <w:bCs/>
                <w:color w:val="auto"/>
                <w:sz w:val="24"/>
                <w:szCs w:val="24"/>
              </w:rPr>
              <w:t xml:space="preserve">  柴油的理化性质及危险特性表</w:t>
            </w:r>
          </w:p>
          <w:tbl>
            <w:tblPr>
              <w:tblStyle w:val="26"/>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189"/>
              <w:gridCol w:w="354"/>
              <w:gridCol w:w="515"/>
              <w:gridCol w:w="866"/>
              <w:gridCol w:w="749"/>
              <w:gridCol w:w="198"/>
              <w:gridCol w:w="997"/>
              <w:gridCol w:w="420"/>
              <w:gridCol w:w="665"/>
              <w:gridCol w:w="413"/>
              <w:gridCol w:w="472"/>
              <w:gridCol w:w="188"/>
              <w:gridCol w:w="175"/>
              <w:gridCol w:w="15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552"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标</w:t>
                  </w:r>
                </w:p>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识</w:t>
                  </w:r>
                </w:p>
              </w:tc>
              <w:tc>
                <w:tcPr>
                  <w:tcW w:w="1189"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中文名</w:t>
                  </w:r>
                </w:p>
              </w:tc>
              <w:tc>
                <w:tcPr>
                  <w:tcW w:w="869" w:type="dxa"/>
                  <w:gridSpan w:val="2"/>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柴油</w:t>
                  </w:r>
                </w:p>
              </w:tc>
              <w:tc>
                <w:tcPr>
                  <w:tcW w:w="866"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英文名</w:t>
                  </w:r>
                </w:p>
              </w:tc>
              <w:tc>
                <w:tcPr>
                  <w:tcW w:w="2364" w:type="dxa"/>
                  <w:gridSpan w:val="4"/>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Diesel oil; Diesel fuel</w:t>
                  </w:r>
                </w:p>
              </w:tc>
              <w:tc>
                <w:tcPr>
                  <w:tcW w:w="1738" w:type="dxa"/>
                  <w:gridSpan w:val="4"/>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危险货物编号</w:t>
                  </w:r>
                </w:p>
              </w:tc>
              <w:tc>
                <w:tcPr>
                  <w:tcW w:w="1179" w:type="dxa"/>
                  <w:gridSpan w:val="3"/>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2"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p>
              </w:tc>
              <w:tc>
                <w:tcPr>
                  <w:tcW w:w="1189"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分子式</w:t>
                  </w:r>
                </w:p>
              </w:tc>
              <w:tc>
                <w:tcPr>
                  <w:tcW w:w="869" w:type="dxa"/>
                  <w:gridSpan w:val="2"/>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p>
              </w:tc>
              <w:tc>
                <w:tcPr>
                  <w:tcW w:w="866"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分子量</w:t>
                  </w:r>
                </w:p>
              </w:tc>
              <w:tc>
                <w:tcPr>
                  <w:tcW w:w="749"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p>
              </w:tc>
              <w:tc>
                <w:tcPr>
                  <w:tcW w:w="1615" w:type="dxa"/>
                  <w:gridSpan w:val="3"/>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UN编号</w:t>
                  </w:r>
                </w:p>
              </w:tc>
              <w:tc>
                <w:tcPr>
                  <w:tcW w:w="665"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p>
              </w:tc>
              <w:tc>
                <w:tcPr>
                  <w:tcW w:w="1073" w:type="dxa"/>
                  <w:gridSpan w:val="3"/>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CAS编号</w:t>
                  </w:r>
                </w:p>
              </w:tc>
              <w:tc>
                <w:tcPr>
                  <w:tcW w:w="1179" w:type="dxa"/>
                  <w:gridSpan w:val="3"/>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68334-30-5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6" w:hRule="atLeast"/>
                <w:jc w:val="center"/>
              </w:trPr>
              <w:tc>
                <w:tcPr>
                  <w:tcW w:w="552" w:type="dxa"/>
                  <w:vMerge w:val="continue"/>
                  <w:noWrap w:val="0"/>
                  <w:vAlign w:val="top"/>
                </w:tcPr>
                <w:p>
                  <w:pPr>
                    <w:keepNext w:val="0"/>
                    <w:keepLines w:val="0"/>
                    <w:suppressLineNumbers w:val="0"/>
                    <w:spacing w:before="0" w:beforeAutospacing="0" w:after="0" w:afterAutospacing="0" w:line="240" w:lineRule="exact"/>
                    <w:ind w:left="0" w:right="0"/>
                    <w:rPr>
                      <w:rFonts w:hint="eastAsia" w:ascii="宋体" w:hAnsi="宋体" w:cs="宋体"/>
                      <w:color w:val="auto"/>
                    </w:rPr>
                  </w:pPr>
                </w:p>
              </w:tc>
              <w:tc>
                <w:tcPr>
                  <w:tcW w:w="1189"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危险类别</w:t>
                  </w:r>
                </w:p>
              </w:tc>
              <w:tc>
                <w:tcPr>
                  <w:tcW w:w="7016" w:type="dxa"/>
                  <w:gridSpan w:val="14"/>
                  <w:noWrap w:val="0"/>
                  <w:vAlign w:val="top"/>
                </w:tcPr>
                <w:p>
                  <w:pPr>
                    <w:keepNext w:val="0"/>
                    <w:keepLines w:val="0"/>
                    <w:suppressLineNumbers w:val="0"/>
                    <w:spacing w:before="0" w:beforeAutospacing="0" w:after="0" w:afterAutospacing="0" w:line="240" w:lineRule="exact"/>
                    <w:ind w:left="0" w:right="0"/>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6" w:hRule="atLeast"/>
                <w:jc w:val="center"/>
              </w:trPr>
              <w:tc>
                <w:tcPr>
                  <w:tcW w:w="552"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理</w:t>
                  </w:r>
                </w:p>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化</w:t>
                  </w:r>
                </w:p>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性</w:t>
                  </w:r>
                </w:p>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质</w:t>
                  </w:r>
                </w:p>
              </w:tc>
              <w:tc>
                <w:tcPr>
                  <w:tcW w:w="1189"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性  状</w:t>
                  </w:r>
                </w:p>
              </w:tc>
              <w:tc>
                <w:tcPr>
                  <w:tcW w:w="7016" w:type="dxa"/>
                  <w:gridSpan w:val="14"/>
                  <w:noWrap w:val="0"/>
                  <w:vAlign w:val="top"/>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稍有粘性的棕色液体。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6" w:hRule="atLeast"/>
                <w:jc w:val="center"/>
              </w:trPr>
              <w:tc>
                <w:tcPr>
                  <w:tcW w:w="552" w:type="dxa"/>
                  <w:vMerge w:val="continue"/>
                  <w:noWrap w:val="0"/>
                  <w:vAlign w:val="top"/>
                </w:tcPr>
                <w:p>
                  <w:pPr>
                    <w:keepNext w:val="0"/>
                    <w:keepLines w:val="0"/>
                    <w:suppressLineNumbers w:val="0"/>
                    <w:spacing w:before="0" w:beforeAutospacing="0" w:after="0" w:afterAutospacing="0" w:line="240" w:lineRule="exact"/>
                    <w:ind w:left="0" w:right="0"/>
                    <w:rPr>
                      <w:rFonts w:hint="eastAsia" w:ascii="宋体" w:hAnsi="宋体" w:cs="宋体"/>
                      <w:color w:val="auto"/>
                    </w:rPr>
                  </w:pPr>
                </w:p>
              </w:tc>
              <w:tc>
                <w:tcPr>
                  <w:tcW w:w="1543" w:type="dxa"/>
                  <w:gridSpan w:val="2"/>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熔  点（℃）</w:t>
                  </w:r>
                </w:p>
              </w:tc>
              <w:tc>
                <w:tcPr>
                  <w:tcW w:w="2130" w:type="dxa"/>
                  <w:gridSpan w:val="3"/>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-18</w:t>
                  </w:r>
                </w:p>
              </w:tc>
              <w:tc>
                <w:tcPr>
                  <w:tcW w:w="3165" w:type="dxa"/>
                  <w:gridSpan w:val="6"/>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临界压力（Mpa）</w:t>
                  </w:r>
                </w:p>
              </w:tc>
              <w:tc>
                <w:tcPr>
                  <w:tcW w:w="1367" w:type="dxa"/>
                  <w:gridSpan w:val="4"/>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6" w:hRule="atLeast"/>
                <w:jc w:val="center"/>
              </w:trPr>
              <w:tc>
                <w:tcPr>
                  <w:tcW w:w="552" w:type="dxa"/>
                  <w:vMerge w:val="continue"/>
                  <w:noWrap w:val="0"/>
                  <w:vAlign w:val="top"/>
                </w:tcPr>
                <w:p>
                  <w:pPr>
                    <w:keepNext w:val="0"/>
                    <w:keepLines w:val="0"/>
                    <w:suppressLineNumbers w:val="0"/>
                    <w:spacing w:before="0" w:beforeAutospacing="0" w:after="0" w:afterAutospacing="0" w:line="240" w:lineRule="exact"/>
                    <w:ind w:left="0" w:right="0"/>
                    <w:rPr>
                      <w:rFonts w:hint="eastAsia" w:ascii="宋体" w:hAnsi="宋体" w:cs="宋体"/>
                      <w:color w:val="auto"/>
                    </w:rPr>
                  </w:pPr>
                </w:p>
              </w:tc>
              <w:tc>
                <w:tcPr>
                  <w:tcW w:w="1543" w:type="dxa"/>
                  <w:gridSpan w:val="2"/>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沸  点（℃）</w:t>
                  </w:r>
                </w:p>
              </w:tc>
              <w:tc>
                <w:tcPr>
                  <w:tcW w:w="2130" w:type="dxa"/>
                  <w:gridSpan w:val="3"/>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282～338</w:t>
                  </w:r>
                </w:p>
              </w:tc>
              <w:tc>
                <w:tcPr>
                  <w:tcW w:w="3165" w:type="dxa"/>
                  <w:gridSpan w:val="6"/>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相对密度（水＝1）</w:t>
                  </w:r>
                </w:p>
              </w:tc>
              <w:tc>
                <w:tcPr>
                  <w:tcW w:w="1367" w:type="dxa"/>
                  <w:gridSpan w:val="4"/>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0.87～0.9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552" w:type="dxa"/>
                  <w:vMerge w:val="continue"/>
                  <w:noWrap w:val="0"/>
                  <w:vAlign w:val="top"/>
                </w:tcPr>
                <w:p>
                  <w:pPr>
                    <w:keepNext w:val="0"/>
                    <w:keepLines w:val="0"/>
                    <w:suppressLineNumbers w:val="0"/>
                    <w:spacing w:before="0" w:beforeAutospacing="0" w:after="0" w:afterAutospacing="0" w:line="240" w:lineRule="exact"/>
                    <w:ind w:left="0" w:right="0"/>
                    <w:rPr>
                      <w:rFonts w:hint="eastAsia" w:ascii="宋体" w:hAnsi="宋体" w:cs="宋体"/>
                      <w:color w:val="auto"/>
                    </w:rPr>
                  </w:pPr>
                </w:p>
              </w:tc>
              <w:tc>
                <w:tcPr>
                  <w:tcW w:w="1543" w:type="dxa"/>
                  <w:gridSpan w:val="2"/>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饱和蒸汽压（kpa）</w:t>
                  </w:r>
                </w:p>
              </w:tc>
              <w:tc>
                <w:tcPr>
                  <w:tcW w:w="2130" w:type="dxa"/>
                  <w:gridSpan w:val="3"/>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无资料</w:t>
                  </w:r>
                </w:p>
              </w:tc>
              <w:tc>
                <w:tcPr>
                  <w:tcW w:w="3165" w:type="dxa"/>
                  <w:gridSpan w:val="6"/>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相对密度（空气＝1）</w:t>
                  </w:r>
                </w:p>
              </w:tc>
              <w:tc>
                <w:tcPr>
                  <w:tcW w:w="1367" w:type="dxa"/>
                  <w:gridSpan w:val="4"/>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552" w:type="dxa"/>
                  <w:vMerge w:val="continue"/>
                  <w:noWrap w:val="0"/>
                  <w:vAlign w:val="top"/>
                </w:tcPr>
                <w:p>
                  <w:pPr>
                    <w:keepNext w:val="0"/>
                    <w:keepLines w:val="0"/>
                    <w:suppressLineNumbers w:val="0"/>
                    <w:spacing w:before="0" w:beforeAutospacing="0" w:after="0" w:afterAutospacing="0" w:line="240" w:lineRule="exact"/>
                    <w:ind w:left="0" w:right="0"/>
                    <w:rPr>
                      <w:rFonts w:hint="eastAsia" w:ascii="宋体" w:hAnsi="宋体" w:cs="宋体"/>
                      <w:color w:val="auto"/>
                    </w:rPr>
                  </w:pPr>
                </w:p>
              </w:tc>
              <w:tc>
                <w:tcPr>
                  <w:tcW w:w="1543" w:type="dxa"/>
                  <w:gridSpan w:val="2"/>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临界温度（℃）</w:t>
                  </w:r>
                </w:p>
              </w:tc>
              <w:tc>
                <w:tcPr>
                  <w:tcW w:w="2130" w:type="dxa"/>
                  <w:gridSpan w:val="3"/>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p>
              </w:tc>
              <w:tc>
                <w:tcPr>
                  <w:tcW w:w="3165" w:type="dxa"/>
                  <w:gridSpan w:val="6"/>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燃烧热（KJ·mol</w:t>
                  </w:r>
                  <w:r>
                    <w:rPr>
                      <w:rFonts w:hint="eastAsia" w:ascii="宋体" w:hAnsi="宋体" w:cs="宋体"/>
                      <w:color w:val="auto"/>
                      <w:vertAlign w:val="superscript"/>
                    </w:rPr>
                    <w:t>-1</w:t>
                  </w:r>
                  <w:r>
                    <w:rPr>
                      <w:rFonts w:hint="eastAsia" w:ascii="宋体" w:hAnsi="宋体" w:cs="宋体"/>
                      <w:color w:val="auto"/>
                    </w:rPr>
                    <w:t>）</w:t>
                  </w:r>
                </w:p>
              </w:tc>
              <w:tc>
                <w:tcPr>
                  <w:tcW w:w="1367" w:type="dxa"/>
                  <w:gridSpan w:val="4"/>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6" w:hRule="atLeast"/>
                <w:jc w:val="center"/>
              </w:trPr>
              <w:tc>
                <w:tcPr>
                  <w:tcW w:w="552" w:type="dxa"/>
                  <w:vMerge w:val="continue"/>
                  <w:noWrap w:val="0"/>
                  <w:vAlign w:val="top"/>
                </w:tcPr>
                <w:p>
                  <w:pPr>
                    <w:keepNext w:val="0"/>
                    <w:keepLines w:val="0"/>
                    <w:suppressLineNumbers w:val="0"/>
                    <w:spacing w:before="0" w:beforeAutospacing="0" w:after="0" w:afterAutospacing="0" w:line="240" w:lineRule="exact"/>
                    <w:ind w:left="0" w:right="0"/>
                    <w:rPr>
                      <w:rFonts w:hint="eastAsia" w:ascii="宋体" w:hAnsi="宋体" w:cs="宋体"/>
                      <w:color w:val="auto"/>
                    </w:rPr>
                  </w:pPr>
                </w:p>
              </w:tc>
              <w:tc>
                <w:tcPr>
                  <w:tcW w:w="1543" w:type="dxa"/>
                  <w:gridSpan w:val="2"/>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溶  解  性</w:t>
                  </w:r>
                </w:p>
              </w:tc>
              <w:tc>
                <w:tcPr>
                  <w:tcW w:w="6662" w:type="dxa"/>
                  <w:gridSpan w:val="13"/>
                  <w:noWrap w:val="0"/>
                  <w:vAlign w:val="top"/>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不溶于水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6" w:hRule="atLeast"/>
                <w:jc w:val="center"/>
              </w:trPr>
              <w:tc>
                <w:tcPr>
                  <w:tcW w:w="552"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燃</w:t>
                  </w:r>
                </w:p>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烧</w:t>
                  </w:r>
                </w:p>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爆</w:t>
                  </w:r>
                </w:p>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炸</w:t>
                  </w:r>
                </w:p>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危</w:t>
                  </w:r>
                </w:p>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险</w:t>
                  </w:r>
                </w:p>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性</w:t>
                  </w:r>
                </w:p>
              </w:tc>
              <w:tc>
                <w:tcPr>
                  <w:tcW w:w="1543" w:type="dxa"/>
                  <w:gridSpan w:val="2"/>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燃  烧  性</w:t>
                  </w:r>
                </w:p>
              </w:tc>
              <w:tc>
                <w:tcPr>
                  <w:tcW w:w="2130" w:type="dxa"/>
                  <w:gridSpan w:val="3"/>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可燃</w:t>
                  </w:r>
                </w:p>
              </w:tc>
              <w:tc>
                <w:tcPr>
                  <w:tcW w:w="3165" w:type="dxa"/>
                  <w:gridSpan w:val="6"/>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闪点（℃）</w:t>
                  </w:r>
                </w:p>
              </w:tc>
              <w:tc>
                <w:tcPr>
                  <w:tcW w:w="1367" w:type="dxa"/>
                  <w:gridSpan w:val="4"/>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6" w:hRule="atLeast"/>
                <w:jc w:val="center"/>
              </w:trPr>
              <w:tc>
                <w:tcPr>
                  <w:tcW w:w="552" w:type="dxa"/>
                  <w:vMerge w:val="continue"/>
                  <w:noWrap w:val="0"/>
                  <w:vAlign w:val="top"/>
                </w:tcPr>
                <w:p>
                  <w:pPr>
                    <w:keepNext w:val="0"/>
                    <w:keepLines w:val="0"/>
                    <w:suppressLineNumbers w:val="0"/>
                    <w:spacing w:before="0" w:beforeAutospacing="0" w:after="0" w:afterAutospacing="0" w:line="240" w:lineRule="exact"/>
                    <w:ind w:left="0" w:right="0"/>
                    <w:rPr>
                      <w:rFonts w:hint="eastAsia" w:ascii="宋体" w:hAnsi="宋体" w:cs="宋体"/>
                      <w:color w:val="auto"/>
                    </w:rPr>
                  </w:pPr>
                </w:p>
              </w:tc>
              <w:tc>
                <w:tcPr>
                  <w:tcW w:w="1543" w:type="dxa"/>
                  <w:gridSpan w:val="2"/>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爆炸极限（％）</w:t>
                  </w:r>
                </w:p>
              </w:tc>
              <w:tc>
                <w:tcPr>
                  <w:tcW w:w="2130" w:type="dxa"/>
                  <w:gridSpan w:val="3"/>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0.7～5.0</w:t>
                  </w:r>
                </w:p>
              </w:tc>
              <w:tc>
                <w:tcPr>
                  <w:tcW w:w="3165" w:type="dxa"/>
                  <w:gridSpan w:val="6"/>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最小点火能（MJ）</w:t>
                  </w:r>
                </w:p>
              </w:tc>
              <w:tc>
                <w:tcPr>
                  <w:tcW w:w="1367" w:type="dxa"/>
                  <w:gridSpan w:val="4"/>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6" w:hRule="atLeast"/>
                <w:jc w:val="center"/>
              </w:trPr>
              <w:tc>
                <w:tcPr>
                  <w:tcW w:w="552" w:type="dxa"/>
                  <w:vMerge w:val="continue"/>
                  <w:noWrap w:val="0"/>
                  <w:vAlign w:val="top"/>
                </w:tcPr>
                <w:p>
                  <w:pPr>
                    <w:keepNext w:val="0"/>
                    <w:keepLines w:val="0"/>
                    <w:suppressLineNumbers w:val="0"/>
                    <w:spacing w:before="0" w:beforeAutospacing="0" w:after="0" w:afterAutospacing="0" w:line="240" w:lineRule="exact"/>
                    <w:ind w:left="0" w:right="0"/>
                    <w:rPr>
                      <w:rFonts w:hint="eastAsia" w:ascii="宋体" w:hAnsi="宋体" w:cs="宋体"/>
                      <w:color w:val="auto"/>
                    </w:rPr>
                  </w:pPr>
                </w:p>
              </w:tc>
              <w:tc>
                <w:tcPr>
                  <w:tcW w:w="1543" w:type="dxa"/>
                  <w:gridSpan w:val="2"/>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引燃温度（℃）</w:t>
                  </w:r>
                </w:p>
              </w:tc>
              <w:tc>
                <w:tcPr>
                  <w:tcW w:w="2130" w:type="dxa"/>
                  <w:gridSpan w:val="3"/>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p>
              </w:tc>
              <w:tc>
                <w:tcPr>
                  <w:tcW w:w="3165" w:type="dxa"/>
                  <w:gridSpan w:val="6"/>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最大爆炸压力（Mpa）</w:t>
                  </w:r>
                </w:p>
              </w:tc>
              <w:tc>
                <w:tcPr>
                  <w:tcW w:w="1367" w:type="dxa"/>
                  <w:gridSpan w:val="4"/>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8" w:hRule="atLeast"/>
                <w:jc w:val="center"/>
              </w:trPr>
              <w:tc>
                <w:tcPr>
                  <w:tcW w:w="552" w:type="dxa"/>
                  <w:vMerge w:val="continue"/>
                  <w:noWrap w:val="0"/>
                  <w:vAlign w:val="top"/>
                </w:tcPr>
                <w:p>
                  <w:pPr>
                    <w:keepNext w:val="0"/>
                    <w:keepLines w:val="0"/>
                    <w:suppressLineNumbers w:val="0"/>
                    <w:spacing w:before="0" w:beforeAutospacing="0" w:after="0" w:afterAutospacing="0" w:line="240" w:lineRule="exact"/>
                    <w:ind w:left="0" w:right="0"/>
                    <w:rPr>
                      <w:rFonts w:hint="eastAsia" w:ascii="宋体" w:hAnsi="宋体" w:cs="宋体"/>
                      <w:color w:val="auto"/>
                    </w:rPr>
                  </w:pPr>
                </w:p>
              </w:tc>
              <w:tc>
                <w:tcPr>
                  <w:tcW w:w="1543" w:type="dxa"/>
                  <w:gridSpan w:val="2"/>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危 险 特 性</w:t>
                  </w:r>
                </w:p>
              </w:tc>
              <w:tc>
                <w:tcPr>
                  <w:tcW w:w="6662" w:type="dxa"/>
                  <w:gridSpan w:val="13"/>
                  <w:noWrap w:val="0"/>
                  <w:vAlign w:val="top"/>
                </w:tcPr>
                <w:p>
                  <w:pPr>
                    <w:keepNext w:val="0"/>
                    <w:keepLines w:val="0"/>
                    <w:suppressLineNumbers w:val="0"/>
                    <w:spacing w:before="0" w:beforeAutospacing="0" w:after="0" w:afterAutospacing="0" w:line="240" w:lineRule="exact"/>
                    <w:ind w:left="0" w:right="0"/>
                    <w:rPr>
                      <w:rFonts w:hint="eastAsia" w:ascii="宋体" w:hAnsi="宋体" w:cs="宋体"/>
                      <w:color w:val="auto"/>
                    </w:rPr>
                  </w:pPr>
                  <w:r>
                    <w:rPr>
                      <w:rFonts w:hint="eastAsia" w:ascii="宋体" w:hAnsi="宋体" w:cs="宋体"/>
                      <w:color w:val="auto"/>
                    </w:rPr>
                    <w:t>遇明火、高热或与氧化剂接触，有引起燃烧爆炸的危险。若遇高热，容器内压增大，有开裂和爆炸的危险。对环境有危害，对水体和大气可造成污染。本品易燃，具刺激性。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4" w:hRule="atLeast"/>
                <w:jc w:val="center"/>
              </w:trPr>
              <w:tc>
                <w:tcPr>
                  <w:tcW w:w="552" w:type="dxa"/>
                  <w:vMerge w:val="continue"/>
                  <w:noWrap w:val="0"/>
                  <w:vAlign w:val="top"/>
                </w:tcPr>
                <w:p>
                  <w:pPr>
                    <w:keepNext w:val="0"/>
                    <w:keepLines w:val="0"/>
                    <w:suppressLineNumbers w:val="0"/>
                    <w:spacing w:before="0" w:beforeAutospacing="0" w:after="0" w:afterAutospacing="0" w:line="240" w:lineRule="exact"/>
                    <w:ind w:left="0" w:right="0"/>
                    <w:rPr>
                      <w:rFonts w:hint="eastAsia" w:ascii="宋体" w:hAnsi="宋体" w:cs="宋体"/>
                      <w:color w:val="auto"/>
                    </w:rPr>
                  </w:pPr>
                </w:p>
              </w:tc>
              <w:tc>
                <w:tcPr>
                  <w:tcW w:w="1543" w:type="dxa"/>
                  <w:gridSpan w:val="2"/>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灭 火 方 法</w:t>
                  </w:r>
                </w:p>
              </w:tc>
              <w:tc>
                <w:tcPr>
                  <w:tcW w:w="6662" w:type="dxa"/>
                  <w:gridSpan w:val="13"/>
                  <w:noWrap w:val="0"/>
                  <w:vAlign w:val="top"/>
                </w:tcPr>
                <w:p>
                  <w:pPr>
                    <w:keepNext w:val="0"/>
                    <w:keepLines w:val="0"/>
                    <w:suppressLineNumbers w:val="0"/>
                    <w:spacing w:before="0" w:beforeAutospacing="0" w:after="0" w:afterAutospacing="0" w:line="240" w:lineRule="exact"/>
                    <w:ind w:left="0" w:right="0"/>
                    <w:rPr>
                      <w:rFonts w:hint="eastAsia" w:ascii="宋体" w:hAnsi="宋体" w:cs="宋体"/>
                      <w:color w:val="auto"/>
                    </w:rPr>
                  </w:pPr>
                  <w:r>
                    <w:rPr>
                      <w:rFonts w:hint="eastAsia" w:ascii="宋体" w:hAnsi="宋体" w:cs="宋体"/>
                      <w:color w:val="auto"/>
                    </w:rPr>
                    <w:t>消防人员须佩戴防毒面具、穿全身消防服，在上风向灭火。尽可能将容器从火场移至空旷处。喷水保持火场容器冷却，直至灭火结束。处在火场中的容器若已变色或从安全泄压装置中产生声音，必须马上撤离。</w:t>
                  </w:r>
                </w:p>
                <w:p>
                  <w:pPr>
                    <w:keepNext w:val="0"/>
                    <w:keepLines w:val="0"/>
                    <w:suppressLineNumbers w:val="0"/>
                    <w:spacing w:before="0" w:beforeAutospacing="0" w:after="0" w:afterAutospacing="0" w:line="240" w:lineRule="exact"/>
                    <w:ind w:left="0" w:right="0"/>
                    <w:rPr>
                      <w:rFonts w:hint="eastAsia" w:ascii="宋体" w:hAnsi="宋体" w:cs="宋体"/>
                      <w:color w:val="auto"/>
                    </w:rPr>
                  </w:pPr>
                  <w:r>
                    <w:rPr>
                      <w:rFonts w:hint="eastAsia" w:ascii="宋体" w:hAnsi="宋体" w:cs="宋体"/>
                      <w:color w:val="auto"/>
                    </w:rPr>
                    <w:t>灭火剂：雾状水、泡沫、干粉、二氧化碳、砂土。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6" w:hRule="atLeast"/>
                <w:jc w:val="center"/>
              </w:trPr>
              <w:tc>
                <w:tcPr>
                  <w:tcW w:w="552" w:type="dxa"/>
                  <w:vMerge w:val="continue"/>
                  <w:noWrap w:val="0"/>
                  <w:vAlign w:val="top"/>
                </w:tcPr>
                <w:p>
                  <w:pPr>
                    <w:keepNext w:val="0"/>
                    <w:keepLines w:val="0"/>
                    <w:suppressLineNumbers w:val="0"/>
                    <w:spacing w:before="0" w:beforeAutospacing="0" w:after="0" w:afterAutospacing="0" w:line="240" w:lineRule="exact"/>
                    <w:ind w:left="0" w:right="0"/>
                    <w:rPr>
                      <w:rFonts w:hint="eastAsia" w:ascii="宋体" w:hAnsi="宋体" w:cs="宋体"/>
                      <w:color w:val="auto"/>
                    </w:rPr>
                  </w:pPr>
                </w:p>
              </w:tc>
              <w:tc>
                <w:tcPr>
                  <w:tcW w:w="1543" w:type="dxa"/>
                  <w:gridSpan w:val="2"/>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禁  忌  物</w:t>
                  </w:r>
                </w:p>
              </w:tc>
              <w:tc>
                <w:tcPr>
                  <w:tcW w:w="4823" w:type="dxa"/>
                  <w:gridSpan w:val="8"/>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氧化剂</w:t>
                  </w:r>
                </w:p>
              </w:tc>
              <w:tc>
                <w:tcPr>
                  <w:tcW w:w="988" w:type="dxa"/>
                  <w:gridSpan w:val="4"/>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稳定性</w:t>
                  </w:r>
                </w:p>
              </w:tc>
              <w:tc>
                <w:tcPr>
                  <w:tcW w:w="851"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552" w:type="dxa"/>
                  <w:vMerge w:val="continue"/>
                  <w:noWrap w:val="0"/>
                  <w:vAlign w:val="top"/>
                </w:tcPr>
                <w:p>
                  <w:pPr>
                    <w:keepNext w:val="0"/>
                    <w:keepLines w:val="0"/>
                    <w:suppressLineNumbers w:val="0"/>
                    <w:spacing w:before="0" w:beforeAutospacing="0" w:after="0" w:afterAutospacing="0" w:line="240" w:lineRule="exact"/>
                    <w:ind w:left="0" w:right="0"/>
                    <w:rPr>
                      <w:rFonts w:hint="eastAsia" w:ascii="宋体" w:hAnsi="宋体" w:cs="宋体"/>
                      <w:color w:val="auto"/>
                    </w:rPr>
                  </w:pPr>
                </w:p>
              </w:tc>
              <w:tc>
                <w:tcPr>
                  <w:tcW w:w="1543" w:type="dxa"/>
                  <w:gridSpan w:val="2"/>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燃 烧 产 物</w:t>
                  </w:r>
                </w:p>
              </w:tc>
              <w:tc>
                <w:tcPr>
                  <w:tcW w:w="4823" w:type="dxa"/>
                  <w:gridSpan w:val="8"/>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一氧化碳、二氧化碳</w:t>
                  </w:r>
                </w:p>
              </w:tc>
              <w:tc>
                <w:tcPr>
                  <w:tcW w:w="988" w:type="dxa"/>
                  <w:gridSpan w:val="4"/>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聚合危害</w:t>
                  </w:r>
                </w:p>
              </w:tc>
              <w:tc>
                <w:tcPr>
                  <w:tcW w:w="851"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不聚合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jc w:val="center"/>
              </w:trPr>
              <w:tc>
                <w:tcPr>
                  <w:tcW w:w="552"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毒性及健康危害</w:t>
                  </w:r>
                </w:p>
              </w:tc>
              <w:tc>
                <w:tcPr>
                  <w:tcW w:w="1543" w:type="dxa"/>
                  <w:gridSpan w:val="2"/>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急 性 毒 性</w:t>
                  </w:r>
                </w:p>
              </w:tc>
              <w:tc>
                <w:tcPr>
                  <w:tcW w:w="2328" w:type="dxa"/>
                  <w:gridSpan w:val="4"/>
                  <w:noWrap w:val="0"/>
                  <w:vAlign w:val="center"/>
                </w:tcPr>
                <w:p>
                  <w:pPr>
                    <w:keepNext w:val="0"/>
                    <w:keepLines w:val="0"/>
                    <w:suppressLineNumbers w:val="0"/>
                    <w:spacing w:before="0" w:beforeAutospacing="0" w:after="0" w:afterAutospacing="0" w:line="240" w:lineRule="exact"/>
                    <w:ind w:left="0" w:right="0"/>
                    <w:rPr>
                      <w:rFonts w:hint="eastAsia" w:ascii="宋体" w:hAnsi="宋体" w:cs="宋体"/>
                      <w:color w:val="auto"/>
                    </w:rPr>
                  </w:pPr>
                  <w:r>
                    <w:rPr>
                      <w:rFonts w:hint="eastAsia" w:ascii="宋体" w:hAnsi="宋体" w:cs="宋体"/>
                      <w:color w:val="auto"/>
                    </w:rPr>
                    <w:t>LD</w:t>
                  </w:r>
                  <w:r>
                    <w:rPr>
                      <w:rFonts w:hint="eastAsia" w:ascii="宋体" w:hAnsi="宋体" w:cs="宋体"/>
                      <w:color w:val="auto"/>
                      <w:vertAlign w:val="subscript"/>
                    </w:rPr>
                    <w:t>50</w:t>
                  </w:r>
                  <w:r>
                    <w:rPr>
                      <w:rFonts w:hint="eastAsia" w:ascii="宋体" w:hAnsi="宋体" w:cs="宋体"/>
                      <w:color w:val="auto"/>
                    </w:rPr>
                    <w:t>（mg/kg，大鼠经口）</w:t>
                  </w:r>
                </w:p>
              </w:tc>
              <w:tc>
                <w:tcPr>
                  <w:tcW w:w="997" w:type="dxa"/>
                  <w:noWrap w:val="0"/>
                  <w:vAlign w:val="top"/>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无资料</w:t>
                  </w:r>
                </w:p>
              </w:tc>
              <w:tc>
                <w:tcPr>
                  <w:tcW w:w="2333" w:type="dxa"/>
                  <w:gridSpan w:val="6"/>
                  <w:noWrap w:val="0"/>
                  <w:vAlign w:val="top"/>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LC</w:t>
                  </w:r>
                  <w:r>
                    <w:rPr>
                      <w:rFonts w:hint="eastAsia" w:ascii="宋体" w:hAnsi="宋体" w:cs="宋体"/>
                      <w:color w:val="auto"/>
                      <w:vertAlign w:val="subscript"/>
                    </w:rPr>
                    <w:t>50</w:t>
                  </w:r>
                  <w:r>
                    <w:rPr>
                      <w:rFonts w:hint="eastAsia" w:ascii="宋体" w:hAnsi="宋体" w:cs="宋体"/>
                      <w:color w:val="auto"/>
                    </w:rPr>
                    <w:t>（mg/kg）</w:t>
                  </w:r>
                </w:p>
              </w:tc>
              <w:tc>
                <w:tcPr>
                  <w:tcW w:w="1004" w:type="dxa"/>
                  <w:gridSpan w:val="2"/>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jc w:val="center"/>
              </w:trPr>
              <w:tc>
                <w:tcPr>
                  <w:tcW w:w="552" w:type="dxa"/>
                  <w:vMerge w:val="continue"/>
                  <w:noWrap w:val="0"/>
                  <w:vAlign w:val="top"/>
                </w:tcPr>
                <w:p>
                  <w:pPr>
                    <w:keepNext w:val="0"/>
                    <w:keepLines w:val="0"/>
                    <w:suppressLineNumbers w:val="0"/>
                    <w:spacing w:before="0" w:beforeAutospacing="0" w:after="0" w:afterAutospacing="0" w:line="240" w:lineRule="exact"/>
                    <w:ind w:left="0" w:right="0"/>
                    <w:rPr>
                      <w:rFonts w:hint="eastAsia" w:ascii="宋体" w:hAnsi="宋体" w:cs="宋体"/>
                      <w:color w:val="auto"/>
                    </w:rPr>
                  </w:pPr>
                </w:p>
              </w:tc>
              <w:tc>
                <w:tcPr>
                  <w:tcW w:w="1543" w:type="dxa"/>
                  <w:gridSpan w:val="2"/>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健 康 危 害</w:t>
                  </w:r>
                </w:p>
              </w:tc>
              <w:tc>
                <w:tcPr>
                  <w:tcW w:w="3325" w:type="dxa"/>
                  <w:gridSpan w:val="5"/>
                  <w:noWrap w:val="0"/>
                  <w:vAlign w:val="top"/>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卫生标准</w:t>
                  </w:r>
                </w:p>
              </w:tc>
              <w:tc>
                <w:tcPr>
                  <w:tcW w:w="3337" w:type="dxa"/>
                  <w:gridSpan w:val="8"/>
                  <w:noWrap w:val="0"/>
                  <w:vAlign w:val="top"/>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9" w:hRule="atLeast"/>
                <w:jc w:val="center"/>
              </w:trPr>
              <w:tc>
                <w:tcPr>
                  <w:tcW w:w="552" w:type="dxa"/>
                  <w:vMerge w:val="continue"/>
                  <w:noWrap w:val="0"/>
                  <w:vAlign w:val="top"/>
                </w:tcPr>
                <w:p>
                  <w:pPr>
                    <w:keepNext w:val="0"/>
                    <w:keepLines w:val="0"/>
                    <w:suppressLineNumbers w:val="0"/>
                    <w:spacing w:before="0" w:beforeAutospacing="0" w:after="0" w:afterAutospacing="0" w:line="240" w:lineRule="exact"/>
                    <w:ind w:left="0" w:right="0"/>
                    <w:rPr>
                      <w:rFonts w:hint="eastAsia" w:ascii="宋体" w:hAnsi="宋体" w:cs="宋体"/>
                      <w:color w:val="auto"/>
                    </w:rPr>
                  </w:pPr>
                </w:p>
              </w:tc>
              <w:tc>
                <w:tcPr>
                  <w:tcW w:w="1543" w:type="dxa"/>
                  <w:gridSpan w:val="2"/>
                  <w:vMerge w:val="continue"/>
                  <w:noWrap w:val="0"/>
                  <w:vAlign w:val="center"/>
                </w:tcPr>
                <w:p>
                  <w:pPr>
                    <w:keepNext w:val="0"/>
                    <w:keepLines w:val="0"/>
                    <w:suppressLineNumbers w:val="0"/>
                    <w:spacing w:before="0" w:beforeAutospacing="0" w:after="0" w:afterAutospacing="0" w:line="240" w:lineRule="exact"/>
                    <w:ind w:left="0" w:right="0"/>
                    <w:rPr>
                      <w:rFonts w:hint="eastAsia" w:ascii="宋体" w:hAnsi="宋体" w:cs="宋体"/>
                      <w:color w:val="auto"/>
                    </w:rPr>
                  </w:pPr>
                </w:p>
              </w:tc>
              <w:tc>
                <w:tcPr>
                  <w:tcW w:w="6662" w:type="dxa"/>
                  <w:gridSpan w:val="13"/>
                  <w:noWrap w:val="0"/>
                  <w:vAlign w:val="center"/>
                </w:tcPr>
                <w:p>
                  <w:pPr>
                    <w:keepNext w:val="0"/>
                    <w:keepLines w:val="0"/>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侵入途径：吸如、食入；</w:t>
                  </w:r>
                </w:p>
                <w:p>
                  <w:pPr>
                    <w:keepNext w:val="0"/>
                    <w:keepLines w:val="0"/>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皮肤接触可为主要吸收途径，可致急性肾脏损害。柴油可引起接触性皮炎、油性痤疮。吸入其雾滴或液体呛入可引起吸入性肺炎。能经胎盘进入胎儿血中。柴油废气可引起眼、鼻刺激症状，头晕及头痛。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5" w:hRule="atLeast"/>
                <w:jc w:val="center"/>
              </w:trPr>
              <w:tc>
                <w:tcPr>
                  <w:tcW w:w="552"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急</w:t>
                  </w:r>
                </w:p>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p>
                <w:p>
                  <w:pPr>
                    <w:keepNext w:val="0"/>
                    <w:keepLines w:val="0"/>
                    <w:suppressLineNumbers w:val="0"/>
                    <w:spacing w:before="0" w:beforeAutospacing="0" w:after="0" w:afterAutospacing="0" w:line="240" w:lineRule="exact"/>
                    <w:ind w:left="0" w:right="0"/>
                    <w:jc w:val="center"/>
                    <w:rPr>
                      <w:rFonts w:hint="eastAsia" w:ascii="宋体" w:hAnsi="宋体" w:cs="宋体"/>
                      <w:b/>
                      <w:bCs/>
                      <w:color w:val="auto"/>
                    </w:rPr>
                  </w:pPr>
                  <w:r>
                    <w:rPr>
                      <w:rFonts w:hint="eastAsia" w:ascii="宋体" w:hAnsi="宋体" w:cs="宋体"/>
                      <w:color w:val="auto"/>
                    </w:rPr>
                    <w:t>救</w:t>
                  </w:r>
                </w:p>
              </w:tc>
              <w:tc>
                <w:tcPr>
                  <w:tcW w:w="8205" w:type="dxa"/>
                  <w:gridSpan w:val="15"/>
                  <w:noWrap w:val="0"/>
                  <w:vAlign w:val="center"/>
                </w:tcPr>
                <w:p>
                  <w:pPr>
                    <w:keepNext w:val="0"/>
                    <w:keepLines w:val="0"/>
                    <w:suppressLineNumbers w:val="0"/>
                    <w:spacing w:before="0" w:beforeAutospacing="0" w:after="0" w:afterAutospacing="0"/>
                    <w:ind w:left="-107" w:leftChars="-51" w:right="0" w:firstLine="1"/>
                    <w:rPr>
                      <w:rFonts w:hint="eastAsia" w:ascii="宋体" w:hAnsi="宋体" w:cs="宋体"/>
                      <w:color w:val="auto"/>
                      <w:kern w:val="0"/>
                      <w:lang w:val="zh-CN" w:bidi="zh-CN"/>
                    </w:rPr>
                  </w:pPr>
                  <w:r>
                    <w:rPr>
                      <w:rFonts w:hint="eastAsia" w:ascii="宋体" w:hAnsi="宋体" w:cs="宋体"/>
                      <w:color w:val="auto"/>
                      <w:kern w:val="0"/>
                      <w:lang w:val="zh-CN" w:bidi="zh-CN"/>
                    </w:rPr>
                    <w:t>皮肤接触：立即脱去被污染的衣着，用大量清水冲洗；</w:t>
                  </w:r>
                </w:p>
                <w:p>
                  <w:pPr>
                    <w:keepNext w:val="0"/>
                    <w:keepLines w:val="0"/>
                    <w:suppressLineNumbers w:val="0"/>
                    <w:spacing w:before="0" w:beforeAutospacing="0" w:after="0" w:afterAutospacing="0"/>
                    <w:ind w:left="-107" w:leftChars="-51" w:right="0" w:firstLine="1"/>
                    <w:rPr>
                      <w:rFonts w:hint="eastAsia" w:ascii="宋体" w:hAnsi="宋体" w:cs="宋体"/>
                      <w:color w:val="auto"/>
                      <w:kern w:val="0"/>
                      <w:lang w:val="zh-CN" w:bidi="zh-CN"/>
                    </w:rPr>
                  </w:pPr>
                  <w:r>
                    <w:rPr>
                      <w:rFonts w:hint="eastAsia" w:ascii="宋体" w:hAnsi="宋体" w:cs="宋体"/>
                      <w:color w:val="auto"/>
                      <w:kern w:val="0"/>
                      <w:lang w:val="zh-CN" w:bidi="zh-CN"/>
                    </w:rPr>
                    <w:t>眼睛接触：立即提起眼睑，用大量流动清水或生理盐水彻底冲洗至少15分钟，就医；</w:t>
                  </w:r>
                </w:p>
                <w:p>
                  <w:pPr>
                    <w:keepNext w:val="0"/>
                    <w:keepLines w:val="0"/>
                    <w:suppressLineNumbers w:val="0"/>
                    <w:spacing w:before="0" w:beforeAutospacing="0" w:after="0" w:afterAutospacing="0"/>
                    <w:ind w:left="-107" w:leftChars="-51" w:right="0" w:firstLine="1"/>
                    <w:jc w:val="left"/>
                    <w:rPr>
                      <w:rFonts w:hint="eastAsia" w:ascii="宋体" w:hAnsi="宋体" w:cs="宋体"/>
                      <w:color w:val="auto"/>
                      <w:kern w:val="0"/>
                      <w:lang w:val="zh-CN" w:bidi="zh-CN"/>
                    </w:rPr>
                  </w:pPr>
                  <w:r>
                    <w:rPr>
                      <w:rFonts w:hint="eastAsia" w:ascii="宋体" w:hAnsi="宋体" w:cs="宋体"/>
                      <w:color w:val="auto"/>
                      <w:kern w:val="0"/>
                      <w:lang w:val="zh-CN" w:bidi="zh-CN"/>
                    </w:rPr>
                    <w:t>吸入：迅速脱离现场至空气新鲜处，保持呼吸道通畅，如呼吸困难，给输氧；如呼吸停止立即进行人工呼吸，就医；</w:t>
                  </w:r>
                </w:p>
                <w:p>
                  <w:pPr>
                    <w:keepNext w:val="0"/>
                    <w:keepLines w:val="0"/>
                    <w:suppressLineNumbers w:val="0"/>
                    <w:spacing w:before="0" w:beforeAutospacing="0" w:after="0" w:afterAutospacing="0"/>
                    <w:ind w:left="-107" w:leftChars="-51" w:right="0" w:firstLine="1"/>
                    <w:jc w:val="left"/>
                    <w:rPr>
                      <w:rFonts w:hint="eastAsia" w:ascii="宋体" w:hAnsi="宋体" w:cs="宋体"/>
                      <w:color w:val="auto"/>
                      <w:kern w:val="0"/>
                      <w:lang w:val="zh-CN" w:bidi="zh-CN"/>
                    </w:rPr>
                  </w:pPr>
                  <w:r>
                    <w:rPr>
                      <w:rFonts w:hint="eastAsia" w:ascii="宋体" w:hAnsi="宋体" w:cs="宋体"/>
                      <w:color w:val="auto"/>
                      <w:kern w:val="0"/>
                      <w:lang w:val="zh-CN" w:bidi="zh-CN"/>
                    </w:rPr>
                    <w:t>食入：饮足量温水，催吐，就医。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4" w:hRule="atLeast"/>
                <w:jc w:val="center"/>
              </w:trPr>
              <w:tc>
                <w:tcPr>
                  <w:tcW w:w="552"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防</w:t>
                  </w:r>
                </w:p>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护</w:t>
                  </w:r>
                </w:p>
              </w:tc>
              <w:tc>
                <w:tcPr>
                  <w:tcW w:w="8205" w:type="dxa"/>
                  <w:gridSpan w:val="15"/>
                  <w:noWrap w:val="0"/>
                  <w:vAlign w:val="center"/>
                </w:tcPr>
                <w:p>
                  <w:pPr>
                    <w:keepNext w:val="0"/>
                    <w:keepLines w:val="0"/>
                    <w:suppressLineNumbers w:val="0"/>
                    <w:spacing w:before="0" w:beforeAutospacing="0" w:after="0" w:afterAutospacing="0"/>
                    <w:ind w:left="-107" w:leftChars="-51" w:right="0" w:firstLine="1"/>
                    <w:rPr>
                      <w:rFonts w:hint="eastAsia" w:ascii="宋体" w:hAnsi="宋体" w:cs="宋体"/>
                      <w:color w:val="auto"/>
                      <w:kern w:val="0"/>
                      <w:lang w:val="zh-CN" w:bidi="zh-CN"/>
                    </w:rPr>
                  </w:pPr>
                  <w:r>
                    <w:rPr>
                      <w:rFonts w:hint="eastAsia" w:ascii="宋体" w:hAnsi="宋体" w:cs="宋体"/>
                      <w:color w:val="auto"/>
                      <w:kern w:val="0"/>
                      <w:lang w:val="zh-CN" w:bidi="zh-CN"/>
                    </w:rPr>
                    <w:t>工程控制：密闭操作，注意通风；</w:t>
                  </w:r>
                </w:p>
                <w:p>
                  <w:pPr>
                    <w:keepNext w:val="0"/>
                    <w:keepLines w:val="0"/>
                    <w:suppressLineNumbers w:val="0"/>
                    <w:spacing w:before="0" w:beforeAutospacing="0" w:after="0" w:afterAutospacing="0"/>
                    <w:ind w:left="-107" w:leftChars="-51" w:right="0" w:firstLine="1"/>
                    <w:rPr>
                      <w:rFonts w:hint="eastAsia" w:ascii="宋体" w:hAnsi="宋体" w:cs="宋体"/>
                      <w:color w:val="auto"/>
                      <w:kern w:val="0"/>
                      <w:lang w:val="zh-CN" w:bidi="zh-CN"/>
                    </w:rPr>
                  </w:pPr>
                  <w:r>
                    <w:rPr>
                      <w:rFonts w:hint="eastAsia" w:ascii="宋体" w:hAnsi="宋体" w:cs="宋体"/>
                      <w:color w:val="auto"/>
                      <w:kern w:val="0"/>
                      <w:lang w:val="zh-CN" w:bidi="zh-CN"/>
                    </w:rPr>
                    <w:t xml:space="preserve">呼吸系统防护：空气中浓度超标时，建议佩戴自吸过滤式防毒面具（半面罩）。紧急事态抢救或撤离时，应该佩戴空气呼吸器。 </w:t>
                  </w:r>
                </w:p>
                <w:p>
                  <w:pPr>
                    <w:keepNext w:val="0"/>
                    <w:keepLines w:val="0"/>
                    <w:suppressLineNumbers w:val="0"/>
                    <w:spacing w:before="0" w:beforeAutospacing="0" w:after="0" w:afterAutospacing="0"/>
                    <w:ind w:left="-107" w:leftChars="-51" w:right="0" w:firstLine="1"/>
                    <w:rPr>
                      <w:rFonts w:hint="eastAsia" w:ascii="宋体" w:hAnsi="宋体" w:cs="宋体"/>
                      <w:color w:val="auto"/>
                      <w:kern w:val="0"/>
                      <w:lang w:val="zh-CN" w:bidi="zh-CN"/>
                    </w:rPr>
                  </w:pPr>
                  <w:r>
                    <w:rPr>
                      <w:rFonts w:hint="eastAsia" w:ascii="宋体" w:hAnsi="宋体" w:cs="宋体"/>
                      <w:color w:val="auto"/>
                      <w:kern w:val="0"/>
                      <w:lang w:val="zh-CN" w:bidi="zh-CN"/>
                    </w:rPr>
                    <w:t>眼睛防护：戴化学安全防护眼镜。</w:t>
                  </w:r>
                </w:p>
                <w:p>
                  <w:pPr>
                    <w:keepNext w:val="0"/>
                    <w:keepLines w:val="0"/>
                    <w:suppressLineNumbers w:val="0"/>
                    <w:spacing w:before="0" w:beforeAutospacing="0" w:after="0" w:afterAutospacing="0"/>
                    <w:ind w:left="-107" w:leftChars="-51" w:right="0" w:firstLine="1"/>
                    <w:rPr>
                      <w:rFonts w:hint="eastAsia" w:ascii="宋体" w:hAnsi="宋体" w:cs="宋体"/>
                      <w:color w:val="auto"/>
                      <w:kern w:val="0"/>
                      <w:lang w:val="zh-CN" w:bidi="zh-CN"/>
                    </w:rPr>
                  </w:pPr>
                  <w:r>
                    <w:rPr>
                      <w:rFonts w:hint="eastAsia" w:ascii="宋体" w:hAnsi="宋体" w:cs="宋体"/>
                      <w:color w:val="auto"/>
                      <w:kern w:val="0"/>
                      <w:lang w:val="zh-CN" w:bidi="zh-CN"/>
                    </w:rPr>
                    <w:t>身体防护：穿一般作业防护服；</w:t>
                  </w:r>
                </w:p>
                <w:p>
                  <w:pPr>
                    <w:keepNext w:val="0"/>
                    <w:keepLines w:val="0"/>
                    <w:suppressLineNumbers w:val="0"/>
                    <w:spacing w:before="0" w:beforeAutospacing="0" w:after="0" w:afterAutospacing="0"/>
                    <w:ind w:left="520" w:leftChars="-51" w:right="0" w:hanging="627" w:hangingChars="299"/>
                    <w:rPr>
                      <w:rFonts w:hint="eastAsia" w:ascii="宋体" w:hAnsi="宋体" w:cs="宋体"/>
                      <w:color w:val="auto"/>
                      <w:kern w:val="0"/>
                      <w:lang w:val="zh-CN" w:bidi="zh-CN"/>
                    </w:rPr>
                  </w:pPr>
                  <w:r>
                    <w:rPr>
                      <w:rFonts w:hint="eastAsia" w:ascii="宋体" w:hAnsi="宋体" w:cs="宋体"/>
                      <w:color w:val="auto"/>
                      <w:kern w:val="0"/>
                      <w:lang w:val="zh-CN" w:bidi="zh-CN"/>
                    </w:rPr>
                    <w:t>手防护：戴橡胶耐油手套；</w:t>
                  </w:r>
                </w:p>
                <w:p>
                  <w:pPr>
                    <w:keepNext w:val="0"/>
                    <w:keepLines w:val="0"/>
                    <w:suppressLineNumbers w:val="0"/>
                    <w:spacing w:before="0" w:beforeAutospacing="0" w:after="0" w:afterAutospacing="0"/>
                    <w:ind w:left="520" w:leftChars="-51" w:right="0" w:hanging="627" w:hangingChars="299"/>
                    <w:rPr>
                      <w:rFonts w:hint="eastAsia" w:ascii="宋体" w:hAnsi="宋体" w:cs="宋体"/>
                      <w:color w:val="auto"/>
                      <w:kern w:val="0"/>
                      <w:lang w:val="zh-CN" w:bidi="zh-CN"/>
                    </w:rPr>
                  </w:pPr>
                  <w:r>
                    <w:rPr>
                      <w:rFonts w:hint="eastAsia" w:ascii="宋体" w:hAnsi="宋体" w:cs="宋体"/>
                      <w:color w:val="auto"/>
                      <w:kern w:val="0"/>
                      <w:lang w:val="zh-CN" w:bidi="zh-CN"/>
                    </w:rPr>
                    <w:t>其他：工作现场严禁吸烟。避免长期反复接触。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552"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泄漏处理</w:t>
                  </w:r>
                </w:p>
              </w:tc>
              <w:tc>
                <w:tcPr>
                  <w:tcW w:w="8205" w:type="dxa"/>
                  <w:gridSpan w:val="15"/>
                  <w:noWrap w:val="0"/>
                  <w:vAlign w:val="center"/>
                </w:tcPr>
                <w:p>
                  <w:pPr>
                    <w:keepNext w:val="0"/>
                    <w:keepLines w:val="0"/>
                    <w:suppressLineNumbers w:val="0"/>
                    <w:spacing w:before="0" w:beforeAutospacing="0" w:after="0" w:afterAutospacing="0"/>
                    <w:ind w:left="-107" w:leftChars="-51" w:right="0" w:firstLine="1"/>
                    <w:rPr>
                      <w:rFonts w:hint="eastAsia" w:ascii="宋体" w:hAnsi="宋体" w:cs="宋体"/>
                      <w:color w:val="auto"/>
                      <w:kern w:val="0"/>
                      <w:lang w:val="zh-CN" w:bidi="zh-CN"/>
                    </w:rPr>
                  </w:pPr>
                  <w:r>
                    <w:rPr>
                      <w:rFonts w:hint="eastAsia" w:ascii="宋体" w:hAnsi="宋体" w:cs="宋体"/>
                      <w:color w:val="auto"/>
                      <w:kern w:val="0"/>
                      <w:lang w:val="zh-CN" w:bidi="zh-CN"/>
                    </w:rPr>
                    <w:t>迅速撤离泄漏污染区人员至安全区，并进行隔离，严格限制出入。切断火源。建议应急处理人员戴自给正压式呼吸器，穿一般作业工作服。尽可能切断泄漏源。防止流入下水道、排洪沟等限制性空间。</w:t>
                  </w:r>
                </w:p>
                <w:p>
                  <w:pPr>
                    <w:keepNext w:val="0"/>
                    <w:keepLines w:val="0"/>
                    <w:suppressLineNumbers w:val="0"/>
                    <w:spacing w:before="0" w:beforeAutospacing="0" w:after="0" w:afterAutospacing="0"/>
                    <w:ind w:left="-107" w:leftChars="-51" w:right="0" w:firstLine="1"/>
                    <w:rPr>
                      <w:rFonts w:hint="eastAsia" w:ascii="宋体" w:hAnsi="宋体" w:cs="宋体"/>
                      <w:color w:val="auto"/>
                      <w:kern w:val="0"/>
                      <w:lang w:val="zh-CN" w:bidi="zh-CN"/>
                    </w:rPr>
                  </w:pPr>
                  <w:r>
                    <w:rPr>
                      <w:rFonts w:hint="eastAsia" w:ascii="宋体" w:hAnsi="宋体" w:cs="宋体"/>
                      <w:color w:val="auto"/>
                      <w:kern w:val="0"/>
                      <w:lang w:val="zh-CN" w:bidi="zh-CN"/>
                    </w:rPr>
                    <w:t>小量泄漏：用活性炭或其它惰性材料吸收。</w:t>
                  </w:r>
                </w:p>
                <w:p>
                  <w:pPr>
                    <w:keepNext w:val="0"/>
                    <w:keepLines w:val="0"/>
                    <w:suppressLineNumbers w:val="0"/>
                    <w:spacing w:before="0" w:beforeAutospacing="0" w:after="0" w:afterAutospacing="0"/>
                    <w:ind w:left="-107" w:leftChars="-51" w:right="0" w:firstLine="1"/>
                    <w:rPr>
                      <w:rFonts w:hint="eastAsia" w:ascii="宋体" w:hAnsi="宋体" w:cs="宋体"/>
                      <w:color w:val="auto"/>
                      <w:kern w:val="0"/>
                      <w:lang w:val="zh-CN" w:bidi="zh-CN"/>
                    </w:rPr>
                  </w:pPr>
                  <w:r>
                    <w:rPr>
                      <w:rFonts w:hint="eastAsia" w:ascii="宋体" w:hAnsi="宋体" w:cs="宋体"/>
                      <w:color w:val="auto"/>
                      <w:kern w:val="0"/>
                      <w:lang w:val="zh-CN" w:bidi="zh-CN"/>
                    </w:rPr>
                    <w:t>大量泄漏：构筑围堤或挖坑收容。用泵转移至槽车或专用收集器内，回收或运至废物处理场所处置。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jc w:val="center"/>
              </w:trPr>
              <w:tc>
                <w:tcPr>
                  <w:tcW w:w="552"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储运</w:t>
                  </w:r>
                </w:p>
              </w:tc>
              <w:tc>
                <w:tcPr>
                  <w:tcW w:w="8205" w:type="dxa"/>
                  <w:gridSpan w:val="15"/>
                  <w:noWrap w:val="0"/>
                  <w:vAlign w:val="center"/>
                </w:tcPr>
                <w:p>
                  <w:pPr>
                    <w:keepNext w:val="0"/>
                    <w:keepLines w:val="0"/>
                    <w:suppressLineNumbers w:val="0"/>
                    <w:spacing w:before="0" w:beforeAutospacing="0" w:after="0" w:afterAutospacing="0"/>
                    <w:ind w:left="-107" w:leftChars="-51" w:right="0" w:firstLine="1"/>
                    <w:rPr>
                      <w:rFonts w:hint="eastAsia" w:ascii="宋体" w:hAnsi="宋体" w:cs="宋体"/>
                      <w:color w:val="auto"/>
                      <w:kern w:val="0"/>
                      <w:lang w:val="zh-CN" w:bidi="zh-CN"/>
                    </w:rPr>
                  </w:pPr>
                  <w:r>
                    <w:rPr>
                      <w:rFonts w:hint="eastAsia" w:ascii="宋体" w:hAnsi="宋体" w:cs="宋体"/>
                      <w:color w:val="auto"/>
                      <w:kern w:val="0"/>
                      <w:lang w:val="zh-CN" w:bidi="zh-CN"/>
                    </w:rPr>
                    <w:t>储存于阴凉、通风的库房。远离火种、热源。应与氧化剂、卤素分开存放，切忌混储。采用防爆型照明、通风设施。禁止使用易产生火花的机械设备和工具。储区应备有泄漏应急处理设备和合适的收容材料。</w:t>
                  </w:r>
                </w:p>
                <w:p>
                  <w:pPr>
                    <w:keepNext w:val="0"/>
                    <w:keepLines w:val="0"/>
                    <w:suppressLineNumbers w:val="0"/>
                    <w:spacing w:before="0" w:beforeAutospacing="0" w:after="0" w:afterAutospacing="0"/>
                    <w:ind w:left="-107" w:leftChars="-51" w:right="0" w:firstLine="1"/>
                    <w:rPr>
                      <w:rFonts w:hint="eastAsia" w:ascii="宋体" w:hAnsi="宋体" w:cs="宋体"/>
                      <w:color w:val="auto"/>
                      <w:kern w:val="0"/>
                      <w:lang w:val="zh-CN" w:bidi="zh-CN"/>
                    </w:rPr>
                  </w:pPr>
                  <w:r>
                    <w:rPr>
                      <w:rFonts w:hint="eastAsia" w:ascii="宋体" w:hAnsi="宋体" w:cs="宋体"/>
                      <w:color w:val="auto"/>
                      <w:kern w:val="0"/>
                      <w:lang w:val="zh-CN" w:bidi="zh-CN"/>
                    </w:rPr>
                    <w:t>运输前应先检查包装容器是否完整、密封，运输过程中要确保容器不泄漏、不倒塌、不坠落、不损坏。运输时运输车辆应配备相应品种和数量的消防器材及泄漏应急处理设备。夏季最好早晚运输。运输时所用的槽（罐）车应有接地链，槽内可设孔隔板以减少震荡产生静电。严禁与氧化剂、卤素、食用化学品等混装混运。运输途中应防曝晒、雨淋，防高温。中途停留时应远离火种、热源、高温区。装运该物品的车辆排气管必须配备阻火装置，禁止使用易产生火花的机械设备和工具装卸。运输车船必须彻底清洗、消毒，否则不得装运其它物品。船运时，配装位置应远离卧室、厨房，并与机舱、电源、火源等部位隔离。公路运输时要按规定路线行驶。</w:t>
                  </w:r>
                </w:p>
              </w:tc>
            </w:tr>
          </w:tbl>
          <w:p>
            <w:pPr>
              <w:keepNext w:val="0"/>
              <w:keepLines w:val="0"/>
              <w:suppressLineNumbers w:val="0"/>
              <w:spacing w:before="0" w:beforeAutospacing="0" w:after="0" w:afterAutospacing="0"/>
              <w:ind w:left="0" w:right="0" w:firstLine="2168" w:firstLineChars="900"/>
              <w:rPr>
                <w:rFonts w:hint="eastAsia" w:ascii="Calibri" w:hAnsi="Calibri" w:cs="Times New Roman"/>
                <w:b/>
                <w:bCs/>
                <w:color w:val="auto"/>
                <w:sz w:val="28"/>
              </w:rPr>
            </w:pPr>
            <w:r>
              <w:rPr>
                <w:rFonts w:hint="eastAsia" w:ascii="宋体" w:hAnsi="宋体" w:cs="宋体"/>
                <w:b/>
                <w:bCs/>
                <w:color w:val="auto"/>
                <w:sz w:val="24"/>
                <w:szCs w:val="24"/>
              </w:rPr>
              <w:t>表4-1</w:t>
            </w:r>
            <w:r>
              <w:rPr>
                <w:rFonts w:hint="default" w:ascii="宋体" w:hAnsi="宋体" w:cs="宋体"/>
                <w:b/>
                <w:bCs/>
                <w:color w:val="auto"/>
                <w:sz w:val="24"/>
                <w:szCs w:val="24"/>
                <w:lang w:val="en-US"/>
              </w:rPr>
              <w:t>5</w:t>
            </w:r>
            <w:r>
              <w:rPr>
                <w:rFonts w:hint="eastAsia" w:ascii="宋体" w:hAnsi="宋体" w:cs="宋体"/>
                <w:b/>
                <w:bCs/>
                <w:color w:val="auto"/>
                <w:sz w:val="24"/>
                <w:szCs w:val="24"/>
              </w:rPr>
              <w:t xml:space="preserve"> </w:t>
            </w:r>
            <w:r>
              <w:rPr>
                <w:rFonts w:hint="eastAsia" w:ascii="宋体" w:hAnsi="宋体" w:cs="宋体"/>
                <w:b/>
                <w:bCs/>
                <w:color w:val="auto"/>
                <w:sz w:val="24"/>
                <w:szCs w:val="24"/>
                <w:lang w:eastAsia="zh-CN"/>
              </w:rPr>
              <w:t>乙醇</w:t>
            </w:r>
            <w:r>
              <w:rPr>
                <w:rFonts w:hint="eastAsia" w:ascii="宋体" w:hAnsi="宋体" w:cs="宋体"/>
                <w:b/>
                <w:bCs/>
                <w:color w:val="auto"/>
                <w:sz w:val="24"/>
                <w:szCs w:val="24"/>
              </w:rPr>
              <w:t>的理化性质及危险特性表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416"/>
              <w:gridCol w:w="267"/>
              <w:gridCol w:w="650"/>
              <w:gridCol w:w="217"/>
              <w:gridCol w:w="700"/>
              <w:gridCol w:w="912"/>
              <w:gridCol w:w="754"/>
              <w:gridCol w:w="463"/>
              <w:gridCol w:w="304"/>
              <w:gridCol w:w="914"/>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9" w:type="dxa"/>
                  <w:vMerge w:val="restart"/>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标识</w:t>
                  </w:r>
                </w:p>
              </w:tc>
              <w:tc>
                <w:tcPr>
                  <w:tcW w:w="5597" w:type="dxa"/>
                  <w:gridSpan w:val="10"/>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中文名：乙醇</w:t>
                  </w:r>
                  <w:r>
                    <w:rPr>
                      <w:rFonts w:hint="default" w:ascii="Times New Roman" w:hAnsi="Times New Roman" w:eastAsia="宋体" w:cs="Times New Roman"/>
                      <w:b/>
                      <w:color w:val="auto"/>
                      <w:sz w:val="21"/>
                      <w:szCs w:val="21"/>
                    </w:rPr>
                    <w:t>[</w:t>
                  </w:r>
                  <w:r>
                    <w:rPr>
                      <w:rFonts w:hint="default" w:ascii="Times New Roman" w:hAnsi="Times New Roman" w:eastAsia="宋体" w:cs="Times New Roman"/>
                      <w:color w:val="auto"/>
                      <w:sz w:val="21"/>
                      <w:szCs w:val="21"/>
                    </w:rPr>
                    <w:t>无水</w:t>
                  </w:r>
                  <w:r>
                    <w:rPr>
                      <w:rFonts w:hint="default" w:ascii="Times New Roman" w:hAnsi="Times New Roman" w:eastAsia="宋体" w:cs="Times New Roman"/>
                      <w:b/>
                      <w:color w:val="auto"/>
                      <w:sz w:val="21"/>
                      <w:szCs w:val="21"/>
                    </w:rPr>
                    <w:t>]</w:t>
                  </w:r>
                  <w:r>
                    <w:rPr>
                      <w:rFonts w:hint="default" w:ascii="Times New Roman" w:hAnsi="Times New Roman" w:eastAsia="宋体" w:cs="Times New Roman"/>
                      <w:color w:val="auto"/>
                      <w:sz w:val="21"/>
                      <w:szCs w:val="21"/>
                    </w:rPr>
                    <w:t>；无水酒精</w:t>
                  </w:r>
                </w:p>
              </w:tc>
              <w:tc>
                <w:tcPr>
                  <w:tcW w:w="2436" w:type="dxa"/>
                  <w:gridSpan w:val="2"/>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危险货物编号：</w:t>
                  </w:r>
                  <w:r>
                    <w:rPr>
                      <w:rFonts w:hint="default" w:ascii="Times New Roman" w:hAnsi="Times New Roman" w:eastAsia="宋体" w:cs="Times New Roman"/>
                      <w:b/>
                      <w:color w:val="auto"/>
                      <w:sz w:val="21"/>
                      <w:szCs w:val="21"/>
                    </w:rPr>
                    <w:t>32061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9" w:type="dxa"/>
                  <w:vMerge w:val="continue"/>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p>
              </w:tc>
              <w:tc>
                <w:tcPr>
                  <w:tcW w:w="5597" w:type="dxa"/>
                  <w:gridSpan w:val="10"/>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英文名：</w:t>
                  </w:r>
                  <w:r>
                    <w:rPr>
                      <w:rFonts w:hint="default" w:ascii="Times New Roman" w:hAnsi="Times New Roman" w:eastAsia="宋体" w:cs="Times New Roman"/>
                      <w:b/>
                      <w:color w:val="auto"/>
                      <w:sz w:val="21"/>
                      <w:szCs w:val="21"/>
                    </w:rPr>
                    <w:t>ethyl alcohol</w:t>
                  </w:r>
                  <w:r>
                    <w:rPr>
                      <w:rFonts w:hint="default" w:ascii="Times New Roman" w:hAnsi="Times New Roman" w:eastAsia="宋体" w:cs="Times New Roman"/>
                      <w:color w:val="auto"/>
                      <w:sz w:val="21"/>
                      <w:szCs w:val="21"/>
                    </w:rPr>
                    <w:t>；</w:t>
                  </w:r>
                  <w:r>
                    <w:rPr>
                      <w:rFonts w:hint="default" w:ascii="Times New Roman" w:hAnsi="Times New Roman" w:eastAsia="宋体" w:cs="Times New Roman"/>
                      <w:b/>
                      <w:color w:val="auto"/>
                      <w:sz w:val="21"/>
                      <w:szCs w:val="21"/>
                    </w:rPr>
                    <w:t>ethanol</w:t>
                  </w:r>
                </w:p>
              </w:tc>
              <w:tc>
                <w:tcPr>
                  <w:tcW w:w="2436" w:type="dxa"/>
                  <w:gridSpan w:val="2"/>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b/>
                      <w:color w:val="auto"/>
                      <w:sz w:val="21"/>
                      <w:szCs w:val="21"/>
                    </w:rPr>
                    <w:t>UN</w:t>
                  </w:r>
                  <w:r>
                    <w:rPr>
                      <w:rFonts w:hint="default" w:ascii="Times New Roman" w:hAnsi="Times New Roman" w:eastAsia="宋体" w:cs="Times New Roman"/>
                      <w:color w:val="auto"/>
                      <w:sz w:val="21"/>
                      <w:szCs w:val="21"/>
                    </w:rPr>
                    <w:t>编号：</w:t>
                  </w:r>
                  <w:r>
                    <w:rPr>
                      <w:rFonts w:hint="default" w:ascii="Times New Roman" w:hAnsi="Times New Roman" w:eastAsia="宋体" w:cs="Times New Roman"/>
                      <w:b/>
                      <w:color w:val="auto"/>
                      <w:sz w:val="21"/>
                      <w:szCs w:val="21"/>
                    </w:rPr>
                    <w:t>1170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9" w:type="dxa"/>
                  <w:vMerge w:val="continue"/>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p>
              </w:tc>
              <w:tc>
                <w:tcPr>
                  <w:tcW w:w="3162" w:type="dxa"/>
                  <w:gridSpan w:val="6"/>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分子式：</w:t>
                  </w:r>
                  <w:r>
                    <w:rPr>
                      <w:rFonts w:hint="default" w:ascii="Times New Roman" w:hAnsi="Times New Roman" w:eastAsia="宋体" w:cs="Times New Roman"/>
                      <w:b/>
                      <w:color w:val="auto"/>
                      <w:sz w:val="21"/>
                      <w:szCs w:val="21"/>
                    </w:rPr>
                    <w:t>C</w:t>
                  </w:r>
                  <w:r>
                    <w:rPr>
                      <w:rFonts w:hint="default" w:ascii="Times New Roman" w:hAnsi="Times New Roman" w:eastAsia="宋体" w:cs="Times New Roman"/>
                      <w:b/>
                      <w:color w:val="auto"/>
                      <w:sz w:val="21"/>
                      <w:szCs w:val="21"/>
                      <w:vertAlign w:val="subscript"/>
                      <w:lang w:val="en-US" w:eastAsia="zh-CN"/>
                    </w:rPr>
                    <w:t>2</w:t>
                  </w:r>
                  <w:r>
                    <w:rPr>
                      <w:rFonts w:hint="default" w:ascii="Times New Roman" w:hAnsi="Times New Roman" w:eastAsia="宋体" w:cs="Times New Roman"/>
                      <w:b/>
                      <w:color w:val="auto"/>
                      <w:sz w:val="21"/>
                      <w:szCs w:val="21"/>
                    </w:rPr>
                    <w:t>H</w:t>
                  </w:r>
                  <w:r>
                    <w:rPr>
                      <w:rFonts w:hint="default" w:ascii="Times New Roman" w:hAnsi="Times New Roman" w:eastAsia="宋体" w:cs="Times New Roman"/>
                      <w:b/>
                      <w:color w:val="auto"/>
                      <w:sz w:val="21"/>
                      <w:szCs w:val="21"/>
                      <w:vertAlign w:val="subscript"/>
                      <w:lang w:val="en-US" w:eastAsia="zh-CN"/>
                    </w:rPr>
                    <w:t>6</w:t>
                  </w:r>
                  <w:r>
                    <w:rPr>
                      <w:rFonts w:hint="default" w:ascii="Times New Roman" w:hAnsi="Times New Roman" w:eastAsia="宋体" w:cs="Times New Roman"/>
                      <w:b/>
                      <w:color w:val="auto"/>
                      <w:sz w:val="21"/>
                      <w:szCs w:val="21"/>
                    </w:rPr>
                    <w:t>O</w:t>
                  </w:r>
                </w:p>
              </w:tc>
              <w:tc>
                <w:tcPr>
                  <w:tcW w:w="2435" w:type="dxa"/>
                  <w:gridSpan w:val="4"/>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分子量：</w:t>
                  </w:r>
                  <w:r>
                    <w:rPr>
                      <w:rFonts w:hint="default" w:ascii="Times New Roman" w:hAnsi="Times New Roman" w:eastAsia="宋体" w:cs="Times New Roman"/>
                      <w:b/>
                      <w:color w:val="auto"/>
                      <w:sz w:val="21"/>
                      <w:szCs w:val="21"/>
                    </w:rPr>
                    <w:t>46.07</w:t>
                  </w:r>
                </w:p>
              </w:tc>
              <w:tc>
                <w:tcPr>
                  <w:tcW w:w="2436" w:type="dxa"/>
                  <w:gridSpan w:val="2"/>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b/>
                      <w:color w:val="auto"/>
                      <w:sz w:val="21"/>
                      <w:szCs w:val="21"/>
                    </w:rPr>
                    <w:t>CAS</w:t>
                  </w:r>
                  <w:r>
                    <w:rPr>
                      <w:rFonts w:hint="default" w:ascii="Times New Roman" w:hAnsi="Times New Roman" w:eastAsia="宋体" w:cs="Times New Roman"/>
                      <w:color w:val="auto"/>
                      <w:sz w:val="21"/>
                      <w:szCs w:val="21"/>
                    </w:rPr>
                    <w:t>号：</w:t>
                  </w:r>
                  <w:r>
                    <w:rPr>
                      <w:rFonts w:hint="default" w:ascii="Times New Roman" w:hAnsi="Times New Roman" w:eastAsia="宋体" w:cs="Times New Roman"/>
                      <w:b/>
                      <w:color w:val="auto"/>
                      <w:sz w:val="21"/>
                      <w:szCs w:val="21"/>
                    </w:rPr>
                    <w:t>64-17-5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9" w:type="dxa"/>
                  <w:vMerge w:val="restart"/>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理化性质</w:t>
                  </w:r>
                </w:p>
              </w:tc>
              <w:tc>
                <w:tcPr>
                  <w:tcW w:w="1333" w:type="dxa"/>
                  <w:gridSpan w:val="3"/>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外观与性状</w:t>
                  </w:r>
                </w:p>
              </w:tc>
              <w:tc>
                <w:tcPr>
                  <w:tcW w:w="6700" w:type="dxa"/>
                  <w:gridSpan w:val="9"/>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b/>
                      <w:color w:val="auto"/>
                      <w:sz w:val="21"/>
                      <w:szCs w:val="21"/>
                    </w:rPr>
                    <w:t xml:space="preserve"> </w:t>
                  </w:r>
                  <w:r>
                    <w:rPr>
                      <w:rFonts w:hint="default" w:ascii="Times New Roman" w:hAnsi="Times New Roman" w:eastAsia="宋体" w:cs="Times New Roman"/>
                      <w:color w:val="auto"/>
                      <w:sz w:val="21"/>
                      <w:szCs w:val="21"/>
                    </w:rPr>
                    <w:t>无色液体，有酒香。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9" w:type="dxa"/>
                  <w:vMerge w:val="continue"/>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p>
              </w:tc>
              <w:tc>
                <w:tcPr>
                  <w:tcW w:w="1333" w:type="dxa"/>
                  <w:gridSpan w:val="3"/>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熔点（℃）</w:t>
                  </w:r>
                </w:p>
              </w:tc>
              <w:tc>
                <w:tcPr>
                  <w:tcW w:w="917" w:type="dxa"/>
                  <w:gridSpan w:val="2"/>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b/>
                      <w:color w:val="auto"/>
                      <w:sz w:val="21"/>
                      <w:szCs w:val="21"/>
                    </w:rPr>
                    <w:t xml:space="preserve"> -114.1</w:t>
                  </w:r>
                </w:p>
              </w:tc>
              <w:tc>
                <w:tcPr>
                  <w:tcW w:w="1666" w:type="dxa"/>
                  <w:gridSpan w:val="2"/>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相对密度</w:t>
                  </w:r>
                  <w:r>
                    <w:rPr>
                      <w:rFonts w:hint="default" w:ascii="Times New Roman" w:hAnsi="Times New Roman" w:eastAsia="宋体" w:cs="Times New Roman"/>
                      <w:b/>
                      <w:color w:val="auto"/>
                      <w:sz w:val="21"/>
                      <w:szCs w:val="21"/>
                    </w:rPr>
                    <w:t>(</w:t>
                  </w:r>
                  <w:r>
                    <w:rPr>
                      <w:rFonts w:hint="default" w:ascii="Times New Roman" w:hAnsi="Times New Roman" w:eastAsia="宋体" w:cs="Times New Roman"/>
                      <w:color w:val="auto"/>
                      <w:sz w:val="21"/>
                      <w:szCs w:val="21"/>
                    </w:rPr>
                    <w:t>水</w:t>
                  </w:r>
                  <w:r>
                    <w:rPr>
                      <w:rFonts w:hint="default" w:ascii="Times New Roman" w:hAnsi="Times New Roman" w:eastAsia="宋体" w:cs="Times New Roman"/>
                      <w:b/>
                      <w:color w:val="auto"/>
                      <w:sz w:val="21"/>
                      <w:szCs w:val="21"/>
                    </w:rPr>
                    <w:t>=1)</w:t>
                  </w:r>
                </w:p>
              </w:tc>
              <w:tc>
                <w:tcPr>
                  <w:tcW w:w="767" w:type="dxa"/>
                  <w:gridSpan w:val="2"/>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b/>
                      <w:color w:val="auto"/>
                      <w:sz w:val="21"/>
                      <w:szCs w:val="21"/>
                    </w:rPr>
                    <w:t xml:space="preserve"> 0.79</w:t>
                  </w:r>
                </w:p>
              </w:tc>
              <w:tc>
                <w:tcPr>
                  <w:tcW w:w="2132" w:type="dxa"/>
                  <w:gridSpan w:val="2"/>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相对密度</w:t>
                  </w:r>
                  <w:r>
                    <w:rPr>
                      <w:rFonts w:hint="default" w:ascii="Times New Roman" w:hAnsi="Times New Roman" w:eastAsia="宋体" w:cs="Times New Roman"/>
                      <w:b/>
                      <w:color w:val="auto"/>
                      <w:sz w:val="21"/>
                      <w:szCs w:val="21"/>
                    </w:rPr>
                    <w:t>(</w:t>
                  </w:r>
                  <w:r>
                    <w:rPr>
                      <w:rFonts w:hint="default" w:ascii="Times New Roman" w:hAnsi="Times New Roman" w:eastAsia="宋体" w:cs="Times New Roman"/>
                      <w:color w:val="auto"/>
                      <w:sz w:val="21"/>
                      <w:szCs w:val="21"/>
                    </w:rPr>
                    <w:t>空气</w:t>
                  </w:r>
                  <w:r>
                    <w:rPr>
                      <w:rFonts w:hint="default" w:ascii="Times New Roman" w:hAnsi="Times New Roman" w:eastAsia="宋体" w:cs="Times New Roman"/>
                      <w:b/>
                      <w:color w:val="auto"/>
                      <w:sz w:val="21"/>
                      <w:szCs w:val="21"/>
                    </w:rPr>
                    <w:t>=1)</w:t>
                  </w:r>
                </w:p>
              </w:tc>
              <w:tc>
                <w:tcPr>
                  <w:tcW w:w="1218" w:type="dxa"/>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b/>
                      <w:color w:val="auto"/>
                      <w:sz w:val="21"/>
                      <w:szCs w:val="21"/>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9" w:type="dxa"/>
                  <w:vMerge w:val="continue"/>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p>
              </w:tc>
              <w:tc>
                <w:tcPr>
                  <w:tcW w:w="1333" w:type="dxa"/>
                  <w:gridSpan w:val="3"/>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沸点（℃）</w:t>
                  </w:r>
                </w:p>
              </w:tc>
              <w:tc>
                <w:tcPr>
                  <w:tcW w:w="1829" w:type="dxa"/>
                  <w:gridSpan w:val="3"/>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b/>
                      <w:color w:val="auto"/>
                      <w:sz w:val="21"/>
                      <w:szCs w:val="21"/>
                    </w:rPr>
                    <w:t>78.3</w:t>
                  </w:r>
                </w:p>
              </w:tc>
              <w:tc>
                <w:tcPr>
                  <w:tcW w:w="2435" w:type="dxa"/>
                  <w:gridSpan w:val="4"/>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饱和蒸气压（</w:t>
                  </w:r>
                  <w:r>
                    <w:rPr>
                      <w:rFonts w:hint="default" w:ascii="Times New Roman" w:hAnsi="Times New Roman" w:eastAsia="宋体" w:cs="Times New Roman"/>
                      <w:b/>
                      <w:color w:val="auto"/>
                      <w:sz w:val="21"/>
                      <w:szCs w:val="21"/>
                    </w:rPr>
                    <w:t>kPa</w:t>
                  </w:r>
                  <w:r>
                    <w:rPr>
                      <w:rFonts w:hint="default" w:ascii="Times New Roman" w:hAnsi="Times New Roman" w:eastAsia="宋体" w:cs="Times New Roman"/>
                      <w:color w:val="auto"/>
                      <w:sz w:val="21"/>
                      <w:szCs w:val="21"/>
                    </w:rPr>
                    <w:t>）</w:t>
                  </w:r>
                </w:p>
              </w:tc>
              <w:tc>
                <w:tcPr>
                  <w:tcW w:w="2436" w:type="dxa"/>
                  <w:gridSpan w:val="2"/>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b/>
                      <w:color w:val="auto"/>
                      <w:sz w:val="21"/>
                      <w:szCs w:val="21"/>
                    </w:rPr>
                    <w:t>5.33/19</w:t>
                  </w: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9" w:type="dxa"/>
                  <w:vMerge w:val="continue"/>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p>
              </w:tc>
              <w:tc>
                <w:tcPr>
                  <w:tcW w:w="1333" w:type="dxa"/>
                  <w:gridSpan w:val="3"/>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溶解性</w:t>
                  </w:r>
                </w:p>
              </w:tc>
              <w:tc>
                <w:tcPr>
                  <w:tcW w:w="6700" w:type="dxa"/>
                  <w:gridSpan w:val="9"/>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与水混溶，可混溶于醚、氯仿、甘油等多数有机溶剂。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9" w:type="dxa"/>
                  <w:vMerge w:val="restart"/>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毒性及健康危害</w:t>
                  </w:r>
                </w:p>
              </w:tc>
              <w:tc>
                <w:tcPr>
                  <w:tcW w:w="1333" w:type="dxa"/>
                  <w:gridSpan w:val="3"/>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侵入途径</w:t>
                  </w:r>
                </w:p>
              </w:tc>
              <w:tc>
                <w:tcPr>
                  <w:tcW w:w="6700" w:type="dxa"/>
                  <w:gridSpan w:val="9"/>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吸入、食入、经皮吸收。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9" w:type="dxa"/>
                  <w:vMerge w:val="continue"/>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p>
              </w:tc>
              <w:tc>
                <w:tcPr>
                  <w:tcW w:w="683" w:type="dxa"/>
                  <w:gridSpan w:val="2"/>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毒性</w:t>
                  </w:r>
                </w:p>
              </w:tc>
              <w:tc>
                <w:tcPr>
                  <w:tcW w:w="7350" w:type="dxa"/>
                  <w:gridSpan w:val="10"/>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LD</w:t>
                  </w:r>
                  <w:r>
                    <w:rPr>
                      <w:rFonts w:hint="default" w:ascii="Times New Roman" w:hAnsi="Times New Roman" w:eastAsia="宋体" w:cs="Times New Roman"/>
                      <w:b/>
                      <w:color w:val="auto"/>
                      <w:sz w:val="21"/>
                      <w:szCs w:val="21"/>
                      <w:vertAlign w:val="subscript"/>
                      <w:lang w:val="en-US" w:eastAsia="zh-CN"/>
                    </w:rPr>
                    <w:t>50</w:t>
                  </w:r>
                  <w:r>
                    <w:rPr>
                      <w:rFonts w:hint="default" w:ascii="Times New Roman" w:hAnsi="Times New Roman" w:eastAsia="宋体" w:cs="Times New Roman"/>
                      <w:color w:val="auto"/>
                      <w:sz w:val="21"/>
                      <w:szCs w:val="21"/>
                    </w:rPr>
                    <w:t>：</w:t>
                  </w:r>
                  <w:r>
                    <w:rPr>
                      <w:rFonts w:hint="default" w:ascii="Times New Roman" w:hAnsi="Times New Roman" w:eastAsia="宋体" w:cs="Times New Roman"/>
                      <w:b/>
                      <w:color w:val="auto"/>
                      <w:sz w:val="21"/>
                      <w:szCs w:val="21"/>
                    </w:rPr>
                    <w:t>7060mg/kg(</w:t>
                  </w:r>
                  <w:r>
                    <w:rPr>
                      <w:rFonts w:hint="default" w:ascii="Times New Roman" w:hAnsi="Times New Roman" w:eastAsia="宋体" w:cs="Times New Roman"/>
                      <w:color w:val="auto"/>
                      <w:sz w:val="21"/>
                      <w:szCs w:val="21"/>
                    </w:rPr>
                    <w:t>兔经口</w:t>
                  </w:r>
                  <w:r>
                    <w:rPr>
                      <w:rFonts w:hint="default" w:ascii="Times New Roman" w:hAnsi="Times New Roman" w:eastAsia="宋体" w:cs="Times New Roman"/>
                      <w:b/>
                      <w:color w:val="auto"/>
                      <w:sz w:val="21"/>
                      <w:szCs w:val="21"/>
                    </w:rPr>
                    <w:t>)</w:t>
                  </w:r>
                  <w:r>
                    <w:rPr>
                      <w:rFonts w:hint="default" w:ascii="Times New Roman" w:hAnsi="Times New Roman" w:eastAsia="宋体" w:cs="Times New Roman"/>
                      <w:color w:val="auto"/>
                      <w:sz w:val="21"/>
                      <w:szCs w:val="21"/>
                    </w:rPr>
                    <w:t>；</w:t>
                  </w:r>
                  <w:r>
                    <w:rPr>
                      <w:rFonts w:hint="default" w:ascii="Times New Roman" w:hAnsi="Times New Roman" w:eastAsia="宋体" w:cs="Times New Roman"/>
                      <w:b/>
                      <w:color w:val="auto"/>
                      <w:sz w:val="21"/>
                      <w:szCs w:val="21"/>
                    </w:rPr>
                    <w:t>7340mg/kg(</w:t>
                  </w:r>
                  <w:r>
                    <w:rPr>
                      <w:rFonts w:hint="default" w:ascii="Times New Roman" w:hAnsi="Times New Roman" w:eastAsia="宋体" w:cs="Times New Roman"/>
                      <w:color w:val="auto"/>
                      <w:sz w:val="21"/>
                      <w:szCs w:val="21"/>
                    </w:rPr>
                    <w:t>兔经皮</w:t>
                  </w:r>
                  <w:r>
                    <w:rPr>
                      <w:rFonts w:hint="default" w:ascii="Times New Roman" w:hAnsi="Times New Roman" w:eastAsia="宋体" w:cs="Times New Roman"/>
                      <w:b/>
                      <w:color w:val="auto"/>
                      <w:sz w:val="21"/>
                      <w:szCs w:val="21"/>
                    </w:rPr>
                    <w:t>)</w:t>
                  </w:r>
                  <w:r>
                    <w:rPr>
                      <w:rFonts w:hint="default" w:ascii="Times New Roman" w:hAnsi="Times New Roman" w:eastAsia="宋体" w:cs="Times New Roman"/>
                      <w:color w:val="auto"/>
                      <w:sz w:val="21"/>
                      <w:szCs w:val="21"/>
                    </w:rPr>
                    <w:t>；</w:t>
                  </w:r>
                </w:p>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LC</w:t>
                  </w:r>
                  <w:r>
                    <w:rPr>
                      <w:rFonts w:hint="default" w:ascii="Times New Roman" w:hAnsi="Times New Roman" w:eastAsia="宋体" w:cs="Times New Roman"/>
                      <w:b/>
                      <w:color w:val="auto"/>
                      <w:sz w:val="21"/>
                      <w:szCs w:val="21"/>
                      <w:vertAlign w:val="subscript"/>
                      <w:lang w:val="en-US" w:eastAsia="zh-CN"/>
                    </w:rPr>
                    <w:t>50</w:t>
                  </w:r>
                  <w:r>
                    <w:rPr>
                      <w:rFonts w:hint="default" w:ascii="Times New Roman" w:hAnsi="Times New Roman" w:eastAsia="宋体" w:cs="Times New Roman"/>
                      <w:color w:val="auto"/>
                      <w:sz w:val="21"/>
                      <w:szCs w:val="21"/>
                    </w:rPr>
                    <w:t>：</w:t>
                  </w:r>
                  <w:r>
                    <w:rPr>
                      <w:rFonts w:hint="default" w:ascii="Times New Roman" w:hAnsi="Times New Roman" w:eastAsia="宋体" w:cs="Times New Roman"/>
                      <w:b/>
                      <w:color w:val="auto"/>
                      <w:sz w:val="21"/>
                      <w:szCs w:val="21"/>
                    </w:rPr>
                    <w:t>37620mg/m</w:t>
                  </w:r>
                  <w:r>
                    <w:rPr>
                      <w:rFonts w:hint="default" w:ascii="Times New Roman" w:hAnsi="Times New Roman" w:eastAsia="宋体" w:cs="Times New Roman"/>
                      <w:b/>
                      <w:color w:val="auto"/>
                      <w:sz w:val="21"/>
                      <w:szCs w:val="21"/>
                      <w:vertAlign w:val="superscript"/>
                      <w:lang w:val="en-US" w:eastAsia="zh-CN"/>
                    </w:rPr>
                    <w:t>3</w:t>
                  </w:r>
                  <w:r>
                    <w:rPr>
                      <w:rFonts w:hint="default" w:ascii="Times New Roman" w:hAnsi="Times New Roman" w:eastAsia="宋体" w:cs="Times New Roman"/>
                      <w:color w:val="auto"/>
                      <w:sz w:val="21"/>
                      <w:szCs w:val="21"/>
                    </w:rPr>
                    <w:t>，</w:t>
                  </w:r>
                  <w:r>
                    <w:rPr>
                      <w:rFonts w:hint="default" w:ascii="Times New Roman" w:hAnsi="Times New Roman" w:eastAsia="宋体" w:cs="Times New Roman"/>
                      <w:b/>
                      <w:color w:val="auto"/>
                      <w:sz w:val="21"/>
                      <w:szCs w:val="21"/>
                    </w:rPr>
                    <w:t>10</w:t>
                  </w:r>
                  <w:r>
                    <w:rPr>
                      <w:rFonts w:hint="default" w:ascii="Times New Roman" w:hAnsi="Times New Roman" w:eastAsia="宋体" w:cs="Times New Roman"/>
                      <w:color w:val="auto"/>
                      <w:sz w:val="21"/>
                      <w:szCs w:val="21"/>
                    </w:rPr>
                    <w:t>小时</w:t>
                  </w:r>
                  <w:r>
                    <w:rPr>
                      <w:rFonts w:hint="default" w:ascii="Times New Roman" w:hAnsi="Times New Roman" w:eastAsia="宋体" w:cs="Times New Roman"/>
                      <w:b/>
                      <w:color w:val="auto"/>
                      <w:sz w:val="21"/>
                      <w:szCs w:val="21"/>
                    </w:rPr>
                    <w:t>(</w:t>
                  </w:r>
                  <w:r>
                    <w:rPr>
                      <w:rFonts w:hint="default" w:ascii="Times New Roman" w:hAnsi="Times New Roman" w:eastAsia="宋体" w:cs="Times New Roman"/>
                      <w:color w:val="auto"/>
                      <w:sz w:val="21"/>
                      <w:szCs w:val="21"/>
                    </w:rPr>
                    <w:t>大鼠吸入</w:t>
                  </w:r>
                  <w:r>
                    <w:rPr>
                      <w:rFonts w:hint="default" w:ascii="Times New Roman" w:hAnsi="Times New Roman" w:eastAsia="宋体" w:cs="Times New Roman"/>
                      <w:b/>
                      <w:color w:val="auto"/>
                      <w:sz w:val="21"/>
                      <w:szCs w:val="21"/>
                    </w:rPr>
                    <w:t>)</w:t>
                  </w:r>
                  <w:r>
                    <w:rPr>
                      <w:rFonts w:hint="default" w:ascii="Times New Roman" w:hAnsi="Times New Roman" w:eastAsia="宋体" w:cs="Times New Roman"/>
                      <w:color w:val="auto"/>
                      <w:sz w:val="21"/>
                      <w:szCs w:val="21"/>
                    </w:rPr>
                    <w:t>；人吸入</w:t>
                  </w:r>
                  <w:r>
                    <w:rPr>
                      <w:rFonts w:hint="default" w:ascii="Times New Roman" w:hAnsi="Times New Roman" w:eastAsia="宋体" w:cs="Times New Roman"/>
                      <w:b/>
                      <w:color w:val="auto"/>
                      <w:sz w:val="21"/>
                      <w:szCs w:val="21"/>
                    </w:rPr>
                    <w:t>4.3mg/L×50</w:t>
                  </w:r>
                  <w:r>
                    <w:rPr>
                      <w:rFonts w:hint="default" w:ascii="Times New Roman" w:hAnsi="Times New Roman" w:eastAsia="宋体" w:cs="Times New Roman"/>
                      <w:color w:val="auto"/>
                      <w:sz w:val="21"/>
                      <w:szCs w:val="21"/>
                    </w:rPr>
                    <w:t>分钟，头面部发热，四肢发凉，头痛；人吸入</w:t>
                  </w:r>
                  <w:r>
                    <w:rPr>
                      <w:rFonts w:hint="default" w:ascii="Times New Roman" w:hAnsi="Times New Roman" w:eastAsia="宋体" w:cs="Times New Roman"/>
                      <w:b/>
                      <w:color w:val="auto"/>
                      <w:sz w:val="21"/>
                      <w:szCs w:val="21"/>
                    </w:rPr>
                    <w:t>2.6mg/L×39</w:t>
                  </w:r>
                  <w:r>
                    <w:rPr>
                      <w:rFonts w:hint="default" w:ascii="Times New Roman" w:hAnsi="Times New Roman" w:eastAsia="宋体" w:cs="Times New Roman"/>
                      <w:color w:val="auto"/>
                      <w:sz w:val="21"/>
                      <w:szCs w:val="21"/>
                    </w:rPr>
                    <w:t>分钟，头痛，无后作用。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9" w:type="dxa"/>
                  <w:vMerge w:val="continue"/>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p>
              </w:tc>
              <w:tc>
                <w:tcPr>
                  <w:tcW w:w="683" w:type="dxa"/>
                  <w:gridSpan w:val="2"/>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健康危害</w:t>
                  </w:r>
                </w:p>
              </w:tc>
              <w:tc>
                <w:tcPr>
                  <w:tcW w:w="7350" w:type="dxa"/>
                  <w:gridSpan w:val="10"/>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本品为中枢神经系统抑制剂。首先引起兴奋，随后抑制。急性中毒：急性中毒多发生于口服。一般可分为兴奋、催眠、麻醉、窒息四阶段。患者进入第三或第四阶段，出现意识丧失、瞳孔扩大、呼吸不规律、休克、心力循环衰竭及呼吸停止。慢性影响：在生产中长期接触高浓度本品可引起鼻、眼、粘膜刺激症状，以及头痛、头晕、疲乏、易激动、震颤、恶心等。长期酗酒可引起多发性神经病、慢性胃炎、脂肪肝、肝硬化、心肌损害及器质性精神病等。皮肤长期接触可引起干燥、脱屑、皲裂和皮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9" w:type="dxa"/>
                  <w:vMerge w:val="continue"/>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p>
              </w:tc>
              <w:tc>
                <w:tcPr>
                  <w:tcW w:w="683" w:type="dxa"/>
                  <w:gridSpan w:val="2"/>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急救方法</w:t>
                  </w:r>
                </w:p>
              </w:tc>
              <w:tc>
                <w:tcPr>
                  <w:tcW w:w="7350" w:type="dxa"/>
                  <w:gridSpan w:val="10"/>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皮肤接触：脱去被污染的衣着，用流动清水冲洗。</w:t>
                  </w:r>
                  <w:r>
                    <w:rPr>
                      <w:rFonts w:hint="default" w:ascii="Times New Roman" w:hAnsi="Times New Roman" w:eastAsia="宋体" w:cs="Times New Roman"/>
                      <w:b/>
                      <w:color w:val="auto"/>
                      <w:sz w:val="21"/>
                      <w:szCs w:val="21"/>
                    </w:rPr>
                    <w:t xml:space="preserve"> 
</w:t>
                  </w:r>
                  <w:r>
                    <w:rPr>
                      <w:rFonts w:hint="default" w:ascii="Times New Roman" w:hAnsi="Times New Roman" w:eastAsia="宋体" w:cs="Times New Roman"/>
                      <w:color w:val="auto"/>
                      <w:sz w:val="21"/>
                      <w:szCs w:val="21"/>
                    </w:rPr>
                    <w:br w:type="textWrapping"/>
                  </w:r>
                  <w:r>
                    <w:rPr>
                      <w:rFonts w:hint="default" w:ascii="Times New Roman" w:hAnsi="Times New Roman" w:eastAsia="宋体" w:cs="Times New Roman"/>
                      <w:color w:val="auto"/>
                      <w:sz w:val="21"/>
                      <w:szCs w:val="21"/>
                    </w:rPr>
                    <w:t>眼睛接触：提起眼睑，用流动清水或生理盐水冲洗。就医。</w:t>
                  </w:r>
                  <w:r>
                    <w:rPr>
                      <w:rFonts w:hint="default" w:ascii="Times New Roman" w:hAnsi="Times New Roman" w:eastAsia="宋体" w:cs="Times New Roman"/>
                      <w:b/>
                      <w:color w:val="auto"/>
                      <w:sz w:val="21"/>
                      <w:szCs w:val="21"/>
                    </w:rPr>
                    <w:t xml:space="preserve">  </w:t>
                  </w:r>
                  <w:r>
                    <w:rPr>
                      <w:rFonts w:hint="default" w:ascii="Times New Roman" w:hAnsi="Times New Roman" w:eastAsia="宋体" w:cs="Times New Roman"/>
                      <w:color w:val="auto"/>
                      <w:sz w:val="21"/>
                      <w:szCs w:val="21"/>
                    </w:rPr>
                    <w:br w:type="textWrapping"/>
                  </w:r>
                  <w:r>
                    <w:rPr>
                      <w:rFonts w:hint="default" w:ascii="Times New Roman" w:hAnsi="Times New Roman" w:eastAsia="宋体" w:cs="Times New Roman"/>
                      <w:color w:val="auto"/>
                      <w:sz w:val="21"/>
                      <w:szCs w:val="21"/>
                    </w:rPr>
                    <w:t>吸入：迅速脱离现场至空气新鲜处。就医。</w:t>
                  </w:r>
                  <w:r>
                    <w:rPr>
                      <w:rFonts w:hint="default" w:ascii="Times New Roman" w:hAnsi="Times New Roman" w:eastAsia="宋体" w:cs="Times New Roman"/>
                      <w:b/>
                      <w:color w:val="auto"/>
                      <w:sz w:val="21"/>
                      <w:szCs w:val="21"/>
                    </w:rPr>
                    <w:t xml:space="preserve"> </w:t>
                  </w:r>
                  <w:r>
                    <w:rPr>
                      <w:rFonts w:hint="default" w:ascii="Times New Roman" w:hAnsi="Times New Roman" w:eastAsia="宋体" w:cs="Times New Roman"/>
                      <w:color w:val="auto"/>
                      <w:sz w:val="21"/>
                      <w:szCs w:val="21"/>
                    </w:rPr>
                    <w:br w:type="textWrapping"/>
                  </w:r>
                  <w:r>
                    <w:rPr>
                      <w:rFonts w:hint="default" w:ascii="Times New Roman" w:hAnsi="Times New Roman" w:eastAsia="宋体" w:cs="Times New Roman"/>
                      <w:color w:val="auto"/>
                      <w:sz w:val="21"/>
                      <w:szCs w:val="21"/>
                    </w:rPr>
                    <w:t>食入：饮足量温水，催吐，就医。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9" w:type="dxa"/>
                  <w:vMerge w:val="restart"/>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燃烧爆炸危险性</w:t>
                  </w:r>
                </w:p>
              </w:tc>
              <w:tc>
                <w:tcPr>
                  <w:tcW w:w="1550" w:type="dxa"/>
                  <w:gridSpan w:val="4"/>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燃烧性</w:t>
                  </w:r>
                </w:p>
              </w:tc>
              <w:tc>
                <w:tcPr>
                  <w:tcW w:w="1612" w:type="dxa"/>
                  <w:gridSpan w:val="2"/>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易燃</w:t>
                  </w:r>
                </w:p>
              </w:tc>
              <w:tc>
                <w:tcPr>
                  <w:tcW w:w="2435" w:type="dxa"/>
                  <w:gridSpan w:val="4"/>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燃烧分解物</w:t>
                  </w:r>
                </w:p>
              </w:tc>
              <w:tc>
                <w:tcPr>
                  <w:tcW w:w="2436" w:type="dxa"/>
                  <w:gridSpan w:val="2"/>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一氧化碳、二氧化碳。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9" w:type="dxa"/>
                  <w:vMerge w:val="continue"/>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p>
              </w:tc>
              <w:tc>
                <w:tcPr>
                  <w:tcW w:w="1550" w:type="dxa"/>
                  <w:gridSpan w:val="4"/>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闪点</w:t>
                  </w:r>
                  <w:r>
                    <w:rPr>
                      <w:rFonts w:hint="default" w:ascii="Times New Roman" w:hAnsi="Times New Roman" w:eastAsia="宋体" w:cs="Times New Roman"/>
                      <w:b/>
                      <w:color w:val="auto"/>
                      <w:sz w:val="21"/>
                      <w:szCs w:val="21"/>
                    </w:rPr>
                    <w:t>(</w:t>
                  </w:r>
                  <w:r>
                    <w:rPr>
                      <w:rFonts w:hint="default" w:ascii="Times New Roman" w:hAnsi="Times New Roman" w:eastAsia="宋体" w:cs="Times New Roman"/>
                      <w:color w:val="auto"/>
                      <w:sz w:val="21"/>
                      <w:szCs w:val="21"/>
                    </w:rPr>
                    <w:t>℃</w:t>
                  </w:r>
                  <w:r>
                    <w:rPr>
                      <w:rFonts w:hint="default" w:ascii="Times New Roman" w:hAnsi="Times New Roman" w:eastAsia="宋体" w:cs="Times New Roman"/>
                      <w:b/>
                      <w:color w:val="auto"/>
                      <w:sz w:val="21"/>
                      <w:szCs w:val="21"/>
                    </w:rPr>
                    <w:t>)</w:t>
                  </w:r>
                </w:p>
              </w:tc>
              <w:tc>
                <w:tcPr>
                  <w:tcW w:w="1612" w:type="dxa"/>
                  <w:gridSpan w:val="2"/>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b/>
                      <w:color w:val="auto"/>
                      <w:sz w:val="21"/>
                      <w:szCs w:val="21"/>
                    </w:rPr>
                    <w:t>12</w:t>
                  </w:r>
                </w:p>
              </w:tc>
              <w:tc>
                <w:tcPr>
                  <w:tcW w:w="2435" w:type="dxa"/>
                  <w:gridSpan w:val="4"/>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爆炸上限（</w:t>
                  </w:r>
                  <w:r>
                    <w:rPr>
                      <w:rFonts w:hint="default" w:ascii="Times New Roman" w:hAnsi="Times New Roman" w:eastAsia="宋体" w:cs="Times New Roman"/>
                      <w:b/>
                      <w:color w:val="auto"/>
                      <w:sz w:val="21"/>
                      <w:szCs w:val="21"/>
                    </w:rPr>
                    <w:t>v%</w:t>
                  </w:r>
                  <w:r>
                    <w:rPr>
                      <w:rFonts w:hint="default" w:ascii="Times New Roman" w:hAnsi="Times New Roman" w:eastAsia="宋体" w:cs="Times New Roman"/>
                      <w:color w:val="auto"/>
                      <w:sz w:val="21"/>
                      <w:szCs w:val="21"/>
                    </w:rPr>
                    <w:t>）</w:t>
                  </w:r>
                </w:p>
              </w:tc>
              <w:tc>
                <w:tcPr>
                  <w:tcW w:w="2436" w:type="dxa"/>
                  <w:gridSpan w:val="2"/>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b/>
                      <w:color w:val="auto"/>
                      <w:sz w:val="21"/>
                      <w:szCs w:val="21"/>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9" w:type="dxa"/>
                  <w:vMerge w:val="continue"/>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p>
              </w:tc>
              <w:tc>
                <w:tcPr>
                  <w:tcW w:w="1550" w:type="dxa"/>
                  <w:gridSpan w:val="4"/>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引燃温度</w:t>
                  </w:r>
                  <w:r>
                    <w:rPr>
                      <w:rFonts w:hint="default" w:ascii="Times New Roman" w:hAnsi="Times New Roman" w:eastAsia="宋体" w:cs="Times New Roman"/>
                      <w:b/>
                      <w:color w:val="auto"/>
                      <w:sz w:val="21"/>
                      <w:szCs w:val="21"/>
                    </w:rPr>
                    <w:t>(</w:t>
                  </w:r>
                  <w:r>
                    <w:rPr>
                      <w:rFonts w:hint="default" w:ascii="Times New Roman" w:hAnsi="Times New Roman" w:eastAsia="宋体" w:cs="Times New Roman"/>
                      <w:color w:val="auto"/>
                      <w:sz w:val="21"/>
                      <w:szCs w:val="21"/>
                    </w:rPr>
                    <w:t>℃</w:t>
                  </w:r>
                  <w:r>
                    <w:rPr>
                      <w:rFonts w:hint="default" w:ascii="Times New Roman" w:hAnsi="Times New Roman" w:eastAsia="宋体" w:cs="Times New Roman"/>
                      <w:b/>
                      <w:color w:val="auto"/>
                      <w:sz w:val="21"/>
                      <w:szCs w:val="21"/>
                    </w:rPr>
                    <w:t>)</w:t>
                  </w:r>
                </w:p>
              </w:tc>
              <w:tc>
                <w:tcPr>
                  <w:tcW w:w="1612" w:type="dxa"/>
                  <w:gridSpan w:val="2"/>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b/>
                      <w:color w:val="auto"/>
                      <w:sz w:val="21"/>
                      <w:szCs w:val="21"/>
                    </w:rPr>
                    <w:t>363</w:t>
                  </w:r>
                </w:p>
              </w:tc>
              <w:tc>
                <w:tcPr>
                  <w:tcW w:w="2435" w:type="dxa"/>
                  <w:gridSpan w:val="4"/>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爆炸下限（</w:t>
                  </w:r>
                  <w:r>
                    <w:rPr>
                      <w:rFonts w:hint="default" w:ascii="Times New Roman" w:hAnsi="Times New Roman" w:eastAsia="宋体" w:cs="Times New Roman"/>
                      <w:b/>
                      <w:color w:val="auto"/>
                      <w:sz w:val="21"/>
                      <w:szCs w:val="21"/>
                    </w:rPr>
                    <w:t>v%</w:t>
                  </w:r>
                  <w:r>
                    <w:rPr>
                      <w:rFonts w:hint="default" w:ascii="Times New Roman" w:hAnsi="Times New Roman" w:eastAsia="宋体" w:cs="Times New Roman"/>
                      <w:color w:val="auto"/>
                      <w:sz w:val="21"/>
                      <w:szCs w:val="21"/>
                    </w:rPr>
                    <w:t>）</w:t>
                  </w:r>
                </w:p>
              </w:tc>
              <w:tc>
                <w:tcPr>
                  <w:tcW w:w="2436" w:type="dxa"/>
                  <w:gridSpan w:val="2"/>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b/>
                      <w:color w:val="auto"/>
                      <w:sz w:val="21"/>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9" w:type="dxa"/>
                  <w:vMerge w:val="continue"/>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p>
              </w:tc>
              <w:tc>
                <w:tcPr>
                  <w:tcW w:w="1550" w:type="dxa"/>
                  <w:gridSpan w:val="4"/>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建规火险分级</w:t>
                  </w:r>
                </w:p>
              </w:tc>
              <w:tc>
                <w:tcPr>
                  <w:tcW w:w="1612" w:type="dxa"/>
                  <w:gridSpan w:val="2"/>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甲</w:t>
                  </w:r>
                </w:p>
              </w:tc>
              <w:tc>
                <w:tcPr>
                  <w:tcW w:w="1217" w:type="dxa"/>
                  <w:gridSpan w:val="2"/>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b/>
                      <w:color w:val="auto"/>
                      <w:sz w:val="21"/>
                      <w:szCs w:val="21"/>
                    </w:rPr>
                    <w:t xml:space="preserve"> </w:t>
                  </w:r>
                  <w:r>
                    <w:rPr>
                      <w:rFonts w:hint="default" w:ascii="Times New Roman" w:hAnsi="Times New Roman" w:eastAsia="宋体" w:cs="Times New Roman"/>
                      <w:color w:val="auto"/>
                      <w:sz w:val="21"/>
                      <w:szCs w:val="21"/>
                    </w:rPr>
                    <w:t>稳定性</w:t>
                  </w:r>
                </w:p>
              </w:tc>
              <w:tc>
                <w:tcPr>
                  <w:tcW w:w="1218" w:type="dxa"/>
                  <w:gridSpan w:val="2"/>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稳定</w:t>
                  </w:r>
                </w:p>
              </w:tc>
              <w:tc>
                <w:tcPr>
                  <w:tcW w:w="1218" w:type="dxa"/>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聚合危害</w:t>
                  </w:r>
                </w:p>
              </w:tc>
              <w:tc>
                <w:tcPr>
                  <w:tcW w:w="1218" w:type="dxa"/>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不聚合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9" w:type="dxa"/>
                  <w:vMerge w:val="continue"/>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p>
              </w:tc>
              <w:tc>
                <w:tcPr>
                  <w:tcW w:w="1333" w:type="dxa"/>
                  <w:gridSpan w:val="3"/>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禁忌物</w:t>
                  </w:r>
                </w:p>
              </w:tc>
              <w:tc>
                <w:tcPr>
                  <w:tcW w:w="6700" w:type="dxa"/>
                  <w:gridSpan w:val="9"/>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强氧化剂、酸类、酸酐、碱金属、胺类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9" w:type="dxa"/>
                  <w:vMerge w:val="continue"/>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p>
              </w:tc>
              <w:tc>
                <w:tcPr>
                  <w:tcW w:w="416" w:type="dxa"/>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危险特性</w:t>
                  </w:r>
                </w:p>
              </w:tc>
              <w:tc>
                <w:tcPr>
                  <w:tcW w:w="7617" w:type="dxa"/>
                  <w:gridSpan w:val="11"/>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易燃，其蒸气与空气可形成爆炸性混合物。遇明火、高热能引起燃烧爆炸。与氧化剂接触发生化学反应或引起燃烧。在火场中，受热的容器有爆炸危险。其蒸气比空气重，能在较低处扩散到相当远的地方，遇明火会引着回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9" w:type="dxa"/>
                  <w:vMerge w:val="continue"/>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p>
              </w:tc>
              <w:tc>
                <w:tcPr>
                  <w:tcW w:w="416" w:type="dxa"/>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储运条件与泄露处理</w:t>
                  </w:r>
                </w:p>
              </w:tc>
              <w:tc>
                <w:tcPr>
                  <w:tcW w:w="7617" w:type="dxa"/>
                  <w:gridSpan w:val="11"/>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b/>
                      <w:color w:val="auto"/>
                      <w:sz w:val="21"/>
                      <w:szCs w:val="21"/>
                    </w:rPr>
                    <w:t>储运条件</w:t>
                  </w:r>
                  <w:r>
                    <w:rPr>
                      <w:rFonts w:hint="default" w:ascii="Times New Roman" w:hAnsi="Times New Roman" w:eastAsia="宋体" w:cs="Times New Roman"/>
                      <w:color w:val="auto"/>
                      <w:sz w:val="21"/>
                      <w:szCs w:val="21"/>
                    </w:rPr>
                    <w:t>：储存于阴凉、通风的仓间内，远离火种、热源。防止阳光直射；保持容器密封。应与氧化剂、酸类、碱金属、胺类等分开存放，切忌混储。灌装时应注意流速</w:t>
                  </w:r>
                  <w:r>
                    <w:rPr>
                      <w:rFonts w:hint="default" w:ascii="Times New Roman" w:hAnsi="Times New Roman" w:eastAsia="宋体" w:cs="Times New Roman"/>
                      <w:b/>
                      <w:color w:val="auto"/>
                      <w:sz w:val="21"/>
                      <w:szCs w:val="21"/>
                    </w:rPr>
                    <w:t>(</w:t>
                  </w:r>
                  <w:r>
                    <w:rPr>
                      <w:rFonts w:hint="default" w:ascii="Times New Roman" w:hAnsi="Times New Roman" w:eastAsia="宋体" w:cs="Times New Roman"/>
                      <w:color w:val="auto"/>
                      <w:sz w:val="21"/>
                      <w:szCs w:val="21"/>
                    </w:rPr>
                    <w:t>不越过</w:t>
                  </w:r>
                  <w:r>
                    <w:rPr>
                      <w:rFonts w:hint="default" w:ascii="Times New Roman" w:hAnsi="Times New Roman" w:eastAsia="宋体" w:cs="Times New Roman"/>
                      <w:b/>
                      <w:color w:val="auto"/>
                      <w:sz w:val="21"/>
                      <w:szCs w:val="21"/>
                    </w:rPr>
                    <w:t>3m/s)</w:t>
                  </w:r>
                  <w:r>
                    <w:rPr>
                      <w:rFonts w:hint="default" w:ascii="Times New Roman" w:hAnsi="Times New Roman" w:eastAsia="宋体" w:cs="Times New Roman"/>
                      <w:color w:val="auto"/>
                      <w:sz w:val="21"/>
                      <w:szCs w:val="21"/>
                    </w:rPr>
                    <w:t>，且有接地装置，防止静电积聚。本品铁路运输时限使用钢制企业自备罐车装运，装运前需报有关部门批准。运输时所用的槽（罐）车应有接地链，槽内可设孔隔板以减少震荡产生静电。严禁与氧化剂、酸类、碱金属、胺类、食用化学品等混装混运。装运该物品的车辆排气管必须配备阻火装置，禁止使用易产生火花的机械设备和工具装卸。</w:t>
                  </w:r>
                  <w:r>
                    <w:rPr>
                      <w:rFonts w:hint="default" w:ascii="Times New Roman" w:hAnsi="Times New Roman" w:eastAsia="宋体" w:cs="Times New Roman"/>
                      <w:b/>
                      <w:color w:val="auto"/>
                      <w:sz w:val="21"/>
                      <w:szCs w:val="21"/>
                    </w:rPr>
                    <w:t>泄漏处理</w:t>
                  </w:r>
                  <w:r>
                    <w:rPr>
                      <w:rFonts w:hint="default" w:ascii="Times New Roman" w:hAnsi="Times New Roman" w:eastAsia="宋体" w:cs="Times New Roman"/>
                      <w:color w:val="auto"/>
                      <w:sz w:val="21"/>
                      <w:szCs w:val="21"/>
                    </w:rPr>
                    <w:t>：迅速撤离泄漏污染区人员至安全区，并进行隔离，严格限制出入。切断火源。建议应急处理人员戴自给正压式呼吸器，穿消防防护服。不要直接接触泄漏物。尽可能切断泄漏源，防止进入下水道、排洪沟等限制性空间。小量泄漏：用砂土或其它不燃材料吸附或吸收。也可以用大量水冲洗，洗液稀释后放入废水系统。大量泄漏：构筑围堤或挖坑收容；用泡沫覆盖，降低蒸气灾害。用防爆泵转移至槽车或专用收集器内。回收或运至废物处理场所处置。尽可能将容器从火场移至空旷处。喷水保持火场容器冷却，直至灭火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9" w:type="dxa"/>
                  <w:vMerge w:val="continue"/>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p>
              </w:tc>
              <w:tc>
                <w:tcPr>
                  <w:tcW w:w="1333" w:type="dxa"/>
                  <w:gridSpan w:val="3"/>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灭火方法</w:t>
                  </w:r>
                </w:p>
              </w:tc>
              <w:tc>
                <w:tcPr>
                  <w:tcW w:w="6700" w:type="dxa"/>
                  <w:gridSpan w:val="9"/>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灭火剂：抗溶性泡沫、干粉、二氧化碳、砂土。</w:t>
                  </w:r>
                </w:p>
              </w:tc>
            </w:tr>
          </w:tbl>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color w:val="auto"/>
                <w:sz w:val="24"/>
                <w:szCs w:val="24"/>
              </w:rPr>
            </w:pPr>
            <w:r>
              <w:rPr>
                <w:rFonts w:hint="eastAsia" w:ascii="宋体" w:hAnsi="宋体" w:cs="宋体"/>
                <w:color w:val="auto"/>
                <w:sz w:val="24"/>
                <w:szCs w:val="24"/>
              </w:rPr>
              <w:t>（3）风险潜势初判</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据风险调查结果，本项目生产、使用、储存过程中涉及的有毒有害、易燃易爆物质主要为次氯酸钠和柴油，项目区内次氯酸钠最大储存量</w:t>
            </w:r>
            <w:r>
              <w:rPr>
                <w:rFonts w:hint="default" w:ascii="宋体" w:hAnsi="宋体" w:cs="宋体"/>
                <w:color w:val="auto"/>
                <w:sz w:val="24"/>
                <w:szCs w:val="24"/>
              </w:rPr>
              <w:t>0.5t</w:t>
            </w:r>
            <w:r>
              <w:rPr>
                <w:rFonts w:hint="eastAsia" w:ascii="宋体" w:hAnsi="宋体" w:cs="宋体"/>
                <w:color w:val="auto"/>
                <w:sz w:val="24"/>
                <w:szCs w:val="24"/>
              </w:rPr>
              <w:t>，</w:t>
            </w:r>
            <w:r>
              <w:rPr>
                <w:rFonts w:hint="eastAsia" w:ascii="宋体" w:hAnsi="宋体" w:cs="宋体"/>
                <w:color w:val="auto"/>
                <w:sz w:val="24"/>
                <w:szCs w:val="24"/>
                <w:lang w:eastAsia="zh-CN"/>
              </w:rPr>
              <w:t>乙醇</w:t>
            </w:r>
            <w:r>
              <w:rPr>
                <w:rFonts w:hint="eastAsia" w:ascii="宋体" w:hAnsi="宋体" w:cs="宋体"/>
                <w:color w:val="auto"/>
                <w:sz w:val="24"/>
                <w:szCs w:val="24"/>
              </w:rPr>
              <w:t>最大储存量</w:t>
            </w:r>
            <w:r>
              <w:rPr>
                <w:rFonts w:hint="default" w:ascii="宋体" w:hAnsi="宋体" w:cs="宋体"/>
                <w:color w:val="auto"/>
                <w:sz w:val="24"/>
                <w:szCs w:val="24"/>
              </w:rPr>
              <w:t>0.5t</w:t>
            </w:r>
            <w:r>
              <w:rPr>
                <w:rFonts w:hint="eastAsia" w:ascii="宋体" w:hAnsi="宋体" w:cs="宋体"/>
                <w:color w:val="auto"/>
                <w:sz w:val="24"/>
                <w:szCs w:val="24"/>
              </w:rPr>
              <w:t>，柴油最大储存量</w:t>
            </w:r>
            <w:r>
              <w:rPr>
                <w:rFonts w:hint="default" w:ascii="宋体" w:hAnsi="宋体" w:cs="宋体"/>
                <w:color w:val="auto"/>
                <w:sz w:val="24"/>
                <w:szCs w:val="24"/>
              </w:rPr>
              <w:t>1t</w:t>
            </w:r>
            <w:r>
              <w:rPr>
                <w:rFonts w:hint="eastAsia" w:ascii="宋体" w:hAnsi="宋体" w:cs="宋体"/>
                <w:color w:val="auto"/>
                <w:sz w:val="24"/>
                <w:szCs w:val="24"/>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据《建设项目环境风险评价技术导则》（HJ/T 169-2018）附录B，次氯酸钠临界量为5t，</w:t>
            </w:r>
            <w:r>
              <w:rPr>
                <w:rFonts w:hint="eastAsia" w:ascii="宋体" w:hAnsi="宋体" w:cs="宋体"/>
                <w:color w:val="auto"/>
                <w:sz w:val="24"/>
                <w:szCs w:val="24"/>
                <w:lang w:eastAsia="zh-CN"/>
              </w:rPr>
              <w:t>乙醇临界量为</w:t>
            </w:r>
            <w:r>
              <w:rPr>
                <w:rFonts w:hint="default" w:ascii="宋体" w:hAnsi="宋体" w:cs="宋体"/>
                <w:color w:val="auto"/>
                <w:sz w:val="24"/>
                <w:szCs w:val="24"/>
                <w:lang w:val="en-US" w:eastAsia="zh-CN"/>
              </w:rPr>
              <w:t>500t</w:t>
            </w:r>
            <w:r>
              <w:rPr>
                <w:rFonts w:hint="eastAsia" w:ascii="宋体" w:hAnsi="宋体" w:cs="宋体"/>
                <w:color w:val="auto"/>
                <w:sz w:val="24"/>
                <w:szCs w:val="24"/>
                <w:lang w:val="en-US" w:eastAsia="zh-CN"/>
              </w:rPr>
              <w:t>，</w:t>
            </w:r>
            <w:r>
              <w:rPr>
                <w:rFonts w:hint="eastAsia" w:ascii="宋体" w:hAnsi="宋体" w:cs="宋体"/>
                <w:color w:val="auto"/>
                <w:sz w:val="24"/>
                <w:szCs w:val="24"/>
              </w:rPr>
              <w:t>柴油临界量为2500t。</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b/>
                <w:color w:val="auto"/>
                <w:sz w:val="24"/>
                <w:szCs w:val="24"/>
              </w:rPr>
            </w:pPr>
            <w:r>
              <w:rPr>
                <w:rFonts w:hint="eastAsia" w:ascii="宋体" w:hAnsi="宋体" w:cs="宋体"/>
                <w:color w:val="auto"/>
                <w:sz w:val="24"/>
                <w:szCs w:val="24"/>
              </w:rPr>
              <w:t>本项目涉及的环境风险物质临界量见下表。</w:t>
            </w:r>
          </w:p>
          <w:p>
            <w:pPr>
              <w:keepNext w:val="0"/>
              <w:keepLines w:val="0"/>
              <w:suppressLineNumbers w:val="0"/>
              <w:spacing w:before="0" w:beforeAutospacing="0" w:after="0" w:afterAutospacing="0"/>
              <w:ind w:left="0" w:right="0"/>
              <w:jc w:val="center"/>
              <w:rPr>
                <w:rFonts w:hint="eastAsia" w:ascii="宋体" w:hAnsi="宋体" w:cs="宋体"/>
                <w:b/>
                <w:color w:val="auto"/>
                <w:sz w:val="24"/>
                <w:szCs w:val="24"/>
              </w:rPr>
            </w:pPr>
            <w:r>
              <w:rPr>
                <w:rFonts w:hint="eastAsia" w:ascii="宋体" w:hAnsi="宋体" w:cs="宋体"/>
                <w:b/>
                <w:color w:val="auto"/>
                <w:sz w:val="24"/>
                <w:szCs w:val="24"/>
              </w:rPr>
              <w:t>表4-1</w:t>
            </w:r>
            <w:r>
              <w:rPr>
                <w:rFonts w:hint="default" w:ascii="宋体" w:hAnsi="宋体" w:cs="宋体"/>
                <w:b/>
                <w:color w:val="auto"/>
                <w:sz w:val="24"/>
                <w:szCs w:val="24"/>
                <w:lang w:val="en-US"/>
              </w:rPr>
              <w:t>5</w:t>
            </w:r>
            <w:r>
              <w:rPr>
                <w:rFonts w:hint="eastAsia" w:ascii="宋体" w:hAnsi="宋体" w:cs="宋体"/>
                <w:b/>
                <w:color w:val="auto"/>
                <w:sz w:val="24"/>
                <w:szCs w:val="24"/>
              </w:rPr>
              <w:t xml:space="preserve"> 环境风险物质的临界量</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3686"/>
              <w:gridCol w:w="1993"/>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4" w:hRule="atLeast"/>
                <w:jc w:val="center"/>
              </w:trPr>
              <w:tc>
                <w:tcPr>
                  <w:tcW w:w="1755" w:type="dxa"/>
                  <w:vMerge w:val="restart"/>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bCs/>
                      <w:color w:val="auto"/>
                    </w:rPr>
                  </w:pPr>
                  <w:r>
                    <w:rPr>
                      <w:rFonts w:hint="eastAsia" w:ascii="宋体" w:hAnsi="宋体" w:cs="宋体"/>
                      <w:bCs/>
                      <w:color w:val="auto"/>
                    </w:rPr>
                    <w:t>危险物质名称</w:t>
                  </w:r>
                </w:p>
              </w:tc>
              <w:tc>
                <w:tcPr>
                  <w:tcW w:w="3686"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bCs/>
                      <w:color w:val="auto"/>
                    </w:rPr>
                  </w:pPr>
                  <w:r>
                    <w:rPr>
                      <w:rFonts w:hint="eastAsia" w:ascii="宋体" w:hAnsi="宋体" w:cs="宋体"/>
                      <w:bCs/>
                      <w:color w:val="auto"/>
                    </w:rPr>
                    <w:t>《建设项目环境风险评价技术导则》（HJ169-2018）附录B</w:t>
                  </w:r>
                </w:p>
              </w:tc>
              <w:tc>
                <w:tcPr>
                  <w:tcW w:w="1993" w:type="dxa"/>
                  <w:vMerge w:val="restart"/>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bCs/>
                      <w:color w:val="auto"/>
                    </w:rPr>
                  </w:pPr>
                  <w:r>
                    <w:rPr>
                      <w:rFonts w:hint="eastAsia" w:ascii="宋体" w:hAnsi="宋体" w:cs="宋体"/>
                      <w:bCs/>
                      <w:color w:val="auto"/>
                    </w:rPr>
                    <w:t>最大存在总量（t）</w:t>
                  </w:r>
                </w:p>
              </w:tc>
              <w:tc>
                <w:tcPr>
                  <w:tcW w:w="1391" w:type="dxa"/>
                  <w:vMerge w:val="restart"/>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bCs/>
                      <w:color w:val="auto"/>
                    </w:rPr>
                  </w:pPr>
                  <w:r>
                    <w:rPr>
                      <w:rFonts w:hint="eastAsia" w:ascii="宋体" w:hAnsi="宋体" w:cs="宋体"/>
                      <w:bCs/>
                      <w:color w:val="auto"/>
                    </w:rPr>
                    <w:t>该种危险物质Q值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55" w:type="dxa"/>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auto"/>
                    </w:rPr>
                  </w:pPr>
                </w:p>
              </w:tc>
              <w:tc>
                <w:tcPr>
                  <w:tcW w:w="3686"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b/>
                      <w:color w:val="auto"/>
                    </w:rPr>
                  </w:pPr>
                  <w:r>
                    <w:rPr>
                      <w:rFonts w:hint="eastAsia" w:ascii="宋体" w:hAnsi="宋体" w:cs="宋体"/>
                      <w:bCs/>
                      <w:color w:val="auto"/>
                    </w:rPr>
                    <w:t>临界量（t）</w:t>
                  </w:r>
                </w:p>
              </w:tc>
              <w:tc>
                <w:tcPr>
                  <w:tcW w:w="1993" w:type="dxa"/>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auto"/>
                    </w:rPr>
                  </w:pPr>
                </w:p>
              </w:tc>
              <w:tc>
                <w:tcPr>
                  <w:tcW w:w="1391" w:type="dxa"/>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755"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次氯酸钠</w:t>
                  </w:r>
                </w:p>
              </w:tc>
              <w:tc>
                <w:tcPr>
                  <w:tcW w:w="3686"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5</w:t>
                  </w:r>
                </w:p>
              </w:tc>
              <w:tc>
                <w:tcPr>
                  <w:tcW w:w="1993"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0.</w:t>
                  </w:r>
                  <w:r>
                    <w:rPr>
                      <w:rFonts w:hint="default" w:ascii="宋体" w:hAnsi="宋体" w:cs="宋体"/>
                      <w:color w:val="auto"/>
                    </w:rPr>
                    <w:t>5</w:t>
                  </w:r>
                </w:p>
              </w:tc>
              <w:tc>
                <w:tcPr>
                  <w:tcW w:w="1391"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hRule="atLeast"/>
                <w:jc w:val="center"/>
              </w:trPr>
              <w:tc>
                <w:tcPr>
                  <w:tcW w:w="1755"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lang w:eastAsia="zh-CN"/>
                    </w:rPr>
                  </w:pPr>
                  <w:r>
                    <w:rPr>
                      <w:rFonts w:hint="eastAsia" w:ascii="宋体" w:hAnsi="宋体" w:cs="宋体"/>
                      <w:color w:val="auto"/>
                      <w:lang w:eastAsia="zh-CN"/>
                    </w:rPr>
                    <w:t>乙醇</w:t>
                  </w:r>
                </w:p>
              </w:tc>
              <w:tc>
                <w:tcPr>
                  <w:tcW w:w="3686"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500</w:t>
                  </w:r>
                </w:p>
              </w:tc>
              <w:tc>
                <w:tcPr>
                  <w:tcW w:w="1993"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0.5</w:t>
                  </w:r>
                </w:p>
              </w:tc>
              <w:tc>
                <w:tcPr>
                  <w:tcW w:w="1391"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hRule="atLeast"/>
                <w:jc w:val="center"/>
              </w:trPr>
              <w:tc>
                <w:tcPr>
                  <w:tcW w:w="1755"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柴油</w:t>
                  </w:r>
                </w:p>
              </w:tc>
              <w:tc>
                <w:tcPr>
                  <w:tcW w:w="3686"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rPr>
                  </w:pPr>
                  <w:r>
                    <w:rPr>
                      <w:rFonts w:hint="eastAsia" w:ascii="宋体" w:hAnsi="宋体" w:cs="宋体"/>
                      <w:color w:val="auto"/>
                    </w:rPr>
                    <w:t>2500</w:t>
                  </w:r>
                </w:p>
              </w:tc>
              <w:tc>
                <w:tcPr>
                  <w:tcW w:w="1993"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rPr>
                  </w:pPr>
                  <w:r>
                    <w:rPr>
                      <w:rFonts w:hint="default" w:ascii="宋体" w:hAnsi="宋体" w:cs="宋体"/>
                      <w:color w:val="auto"/>
                    </w:rPr>
                    <w:t>1</w:t>
                  </w:r>
                </w:p>
              </w:tc>
              <w:tc>
                <w:tcPr>
                  <w:tcW w:w="1391"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rPr>
                  </w:pPr>
                  <w:r>
                    <w:rPr>
                      <w:rFonts w:hint="default" w:ascii="宋体" w:hAnsi="宋体" w:cs="宋体"/>
                      <w:color w:val="auto"/>
                    </w:rPr>
                    <w:t>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755"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rPr>
                  </w:pPr>
                  <w:r>
                    <w:rPr>
                      <w:rFonts w:hint="eastAsia" w:ascii="宋体" w:hAnsi="宋体" w:cs="宋体"/>
                      <w:color w:val="auto"/>
                    </w:rPr>
                    <w:t>合计</w:t>
                  </w:r>
                </w:p>
              </w:tc>
              <w:tc>
                <w:tcPr>
                  <w:tcW w:w="3686"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rPr>
                  </w:pPr>
                  <w:r>
                    <w:rPr>
                      <w:rFonts w:hint="eastAsia" w:ascii="宋体" w:hAnsi="宋体" w:cs="宋体"/>
                      <w:color w:val="auto"/>
                    </w:rPr>
                    <w:t>/</w:t>
                  </w:r>
                </w:p>
              </w:tc>
              <w:tc>
                <w:tcPr>
                  <w:tcW w:w="1993"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rPr>
                  </w:pPr>
                  <w:r>
                    <w:rPr>
                      <w:rFonts w:hint="eastAsia" w:ascii="宋体" w:hAnsi="宋体" w:cs="宋体"/>
                      <w:color w:val="auto"/>
                    </w:rPr>
                    <w:t>/</w:t>
                  </w:r>
                </w:p>
              </w:tc>
              <w:tc>
                <w:tcPr>
                  <w:tcW w:w="1391"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rPr>
                  </w:pPr>
                  <w:r>
                    <w:rPr>
                      <w:rFonts w:hint="default" w:ascii="宋体" w:hAnsi="宋体" w:cs="宋体"/>
                      <w:color w:val="auto"/>
                    </w:rPr>
                    <w:t>0.10</w:t>
                  </w:r>
                  <w:r>
                    <w:rPr>
                      <w:rFonts w:hint="default" w:ascii="宋体" w:hAnsi="宋体" w:cs="宋体"/>
                      <w:color w:val="auto"/>
                      <w:lang w:val="en-US"/>
                    </w:rPr>
                    <w:t>1</w:t>
                  </w:r>
                  <w:r>
                    <w:rPr>
                      <w:rFonts w:hint="default" w:ascii="宋体" w:hAnsi="宋体" w:cs="宋体"/>
                      <w:color w:val="auto"/>
                    </w:rPr>
                    <w:t>4</w:t>
                  </w:r>
                </w:p>
              </w:tc>
            </w:tr>
          </w:tbl>
          <w:p>
            <w:pPr>
              <w:keepNext w:val="0"/>
              <w:keepLines w:val="0"/>
              <w:suppressLineNumbers w:val="0"/>
              <w:snapToGrid w:val="0"/>
              <w:spacing w:before="120" w:beforeAutospacing="0" w:after="0" w:afterAutospacing="0" w:line="360" w:lineRule="auto"/>
              <w:ind w:left="0" w:right="0" w:firstLine="480" w:firstLineChars="200"/>
              <w:rPr>
                <w:rFonts w:hint="eastAsia" w:ascii="宋体" w:hAnsi="宋体" w:cs="宋体"/>
                <w:color w:val="auto"/>
                <w:kern w:val="24"/>
                <w:sz w:val="24"/>
                <w:szCs w:val="24"/>
              </w:rPr>
            </w:pPr>
            <w:r>
              <w:rPr>
                <w:rFonts w:hint="eastAsia" w:ascii="宋体" w:hAnsi="宋体" w:cs="宋体"/>
                <w:color w:val="auto"/>
                <w:kern w:val="24"/>
                <w:sz w:val="24"/>
                <w:szCs w:val="24"/>
              </w:rPr>
              <w:t>危险物质数量与临界量比值（Q）按照下式计算：</w:t>
            </w:r>
          </w:p>
          <w:p>
            <w:pPr>
              <w:keepNext w:val="0"/>
              <w:keepLines w:val="0"/>
              <w:widowControl/>
              <w:suppressLineNumbers w:val="0"/>
              <w:snapToGrid w:val="0"/>
              <w:spacing w:before="0" w:beforeAutospacing="0" w:after="0" w:afterAutospacing="0" w:line="360" w:lineRule="auto"/>
              <w:ind w:left="0" w:right="0"/>
              <w:jc w:val="center"/>
              <w:rPr>
                <w:rFonts w:hint="eastAsia" w:ascii="宋体" w:hAnsi="宋体" w:cs="宋体"/>
                <w:color w:val="auto"/>
                <w:sz w:val="24"/>
                <w:szCs w:val="24"/>
              </w:rPr>
            </w:pPr>
            <w:r>
              <w:rPr>
                <w:rFonts w:hint="eastAsia" w:ascii="宋体" w:hAnsi="宋体" w:cs="宋体"/>
                <w:color w:val="auto"/>
                <w:sz w:val="24"/>
                <w:szCs w:val="24"/>
              </w:rPr>
              <w:drawing>
                <wp:inline distT="0" distB="0" distL="114300" distR="114300">
                  <wp:extent cx="2001520" cy="588645"/>
                  <wp:effectExtent l="0" t="0" r="17780" b="1905"/>
                  <wp:docPr id="11" name="图片 9" descr="C:\Users\yy\AppData\Roaming\Tencent\Users\765388791\QQ\WinTemp\RichOle\$1QT$EWYPX3``9(%LQXJ$T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C:\Users\yy\AppData\Roaming\Tencent\Users\765388791\QQ\WinTemp\RichOle\$1QT$EWYPX3``9(%LQXJ$TU.png"/>
                          <pic:cNvPicPr>
                            <a:picLocks noChangeAspect="1"/>
                          </pic:cNvPicPr>
                        </pic:nvPicPr>
                        <pic:blipFill>
                          <a:blip r:embed="rId30"/>
                          <a:stretch>
                            <a:fillRect/>
                          </a:stretch>
                        </pic:blipFill>
                        <pic:spPr>
                          <a:xfrm>
                            <a:off x="0" y="0"/>
                            <a:ext cx="2001520" cy="588645"/>
                          </a:xfrm>
                          <a:prstGeom prst="rect">
                            <a:avLst/>
                          </a:prstGeom>
                          <a:noFill/>
                          <a:ln>
                            <a:noFill/>
                          </a:ln>
                        </pic:spPr>
                      </pic:pic>
                    </a:graphicData>
                  </a:graphic>
                </wp:inline>
              </w:drawing>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kern w:val="24"/>
                <w:sz w:val="24"/>
                <w:szCs w:val="24"/>
              </w:rPr>
            </w:pPr>
            <w:r>
              <w:rPr>
                <w:rFonts w:hint="eastAsia" w:ascii="宋体" w:hAnsi="宋体" w:cs="宋体"/>
                <w:color w:val="auto"/>
                <w:kern w:val="24"/>
                <w:sz w:val="24"/>
                <w:szCs w:val="24"/>
              </w:rPr>
              <w:t>式中：q</w:t>
            </w:r>
            <w:r>
              <w:rPr>
                <w:rFonts w:hint="eastAsia" w:ascii="宋体" w:hAnsi="宋体" w:cs="宋体"/>
                <w:color w:val="auto"/>
                <w:kern w:val="24"/>
                <w:sz w:val="24"/>
                <w:szCs w:val="24"/>
                <w:vertAlign w:val="subscript"/>
              </w:rPr>
              <w:t>1</w:t>
            </w:r>
            <w:r>
              <w:rPr>
                <w:rFonts w:hint="eastAsia" w:ascii="宋体" w:hAnsi="宋体" w:cs="宋体"/>
                <w:color w:val="auto"/>
                <w:kern w:val="24"/>
                <w:sz w:val="24"/>
                <w:szCs w:val="24"/>
              </w:rPr>
              <w:t>，q</w:t>
            </w:r>
            <w:r>
              <w:rPr>
                <w:rFonts w:hint="eastAsia" w:ascii="宋体" w:hAnsi="宋体" w:cs="宋体"/>
                <w:color w:val="auto"/>
                <w:kern w:val="24"/>
                <w:sz w:val="24"/>
                <w:szCs w:val="24"/>
                <w:vertAlign w:val="subscript"/>
              </w:rPr>
              <w:t>2</w:t>
            </w:r>
            <w:r>
              <w:rPr>
                <w:rFonts w:hint="eastAsia" w:ascii="宋体" w:hAnsi="宋体" w:cs="宋体"/>
                <w:color w:val="auto"/>
                <w:kern w:val="24"/>
                <w:sz w:val="24"/>
                <w:szCs w:val="24"/>
              </w:rPr>
              <w:t>······，qn—每种危险物质的最大存在总量，t；</w:t>
            </w:r>
          </w:p>
          <w:p>
            <w:pPr>
              <w:keepNext w:val="0"/>
              <w:keepLines w:val="0"/>
              <w:suppressLineNumbers w:val="0"/>
              <w:adjustRightInd w:val="0"/>
              <w:snapToGrid w:val="0"/>
              <w:spacing w:before="0" w:beforeAutospacing="0" w:after="0" w:afterAutospacing="0" w:line="360" w:lineRule="auto"/>
              <w:ind w:left="0" w:right="0" w:firstLine="1200" w:firstLineChars="500"/>
              <w:rPr>
                <w:rFonts w:hint="eastAsia" w:ascii="宋体" w:hAnsi="宋体" w:cs="宋体"/>
                <w:color w:val="auto"/>
                <w:kern w:val="24"/>
                <w:sz w:val="24"/>
                <w:szCs w:val="24"/>
              </w:rPr>
            </w:pPr>
            <w:r>
              <w:rPr>
                <w:rFonts w:hint="eastAsia" w:ascii="宋体" w:hAnsi="宋体" w:cs="宋体"/>
                <w:color w:val="auto"/>
                <w:kern w:val="24"/>
                <w:sz w:val="24"/>
                <w:szCs w:val="24"/>
              </w:rPr>
              <w:t>Q</w:t>
            </w:r>
            <w:r>
              <w:rPr>
                <w:rFonts w:hint="eastAsia" w:ascii="宋体" w:hAnsi="宋体" w:cs="宋体"/>
                <w:color w:val="auto"/>
                <w:kern w:val="24"/>
                <w:sz w:val="24"/>
                <w:szCs w:val="24"/>
                <w:vertAlign w:val="subscript"/>
              </w:rPr>
              <w:t>1</w:t>
            </w:r>
            <w:r>
              <w:rPr>
                <w:rFonts w:hint="eastAsia" w:ascii="宋体" w:hAnsi="宋体" w:cs="宋体"/>
                <w:color w:val="auto"/>
                <w:kern w:val="24"/>
                <w:sz w:val="24"/>
                <w:szCs w:val="24"/>
              </w:rPr>
              <w:t>，Q</w:t>
            </w:r>
            <w:r>
              <w:rPr>
                <w:rFonts w:hint="eastAsia" w:ascii="宋体" w:hAnsi="宋体" w:cs="宋体"/>
                <w:color w:val="auto"/>
                <w:kern w:val="24"/>
                <w:sz w:val="24"/>
                <w:szCs w:val="24"/>
                <w:vertAlign w:val="subscript"/>
              </w:rPr>
              <w:t>2</w:t>
            </w:r>
            <w:r>
              <w:rPr>
                <w:rFonts w:hint="eastAsia" w:ascii="宋体" w:hAnsi="宋体" w:cs="宋体"/>
                <w:color w:val="auto"/>
                <w:kern w:val="24"/>
                <w:sz w:val="24"/>
                <w:szCs w:val="24"/>
              </w:rPr>
              <w:t>······，Qn—每种危险物质的临界量，t。</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kern w:val="24"/>
                <w:sz w:val="24"/>
                <w:szCs w:val="24"/>
              </w:rPr>
            </w:pPr>
            <w:r>
              <w:rPr>
                <w:rFonts w:hint="eastAsia" w:ascii="宋体" w:hAnsi="宋体" w:cs="宋体"/>
                <w:color w:val="auto"/>
                <w:kern w:val="24"/>
                <w:sz w:val="24"/>
                <w:szCs w:val="24"/>
              </w:rPr>
              <w:t>当Q＜1时，该项目环境风险潜势为Ⅰ。</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kern w:val="24"/>
                <w:sz w:val="24"/>
                <w:szCs w:val="24"/>
              </w:rPr>
            </w:pPr>
            <w:r>
              <w:rPr>
                <w:rFonts w:hint="eastAsia" w:ascii="宋体" w:hAnsi="宋体" w:cs="宋体"/>
                <w:color w:val="auto"/>
                <w:kern w:val="24"/>
                <w:sz w:val="24"/>
                <w:szCs w:val="24"/>
              </w:rPr>
              <w:t>当Q≥1时，将Q值划分为：（1）1≤Q小于10；（2）10≤Q＜100；（3）Q≥100.</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kern w:val="24"/>
                <w:sz w:val="24"/>
                <w:szCs w:val="24"/>
              </w:rPr>
            </w:pPr>
            <w:r>
              <w:rPr>
                <w:rFonts w:hint="eastAsia" w:ascii="宋体" w:hAnsi="宋体" w:cs="宋体"/>
                <w:color w:val="auto"/>
                <w:kern w:val="24"/>
                <w:sz w:val="24"/>
                <w:szCs w:val="24"/>
              </w:rPr>
              <w:t>经计算本项目Q值为</w:t>
            </w:r>
            <w:r>
              <w:rPr>
                <w:rFonts w:hint="default" w:ascii="宋体" w:hAnsi="宋体" w:cs="宋体"/>
                <w:color w:val="auto"/>
                <w:kern w:val="24"/>
                <w:sz w:val="24"/>
                <w:szCs w:val="24"/>
              </w:rPr>
              <w:t>0.10</w:t>
            </w:r>
            <w:r>
              <w:rPr>
                <w:rFonts w:hint="default" w:ascii="宋体" w:hAnsi="宋体" w:cs="宋体"/>
                <w:color w:val="auto"/>
                <w:kern w:val="24"/>
                <w:sz w:val="24"/>
                <w:szCs w:val="24"/>
                <w:lang w:val="en-US"/>
              </w:rPr>
              <w:t>1</w:t>
            </w:r>
            <w:r>
              <w:rPr>
                <w:rFonts w:hint="default" w:ascii="宋体" w:hAnsi="宋体" w:cs="宋体"/>
                <w:color w:val="auto"/>
                <w:kern w:val="24"/>
                <w:sz w:val="24"/>
                <w:szCs w:val="24"/>
              </w:rPr>
              <w:t>4</w:t>
            </w:r>
            <w:r>
              <w:rPr>
                <w:rFonts w:hint="eastAsia" w:ascii="宋体" w:hAnsi="宋体" w:cs="宋体"/>
                <w:color w:val="auto"/>
                <w:kern w:val="24"/>
                <w:sz w:val="24"/>
                <w:szCs w:val="24"/>
              </w:rPr>
              <w:t>，据《建设项目环境风险评价技术导则》（HJ169-2018），项目环境风险物质数量与临界量比值Q＜1，环境风险潜势为Ⅰ。</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bCs/>
                <w:color w:val="auto"/>
                <w:sz w:val="24"/>
                <w:szCs w:val="24"/>
              </w:rPr>
            </w:pPr>
            <w:r>
              <w:rPr>
                <w:rFonts w:hint="eastAsia" w:ascii="宋体" w:hAnsi="宋体" w:cs="宋体"/>
                <w:bCs/>
                <w:color w:val="auto"/>
                <w:sz w:val="24"/>
                <w:szCs w:val="24"/>
              </w:rPr>
              <w:t>（4）评价</w:t>
            </w:r>
            <w:r>
              <w:rPr>
                <w:rFonts w:hint="eastAsia" w:ascii="宋体" w:hAnsi="宋体" w:cs="宋体"/>
                <w:bCs/>
                <w:color w:val="auto"/>
                <w:sz w:val="24"/>
                <w:szCs w:val="24"/>
                <w:lang w:eastAsia="zh-CN"/>
              </w:rPr>
              <w:t>工作</w:t>
            </w:r>
            <w:r>
              <w:rPr>
                <w:rFonts w:hint="eastAsia" w:ascii="宋体" w:hAnsi="宋体" w:cs="宋体"/>
                <w:bCs/>
                <w:color w:val="auto"/>
                <w:sz w:val="24"/>
                <w:szCs w:val="24"/>
              </w:rPr>
              <w:t>等级</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kern w:val="24"/>
                <w:sz w:val="24"/>
                <w:szCs w:val="24"/>
              </w:rPr>
            </w:pPr>
            <w:r>
              <w:rPr>
                <w:rFonts w:hint="eastAsia" w:ascii="宋体" w:hAnsi="宋体" w:cs="宋体"/>
                <w:color w:val="auto"/>
                <w:kern w:val="24"/>
                <w:sz w:val="24"/>
                <w:szCs w:val="24"/>
              </w:rPr>
              <w:t>本项目危险物质数量与临界量比值Q＜1，按照《建设项目环境风险评价技术导则》（HJ169-2018），环境风险潜势为Ⅰ。根据风险潜势判定，确定项目环境风险评价等级为简单分析。项目环境风险评价等级划分如表4-1</w:t>
            </w:r>
            <w:r>
              <w:rPr>
                <w:rFonts w:hint="default" w:ascii="宋体" w:hAnsi="宋体" w:cs="宋体"/>
                <w:color w:val="auto"/>
                <w:kern w:val="24"/>
                <w:sz w:val="24"/>
                <w:szCs w:val="24"/>
                <w:lang w:val="en-US"/>
              </w:rPr>
              <w:t>6</w:t>
            </w:r>
            <w:r>
              <w:rPr>
                <w:rFonts w:hint="eastAsia" w:ascii="宋体" w:hAnsi="宋体" w:cs="宋体"/>
                <w:color w:val="auto"/>
                <w:kern w:val="24"/>
                <w:sz w:val="24"/>
                <w:szCs w:val="24"/>
              </w:rPr>
              <w:t>所示：</w:t>
            </w:r>
          </w:p>
          <w:p>
            <w:pPr>
              <w:keepNext w:val="0"/>
              <w:keepLines w:val="0"/>
              <w:suppressLineNumbers w:val="0"/>
              <w:spacing w:before="0" w:beforeAutospacing="0" w:after="0" w:afterAutospacing="0"/>
              <w:ind w:left="0" w:right="0"/>
              <w:jc w:val="center"/>
              <w:rPr>
                <w:rFonts w:hint="eastAsia" w:ascii="宋体" w:hAnsi="宋体" w:cs="宋体"/>
                <w:b/>
                <w:color w:val="auto"/>
                <w:sz w:val="24"/>
                <w:szCs w:val="24"/>
              </w:rPr>
            </w:pPr>
            <w:r>
              <w:rPr>
                <w:rFonts w:hint="eastAsia" w:ascii="宋体" w:hAnsi="宋体" w:cs="宋体"/>
                <w:b/>
                <w:color w:val="auto"/>
                <w:sz w:val="24"/>
                <w:szCs w:val="24"/>
              </w:rPr>
              <w:t>表4-1</w:t>
            </w:r>
            <w:r>
              <w:rPr>
                <w:rFonts w:hint="default" w:ascii="宋体" w:hAnsi="宋体" w:cs="宋体"/>
                <w:b/>
                <w:color w:val="auto"/>
                <w:sz w:val="24"/>
                <w:szCs w:val="24"/>
                <w:lang w:val="en-US"/>
              </w:rPr>
              <w:t>6</w:t>
            </w:r>
            <w:r>
              <w:rPr>
                <w:rFonts w:hint="eastAsia" w:ascii="宋体" w:hAnsi="宋体" w:cs="宋体"/>
                <w:b/>
                <w:color w:val="auto"/>
                <w:sz w:val="24"/>
                <w:szCs w:val="24"/>
              </w:rPr>
              <w:t xml:space="preserve"> 环境风险评价等级划分表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1826"/>
              <w:gridCol w:w="1683"/>
              <w:gridCol w:w="1534"/>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994"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b/>
                      <w:color w:val="auto"/>
                    </w:rPr>
                  </w:pPr>
                  <w:r>
                    <w:rPr>
                      <w:rFonts w:hint="eastAsia" w:ascii="宋体" w:hAnsi="宋体" w:cs="宋体"/>
                      <w:b/>
                      <w:color w:val="auto"/>
                    </w:rPr>
                    <w:t>环境风险潜势</w:t>
                  </w:r>
                </w:p>
              </w:tc>
              <w:tc>
                <w:tcPr>
                  <w:tcW w:w="1826"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b/>
                      <w:color w:val="auto"/>
                    </w:rPr>
                  </w:pPr>
                  <w:r>
                    <w:rPr>
                      <w:rFonts w:hint="eastAsia" w:ascii="宋体" w:hAnsi="宋体" w:cs="宋体"/>
                      <w:b/>
                      <w:color w:val="auto"/>
                    </w:rPr>
                    <w:t>Ⅳ、Ⅳ</w:t>
                  </w:r>
                  <w:r>
                    <w:rPr>
                      <w:rFonts w:hint="eastAsia" w:ascii="宋体" w:hAnsi="宋体" w:cs="宋体"/>
                      <w:b/>
                      <w:color w:val="auto"/>
                      <w:vertAlign w:val="superscript"/>
                    </w:rPr>
                    <w:t>+</w:t>
                  </w:r>
                </w:p>
              </w:tc>
              <w:tc>
                <w:tcPr>
                  <w:tcW w:w="1683"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b/>
                      <w:color w:val="auto"/>
                    </w:rPr>
                  </w:pPr>
                  <w:r>
                    <w:rPr>
                      <w:rFonts w:hint="eastAsia" w:ascii="宋体" w:hAnsi="宋体" w:cs="宋体"/>
                      <w:b/>
                      <w:color w:val="auto"/>
                    </w:rPr>
                    <w:t>Ⅲ</w:t>
                  </w:r>
                </w:p>
              </w:tc>
              <w:tc>
                <w:tcPr>
                  <w:tcW w:w="1534"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b/>
                      <w:color w:val="auto"/>
                    </w:rPr>
                  </w:pPr>
                  <w:r>
                    <w:rPr>
                      <w:rFonts w:hint="eastAsia" w:ascii="宋体" w:hAnsi="宋体" w:cs="宋体"/>
                      <w:b/>
                      <w:color w:val="auto"/>
                    </w:rPr>
                    <w:t>Ⅱ</w:t>
                  </w:r>
                </w:p>
              </w:tc>
              <w:tc>
                <w:tcPr>
                  <w:tcW w:w="1788"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b/>
                      <w:color w:val="auto"/>
                    </w:rPr>
                  </w:pPr>
                  <w:r>
                    <w:rPr>
                      <w:rFonts w:hint="eastAsia" w:ascii="宋体" w:hAnsi="宋体" w:cs="宋体"/>
                      <w:b/>
                      <w:color w:val="auto"/>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4"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评价工作等级</w:t>
                  </w:r>
                </w:p>
              </w:tc>
              <w:tc>
                <w:tcPr>
                  <w:tcW w:w="1826"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一</w:t>
                  </w:r>
                </w:p>
              </w:tc>
              <w:tc>
                <w:tcPr>
                  <w:tcW w:w="1683"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二</w:t>
                  </w:r>
                </w:p>
              </w:tc>
              <w:tc>
                <w:tcPr>
                  <w:tcW w:w="1534"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三</w:t>
                  </w:r>
                </w:p>
              </w:tc>
              <w:tc>
                <w:tcPr>
                  <w:tcW w:w="1788"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简单分析</w:t>
                  </w:r>
                </w:p>
              </w:tc>
            </w:tr>
          </w:tbl>
          <w:p>
            <w:pPr>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0"/>
              </w:rPr>
              <w:t>确定本次风险评价工作等级为简单分析。</w:t>
            </w:r>
          </w:p>
          <w:p>
            <w:pPr>
              <w:keepNext w:val="0"/>
              <w:keepLines w:val="0"/>
              <w:suppressLineNumbers w:val="0"/>
              <w:spacing w:before="0" w:beforeAutospacing="0" w:after="0" w:afterAutospacing="0" w:line="360" w:lineRule="auto"/>
              <w:ind w:left="0" w:right="0"/>
              <w:rPr>
                <w:rFonts w:hint="eastAsia" w:ascii="宋体" w:hAnsi="宋体" w:cs="宋体"/>
                <w:b/>
                <w:bCs/>
                <w:color w:val="auto"/>
                <w:sz w:val="24"/>
                <w:szCs w:val="24"/>
              </w:rPr>
            </w:pPr>
            <w:r>
              <w:rPr>
                <w:rFonts w:hint="default" w:ascii="宋体" w:hAnsi="宋体" w:cs="宋体"/>
                <w:b/>
                <w:bCs/>
                <w:color w:val="auto"/>
                <w:sz w:val="24"/>
                <w:szCs w:val="24"/>
              </w:rPr>
              <w:t>5</w:t>
            </w:r>
            <w:r>
              <w:rPr>
                <w:rFonts w:hint="eastAsia" w:ascii="宋体" w:hAnsi="宋体" w:cs="宋体"/>
                <w:b/>
                <w:bCs/>
                <w:color w:val="auto"/>
                <w:sz w:val="24"/>
                <w:szCs w:val="24"/>
              </w:rPr>
              <w:t>.2环境风险识别</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cs="Times New Roman"/>
                <w:bCs/>
                <w:color w:val="auto"/>
                <w:sz w:val="24"/>
                <w:szCs w:val="22"/>
              </w:rPr>
            </w:pPr>
            <w:r>
              <w:rPr>
                <w:rFonts w:hint="eastAsia" w:ascii="Times New Roman" w:hAnsi="Times New Roman" w:cs="Times New Roman"/>
                <w:bCs/>
                <w:color w:val="auto"/>
                <w:sz w:val="24"/>
                <w:szCs w:val="22"/>
              </w:rPr>
              <w:t>根据《建设项目环境风险评价技术导则》（HJ169-2018）规定，风险评价首先要确定建设项目所用原辅材料的毒性、易燃易爆性等危险性级别。项目储存的风险物质有次氯酸钠、柴油，另外医院的医疗废水和危险废物泄露也会对环境产生不利影响；主要影响途径为通过大气和地下水影响环境。</w:t>
            </w:r>
          </w:p>
          <w:p>
            <w:pPr>
              <w:keepNext w:val="0"/>
              <w:keepLines w:val="0"/>
              <w:suppressLineNumbers w:val="0"/>
              <w:spacing w:before="0" w:beforeAutospacing="0" w:after="0" w:afterAutospacing="0" w:line="360" w:lineRule="auto"/>
              <w:ind w:left="0" w:right="0"/>
              <w:rPr>
                <w:rFonts w:hint="eastAsia" w:ascii="宋体" w:hAnsi="宋体" w:cs="宋体"/>
                <w:b/>
                <w:bCs/>
                <w:color w:val="auto"/>
                <w:sz w:val="24"/>
                <w:szCs w:val="24"/>
              </w:rPr>
            </w:pPr>
            <w:r>
              <w:rPr>
                <w:rFonts w:hint="default" w:ascii="宋体" w:hAnsi="宋体" w:cs="宋体"/>
                <w:b/>
                <w:bCs/>
                <w:color w:val="auto"/>
                <w:sz w:val="24"/>
                <w:szCs w:val="24"/>
              </w:rPr>
              <w:t>5</w:t>
            </w:r>
            <w:r>
              <w:rPr>
                <w:rFonts w:hint="eastAsia" w:ascii="宋体" w:hAnsi="宋体" w:cs="宋体"/>
                <w:b/>
                <w:bCs/>
                <w:color w:val="auto"/>
                <w:sz w:val="24"/>
                <w:szCs w:val="24"/>
              </w:rPr>
              <w:t>.3环境风险分析</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1）项目消毒试剂泄露事故排放风险分析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医院在运营过程中，主要使用的消毒剂有酒精、</w:t>
            </w:r>
            <w:r>
              <w:rPr>
                <w:rFonts w:hint="eastAsia" w:ascii="Times New Roman" w:hAnsi="Times New Roman" w:eastAsia="宋体" w:cs="Times New Roman"/>
                <w:color w:val="auto"/>
                <w:kern w:val="0"/>
                <w:sz w:val="24"/>
                <w:szCs w:val="24"/>
                <w:lang w:val="en-US" w:eastAsia="zh-CN" w:bidi="ar"/>
              </w:rPr>
              <w:t>次氯酸钠</w:t>
            </w:r>
            <w:r>
              <w:rPr>
                <w:rFonts w:hint="default" w:ascii="Times New Roman" w:hAnsi="Times New Roman" w:eastAsia="宋体" w:cs="Times New Roman"/>
                <w:color w:val="auto"/>
                <w:kern w:val="0"/>
                <w:sz w:val="24"/>
                <w:szCs w:val="24"/>
                <w:lang w:val="en-US" w:eastAsia="zh-CN" w:bidi="ar"/>
              </w:rPr>
              <w:t>等。</w:t>
            </w:r>
            <w:r>
              <w:rPr>
                <w:rFonts w:hint="eastAsia" w:ascii="Times New Roman" w:hAnsi="Times New Roman" w:eastAsia="宋体" w:cs="Times New Roman"/>
                <w:color w:val="auto"/>
                <w:kern w:val="0"/>
                <w:sz w:val="24"/>
                <w:szCs w:val="24"/>
                <w:lang w:val="en-US" w:eastAsia="zh-CN" w:bidi="ar"/>
              </w:rPr>
              <w:t>次氯酸钠</w:t>
            </w:r>
            <w:r>
              <w:rPr>
                <w:rFonts w:hint="default" w:ascii="Times New Roman" w:hAnsi="Times New Roman" w:eastAsia="宋体" w:cs="Times New Roman"/>
                <w:color w:val="auto"/>
                <w:kern w:val="0"/>
                <w:sz w:val="24"/>
                <w:szCs w:val="24"/>
                <w:lang w:val="en-US" w:eastAsia="zh-CN" w:bidi="ar"/>
              </w:rPr>
              <w:t xml:space="preserve">主要用于地面消毒；酒精主要用于消毒（擦洗伤口或打针前处理），乙醇由瓶子储存。发生泄漏事故的因素有：瓶破损、人为操作不当打翻等引起泄漏事故。若发生泄漏，应及时收集，可在医院内得到控制，发生环境风险危害较低。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2）火灾、爆炸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医院在运行过程会因为安全事故引发火灾爆炸事故，项目内乙醇、氧气</w:t>
            </w:r>
            <w:r>
              <w:rPr>
                <w:rFonts w:hint="eastAsia" w:ascii="Times New Roman" w:hAnsi="Times New Roman" w:eastAsia="宋体" w:cs="Times New Roman"/>
                <w:color w:val="auto"/>
                <w:kern w:val="0"/>
                <w:sz w:val="24"/>
                <w:szCs w:val="24"/>
                <w:lang w:val="en-US" w:eastAsia="zh-CN" w:bidi="ar"/>
              </w:rPr>
              <w:t>、柴油</w:t>
            </w:r>
            <w:r>
              <w:rPr>
                <w:rFonts w:hint="default" w:ascii="Times New Roman" w:hAnsi="Times New Roman" w:eastAsia="宋体" w:cs="Times New Roman"/>
                <w:color w:val="auto"/>
                <w:kern w:val="0"/>
                <w:sz w:val="24"/>
                <w:szCs w:val="24"/>
                <w:lang w:val="en-US" w:eastAsia="zh-CN" w:bidi="ar"/>
              </w:rPr>
              <w:t xml:space="preserve">为可燃物质，可引发火灾、爆炸事故，火灾爆炸事故中会产生次生或衍生灾害，会对大气环境、地表水环境造成污染。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医院已按照要求配备灭火设施，加强管理，禁止在库房、医院各区域吸烟、使用明火，项目区乙醇、氧气</w:t>
            </w:r>
            <w:r>
              <w:rPr>
                <w:rFonts w:hint="eastAsia" w:ascii="Times New Roman" w:hAnsi="Times New Roman" w:eastAsia="宋体" w:cs="Times New Roman"/>
                <w:color w:val="auto"/>
                <w:kern w:val="0"/>
                <w:sz w:val="24"/>
                <w:szCs w:val="24"/>
                <w:lang w:val="en-US" w:eastAsia="zh-CN" w:bidi="ar"/>
              </w:rPr>
              <w:t>、柴油</w:t>
            </w:r>
            <w:r>
              <w:rPr>
                <w:rFonts w:hint="default" w:ascii="Times New Roman" w:hAnsi="Times New Roman" w:eastAsia="宋体" w:cs="Times New Roman"/>
                <w:color w:val="auto"/>
                <w:kern w:val="0"/>
                <w:sz w:val="24"/>
                <w:szCs w:val="24"/>
                <w:lang w:val="en-US" w:eastAsia="zh-CN" w:bidi="ar"/>
              </w:rPr>
              <w:t xml:space="preserve">储存量较少，项目若发生火灾的情况在可控范围内，发生环境风险危害较低。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3）项目医疗废水事故排放风险分析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医疗废水处理设施操作不当或处理设施失灵，如：管道破裂、泵设备损坏或失效、人为操作失误等，废水不能达标而直接排放。医院污水会沾染病人的血、尿、便，或受到粪便、传染性细菌和病毒等病原性微生物污染，具有传染性，可以诱发疾病或造成伤害；含有悬浮固体、BOD</w:t>
            </w:r>
            <w:r>
              <w:rPr>
                <w:rFonts w:hint="default" w:ascii="Times New Roman" w:hAnsi="Times New Roman" w:eastAsia="宋体" w:cs="Times New Roman"/>
                <w:color w:val="auto"/>
                <w:kern w:val="0"/>
                <w:sz w:val="24"/>
                <w:szCs w:val="24"/>
                <w:vertAlign w:val="subscript"/>
                <w:lang w:val="en-US" w:eastAsia="zh-CN" w:bidi="ar"/>
              </w:rPr>
              <w:t>5</w:t>
            </w:r>
            <w:r>
              <w:rPr>
                <w:rFonts w:hint="default" w:ascii="Times New Roman" w:hAnsi="Times New Roman" w:eastAsia="宋体" w:cs="Times New Roman"/>
                <w:color w:val="auto"/>
                <w:kern w:val="0"/>
                <w:sz w:val="24"/>
                <w:szCs w:val="24"/>
                <w:lang w:val="en-US" w:eastAsia="zh-CN" w:bidi="ar"/>
              </w:rPr>
              <w:t xml:space="preserve">、CODcr 和动植物油等污染物和有毒、有害物质及多种致病菌、病毒和寄生虫卵，它们在环境中具有一定的适应力，有的甚至在污水中存活较长，危害性较大。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若项目医疗废水处理设施发生故障而停止运转，建设单位须立即关闭污水排口闸门，同时使用化粪池、污水处理设施、应急事故池暂存污水，及时维修污水处理站，将情况控制在可控范围内，发生环境风险危害较低。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4）医疗固废在收集、贮存、运送过程中的风险分析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医疗垃圾中可能存在传染性病菌、病毒、化学污染物等有害物质，由于医疗垃圾具有空间污染、急性传染和潜伏性污染等特征，其病毒、病菌的危害性是普通生活垃圾的几十、几百甚至上千倍，且基本没有回收再利用的价值。医疗垃圾残留及衍生的大量病菌是十分有害有毒的物质，如果不经分类收集等有效处理的话，很容易引起各种疾病的传播和蔓延。项目定期委托有资质的单位清运处置医疗废物，医疗废物暂时贮存的时间不超过2天；医疗废物的暂时贮存设施、设备应当定期消毒 和清洁；设专（兼）职人员管理，并建立登记制度，登记内容应当包括医疗废物的来源、种类、重量或者数量、交接时间、最终去向以及经办人签名等；设有明显的 医疗废物警示标识和“禁止吸烟、饮食”的警示标识，将风险控制在可控范围内，发生环境风险危害较低。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因此，本项目的环境风险较低，可以接受。 </w:t>
            </w:r>
          </w:p>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b/>
                <w:bCs/>
                <w:color w:val="auto"/>
                <w:sz w:val="24"/>
                <w:szCs w:val="24"/>
              </w:rPr>
            </w:pPr>
            <w:r>
              <w:rPr>
                <w:rFonts w:hint="default" w:ascii="宋体" w:hAnsi="宋体" w:cs="宋体"/>
                <w:b/>
                <w:bCs/>
                <w:color w:val="auto"/>
                <w:sz w:val="24"/>
                <w:szCs w:val="24"/>
              </w:rPr>
              <w:t>5</w:t>
            </w:r>
            <w:r>
              <w:rPr>
                <w:rFonts w:hint="eastAsia" w:ascii="宋体" w:hAnsi="宋体" w:cs="宋体"/>
                <w:b/>
                <w:bCs/>
                <w:color w:val="auto"/>
                <w:sz w:val="24"/>
                <w:szCs w:val="24"/>
              </w:rPr>
              <w:t>.4环境风险防范措施及应急要求</w:t>
            </w:r>
          </w:p>
          <w:p>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auto"/>
                <w:spacing w:val="-5"/>
                <w:sz w:val="24"/>
                <w:szCs w:val="24"/>
                <w:lang w:bidi="ar"/>
              </w:rPr>
            </w:pPr>
            <w:r>
              <w:rPr>
                <w:rFonts w:hint="eastAsia" w:ascii="宋体" w:hAnsi="宋体" w:cs="宋体"/>
                <w:color w:val="auto"/>
                <w:spacing w:val="-5"/>
                <w:sz w:val="24"/>
                <w:szCs w:val="24"/>
                <w:lang w:bidi="ar"/>
              </w:rPr>
              <w:t>在危险品使用过程中，应该严格参照《危险化学品安全管理条例》要求，需要做好化学品的贮存、使用，防止火灾风险事故的发生。</w:t>
            </w:r>
          </w:p>
          <w:p>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auto"/>
                <w:spacing w:val="-5"/>
                <w:sz w:val="24"/>
                <w:szCs w:val="24"/>
                <w:lang w:bidi="ar"/>
              </w:rPr>
            </w:pPr>
            <w:r>
              <w:rPr>
                <w:rFonts w:hint="eastAsia" w:ascii="宋体" w:hAnsi="宋体" w:cs="宋体"/>
                <w:color w:val="auto"/>
                <w:spacing w:val="-5"/>
                <w:sz w:val="24"/>
                <w:szCs w:val="24"/>
                <w:lang w:bidi="ar"/>
              </w:rPr>
              <w:t>规范管理，加强职工培训。各类事故及非正常生产情况的发生大多数与操作管理不当有直接关系，因此，必须建立健全一整套严格的管理制度。管理制度应在以下几个方面予以关注：</w:t>
            </w:r>
          </w:p>
          <w:p>
            <w:pPr>
              <w:keepNext w:val="0"/>
              <w:keepLines w:val="0"/>
              <w:widowControl/>
              <w:suppressLineNumbers w:val="0"/>
              <w:adjustRightInd w:val="0"/>
              <w:snapToGrid w:val="0"/>
              <w:spacing w:before="0" w:beforeAutospacing="0" w:after="0" w:afterAutospacing="0" w:line="360" w:lineRule="auto"/>
              <w:ind w:left="0" w:right="0" w:firstLine="460" w:firstLineChars="200"/>
              <w:jc w:val="left"/>
              <w:outlineLvl w:val="2"/>
              <w:rPr>
                <w:rFonts w:hint="eastAsia" w:ascii="宋体" w:hAnsi="宋体" w:cs="宋体"/>
                <w:color w:val="auto"/>
                <w:spacing w:val="-5"/>
                <w:sz w:val="24"/>
                <w:szCs w:val="24"/>
                <w:lang w:bidi="ar"/>
              </w:rPr>
            </w:pPr>
            <w:r>
              <w:rPr>
                <w:rFonts w:hint="eastAsia" w:ascii="宋体" w:hAnsi="宋体" w:cs="宋体"/>
                <w:color w:val="auto"/>
                <w:spacing w:val="-5"/>
                <w:sz w:val="24"/>
                <w:szCs w:val="24"/>
                <w:lang w:bidi="ar"/>
              </w:rPr>
              <w:t>加风险物质储存设施的管理，严格防止跑、冒、滴、漏现象发生。</w:t>
            </w:r>
          </w:p>
          <w:p>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auto"/>
                <w:spacing w:val="-5"/>
                <w:sz w:val="24"/>
                <w:szCs w:val="24"/>
                <w:lang w:bidi="ar"/>
              </w:rPr>
            </w:pPr>
            <w:r>
              <w:rPr>
                <w:rFonts w:hint="eastAsia" w:ascii="宋体" w:hAnsi="宋体" w:cs="宋体"/>
                <w:color w:val="auto"/>
                <w:spacing w:val="-5"/>
                <w:sz w:val="24"/>
                <w:szCs w:val="24"/>
                <w:lang w:bidi="ar"/>
              </w:rPr>
              <w:t>把每个工作人员在业务上、工作上与消防安全管理上的职责、责任明确起来，层层把关，杜绝事故的发生。</w:t>
            </w:r>
          </w:p>
          <w:p>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auto"/>
                <w:spacing w:val="-5"/>
                <w:sz w:val="24"/>
                <w:szCs w:val="24"/>
                <w:lang w:bidi="ar"/>
              </w:rPr>
            </w:pPr>
            <w:r>
              <w:rPr>
                <w:rFonts w:hint="eastAsia" w:ascii="宋体" w:hAnsi="宋体" w:cs="宋体"/>
                <w:color w:val="auto"/>
                <w:spacing w:val="-5"/>
                <w:sz w:val="24"/>
                <w:szCs w:val="24"/>
                <w:lang w:bidi="ar"/>
              </w:rPr>
              <w:t>对各类贮存容器、机电装置、安全设施、消防器材等，进行各种日常的、定期的、专业的防火安全检查，并将发现的问题落实到人、限期落实整改。开展各种形式的安全教育和宣传，增强全员安全意识。加强职工培训，增强职工的安全意识和相关知识。</w:t>
            </w:r>
          </w:p>
          <w:p>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auto"/>
                <w:spacing w:val="-5"/>
                <w:sz w:val="24"/>
                <w:szCs w:val="24"/>
                <w:lang w:bidi="ar"/>
              </w:rPr>
            </w:pPr>
            <w:r>
              <w:rPr>
                <w:rFonts w:hint="eastAsia" w:ascii="宋体" w:hAnsi="宋体" w:cs="宋体"/>
                <w:color w:val="auto"/>
                <w:spacing w:val="-5"/>
                <w:sz w:val="24"/>
                <w:szCs w:val="24"/>
                <w:lang w:bidi="ar"/>
              </w:rPr>
              <w:t>（1）化学品泄漏事故防范应急措施</w:t>
            </w:r>
          </w:p>
          <w:p>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auto"/>
                <w:spacing w:val="-5"/>
                <w:sz w:val="24"/>
                <w:szCs w:val="24"/>
                <w:lang w:bidi="ar"/>
              </w:rPr>
            </w:pPr>
            <w:r>
              <w:rPr>
                <w:rFonts w:hint="eastAsia" w:ascii="宋体" w:hAnsi="宋体" w:cs="宋体"/>
                <w:color w:val="auto"/>
                <w:spacing w:val="-5"/>
                <w:sz w:val="24"/>
                <w:szCs w:val="24"/>
                <w:lang w:bidi="ar"/>
              </w:rPr>
              <w:t>若次氯酸钠发生泄漏，次氯酸钠能与许多化学物质发生爆炸性反应。对热、震动、撞击和摩擦相当敏感，极易分解发生爆炸。受热和受光照或遇有机物等能促进氧化作用的物质时，能促进分解并易引起爆炸。一旦发生次氯酸钠泄露，医院必须隔离泄漏污染区，周围设警告标志，建议应急处理人员戴好防毒面具，穿</w:t>
            </w:r>
            <w:r>
              <w:rPr>
                <w:rFonts w:hint="eastAsia" w:ascii="宋体" w:hAnsi="宋体" w:cs="宋体"/>
                <w:color w:val="auto"/>
                <w:spacing w:val="-5"/>
                <w:sz w:val="24"/>
                <w:szCs w:val="24"/>
                <w:lang w:bidi="ar"/>
              </w:rPr>
              <w:fldChar w:fldCharType="begin"/>
            </w:r>
            <w:r>
              <w:rPr>
                <w:rFonts w:hint="eastAsia" w:ascii="宋体" w:hAnsi="宋体" w:cs="宋体"/>
                <w:color w:val="auto"/>
                <w:spacing w:val="-5"/>
                <w:sz w:val="24"/>
                <w:szCs w:val="24"/>
                <w:lang w:bidi="ar"/>
              </w:rPr>
              <w:instrText xml:space="preserve"> HYPERLINK "https://baike.baidu.com/item/%E5%8C%96%E5%AD%A6%E9%98%B2%E6%8A%A4%E6%9C%8D/5679523" \t "https://baike.baidu.com/item/%E6%9D%80%E8%97%BB%E9%93%B5/_blank" </w:instrText>
            </w:r>
            <w:r>
              <w:rPr>
                <w:rFonts w:hint="eastAsia" w:ascii="宋体" w:hAnsi="宋体" w:cs="宋体"/>
                <w:color w:val="auto"/>
                <w:spacing w:val="-5"/>
                <w:sz w:val="24"/>
                <w:szCs w:val="24"/>
                <w:lang w:bidi="ar"/>
              </w:rPr>
              <w:fldChar w:fldCharType="separate"/>
            </w:r>
            <w:r>
              <w:rPr>
                <w:rFonts w:hint="eastAsia" w:ascii="宋体" w:hAnsi="宋体" w:cs="宋体"/>
                <w:color w:val="auto"/>
                <w:spacing w:val="-5"/>
                <w:sz w:val="24"/>
                <w:szCs w:val="24"/>
                <w:lang w:bidi="ar"/>
              </w:rPr>
              <w:t>化学防护服</w:t>
            </w:r>
            <w:r>
              <w:rPr>
                <w:rFonts w:hint="eastAsia" w:ascii="宋体" w:hAnsi="宋体" w:cs="宋体"/>
                <w:color w:val="auto"/>
                <w:spacing w:val="-5"/>
                <w:sz w:val="24"/>
                <w:szCs w:val="24"/>
                <w:lang w:bidi="ar"/>
              </w:rPr>
              <w:fldChar w:fldCharType="end"/>
            </w:r>
            <w:r>
              <w:rPr>
                <w:rFonts w:hint="eastAsia" w:ascii="宋体" w:hAnsi="宋体" w:cs="宋体"/>
                <w:color w:val="auto"/>
                <w:spacing w:val="-5"/>
                <w:sz w:val="24"/>
                <w:szCs w:val="24"/>
                <w:lang w:bidi="ar"/>
              </w:rPr>
              <w:t>。避免与可燃物或易燃物接触。用大量水冲洗，经稀释的污水放入废水处理系统。</w:t>
            </w:r>
          </w:p>
          <w:p>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auto"/>
                <w:spacing w:val="-5"/>
                <w:sz w:val="24"/>
                <w:szCs w:val="24"/>
                <w:lang w:bidi="ar"/>
              </w:rPr>
            </w:pPr>
            <w:r>
              <w:rPr>
                <w:rFonts w:hint="eastAsia" w:ascii="宋体" w:hAnsi="宋体" w:cs="宋体"/>
                <w:color w:val="auto"/>
                <w:spacing w:val="-5"/>
                <w:sz w:val="24"/>
                <w:szCs w:val="24"/>
                <w:lang w:bidi="ar"/>
              </w:rPr>
              <w:t>（2）院区内致病微生物风险防范措施</w:t>
            </w:r>
          </w:p>
          <w:p>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auto"/>
                <w:spacing w:val="-5"/>
                <w:sz w:val="24"/>
                <w:szCs w:val="24"/>
                <w:lang w:bidi="ar"/>
              </w:rPr>
            </w:pPr>
            <w:r>
              <w:rPr>
                <w:rFonts w:hint="eastAsia" w:ascii="宋体" w:hAnsi="宋体" w:cs="宋体"/>
                <w:color w:val="auto"/>
                <w:spacing w:val="-5"/>
                <w:sz w:val="24"/>
                <w:szCs w:val="24"/>
                <w:lang w:bidi="ar"/>
              </w:rPr>
              <w:t>一旦发现可能的传染性疾病，医院应第一时间上报卫生管理部门，由专门的医疗救治机构带走进行治疗。</w:t>
            </w:r>
          </w:p>
          <w:p>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auto"/>
                <w:spacing w:val="-5"/>
                <w:sz w:val="24"/>
                <w:szCs w:val="24"/>
                <w:lang w:bidi="ar"/>
              </w:rPr>
            </w:pPr>
            <w:r>
              <w:rPr>
                <w:rFonts w:hint="eastAsia" w:ascii="宋体" w:hAnsi="宋体" w:cs="宋体"/>
                <w:color w:val="auto"/>
                <w:spacing w:val="-5"/>
                <w:sz w:val="24"/>
                <w:szCs w:val="24"/>
                <w:lang w:bidi="ar"/>
              </w:rPr>
              <w:t>（3）医疗废物防范措施</w:t>
            </w:r>
          </w:p>
          <w:p>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auto"/>
                <w:spacing w:val="-5"/>
                <w:sz w:val="24"/>
                <w:szCs w:val="24"/>
                <w:lang w:bidi="ar"/>
              </w:rPr>
            </w:pPr>
            <w:r>
              <w:rPr>
                <w:rFonts w:hint="eastAsia" w:ascii="宋体" w:hAnsi="宋体" w:cs="宋体"/>
                <w:color w:val="auto"/>
                <w:spacing w:val="-5"/>
                <w:sz w:val="24"/>
                <w:szCs w:val="24"/>
                <w:lang w:bidi="ar"/>
              </w:rPr>
              <w:t>医疗废物必须经科学地分类收集、贮存运送后交由有资质的单位妥善处理。</w:t>
            </w:r>
          </w:p>
          <w:p>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auto"/>
                <w:spacing w:val="-5"/>
                <w:sz w:val="24"/>
                <w:szCs w:val="24"/>
                <w:lang w:bidi="ar"/>
              </w:rPr>
            </w:pPr>
            <w:r>
              <w:rPr>
                <w:rFonts w:hint="eastAsia" w:ascii="宋体" w:hAnsi="宋体" w:cs="宋体"/>
                <w:color w:val="auto"/>
                <w:spacing w:val="-5"/>
                <w:sz w:val="24"/>
                <w:szCs w:val="24"/>
                <w:lang w:bidi="ar"/>
              </w:rPr>
              <w:t>鉴于医疗废物的极大危害性，项目在收集、贮存、运送医疗废物的过程中存在着一定的风险。为保证项目产生的医疗废物得到有效处置，使其风险减少到最小程度，而不会对周围环境造成不良影响，应具体采取如下的措施进行防范。</w:t>
            </w:r>
          </w:p>
          <w:p>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auto"/>
                <w:spacing w:val="-5"/>
                <w:sz w:val="24"/>
                <w:szCs w:val="24"/>
                <w:lang w:bidi="ar"/>
              </w:rPr>
            </w:pPr>
            <w:r>
              <w:rPr>
                <w:rFonts w:hint="eastAsia" w:ascii="宋体" w:hAnsi="宋体" w:cs="宋体"/>
                <w:color w:val="auto"/>
                <w:spacing w:val="-5"/>
                <w:sz w:val="24"/>
                <w:szCs w:val="24"/>
                <w:lang w:bidi="ar"/>
              </w:rPr>
              <w:t>①应对项目产生的医疗废物进行科学的分类收集</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科学的分类是消除污染、无害化处置的保证，要采用专用容器，明确各类废弃物标识，分类包装，分类堆放，并本着及时、方便、安全、快捷的原则，进行收集。感染性废物、损伤性废物是不能混合收集；放入包装物或者容器内的 性废物不得取出。当盛装的医疗废物达到包装物或者容器的3/4时，应当使用有效的封口方式，使包装物或者容器的封口紧实、严密。</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 xml:space="preserve">对于盛装医疗废物的塑料包装袋应当符合下列规格： </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 黄色—700×550mm 塑料袋：感染性废物；</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 红色—700×550mm 塑料袋：传染性废物；</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 绿色—400×300mm 塑料袋：损伤性废物；</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 红色—400×300mm 塑料袋：传染性损伤性废物。</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而盛装医疗废物的外包装纸箱符合下列要求：</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 印有红色“传染性废物”—600×400×500mm 纸箱；</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 印有绿色“损伤性废物”—400×200×300mm 纸箱；</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 印有红色“传染性损伤性废物”—600×400×500mm 纸箱。</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对感染性废物必须采取安全、有效、经济的隔离和处理方法。操作感染性或任何有潜在危害的废物时，必须穿戴手套和防护服。对有多种成份混和的医学废料，应按危害等级较高者处理。感染性废物应分类丢入垃圾袋，还必须由专业人员严格区分感染性和非感染性废物，一旦分开后，感染性废物必须加以隔离。根据有关规定，所有收集感染性废物的容器都应有“生物危害”标志。有液体的感染性废料时，应确保容器无泄漏。</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所有锐利物都必须单独存放，并统一按医学废物处理。收集锐利物日包装容器必须使用硬质、防漏、防刺破材料。针或刀应保存在有明显标记、防泄漏、防刺破的容器内。处理含有锐利物品的感染性废料时应使用防刺破手套。</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为保证有害废料在产生、堆集和保存期间不发生意外、泄漏、破损等，应采取必要的控制措施，如：通风措施、相对封闭及隔离系统、安全措施、防火措施和安全通道。在化学废料的产生、处理、堆集和保存期间，对其包装及标签要求如下：根据废物种类使用废物容器、使用“有害废物”的标签或标记、在任何时候都确保废物容器的密闭性。采用有皱的包装材料包装易碎的玻璃和塑料制品，包装中加入吸附性材料。</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医院建立的医疗废物暂时贮存设施、设备应当达到以下要求：</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A、远离医疗区、食品加工区、人员活动区和生活垃圾存放场所，方便医疗废物运送人员及运送工具、车辆的出入；</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B、有严密的封闭措施，设专（兼）职人员管理，防止非工作人员接触医疗废物；</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C、有防鼠、防蚊蝇、防蟑螂的安全措施；防止渗漏和雨水冲刷；易于清洁和消毒；避免阳光直射；</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D、设有明显的医疗废物警示标识和“禁止吸烟、饮食”的警示标识。</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对于感染性废料和锐利废物，其贮存地应有“生物危险”标志和进入管理限制，且应位于产生废物地点附近。同时感染性废物和锐利废物的贮存应满足以下要求：</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A、保证包装内容物不暴露于空气和受潮；</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B、保存温度及时间应使保存物无腐败发生，必要时可用低温保存，以防微生物生长和产生异味；</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C、贮存地及包装应确保内容物不成为鼠类或其它生物的食物来源；</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D、贮存地不得对公众开放。</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E、医疗废物转交出去后，应当对暂时贮存地点、设施及时进行清洁和消毒处理。</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F、对于医疗固体废物，禁止将其在非收集、非暂时贮存地点倾倒、堆放；禁止将医疗废物混入其它废物和生活垃圾；禁止在内部运送过程中丢弃医疗废物。</w:t>
            </w:r>
          </w:p>
          <w:p>
            <w:pPr>
              <w:keepNext w:val="0"/>
              <w:keepLines w:val="0"/>
              <w:widowControl/>
              <w:suppressLineNumbers w:val="0"/>
              <w:adjustRightInd w:val="0"/>
              <w:snapToGrid w:val="0"/>
              <w:spacing w:before="0" w:beforeAutospacing="0" w:after="0" w:afterAutospacing="0" w:line="360" w:lineRule="auto"/>
              <w:ind w:left="0" w:right="0" w:firstLine="480" w:firstLineChars="200"/>
              <w:outlineLvl w:val="3"/>
              <w:rPr>
                <w:rFonts w:hint="eastAsia" w:ascii="宋体" w:hAnsi="宋体" w:cs="宋体"/>
                <w:color w:val="auto"/>
                <w:kern w:val="0"/>
                <w:sz w:val="24"/>
                <w:szCs w:val="24"/>
              </w:rPr>
            </w:pPr>
            <w:r>
              <w:rPr>
                <w:rFonts w:hint="eastAsia" w:ascii="宋体" w:hAnsi="宋体" w:cs="宋体"/>
                <w:color w:val="auto"/>
                <w:kern w:val="0"/>
                <w:sz w:val="24"/>
                <w:szCs w:val="24"/>
              </w:rPr>
              <w:t>医疗废物转交出去后，应当对暂时贮存地点、设施及时进行清洁和消毒处理。对于医疗固体废物，禁止将其在非收集、非暂时贮存地点倾倒、堆放；禁止将医疗废物混入其它废物和生活垃圾；禁止在内部运送过程中丢弃医疗废物；转交运输时应填写医疗废物转移联单。</w:t>
            </w:r>
          </w:p>
          <w:p>
            <w:pPr>
              <w:keepNext w:val="0"/>
              <w:keepLines w:val="0"/>
              <w:widowControl/>
              <w:suppressLineNumbers w:val="0"/>
              <w:adjustRightInd w:val="0"/>
              <w:snapToGrid w:val="0"/>
              <w:spacing w:before="0" w:beforeAutospacing="0" w:after="0" w:afterAutospacing="0" w:line="360" w:lineRule="auto"/>
              <w:ind w:left="0" w:right="0" w:firstLine="480" w:firstLineChars="200"/>
              <w:outlineLvl w:val="3"/>
              <w:rPr>
                <w:rFonts w:hint="eastAsia" w:ascii="宋体" w:hAnsi="宋体" w:cs="宋体"/>
                <w:color w:val="auto"/>
                <w:kern w:val="0"/>
                <w:sz w:val="24"/>
                <w:szCs w:val="24"/>
              </w:rPr>
            </w:pPr>
            <w:r>
              <w:rPr>
                <w:rFonts w:hint="eastAsia" w:ascii="宋体" w:hAnsi="宋体" w:cs="宋体"/>
                <w:color w:val="auto"/>
                <w:kern w:val="0"/>
                <w:sz w:val="24"/>
                <w:szCs w:val="24"/>
              </w:rPr>
              <w:t>（4）应急要求</w:t>
            </w:r>
          </w:p>
          <w:p>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医院应按国家有关规定要求，编制突发环境事件应急预案，报送当地生态环境行政主管部门审查备案。当发生环境风险事故时，按应急预案要求，认真落实各项事故应急措施，做到责任到位、落实到人、常备不懈。</w:t>
            </w:r>
          </w:p>
          <w:p>
            <w:pPr>
              <w:keepNext w:val="0"/>
              <w:keepLines w:val="0"/>
              <w:suppressLineNumbers w:val="0"/>
              <w:spacing w:before="0" w:beforeAutospacing="0" w:after="0" w:afterAutospacing="0" w:line="360" w:lineRule="auto"/>
              <w:ind w:left="0" w:right="0"/>
              <w:rPr>
                <w:rFonts w:hint="eastAsia" w:ascii="宋体" w:hAnsi="宋体" w:cs="宋体"/>
                <w:b/>
                <w:color w:val="auto"/>
                <w:sz w:val="24"/>
                <w:szCs w:val="24"/>
              </w:rPr>
            </w:pPr>
            <w:r>
              <w:rPr>
                <w:rFonts w:hint="default" w:ascii="宋体" w:hAnsi="宋体" w:cs="宋体"/>
                <w:b/>
                <w:color w:val="auto"/>
                <w:sz w:val="24"/>
                <w:szCs w:val="24"/>
              </w:rPr>
              <w:t>5</w:t>
            </w:r>
            <w:r>
              <w:rPr>
                <w:rFonts w:hint="eastAsia" w:ascii="宋体" w:hAnsi="宋体" w:cs="宋体"/>
                <w:b/>
                <w:color w:val="auto"/>
                <w:sz w:val="24"/>
                <w:szCs w:val="24"/>
              </w:rPr>
              <w:t>.5分析结论</w:t>
            </w:r>
          </w:p>
          <w:p>
            <w:pPr>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医院加强管理，次氯酸钠严格按照有关规定进行储存、管理、操作，发生风险的可能性小，发生环境风险危害性较小，对人员和环境的危害不大。</w:t>
            </w:r>
          </w:p>
          <w:p>
            <w:pPr>
              <w:pStyle w:val="21"/>
              <w:keepNext w:val="0"/>
              <w:keepLines w:val="0"/>
              <w:suppressLineNumbers w:val="0"/>
              <w:spacing w:beforeAutospacing="0" w:after="0" w:afterAutospacing="0" w:line="360" w:lineRule="auto"/>
              <w:ind w:firstLine="480" w:firstLineChars="200"/>
              <w:rPr>
                <w:rFonts w:hint="eastAsia" w:ascii="宋体" w:hAnsi="宋体" w:cs="宋体"/>
                <w:color w:val="auto"/>
                <w:sz w:val="24"/>
              </w:rPr>
            </w:pPr>
            <w:r>
              <w:rPr>
                <w:rFonts w:hint="eastAsia" w:ascii="宋体" w:hAnsi="宋体" w:cs="宋体"/>
                <w:color w:val="auto"/>
                <w:sz w:val="24"/>
              </w:rPr>
              <w:t>在全面落实上述环境风险防范措施，认真执行医疗废水的处理和管理、医疗废物处理处置规范，强化运营中的环境保护管理，可以避免环境风险事故的发生，大大减少风险事故发生的概率。因此，本项目环境风险属于可接受水平，环境污染事故可控。</w:t>
            </w:r>
          </w:p>
          <w:p>
            <w:pPr>
              <w:keepNext w:val="0"/>
              <w:keepLines w:val="0"/>
              <w:suppressLineNumbers w:val="0"/>
              <w:spacing w:before="0" w:beforeAutospacing="0" w:after="0" w:afterAutospacing="0"/>
              <w:ind w:left="0" w:right="0"/>
              <w:jc w:val="center"/>
              <w:rPr>
                <w:rFonts w:hint="eastAsia" w:ascii="宋体" w:hAnsi="宋体" w:cs="宋体"/>
                <w:b/>
                <w:color w:val="auto"/>
                <w:sz w:val="24"/>
                <w:szCs w:val="24"/>
              </w:rPr>
            </w:pPr>
            <w:r>
              <w:rPr>
                <w:rFonts w:hint="eastAsia" w:ascii="宋体" w:hAnsi="宋体" w:cs="宋体"/>
                <w:b/>
                <w:color w:val="auto"/>
                <w:sz w:val="24"/>
                <w:szCs w:val="24"/>
              </w:rPr>
              <w:t>表4-1</w:t>
            </w:r>
            <w:r>
              <w:rPr>
                <w:rFonts w:hint="default" w:ascii="宋体" w:hAnsi="宋体" w:cs="宋体"/>
                <w:b/>
                <w:color w:val="auto"/>
                <w:sz w:val="24"/>
                <w:szCs w:val="24"/>
                <w:lang w:val="en-US"/>
              </w:rPr>
              <w:t>7</w:t>
            </w:r>
            <w:r>
              <w:rPr>
                <w:rFonts w:hint="default" w:ascii="宋体" w:hAnsi="宋体" w:cs="宋体"/>
                <w:b/>
                <w:color w:val="auto"/>
                <w:sz w:val="24"/>
                <w:szCs w:val="24"/>
              </w:rPr>
              <w:t xml:space="preserve"> </w:t>
            </w:r>
            <w:r>
              <w:rPr>
                <w:rFonts w:hint="eastAsia" w:ascii="宋体" w:hAnsi="宋体" w:cs="宋体"/>
                <w:b/>
                <w:color w:val="auto"/>
                <w:sz w:val="24"/>
                <w:szCs w:val="24"/>
              </w:rPr>
              <w:t>建设项目环境风险简单内容表</w:t>
            </w:r>
          </w:p>
          <w:tbl>
            <w:tblPr>
              <w:tblStyle w:val="2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672"/>
              <w:gridCol w:w="2114"/>
              <w:gridCol w:w="974"/>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8" w:type="pct"/>
                  <w:noWrap w:val="0"/>
                  <w:vAlign w:val="top"/>
                </w:tcPr>
                <w:p>
                  <w:pPr>
                    <w:keepNext w:val="0"/>
                    <w:keepLines w:val="0"/>
                    <w:suppressLineNumbers w:val="0"/>
                    <w:spacing w:before="0" w:beforeAutospacing="0" w:after="0" w:afterAutospacing="0"/>
                    <w:ind w:left="0" w:right="0"/>
                    <w:jc w:val="center"/>
                    <w:rPr>
                      <w:rFonts w:hint="eastAsia" w:ascii="宋体" w:hAnsi="宋体" w:cs="宋体"/>
                      <w:bCs/>
                      <w:color w:val="auto"/>
                    </w:rPr>
                  </w:pPr>
                  <w:r>
                    <w:rPr>
                      <w:rFonts w:hint="eastAsia" w:ascii="宋体" w:hAnsi="宋体" w:cs="宋体"/>
                      <w:bCs/>
                      <w:color w:val="auto"/>
                    </w:rPr>
                    <w:t>建设项目名称</w:t>
                  </w:r>
                </w:p>
              </w:tc>
              <w:tc>
                <w:tcPr>
                  <w:tcW w:w="4111" w:type="pct"/>
                  <w:gridSpan w:val="4"/>
                  <w:noWrap w:val="0"/>
                  <w:vAlign w:val="top"/>
                </w:tcPr>
                <w:p>
                  <w:pPr>
                    <w:keepNext w:val="0"/>
                    <w:keepLines w:val="0"/>
                    <w:suppressLineNumbers w:val="0"/>
                    <w:spacing w:before="0" w:beforeAutospacing="0" w:after="0" w:afterAutospacing="0"/>
                    <w:ind w:left="0" w:right="0"/>
                    <w:jc w:val="center"/>
                    <w:rPr>
                      <w:rFonts w:hint="eastAsia" w:ascii="宋体" w:hAnsi="宋体" w:cs="宋体"/>
                      <w:bCs/>
                      <w:color w:val="auto"/>
                    </w:rPr>
                  </w:pPr>
                  <w:r>
                    <w:rPr>
                      <w:rFonts w:hint="eastAsia" w:ascii="宋体" w:hAnsi="宋体" w:cs="宋体"/>
                      <w:bCs/>
                      <w:color w:val="auto"/>
                    </w:rPr>
                    <w:t>昆明市东川区精神病院整体迁建项目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8" w:type="pct"/>
                  <w:noWrap w:val="0"/>
                  <w:vAlign w:val="top"/>
                </w:tcPr>
                <w:p>
                  <w:pPr>
                    <w:keepNext w:val="0"/>
                    <w:keepLines w:val="0"/>
                    <w:suppressLineNumbers w:val="0"/>
                    <w:spacing w:before="0" w:beforeAutospacing="0" w:after="0" w:afterAutospacing="0"/>
                    <w:ind w:left="0" w:right="0"/>
                    <w:jc w:val="center"/>
                    <w:rPr>
                      <w:rFonts w:hint="eastAsia" w:ascii="宋体" w:hAnsi="宋体" w:cs="宋体"/>
                      <w:bCs/>
                      <w:color w:val="auto"/>
                    </w:rPr>
                  </w:pPr>
                  <w:r>
                    <w:rPr>
                      <w:rFonts w:hint="eastAsia" w:ascii="宋体" w:hAnsi="宋体" w:cs="宋体"/>
                      <w:bCs/>
                      <w:color w:val="auto"/>
                    </w:rPr>
                    <w:t>建设地点</w:t>
                  </w:r>
                </w:p>
              </w:tc>
              <w:tc>
                <w:tcPr>
                  <w:tcW w:w="4111" w:type="pct"/>
                  <w:gridSpan w:val="4"/>
                  <w:noWrap w:val="0"/>
                  <w:vAlign w:val="top"/>
                </w:tcPr>
                <w:p>
                  <w:pPr>
                    <w:keepNext w:val="0"/>
                    <w:keepLines w:val="0"/>
                    <w:suppressLineNumbers w:val="0"/>
                    <w:spacing w:before="0" w:beforeAutospacing="0" w:after="0" w:afterAutospacing="0"/>
                    <w:ind w:left="0" w:right="0"/>
                    <w:jc w:val="center"/>
                    <w:rPr>
                      <w:rFonts w:hint="eastAsia" w:ascii="宋体" w:hAnsi="宋体" w:cs="宋体"/>
                      <w:bCs/>
                      <w:color w:val="auto"/>
                    </w:rPr>
                  </w:pPr>
                  <w:r>
                    <w:rPr>
                      <w:rFonts w:hint="eastAsia" w:ascii="宋体" w:hAnsi="宋体" w:cs="宋体"/>
                      <w:bCs/>
                      <w:color w:val="auto"/>
                    </w:rPr>
                    <w:t>云南省昆明市东川区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8" w:type="pct"/>
                  <w:noWrap w:val="0"/>
                  <w:vAlign w:val="top"/>
                </w:tcPr>
                <w:p>
                  <w:pPr>
                    <w:keepNext w:val="0"/>
                    <w:keepLines w:val="0"/>
                    <w:suppressLineNumbers w:val="0"/>
                    <w:spacing w:before="0" w:beforeAutospacing="0" w:after="0" w:afterAutospacing="0"/>
                    <w:ind w:left="0" w:right="0"/>
                    <w:jc w:val="center"/>
                    <w:rPr>
                      <w:rFonts w:hint="eastAsia" w:ascii="宋体" w:hAnsi="宋体" w:cs="宋体"/>
                      <w:bCs/>
                      <w:color w:val="auto"/>
                    </w:rPr>
                  </w:pPr>
                  <w:r>
                    <w:rPr>
                      <w:rFonts w:hint="eastAsia" w:ascii="宋体" w:hAnsi="宋体" w:cs="宋体"/>
                      <w:bCs/>
                      <w:color w:val="auto"/>
                    </w:rPr>
                    <w:t>地理坐标</w:t>
                  </w:r>
                </w:p>
              </w:tc>
              <w:tc>
                <w:tcPr>
                  <w:tcW w:w="961" w:type="pct"/>
                  <w:noWrap w:val="0"/>
                  <w:vAlign w:val="top"/>
                </w:tcPr>
                <w:p>
                  <w:pPr>
                    <w:keepNext w:val="0"/>
                    <w:keepLines w:val="0"/>
                    <w:suppressLineNumbers w:val="0"/>
                    <w:spacing w:before="0" w:beforeAutospacing="0" w:after="0" w:afterAutospacing="0"/>
                    <w:ind w:left="0" w:right="0"/>
                    <w:jc w:val="center"/>
                    <w:rPr>
                      <w:rFonts w:hint="eastAsia" w:ascii="宋体" w:hAnsi="宋体" w:cs="宋体"/>
                      <w:bCs/>
                      <w:color w:val="auto"/>
                    </w:rPr>
                  </w:pPr>
                  <w:r>
                    <w:rPr>
                      <w:rFonts w:hint="eastAsia" w:ascii="宋体" w:hAnsi="宋体" w:cs="宋体"/>
                      <w:bCs/>
                      <w:color w:val="auto"/>
                    </w:rPr>
                    <w:t>经度</w:t>
                  </w:r>
                </w:p>
              </w:tc>
              <w:tc>
                <w:tcPr>
                  <w:tcW w:w="1215" w:type="pct"/>
                  <w:noWrap w:val="0"/>
                  <w:vAlign w:val="top"/>
                </w:tcPr>
                <w:p>
                  <w:pPr>
                    <w:keepNext w:val="0"/>
                    <w:keepLines w:val="0"/>
                    <w:suppressLineNumbers w:val="0"/>
                    <w:spacing w:before="0" w:beforeAutospacing="0" w:after="0" w:afterAutospacing="0"/>
                    <w:ind w:left="0" w:right="0"/>
                    <w:jc w:val="center"/>
                    <w:rPr>
                      <w:rFonts w:hint="eastAsia" w:ascii="宋体" w:hAnsi="宋体" w:cs="宋体"/>
                      <w:bCs/>
                      <w:color w:val="auto"/>
                    </w:rPr>
                  </w:pPr>
                  <w:r>
                    <w:rPr>
                      <w:rFonts w:hint="eastAsia" w:ascii="Calibri" w:hAnsi="Calibri" w:cs="Times New Roman"/>
                      <w:color w:val="auto"/>
                    </w:rPr>
                    <w:t>10</w:t>
                  </w:r>
                  <w:r>
                    <w:rPr>
                      <w:rFonts w:hint="default" w:ascii="Calibri" w:hAnsi="Calibri" w:cs="Times New Roman"/>
                      <w:color w:val="auto"/>
                    </w:rPr>
                    <w:t>3</w:t>
                  </w:r>
                  <w:r>
                    <w:rPr>
                      <w:rFonts w:hint="eastAsia" w:ascii="Calibri" w:hAnsi="Calibri" w:cs="Times New Roman"/>
                      <w:color w:val="auto"/>
                    </w:rPr>
                    <w:t>°1</w:t>
                  </w:r>
                  <w:r>
                    <w:rPr>
                      <w:rFonts w:hint="default" w:ascii="Calibri" w:hAnsi="Calibri" w:cs="Times New Roman"/>
                      <w:color w:val="auto"/>
                    </w:rPr>
                    <w:t>0</w:t>
                  </w:r>
                  <w:r>
                    <w:rPr>
                      <w:rFonts w:hint="eastAsia" w:ascii="Calibri" w:hAnsi="Calibri" w:cs="Times New Roman"/>
                      <w:color w:val="auto"/>
                    </w:rPr>
                    <w:t>′</w:t>
                  </w:r>
                  <w:r>
                    <w:rPr>
                      <w:rFonts w:hint="default" w:ascii="Calibri" w:hAnsi="Calibri" w:cs="Times New Roman"/>
                      <w:color w:val="auto"/>
                    </w:rPr>
                    <w:t>42.608</w:t>
                  </w:r>
                  <w:r>
                    <w:rPr>
                      <w:rFonts w:hint="eastAsia" w:ascii="Calibri" w:hAnsi="Calibri" w:cs="Times New Roman"/>
                      <w:color w:val="auto"/>
                    </w:rPr>
                    <w:t>″</w:t>
                  </w:r>
                </w:p>
              </w:tc>
              <w:tc>
                <w:tcPr>
                  <w:tcW w:w="560" w:type="pct"/>
                  <w:noWrap w:val="0"/>
                  <w:vAlign w:val="top"/>
                </w:tcPr>
                <w:p>
                  <w:pPr>
                    <w:keepNext w:val="0"/>
                    <w:keepLines w:val="0"/>
                    <w:suppressLineNumbers w:val="0"/>
                    <w:spacing w:before="0" w:beforeAutospacing="0" w:after="0" w:afterAutospacing="0"/>
                    <w:ind w:left="0" w:right="0"/>
                    <w:jc w:val="center"/>
                    <w:rPr>
                      <w:rFonts w:hint="eastAsia" w:ascii="宋体" w:hAnsi="宋体" w:cs="宋体"/>
                      <w:bCs/>
                      <w:color w:val="auto"/>
                    </w:rPr>
                  </w:pPr>
                  <w:r>
                    <w:rPr>
                      <w:rFonts w:hint="eastAsia" w:ascii="宋体" w:hAnsi="宋体" w:cs="宋体"/>
                      <w:bCs/>
                      <w:color w:val="auto"/>
                    </w:rPr>
                    <w:t>纬度</w:t>
                  </w:r>
                </w:p>
              </w:tc>
              <w:tc>
                <w:tcPr>
                  <w:tcW w:w="1373" w:type="pct"/>
                  <w:noWrap w:val="0"/>
                  <w:vAlign w:val="top"/>
                </w:tcPr>
                <w:p>
                  <w:pPr>
                    <w:keepNext w:val="0"/>
                    <w:keepLines w:val="0"/>
                    <w:suppressLineNumbers w:val="0"/>
                    <w:spacing w:before="0" w:beforeAutospacing="0" w:after="0" w:afterAutospacing="0"/>
                    <w:ind w:left="0" w:right="0"/>
                    <w:jc w:val="center"/>
                    <w:rPr>
                      <w:rFonts w:hint="eastAsia" w:ascii="宋体" w:hAnsi="宋体" w:cs="宋体"/>
                      <w:bCs/>
                      <w:color w:val="auto"/>
                    </w:rPr>
                  </w:pPr>
                  <w:r>
                    <w:rPr>
                      <w:rFonts w:hint="eastAsia" w:ascii="Calibri" w:hAnsi="Calibri" w:cs="Times New Roman"/>
                      <w:color w:val="auto"/>
                    </w:rPr>
                    <w:t>2</w:t>
                  </w:r>
                  <w:r>
                    <w:rPr>
                      <w:rFonts w:hint="default" w:ascii="Calibri" w:hAnsi="Calibri" w:cs="Times New Roman"/>
                      <w:color w:val="auto"/>
                    </w:rPr>
                    <w:t>6</w:t>
                  </w:r>
                  <w:r>
                    <w:rPr>
                      <w:rFonts w:hint="eastAsia" w:ascii="Calibri" w:hAnsi="Calibri" w:cs="Times New Roman"/>
                      <w:color w:val="auto"/>
                    </w:rPr>
                    <w:t>°</w:t>
                  </w:r>
                  <w:r>
                    <w:rPr>
                      <w:rFonts w:hint="default" w:ascii="Calibri" w:hAnsi="Calibri" w:cs="Times New Roman"/>
                      <w:color w:val="auto"/>
                    </w:rPr>
                    <w:t>4</w:t>
                  </w:r>
                  <w:r>
                    <w:rPr>
                      <w:rFonts w:hint="eastAsia" w:ascii="Calibri" w:hAnsi="Calibri" w:cs="Times New Roman"/>
                      <w:color w:val="auto"/>
                    </w:rPr>
                    <w:t>′</w:t>
                  </w:r>
                  <w:r>
                    <w:rPr>
                      <w:rFonts w:hint="default" w:ascii="Calibri" w:hAnsi="Calibri" w:cs="Times New Roman"/>
                      <w:color w:val="auto"/>
                    </w:rPr>
                    <w:t>9.695</w:t>
                  </w:r>
                  <w:r>
                    <w:rPr>
                      <w:rFonts w:hint="eastAsia" w:ascii="Calibri" w:hAnsi="Calibri"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88" w:type="pct"/>
                  <w:noWrap w:val="0"/>
                  <w:vAlign w:val="top"/>
                </w:tcPr>
                <w:p>
                  <w:pPr>
                    <w:keepNext w:val="0"/>
                    <w:keepLines w:val="0"/>
                    <w:suppressLineNumbers w:val="0"/>
                    <w:spacing w:before="0" w:beforeAutospacing="0" w:after="0" w:afterAutospacing="0"/>
                    <w:ind w:left="0" w:right="0"/>
                    <w:jc w:val="center"/>
                    <w:rPr>
                      <w:rFonts w:hint="eastAsia" w:ascii="宋体" w:hAnsi="宋体" w:cs="宋体"/>
                      <w:bCs/>
                      <w:color w:val="auto"/>
                    </w:rPr>
                  </w:pPr>
                  <w:r>
                    <w:rPr>
                      <w:rFonts w:hint="eastAsia" w:ascii="宋体" w:hAnsi="宋体" w:cs="宋体"/>
                      <w:bCs/>
                      <w:color w:val="auto"/>
                    </w:rPr>
                    <w:t>主要危险物质及分布</w:t>
                  </w:r>
                </w:p>
              </w:tc>
              <w:tc>
                <w:tcPr>
                  <w:tcW w:w="4111" w:type="pct"/>
                  <w:gridSpan w:val="4"/>
                  <w:noWrap w:val="0"/>
                  <w:vAlign w:val="top"/>
                </w:tcPr>
                <w:p>
                  <w:pPr>
                    <w:keepNext w:val="0"/>
                    <w:keepLines w:val="0"/>
                    <w:suppressLineNumbers w:val="0"/>
                    <w:spacing w:before="0" w:beforeAutospacing="0" w:after="0" w:afterAutospacing="0"/>
                    <w:ind w:left="0" w:right="0"/>
                    <w:jc w:val="left"/>
                    <w:rPr>
                      <w:rFonts w:hint="default" w:ascii="宋体" w:hAnsi="宋体" w:cs="宋体"/>
                      <w:bCs/>
                      <w:color w:val="auto"/>
                    </w:rPr>
                  </w:pPr>
                  <w:r>
                    <w:rPr>
                      <w:rFonts w:hint="eastAsia" w:ascii="宋体" w:hAnsi="宋体" w:cs="宋体"/>
                      <w:bCs/>
                      <w:color w:val="auto"/>
                    </w:rPr>
                    <w:t>危险物质为次氯酸钠、</w:t>
                  </w:r>
                  <w:r>
                    <w:rPr>
                      <w:rFonts w:hint="eastAsia" w:ascii="宋体" w:hAnsi="宋体" w:cs="宋体"/>
                      <w:bCs/>
                      <w:color w:val="auto"/>
                      <w:lang w:eastAsia="zh-CN"/>
                    </w:rPr>
                    <w:t>乙醇、</w:t>
                  </w:r>
                  <w:r>
                    <w:rPr>
                      <w:rFonts w:hint="eastAsia" w:ascii="宋体" w:hAnsi="宋体" w:cs="宋体"/>
                      <w:bCs/>
                      <w:color w:val="auto"/>
                    </w:rPr>
                    <w:t>柴油；属于HJ169-2018附录B.2规定的“环境风险物质”，最大储存量</w:t>
                  </w:r>
                  <w:r>
                    <w:rPr>
                      <w:rFonts w:hint="default" w:ascii="宋体" w:hAnsi="宋体" w:cs="宋体"/>
                      <w:bCs/>
                      <w:color w:val="auto"/>
                    </w:rPr>
                    <w:t>1</w:t>
                  </w:r>
                  <w:r>
                    <w:rPr>
                      <w:rFonts w:hint="eastAsia" w:ascii="宋体" w:hAnsi="宋体" w:cs="宋体"/>
                      <w:bCs/>
                      <w:color w:val="auto"/>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8" w:type="pct"/>
                  <w:noWrap w:val="0"/>
                  <w:vAlign w:val="top"/>
                </w:tcPr>
                <w:p>
                  <w:pPr>
                    <w:keepNext w:val="0"/>
                    <w:keepLines w:val="0"/>
                    <w:suppressLineNumbers w:val="0"/>
                    <w:spacing w:before="0" w:beforeAutospacing="0" w:after="0" w:afterAutospacing="0"/>
                    <w:ind w:left="0" w:right="0"/>
                    <w:jc w:val="center"/>
                    <w:rPr>
                      <w:rFonts w:hint="eastAsia" w:ascii="宋体" w:hAnsi="宋体" w:cs="宋体"/>
                      <w:bCs/>
                      <w:color w:val="auto"/>
                    </w:rPr>
                  </w:pPr>
                  <w:r>
                    <w:rPr>
                      <w:rFonts w:hint="eastAsia" w:ascii="宋体" w:hAnsi="宋体" w:cs="宋体"/>
                      <w:bCs/>
                      <w:color w:val="auto"/>
                    </w:rPr>
                    <w:t>环境影响途径及危害后果</w:t>
                  </w:r>
                </w:p>
              </w:tc>
              <w:tc>
                <w:tcPr>
                  <w:tcW w:w="4111" w:type="pct"/>
                  <w:gridSpan w:val="4"/>
                  <w:noWrap w:val="0"/>
                  <w:vAlign w:val="top"/>
                </w:tcPr>
                <w:p>
                  <w:pPr>
                    <w:keepNext w:val="0"/>
                    <w:keepLines w:val="0"/>
                    <w:suppressLineNumbers w:val="0"/>
                    <w:spacing w:before="0" w:beforeAutospacing="0" w:after="0" w:afterAutospacing="0"/>
                    <w:ind w:left="0" w:right="0"/>
                    <w:jc w:val="left"/>
                    <w:rPr>
                      <w:rFonts w:hint="eastAsia" w:ascii="宋体" w:hAnsi="宋体" w:cs="宋体"/>
                      <w:bCs/>
                      <w:color w:val="auto"/>
                    </w:rPr>
                  </w:pPr>
                  <w:r>
                    <w:rPr>
                      <w:rFonts w:hint="eastAsia" w:ascii="宋体" w:hAnsi="宋体" w:cs="宋体"/>
                      <w:bCs/>
                      <w:color w:val="auto"/>
                    </w:rPr>
                    <w:t>（1）医疗废水事故排放引起的风险影响</w:t>
                  </w:r>
                </w:p>
                <w:p>
                  <w:pPr>
                    <w:keepNext w:val="0"/>
                    <w:keepLines w:val="0"/>
                    <w:suppressLineNumbers w:val="0"/>
                    <w:spacing w:before="0" w:beforeAutospacing="0" w:after="0" w:afterAutospacing="0"/>
                    <w:ind w:left="0" w:right="0" w:firstLine="420" w:firstLineChars="200"/>
                    <w:jc w:val="left"/>
                    <w:rPr>
                      <w:rFonts w:hint="eastAsia" w:ascii="宋体" w:hAnsi="宋体" w:cs="宋体"/>
                      <w:bCs/>
                      <w:color w:val="auto"/>
                    </w:rPr>
                  </w:pPr>
                  <w:r>
                    <w:rPr>
                      <w:rFonts w:hint="eastAsia" w:ascii="宋体" w:hAnsi="宋体" w:cs="宋体"/>
                      <w:bCs/>
                      <w:color w:val="auto"/>
                    </w:rPr>
                    <w:t>因污水处理设施非正常使用，如管道破裂、泵设备损坏或失效、人为操作失误等，导致废水未经处理直接进入市政管网。</w:t>
                  </w:r>
                </w:p>
                <w:p>
                  <w:pPr>
                    <w:pStyle w:val="13"/>
                    <w:keepNext w:val="0"/>
                    <w:keepLines w:val="0"/>
                    <w:suppressLineNumbers w:val="0"/>
                    <w:spacing w:before="0" w:beforeAutospacing="0" w:after="0" w:afterAutospacing="0"/>
                    <w:ind w:left="0" w:right="0"/>
                    <w:rPr>
                      <w:rFonts w:hAnsi="宋体" w:cs="宋体"/>
                      <w:color w:val="auto"/>
                    </w:rPr>
                  </w:pPr>
                  <w:r>
                    <w:rPr>
                      <w:rFonts w:hAnsi="宋体" w:cs="宋体"/>
                      <w:color w:val="auto"/>
                    </w:rPr>
                    <w:t>（2）院区内致病微生物环境风险分析</w:t>
                  </w:r>
                </w:p>
                <w:p>
                  <w:pPr>
                    <w:pStyle w:val="13"/>
                    <w:keepNext w:val="0"/>
                    <w:keepLines w:val="0"/>
                    <w:suppressLineNumbers w:val="0"/>
                    <w:spacing w:before="0" w:beforeAutospacing="0" w:after="0" w:afterAutospacing="0"/>
                    <w:ind w:left="0" w:right="0" w:firstLine="420" w:firstLineChars="200"/>
                    <w:rPr>
                      <w:rFonts w:hAnsi="宋体" w:cs="宋体"/>
                      <w:color w:val="auto"/>
                    </w:rPr>
                  </w:pPr>
                  <w:r>
                    <w:rPr>
                      <w:rFonts w:hAnsi="宋体" w:cs="宋体"/>
                      <w:color w:val="auto"/>
                    </w:rPr>
                    <w:t>由于医院方与众多病患及家属的高频接触，日常医疗过程中会接触到带有致病性微生物病人，如：流感病人、痢疾病人等等，存在产生环境风险的潜在可能性。</w:t>
                  </w:r>
                </w:p>
                <w:p>
                  <w:pPr>
                    <w:pStyle w:val="14"/>
                    <w:keepNext w:val="0"/>
                    <w:keepLines w:val="0"/>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（3）医疗废物环境风险分析</w:t>
                  </w:r>
                </w:p>
                <w:p>
                  <w:pPr>
                    <w:keepNext w:val="0"/>
                    <w:keepLines w:val="0"/>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 xml:space="preserve">   医疗废物残留及衍生的大量病菌是十分有害有毒的物质，如果不经分类收集等有效处理的话，很容易引起各种疾病的传播和蔓延。例如，如果医疗废物和生活垃圾混合一起的话，则可能会将含病毒细菌的医疗废物经非法收集回收加工后成为人们需要的日常生活用品，将极大地危害人们身心健康，成为疫病流行的源头，后果是不可想象的。</w:t>
                  </w:r>
                </w:p>
                <w:p>
                  <w:pPr>
                    <w:pStyle w:val="13"/>
                    <w:keepNext w:val="0"/>
                    <w:keepLines w:val="0"/>
                    <w:suppressLineNumbers w:val="0"/>
                    <w:spacing w:before="0" w:beforeAutospacing="0" w:after="0" w:afterAutospacing="0"/>
                    <w:ind w:left="0" w:right="0"/>
                    <w:rPr>
                      <w:rFonts w:hAnsi="宋体" w:cs="宋体"/>
                      <w:color w:val="auto"/>
                    </w:rPr>
                  </w:pPr>
                  <w:r>
                    <w:rPr>
                      <w:rFonts w:hAnsi="宋体" w:cs="宋体"/>
                      <w:color w:val="auto"/>
                    </w:rPr>
                    <w:t>（4）次氯酸钠环境风险分析</w:t>
                  </w:r>
                </w:p>
                <w:p>
                  <w:pPr>
                    <w:pStyle w:val="13"/>
                    <w:keepNext w:val="0"/>
                    <w:keepLines w:val="0"/>
                    <w:suppressLineNumbers w:val="0"/>
                    <w:spacing w:before="0" w:beforeAutospacing="0" w:after="0" w:afterAutospacing="0"/>
                    <w:ind w:left="0" w:right="0"/>
                    <w:rPr>
                      <w:rFonts w:hAnsi="宋体" w:cs="宋体"/>
                      <w:color w:val="auto"/>
                    </w:rPr>
                  </w:pPr>
                  <w:r>
                    <w:rPr>
                      <w:rFonts w:hAnsi="宋体" w:cs="宋体"/>
                      <w:color w:val="auto"/>
                    </w:rPr>
                    <w:t>① 对大气环境的影响</w:t>
                  </w:r>
                </w:p>
                <w:p>
                  <w:pPr>
                    <w:pStyle w:val="13"/>
                    <w:keepNext w:val="0"/>
                    <w:keepLines w:val="0"/>
                    <w:suppressLineNumbers w:val="0"/>
                    <w:spacing w:before="0" w:beforeAutospacing="0" w:after="0" w:afterAutospacing="0"/>
                    <w:ind w:left="0" w:right="0" w:firstLine="420" w:firstLineChars="200"/>
                    <w:rPr>
                      <w:rFonts w:hAnsi="宋体" w:cs="宋体"/>
                      <w:color w:val="auto"/>
                    </w:rPr>
                  </w:pPr>
                  <w:r>
                    <w:rPr>
                      <w:rFonts w:hAnsi="宋体" w:cs="宋体"/>
                      <w:color w:val="auto"/>
                    </w:rPr>
                    <w:t>次氯酸钠泄漏对周围环境的影响主要表现为次氯酸钠具有一定挥发性，挥发与空气中的CO</w:t>
                  </w:r>
                  <w:r>
                    <w:rPr>
                      <w:rFonts w:hAnsi="宋体" w:cs="宋体"/>
                      <w:color w:val="auto"/>
                      <w:vertAlign w:val="subscript"/>
                    </w:rPr>
                    <w:t>2</w:t>
                  </w:r>
                  <w:r>
                    <w:rPr>
                      <w:rFonts w:hAnsi="宋体" w:cs="宋体"/>
                      <w:color w:val="auto"/>
                    </w:rPr>
                    <w:t>反应生成次氯酸，次氯酸不稳定，见光易分解成HCl和O</w:t>
                  </w:r>
                  <w:r>
                    <w:rPr>
                      <w:rFonts w:hAnsi="宋体" w:cs="宋体"/>
                      <w:color w:val="auto"/>
                      <w:vertAlign w:val="subscript"/>
                    </w:rPr>
                    <w:t>2</w:t>
                  </w:r>
                  <w:r>
                    <w:rPr>
                      <w:rFonts w:hAnsi="宋体" w:cs="宋体"/>
                      <w:color w:val="auto"/>
                    </w:rPr>
                    <w:t>，对区域环境空气造成污染。</w:t>
                  </w:r>
                </w:p>
                <w:p>
                  <w:pPr>
                    <w:pStyle w:val="14"/>
                    <w:keepNext w:val="0"/>
                    <w:keepLines w:val="0"/>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 xml:space="preserve"> ② 对地下水的影响</w:t>
                  </w:r>
                </w:p>
                <w:p>
                  <w:pPr>
                    <w:pStyle w:val="14"/>
                    <w:keepNext w:val="0"/>
                    <w:keepLines w:val="0"/>
                    <w:suppressLineNumbers w:val="0"/>
                    <w:spacing w:before="0" w:beforeAutospacing="0" w:after="0" w:afterAutospacing="0"/>
                    <w:ind w:left="0" w:right="0" w:firstLine="420" w:firstLineChars="200"/>
                    <w:rPr>
                      <w:rFonts w:hint="eastAsia" w:ascii="宋体" w:hAnsi="宋体" w:cs="宋体"/>
                      <w:color w:val="auto"/>
                    </w:rPr>
                  </w:pPr>
                  <w:r>
                    <w:rPr>
                      <w:rFonts w:hint="eastAsia" w:ascii="宋体" w:hAnsi="宋体" w:cs="宋体"/>
                      <w:color w:val="auto"/>
                    </w:rPr>
                    <w:t>项目次氯酸钠泄露进入地下水，污染环境。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888" w:type="pct"/>
                  <w:noWrap w:val="0"/>
                  <w:vAlign w:val="top"/>
                </w:tcPr>
                <w:p>
                  <w:pPr>
                    <w:keepNext w:val="0"/>
                    <w:keepLines w:val="0"/>
                    <w:suppressLineNumbers w:val="0"/>
                    <w:spacing w:before="0" w:beforeAutospacing="0" w:after="0" w:afterAutospacing="0"/>
                    <w:ind w:left="0" w:right="0"/>
                    <w:rPr>
                      <w:rFonts w:hint="eastAsia" w:ascii="Times New Roman" w:hAnsi="Times New Roman" w:cs="Times New Roman"/>
                      <w:color w:val="auto"/>
                    </w:rPr>
                  </w:pPr>
                  <w:r>
                    <w:rPr>
                      <w:rFonts w:hint="eastAsia" w:ascii="Times New Roman" w:hAnsi="Times New Roman" w:cs="Times New Roman"/>
                      <w:color w:val="auto"/>
                    </w:rPr>
                    <w:t>风险防范措施要求</w:t>
                  </w:r>
                </w:p>
              </w:tc>
              <w:tc>
                <w:tcPr>
                  <w:tcW w:w="4111" w:type="pct"/>
                  <w:gridSpan w:val="4"/>
                  <w:noWrap w:val="0"/>
                  <w:vAlign w:val="top"/>
                </w:tcPr>
                <w:p>
                  <w:pPr>
                    <w:keepNext w:val="0"/>
                    <w:keepLines w:val="0"/>
                    <w:suppressLineNumbers w:val="0"/>
                    <w:spacing w:before="0" w:beforeAutospacing="0" w:after="0" w:afterAutospacing="0"/>
                    <w:ind w:left="0" w:right="0"/>
                    <w:rPr>
                      <w:rFonts w:hint="eastAsia" w:ascii="Times New Roman" w:hAnsi="Times New Roman" w:cs="Times New Roman"/>
                      <w:color w:val="auto"/>
                    </w:rPr>
                  </w:pPr>
                  <w:r>
                    <w:rPr>
                      <w:rFonts w:hint="eastAsia" w:ascii="Times New Roman" w:hAnsi="Times New Roman" w:cs="Times New Roman"/>
                      <w:color w:val="auto"/>
                    </w:rPr>
                    <w:t>（1）废水事故防范应急措施</w:t>
                  </w:r>
                </w:p>
                <w:p>
                  <w:pPr>
                    <w:keepNext w:val="0"/>
                    <w:keepLines w:val="0"/>
                    <w:suppressLineNumbers w:val="0"/>
                    <w:spacing w:before="0" w:beforeAutospacing="0" w:after="0" w:afterAutospacing="0"/>
                    <w:ind w:left="0" w:right="0" w:firstLine="420" w:firstLineChars="200"/>
                    <w:rPr>
                      <w:rFonts w:hint="eastAsia" w:ascii="Times New Roman" w:hAnsi="Times New Roman" w:cs="Times New Roman"/>
                      <w:color w:val="auto"/>
                    </w:rPr>
                  </w:pPr>
                  <w:r>
                    <w:rPr>
                      <w:rFonts w:hint="eastAsia" w:ascii="Times New Roman" w:hAnsi="Times New Roman" w:cs="Times New Roman"/>
                      <w:color w:val="auto"/>
                    </w:rPr>
                    <w:t>医疗废水处理过程中的事故因素包括两方面：一是管理不当、操作不当或处理设施失灵，废水发生泄漏或不能做到达标排放。二是虽然废水水质处理达标，但未能较好的控制水量，使过多的粪大肠菌群事故排放。</w:t>
                  </w:r>
                </w:p>
                <w:p>
                  <w:pPr>
                    <w:keepNext w:val="0"/>
                    <w:keepLines w:val="0"/>
                    <w:suppressLineNumbers w:val="0"/>
                    <w:spacing w:before="0" w:beforeAutospacing="0" w:after="0" w:afterAutospacing="0"/>
                    <w:ind w:left="0" w:right="0"/>
                    <w:rPr>
                      <w:rFonts w:hint="eastAsia" w:ascii="Times New Roman" w:hAnsi="Times New Roman" w:cs="Times New Roman"/>
                      <w:color w:val="auto"/>
                    </w:rPr>
                  </w:pPr>
                  <w:r>
                    <w:rPr>
                      <w:rFonts w:hint="eastAsia" w:ascii="Times New Roman" w:hAnsi="Times New Roman" w:cs="Times New Roman"/>
                      <w:color w:val="auto"/>
                    </w:rPr>
                    <w:t>（2）化学品泄漏事故防范应急措施</w:t>
                  </w:r>
                </w:p>
                <w:p>
                  <w:pPr>
                    <w:keepNext w:val="0"/>
                    <w:keepLines w:val="0"/>
                    <w:suppressLineNumbers w:val="0"/>
                    <w:spacing w:before="0" w:beforeAutospacing="0" w:after="0" w:afterAutospacing="0"/>
                    <w:ind w:left="0" w:right="0" w:firstLine="420" w:firstLineChars="200"/>
                    <w:rPr>
                      <w:rFonts w:hint="eastAsia" w:ascii="Times New Roman" w:hAnsi="Times New Roman" w:cs="Times New Roman"/>
                      <w:color w:val="auto"/>
                    </w:rPr>
                  </w:pPr>
                  <w:r>
                    <w:rPr>
                      <w:rFonts w:hint="eastAsia" w:ascii="Times New Roman" w:hAnsi="Times New Roman" w:cs="Times New Roman"/>
                      <w:color w:val="auto"/>
                    </w:rPr>
                    <w:t>若次氯酸钠发生泄漏，医院必须隔离泄漏污染区，周围设警告标志，建议应急处理人员戴好防毒面具，穿化学防护服。避免与可燃物或易燃物接触。用大量水冲洗，经稀释的污水放入废水系统。</w:t>
                  </w:r>
                </w:p>
                <w:p>
                  <w:pPr>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eastAsia" w:ascii="Times New Roman" w:hAnsi="Times New Roman" w:cs="Times New Roman"/>
                      <w:color w:val="auto"/>
                    </w:rPr>
                    <w:t>（3）项目次氯酸钠罐采取地面硬化。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5000" w:type="pct"/>
                  <w:gridSpan w:val="5"/>
                  <w:noWrap w:val="0"/>
                  <w:vAlign w:val="top"/>
                </w:tcPr>
                <w:p>
                  <w:pPr>
                    <w:keepNext w:val="0"/>
                    <w:keepLines w:val="0"/>
                    <w:suppressLineNumbers w:val="0"/>
                    <w:spacing w:before="0" w:beforeAutospacing="0" w:after="0" w:afterAutospacing="0"/>
                    <w:ind w:left="0" w:right="0"/>
                    <w:jc w:val="left"/>
                    <w:rPr>
                      <w:rFonts w:hint="eastAsia" w:ascii="宋体" w:hAnsi="宋体" w:cs="宋体"/>
                      <w:bCs/>
                      <w:color w:val="auto"/>
                    </w:rPr>
                  </w:pPr>
                  <w:r>
                    <w:rPr>
                      <w:rFonts w:hint="eastAsia" w:ascii="宋体" w:hAnsi="宋体" w:cs="宋体"/>
                      <w:bCs/>
                      <w:color w:val="auto"/>
                    </w:rPr>
                    <w:t>填表说明（列出项目相关信息及评价说明）</w:t>
                  </w:r>
                </w:p>
                <w:p>
                  <w:pPr>
                    <w:keepNext w:val="0"/>
                    <w:keepLines w:val="0"/>
                    <w:suppressLineNumbers w:val="0"/>
                    <w:spacing w:before="0" w:beforeAutospacing="0" w:after="0" w:afterAutospacing="0"/>
                    <w:ind w:left="0" w:right="0" w:firstLine="420" w:firstLineChars="200"/>
                    <w:jc w:val="left"/>
                    <w:rPr>
                      <w:rFonts w:hint="eastAsia" w:ascii="宋体" w:hAnsi="宋体" w:cs="宋体"/>
                      <w:bCs/>
                      <w:color w:val="auto"/>
                    </w:rPr>
                  </w:pPr>
                  <w:r>
                    <w:rPr>
                      <w:rFonts w:hint="eastAsia" w:ascii="宋体" w:hAnsi="宋体" w:cs="宋体"/>
                      <w:bCs/>
                      <w:color w:val="auto"/>
                    </w:rPr>
                    <w:t>项目环境风险物质为次氯酸钠和柴油，属于HJ169-2018附录B.2规定的“环境风险物质”；医院废水为医疗废水，污染物主要有</w:t>
                  </w:r>
                  <w:r>
                    <w:rPr>
                      <w:rFonts w:hint="eastAsia" w:ascii="宋体" w:hAnsi="宋体" w:cs="宋体"/>
                      <w:color w:val="auto"/>
                    </w:rPr>
                    <w:t>COD、BOD</w:t>
                  </w:r>
                  <w:r>
                    <w:rPr>
                      <w:rFonts w:hint="eastAsia" w:ascii="宋体" w:hAnsi="宋体" w:cs="宋体"/>
                      <w:color w:val="auto"/>
                      <w:vertAlign w:val="subscript"/>
                    </w:rPr>
                    <w:t>5</w:t>
                  </w:r>
                  <w:r>
                    <w:rPr>
                      <w:rFonts w:hint="eastAsia" w:ascii="宋体" w:hAnsi="宋体" w:cs="宋体"/>
                      <w:color w:val="auto"/>
                    </w:rPr>
                    <w:t>、SS、氨氮、总磷等</w:t>
                  </w:r>
                  <w:r>
                    <w:rPr>
                      <w:rFonts w:hint="eastAsia" w:ascii="宋体" w:hAnsi="宋体" w:cs="宋体"/>
                      <w:bCs/>
                      <w:color w:val="auto"/>
                    </w:rPr>
                    <w:t>。</w:t>
                  </w:r>
                </w:p>
                <w:p>
                  <w:pPr>
                    <w:keepNext w:val="0"/>
                    <w:keepLines w:val="0"/>
                    <w:suppressLineNumbers w:val="0"/>
                    <w:spacing w:before="0" w:beforeAutospacing="0" w:after="0" w:afterAutospacing="0"/>
                    <w:ind w:left="0" w:right="0" w:firstLine="420" w:firstLineChars="200"/>
                    <w:jc w:val="left"/>
                    <w:rPr>
                      <w:rFonts w:hint="eastAsia" w:ascii="宋体" w:hAnsi="宋体" w:cs="宋体"/>
                      <w:bCs/>
                      <w:color w:val="auto"/>
                    </w:rPr>
                  </w:pPr>
                  <w:r>
                    <w:rPr>
                      <w:rFonts w:hint="eastAsia" w:ascii="宋体" w:hAnsi="宋体" w:cs="宋体"/>
                      <w:bCs/>
                      <w:color w:val="auto"/>
                    </w:rPr>
                    <w:t>项目次氯酸钠最大储存量0.05t，污水最大产生量为11.29m</w:t>
                  </w:r>
                  <w:r>
                    <w:rPr>
                      <w:rFonts w:hint="eastAsia" w:ascii="宋体" w:hAnsi="宋体" w:cs="宋体"/>
                      <w:bCs/>
                      <w:color w:val="auto"/>
                      <w:vertAlign w:val="superscript"/>
                    </w:rPr>
                    <w:t>3</w:t>
                  </w:r>
                  <w:r>
                    <w:rPr>
                      <w:rFonts w:hint="eastAsia" w:ascii="宋体" w:hAnsi="宋体" w:cs="宋体"/>
                      <w:bCs/>
                      <w:color w:val="auto"/>
                    </w:rPr>
                    <w:t>/d。</w:t>
                  </w:r>
                </w:p>
                <w:p>
                  <w:pPr>
                    <w:keepNext w:val="0"/>
                    <w:keepLines w:val="0"/>
                    <w:suppressLineNumbers w:val="0"/>
                    <w:spacing w:before="0" w:beforeAutospacing="0" w:after="0" w:afterAutospacing="0"/>
                    <w:ind w:left="0" w:right="0" w:firstLine="420" w:firstLineChars="200"/>
                    <w:jc w:val="left"/>
                    <w:rPr>
                      <w:rFonts w:hint="eastAsia" w:ascii="宋体" w:hAnsi="宋体" w:cs="宋体"/>
                      <w:bCs/>
                      <w:color w:val="auto"/>
                    </w:rPr>
                  </w:pPr>
                  <w:r>
                    <w:rPr>
                      <w:rFonts w:hint="eastAsia" w:ascii="宋体" w:hAnsi="宋体" w:cs="宋体"/>
                      <w:bCs/>
                      <w:color w:val="auto"/>
                    </w:rPr>
                    <w:t>危险物质数量与临界量比值（Q）计算，Q=0.01002。根据HJ169-2018附录C.1.1，当Q&lt;1时，项目环境物质潜势为Ⅰ。则项目环境风险等级判定为进行简单分析，在危险物质、环境影响途径、危害后果、风险防范措施给出定性的说明。</w:t>
                  </w:r>
                </w:p>
              </w:tc>
            </w:tr>
          </w:tbl>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b/>
                <w:color w:val="auto"/>
                <w:sz w:val="24"/>
                <w:szCs w:val="24"/>
              </w:rPr>
            </w:pPr>
            <w:r>
              <w:rPr>
                <w:rFonts w:hint="default" w:ascii="宋体" w:hAnsi="宋体" w:cs="宋体"/>
                <w:b/>
                <w:color w:val="auto"/>
                <w:sz w:val="24"/>
                <w:szCs w:val="24"/>
              </w:rPr>
              <w:t>6</w:t>
            </w:r>
            <w:r>
              <w:rPr>
                <w:rFonts w:hint="eastAsia" w:ascii="宋体" w:hAnsi="宋体" w:cs="宋体"/>
                <w:b/>
                <w:color w:val="auto"/>
                <w:sz w:val="24"/>
                <w:szCs w:val="24"/>
              </w:rPr>
              <w:t>、地下水、土壤、生态影响和保护措施</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（1）地下水</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本项目行业类别为《环境影响评价技术导则地下水环境》（HJ610-2016）附录 A 中 IV 社会事业与服务业中专科防治院（所、站），环评类别为报告表。据（HJ610-2016）“第 4.1条—IV类建设项目不开展地下水环境影响评价”，本项目属于地下水环境影响评价项目类别中的IV类，不开展地下水环境影响评价。</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（2）土壤</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本项目为专科医院，据《环境影响评价技术导则土壤环境（试行）》（HJ964-2018）附录A，本项目行业类别为“社会事业与服务业”中“其他”类，根据（HJ964-2018）“第4.2.2条—IV类建设项目不开展土壤环境影响评价”，土壤环境影响评价项目类别为IV类，即本项目无需开展土壤环境影响评价工作。</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（3）生态影响和保护措施</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本项目位于云南省昆明市东川区城区西南角，规划道路东海路南延长线东侧，兴铜路西延长线南侧交汇路口，属于城市建成区，项目不在饮用水水源地、风景区、自然保护区等生态保护区内，对生态影响较小。</w:t>
            </w:r>
          </w:p>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b/>
                <w:color w:val="auto"/>
                <w:sz w:val="24"/>
                <w:szCs w:val="24"/>
              </w:rPr>
            </w:pPr>
            <w:r>
              <w:rPr>
                <w:rFonts w:hint="default" w:ascii="宋体" w:hAnsi="宋体" w:cs="宋体"/>
                <w:b/>
                <w:color w:val="auto"/>
                <w:sz w:val="24"/>
                <w:szCs w:val="24"/>
              </w:rPr>
              <w:t>7</w:t>
            </w:r>
            <w:r>
              <w:rPr>
                <w:rFonts w:hint="eastAsia" w:ascii="宋体" w:hAnsi="宋体" w:cs="宋体"/>
                <w:b/>
                <w:color w:val="auto"/>
                <w:sz w:val="24"/>
                <w:szCs w:val="24"/>
              </w:rPr>
              <w:t>、电磁辐射影响和保护措施</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本项目DR辐射类设备不纳入本次评价，应单独办理相关环评手续。</w:t>
            </w:r>
          </w:p>
          <w:p>
            <w:pPr>
              <w:keepNext w:val="0"/>
              <w:keepLines w:val="0"/>
              <w:suppressLineNumbers w:val="0"/>
              <w:spacing w:before="0" w:beforeAutospacing="0" w:after="0" w:afterAutospacing="0" w:line="360" w:lineRule="auto"/>
              <w:ind w:left="0" w:right="0"/>
              <w:jc w:val="left"/>
              <w:rPr>
                <w:rFonts w:hint="eastAsia" w:ascii="宋体" w:hAnsi="宋体" w:cs="宋体"/>
                <w:b/>
                <w:bCs/>
                <w:color w:val="auto"/>
                <w:sz w:val="24"/>
                <w:szCs w:val="24"/>
              </w:rPr>
            </w:pPr>
            <w:r>
              <w:rPr>
                <w:rFonts w:hint="default" w:ascii="宋体" w:hAnsi="宋体" w:cs="宋体"/>
                <w:b/>
                <w:bCs/>
                <w:color w:val="auto"/>
                <w:sz w:val="24"/>
                <w:szCs w:val="24"/>
              </w:rPr>
              <w:t>8</w:t>
            </w:r>
            <w:r>
              <w:rPr>
                <w:rFonts w:hint="eastAsia" w:ascii="宋体" w:hAnsi="宋体" w:cs="宋体"/>
                <w:b/>
                <w:bCs/>
                <w:color w:val="auto"/>
                <w:sz w:val="24"/>
                <w:szCs w:val="24"/>
              </w:rPr>
              <w:t>、环保投资</w:t>
            </w:r>
          </w:p>
          <w:p>
            <w:pPr>
              <w:keepNext w:val="0"/>
              <w:keepLines w:val="0"/>
              <w:suppressLineNumbers w:val="0"/>
              <w:adjustRightInd w:val="0"/>
              <w:snapToGrid w:val="0"/>
              <w:spacing w:before="0" w:beforeAutospacing="0" w:after="0" w:afterAutospacing="0" w:line="360" w:lineRule="auto"/>
              <w:ind w:left="0" w:right="0" w:firstLine="482"/>
              <w:jc w:val="left"/>
              <w:rPr>
                <w:rFonts w:hint="eastAsia" w:ascii="宋体" w:hAnsi="宋体" w:cs="宋体"/>
                <w:color w:val="auto"/>
                <w:sz w:val="24"/>
                <w:szCs w:val="24"/>
              </w:rPr>
            </w:pPr>
            <w:r>
              <w:rPr>
                <w:rFonts w:hint="eastAsia" w:ascii="宋体" w:hAnsi="宋体" w:cs="宋体"/>
                <w:color w:val="auto"/>
                <w:sz w:val="24"/>
                <w:szCs w:val="24"/>
              </w:rPr>
              <w:t>本项目工程总投资</w:t>
            </w:r>
            <w:r>
              <w:rPr>
                <w:rFonts w:hint="default" w:ascii="宋体" w:hAnsi="宋体" w:cs="宋体"/>
                <w:color w:val="auto"/>
                <w:sz w:val="24"/>
                <w:szCs w:val="24"/>
              </w:rPr>
              <w:t>2</w:t>
            </w:r>
            <w:r>
              <w:rPr>
                <w:rFonts w:hint="eastAsia" w:ascii="宋体" w:hAnsi="宋体" w:cs="宋体"/>
                <w:color w:val="auto"/>
                <w:sz w:val="24"/>
                <w:szCs w:val="24"/>
              </w:rPr>
              <w:t>1000万元，其中环保投资</w:t>
            </w:r>
            <w:r>
              <w:rPr>
                <w:rFonts w:hint="default" w:ascii="宋体" w:hAnsi="宋体" w:cs="宋体"/>
                <w:color w:val="auto"/>
                <w:sz w:val="24"/>
                <w:szCs w:val="24"/>
              </w:rPr>
              <w:t>78.6</w:t>
            </w:r>
            <w:r>
              <w:rPr>
                <w:rFonts w:hint="eastAsia" w:ascii="宋体" w:hAnsi="宋体" w:cs="宋体"/>
                <w:color w:val="auto"/>
                <w:sz w:val="24"/>
                <w:szCs w:val="24"/>
              </w:rPr>
              <w:t>万元，占工程总投资的</w:t>
            </w:r>
            <w:r>
              <w:rPr>
                <w:rFonts w:hint="default" w:ascii="宋体" w:hAnsi="宋体" w:cs="宋体"/>
                <w:color w:val="auto"/>
                <w:sz w:val="24"/>
                <w:szCs w:val="24"/>
              </w:rPr>
              <w:t>0.4</w:t>
            </w:r>
            <w:r>
              <w:rPr>
                <w:rFonts w:hint="eastAsia" w:ascii="宋体" w:hAnsi="宋体" w:cs="宋体"/>
                <w:color w:val="auto"/>
                <w:sz w:val="24"/>
                <w:szCs w:val="24"/>
              </w:rPr>
              <w:t>%，项目环保投资估算见表</w:t>
            </w:r>
            <w:r>
              <w:rPr>
                <w:rFonts w:hint="default" w:ascii="宋体" w:hAnsi="宋体" w:cs="宋体"/>
                <w:color w:val="auto"/>
                <w:sz w:val="24"/>
                <w:szCs w:val="24"/>
              </w:rPr>
              <w:t>4-1</w:t>
            </w:r>
            <w:r>
              <w:rPr>
                <w:rFonts w:hint="default" w:ascii="宋体" w:hAnsi="宋体" w:cs="宋体"/>
                <w:color w:val="auto"/>
                <w:sz w:val="24"/>
                <w:szCs w:val="24"/>
                <w:lang w:val="en-US"/>
              </w:rPr>
              <w:t>8</w:t>
            </w:r>
            <w:r>
              <w:rPr>
                <w:rFonts w:hint="eastAsia" w:ascii="宋体" w:hAnsi="宋体" w:cs="宋体"/>
                <w:color w:val="auto"/>
                <w:sz w:val="24"/>
                <w:szCs w:val="24"/>
              </w:rPr>
              <w:t>。</w:t>
            </w:r>
          </w:p>
          <w:p>
            <w:pPr>
              <w:keepNext w:val="0"/>
              <w:keepLines w:val="0"/>
              <w:suppressLineNumbers w:val="0"/>
              <w:spacing w:before="0" w:beforeAutospacing="0" w:after="0" w:afterAutospacing="0"/>
              <w:ind w:left="0" w:right="0" w:firstLine="482"/>
              <w:jc w:val="center"/>
              <w:rPr>
                <w:rFonts w:hint="eastAsia" w:ascii="宋体" w:hAnsi="宋体" w:cs="宋体"/>
                <w:b/>
                <w:bCs/>
                <w:color w:val="auto"/>
                <w:sz w:val="24"/>
                <w:szCs w:val="24"/>
              </w:rPr>
            </w:pPr>
            <w:r>
              <w:rPr>
                <w:rFonts w:hint="eastAsia" w:ascii="宋体" w:hAnsi="宋体" w:cs="宋体"/>
                <w:b/>
                <w:bCs/>
                <w:color w:val="auto"/>
                <w:sz w:val="24"/>
                <w:szCs w:val="24"/>
              </w:rPr>
              <w:t>表</w:t>
            </w:r>
            <w:r>
              <w:rPr>
                <w:rFonts w:hint="default" w:ascii="宋体" w:hAnsi="宋体" w:cs="宋体"/>
                <w:b/>
                <w:bCs/>
                <w:color w:val="auto"/>
                <w:sz w:val="24"/>
                <w:szCs w:val="24"/>
              </w:rPr>
              <w:t>4-1</w:t>
            </w:r>
            <w:r>
              <w:rPr>
                <w:rFonts w:hint="default" w:ascii="宋体" w:hAnsi="宋体" w:cs="宋体"/>
                <w:b/>
                <w:bCs/>
                <w:color w:val="auto"/>
                <w:sz w:val="24"/>
                <w:szCs w:val="24"/>
                <w:lang w:val="en-US"/>
              </w:rPr>
              <w:t>8</w:t>
            </w:r>
            <w:r>
              <w:rPr>
                <w:rFonts w:hint="default" w:ascii="宋体" w:hAnsi="宋体" w:cs="宋体"/>
                <w:b/>
                <w:bCs/>
                <w:color w:val="auto"/>
                <w:sz w:val="24"/>
                <w:szCs w:val="24"/>
              </w:rPr>
              <w:t xml:space="preserve"> </w:t>
            </w:r>
            <w:r>
              <w:rPr>
                <w:rFonts w:hint="eastAsia" w:ascii="宋体" w:hAnsi="宋体" w:cs="宋体"/>
                <w:b/>
                <w:bCs/>
                <w:color w:val="auto"/>
                <w:sz w:val="24"/>
                <w:szCs w:val="24"/>
              </w:rPr>
              <w:t>环保投资估算表</w:t>
            </w:r>
          </w:p>
          <w:tbl>
            <w:tblPr>
              <w:tblStyle w:val="2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868"/>
              <w:gridCol w:w="1318"/>
              <w:gridCol w:w="4746"/>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7" w:type="pc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时段</w:t>
                  </w:r>
                </w:p>
              </w:tc>
              <w:tc>
                <w:tcPr>
                  <w:tcW w:w="499" w:type="pc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治理类型</w:t>
                  </w:r>
                </w:p>
              </w:tc>
              <w:tc>
                <w:tcPr>
                  <w:tcW w:w="758" w:type="pc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环保设施</w:t>
                  </w:r>
                </w:p>
              </w:tc>
              <w:tc>
                <w:tcPr>
                  <w:tcW w:w="2728" w:type="pc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设置规模</w:t>
                  </w:r>
                </w:p>
              </w:tc>
              <w:tc>
                <w:tcPr>
                  <w:tcW w:w="676" w:type="pc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投资(万元</w:t>
                  </w:r>
                  <w:r>
                    <w:rPr>
                      <w:rFonts w:hint="eastAsia" w:ascii="宋体" w:hAnsi="宋体" w:cs="宋体"/>
                      <w:color w:val="auto"/>
                    </w:rPr>
                    <w:c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7" w:type="pct"/>
                  <w:vMerge w:val="restar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施工期</w:t>
                  </w:r>
                </w:p>
              </w:tc>
              <w:tc>
                <w:tcPr>
                  <w:tcW w:w="499" w:type="pct"/>
                  <w:noWrap w:val="0"/>
                  <w:vAlign w:val="center"/>
                </w:tcPr>
                <w:p>
                  <w:pPr>
                    <w:pStyle w:val="6"/>
                    <w:keepNext w:val="0"/>
                    <w:keepLines w:val="0"/>
                    <w:suppressLineNumbers w:val="0"/>
                    <w:adjustRightInd/>
                    <w:snapToGrid w:val="0"/>
                    <w:spacing w:before="0" w:beforeAutospacing="0" w:after="0" w:afterAutospacing="0" w:line="240" w:lineRule="auto"/>
                    <w:ind w:left="0" w:right="0" w:firstLine="0"/>
                    <w:contextualSpacing/>
                    <w:jc w:val="center"/>
                    <w:rPr>
                      <w:rFonts w:hint="eastAsia" w:ascii="宋体" w:hAnsi="宋体" w:cs="宋体"/>
                      <w:color w:val="auto"/>
                    </w:rPr>
                  </w:pPr>
                  <w:r>
                    <w:rPr>
                      <w:rFonts w:hint="eastAsia" w:ascii="宋体" w:hAnsi="宋体" w:cs="宋体"/>
                      <w:color w:val="auto"/>
                    </w:rPr>
                    <w:t>废气</w:t>
                  </w:r>
                </w:p>
              </w:tc>
              <w:tc>
                <w:tcPr>
                  <w:tcW w:w="3486" w:type="pct"/>
                  <w:gridSpan w:val="2"/>
                  <w:noWrap w:val="0"/>
                  <w:vAlign w:val="center"/>
                </w:tcPr>
                <w:p>
                  <w:pPr>
                    <w:pStyle w:val="6"/>
                    <w:keepNext w:val="0"/>
                    <w:keepLines w:val="0"/>
                    <w:suppressLineNumbers w:val="0"/>
                    <w:adjustRightInd/>
                    <w:snapToGrid w:val="0"/>
                    <w:spacing w:before="0" w:beforeAutospacing="0" w:after="0" w:afterAutospacing="0" w:line="240" w:lineRule="auto"/>
                    <w:ind w:left="0" w:right="0" w:firstLine="0"/>
                    <w:contextualSpacing/>
                    <w:rPr>
                      <w:rFonts w:hint="eastAsia" w:ascii="宋体" w:hAnsi="宋体" w:cs="宋体"/>
                      <w:color w:val="auto"/>
                    </w:rPr>
                  </w:pPr>
                  <w:r>
                    <w:rPr>
                      <w:rFonts w:hint="eastAsia" w:ascii="宋体" w:hAnsi="宋体" w:cs="宋体"/>
                      <w:color w:val="auto"/>
                    </w:rPr>
                    <w:t>场地内进行洒水降尘，装修用建筑材料土工布遮盖，运输车辆帆布遮盖，定期清扫。</w:t>
                  </w:r>
                </w:p>
              </w:tc>
              <w:tc>
                <w:tcPr>
                  <w:tcW w:w="676" w:type="pct"/>
                  <w:noWrap w:val="0"/>
                  <w:vAlign w:val="center"/>
                </w:tcPr>
                <w:p>
                  <w:pPr>
                    <w:pStyle w:val="6"/>
                    <w:keepNext w:val="0"/>
                    <w:keepLines w:val="0"/>
                    <w:suppressLineNumbers w:val="0"/>
                    <w:adjustRightInd/>
                    <w:snapToGrid w:val="0"/>
                    <w:spacing w:before="0" w:beforeAutospacing="0" w:after="0" w:afterAutospacing="0" w:line="240" w:lineRule="auto"/>
                    <w:ind w:left="0" w:right="0" w:firstLine="0"/>
                    <w:contextualSpacing/>
                    <w:jc w:val="center"/>
                    <w:rPr>
                      <w:rFonts w:hint="eastAsia" w:ascii="宋体" w:hAnsi="宋体" w:cs="宋体"/>
                      <w:color w:val="auto"/>
                    </w:rPr>
                  </w:pPr>
                  <w:r>
                    <w:rPr>
                      <w:rFonts w:hint="default" w:ascii="宋体" w:hAnsi="宋体" w:cs="宋体"/>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7" w:type="pct"/>
                  <w:vMerge w:val="continue"/>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p>
              </w:tc>
              <w:tc>
                <w:tcPr>
                  <w:tcW w:w="499" w:type="pct"/>
                  <w:noWrap w:val="0"/>
                  <w:vAlign w:val="center"/>
                </w:tcPr>
                <w:p>
                  <w:pPr>
                    <w:pStyle w:val="6"/>
                    <w:keepNext w:val="0"/>
                    <w:keepLines w:val="0"/>
                    <w:suppressLineNumbers w:val="0"/>
                    <w:adjustRightInd/>
                    <w:snapToGrid w:val="0"/>
                    <w:spacing w:before="0" w:beforeAutospacing="0" w:after="0" w:afterAutospacing="0" w:line="240" w:lineRule="auto"/>
                    <w:ind w:left="0" w:right="0" w:firstLine="0"/>
                    <w:contextualSpacing/>
                    <w:jc w:val="center"/>
                    <w:rPr>
                      <w:rFonts w:hint="eastAsia" w:ascii="宋体" w:hAnsi="宋体" w:cs="宋体"/>
                      <w:color w:val="auto"/>
                    </w:rPr>
                  </w:pPr>
                  <w:r>
                    <w:rPr>
                      <w:rFonts w:hint="eastAsia" w:ascii="宋体" w:hAnsi="宋体" w:cs="宋体"/>
                      <w:color w:val="auto"/>
                    </w:rPr>
                    <w:t>废水</w:t>
                  </w:r>
                </w:p>
              </w:tc>
              <w:tc>
                <w:tcPr>
                  <w:tcW w:w="3486" w:type="pct"/>
                  <w:gridSpan w:val="2"/>
                  <w:noWrap w:val="0"/>
                  <w:vAlign w:val="center"/>
                </w:tcPr>
                <w:p>
                  <w:pPr>
                    <w:pStyle w:val="6"/>
                    <w:keepNext w:val="0"/>
                    <w:keepLines w:val="0"/>
                    <w:suppressLineNumbers w:val="0"/>
                    <w:adjustRightInd/>
                    <w:snapToGrid w:val="0"/>
                    <w:spacing w:before="0" w:beforeAutospacing="0" w:after="0" w:afterAutospacing="0" w:line="240" w:lineRule="auto"/>
                    <w:ind w:left="0" w:right="0" w:firstLine="0"/>
                    <w:contextualSpacing/>
                    <w:rPr>
                      <w:rFonts w:hint="eastAsia" w:ascii="宋体" w:hAnsi="宋体" w:cs="宋体"/>
                      <w:color w:val="auto"/>
                    </w:rPr>
                  </w:pPr>
                  <w:r>
                    <w:rPr>
                      <w:rFonts w:hint="eastAsia" w:ascii="宋体" w:hAnsi="宋体" w:cs="宋体"/>
                      <w:color w:val="auto"/>
                    </w:rPr>
                    <w:t>施工废水经沉淀处理后用于场地浇洒，不外排。</w:t>
                  </w:r>
                </w:p>
              </w:tc>
              <w:tc>
                <w:tcPr>
                  <w:tcW w:w="676" w:type="pct"/>
                  <w:noWrap w:val="0"/>
                  <w:vAlign w:val="center"/>
                </w:tcPr>
                <w:p>
                  <w:pPr>
                    <w:pStyle w:val="6"/>
                    <w:keepNext w:val="0"/>
                    <w:keepLines w:val="0"/>
                    <w:suppressLineNumbers w:val="0"/>
                    <w:adjustRightInd/>
                    <w:snapToGrid w:val="0"/>
                    <w:spacing w:before="0" w:beforeAutospacing="0" w:after="0" w:afterAutospacing="0" w:line="240" w:lineRule="auto"/>
                    <w:ind w:left="0" w:right="0" w:firstLine="0"/>
                    <w:contextualSpacing/>
                    <w:jc w:val="center"/>
                    <w:rPr>
                      <w:rFonts w:hint="default" w:ascii="宋体" w:hAnsi="宋体" w:cs="宋体"/>
                      <w:color w:val="auto"/>
                    </w:rPr>
                  </w:pPr>
                  <w:r>
                    <w:rPr>
                      <w:rFonts w:hint="default" w:ascii="宋体" w:hAnsi="宋体" w:cs="宋体"/>
                      <w:color w:val="auto"/>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7" w:type="pct"/>
                  <w:vMerge w:val="continue"/>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p>
              </w:tc>
              <w:tc>
                <w:tcPr>
                  <w:tcW w:w="499" w:type="pct"/>
                  <w:noWrap w:val="0"/>
                  <w:vAlign w:val="center"/>
                </w:tcPr>
                <w:p>
                  <w:pPr>
                    <w:pStyle w:val="6"/>
                    <w:keepNext w:val="0"/>
                    <w:keepLines w:val="0"/>
                    <w:suppressLineNumbers w:val="0"/>
                    <w:adjustRightInd/>
                    <w:snapToGrid w:val="0"/>
                    <w:spacing w:before="0" w:beforeAutospacing="0" w:after="0" w:afterAutospacing="0" w:line="240" w:lineRule="auto"/>
                    <w:ind w:left="0" w:right="0" w:firstLine="0"/>
                    <w:contextualSpacing/>
                    <w:jc w:val="center"/>
                    <w:rPr>
                      <w:rFonts w:hint="eastAsia" w:ascii="宋体" w:hAnsi="宋体" w:cs="宋体"/>
                      <w:color w:val="auto"/>
                    </w:rPr>
                  </w:pPr>
                  <w:r>
                    <w:rPr>
                      <w:rFonts w:hint="eastAsia" w:ascii="宋体" w:hAnsi="宋体" w:cs="宋体"/>
                      <w:color w:val="auto"/>
                    </w:rPr>
                    <w:t>固废</w:t>
                  </w:r>
                </w:p>
              </w:tc>
              <w:tc>
                <w:tcPr>
                  <w:tcW w:w="3486" w:type="pct"/>
                  <w:gridSpan w:val="2"/>
                  <w:noWrap w:val="0"/>
                  <w:vAlign w:val="center"/>
                </w:tcPr>
                <w:p>
                  <w:pPr>
                    <w:pStyle w:val="21"/>
                    <w:keepNext w:val="0"/>
                    <w:keepLines w:val="0"/>
                    <w:suppressLineNumbers w:val="0"/>
                    <w:snapToGrid w:val="0"/>
                    <w:spacing w:beforeAutospacing="0" w:after="0" w:afterAutospacing="0" w:line="240" w:lineRule="auto"/>
                    <w:contextualSpacing/>
                    <w:rPr>
                      <w:rFonts w:hint="eastAsia" w:ascii="宋体" w:hAnsi="宋体" w:cs="宋体"/>
                      <w:color w:val="auto"/>
                    </w:rPr>
                  </w:pPr>
                  <w:r>
                    <w:rPr>
                      <w:rFonts w:hint="eastAsia" w:ascii="宋体" w:hAnsi="宋体" w:cs="宋体"/>
                      <w:color w:val="auto"/>
                    </w:rPr>
                    <w:t xml:space="preserve">（1）生活垃圾分类收集后由环卫部门负责清运处理。 </w:t>
                  </w:r>
                </w:p>
                <w:p>
                  <w:pPr>
                    <w:pStyle w:val="21"/>
                    <w:keepNext w:val="0"/>
                    <w:keepLines w:val="0"/>
                    <w:suppressLineNumbers w:val="0"/>
                    <w:snapToGrid w:val="0"/>
                    <w:spacing w:beforeAutospacing="0" w:after="0" w:afterAutospacing="0" w:line="240" w:lineRule="auto"/>
                    <w:contextualSpacing/>
                    <w:rPr>
                      <w:rFonts w:hint="eastAsia" w:ascii="宋体" w:hAnsi="宋体" w:cs="宋体"/>
                      <w:color w:val="auto"/>
                    </w:rPr>
                  </w:pPr>
                  <w:r>
                    <w:rPr>
                      <w:rFonts w:hint="eastAsia" w:ascii="宋体" w:hAnsi="宋体" w:cs="宋体"/>
                      <w:color w:val="auto"/>
                    </w:rPr>
                    <w:t xml:space="preserve">（2）建筑垃圾送政府指定地点进行合法消纳。 </w:t>
                  </w:r>
                </w:p>
              </w:tc>
              <w:tc>
                <w:tcPr>
                  <w:tcW w:w="676" w:type="pct"/>
                  <w:noWrap w:val="0"/>
                  <w:vAlign w:val="center"/>
                </w:tcPr>
                <w:p>
                  <w:pPr>
                    <w:pStyle w:val="6"/>
                    <w:keepNext w:val="0"/>
                    <w:keepLines w:val="0"/>
                    <w:suppressLineNumbers w:val="0"/>
                    <w:adjustRightInd/>
                    <w:snapToGrid w:val="0"/>
                    <w:spacing w:before="0" w:beforeAutospacing="0" w:after="0" w:afterAutospacing="0" w:line="240" w:lineRule="auto"/>
                    <w:ind w:left="0" w:right="0" w:firstLine="0"/>
                    <w:contextualSpacing/>
                    <w:jc w:val="center"/>
                    <w:rPr>
                      <w:rFonts w:hint="default" w:ascii="宋体" w:hAnsi="宋体" w:cs="宋体"/>
                      <w:color w:val="auto"/>
                    </w:rPr>
                  </w:pPr>
                  <w:r>
                    <w:rPr>
                      <w:rFonts w:hint="default" w:ascii="宋体" w:hAnsi="宋体" w:cs="宋体"/>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337" w:type="pct"/>
                  <w:vMerge w:val="continue"/>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p>
              </w:tc>
              <w:tc>
                <w:tcPr>
                  <w:tcW w:w="499" w:type="pct"/>
                  <w:noWrap w:val="0"/>
                  <w:vAlign w:val="center"/>
                </w:tcPr>
                <w:p>
                  <w:pPr>
                    <w:pStyle w:val="6"/>
                    <w:keepNext w:val="0"/>
                    <w:keepLines w:val="0"/>
                    <w:suppressLineNumbers w:val="0"/>
                    <w:adjustRightInd/>
                    <w:snapToGrid w:val="0"/>
                    <w:spacing w:before="0" w:beforeAutospacing="0" w:after="0" w:afterAutospacing="0" w:line="240" w:lineRule="auto"/>
                    <w:ind w:left="0" w:right="0" w:firstLine="0"/>
                    <w:contextualSpacing/>
                    <w:jc w:val="center"/>
                    <w:rPr>
                      <w:rFonts w:hint="eastAsia" w:ascii="宋体" w:hAnsi="宋体" w:cs="宋体"/>
                      <w:color w:val="auto"/>
                    </w:rPr>
                  </w:pPr>
                  <w:r>
                    <w:rPr>
                      <w:rFonts w:hint="eastAsia" w:ascii="宋体" w:hAnsi="宋体" w:cs="宋体"/>
                      <w:color w:val="auto"/>
                    </w:rPr>
                    <w:t>噪声</w:t>
                  </w:r>
                </w:p>
              </w:tc>
              <w:tc>
                <w:tcPr>
                  <w:tcW w:w="3486" w:type="pct"/>
                  <w:gridSpan w:val="2"/>
                  <w:noWrap w:val="0"/>
                  <w:vAlign w:val="center"/>
                </w:tcPr>
                <w:p>
                  <w:pPr>
                    <w:pStyle w:val="6"/>
                    <w:keepNext w:val="0"/>
                    <w:keepLines w:val="0"/>
                    <w:suppressLineNumbers w:val="0"/>
                    <w:adjustRightInd/>
                    <w:snapToGrid w:val="0"/>
                    <w:spacing w:before="0" w:beforeAutospacing="0" w:after="0" w:afterAutospacing="0" w:line="240" w:lineRule="auto"/>
                    <w:ind w:left="0" w:right="0" w:firstLine="0"/>
                    <w:contextualSpacing/>
                    <w:rPr>
                      <w:rFonts w:hint="eastAsia" w:ascii="宋体" w:hAnsi="宋体" w:cs="宋体"/>
                      <w:color w:val="auto"/>
                    </w:rPr>
                  </w:pPr>
                  <w:r>
                    <w:rPr>
                      <w:rFonts w:hint="eastAsia" w:ascii="宋体" w:hAnsi="宋体" w:cs="宋体"/>
                      <w:color w:val="auto"/>
                    </w:rPr>
                    <w:t>选用低噪声设备，定期维护机械和车辆。</w:t>
                  </w:r>
                </w:p>
              </w:tc>
              <w:tc>
                <w:tcPr>
                  <w:tcW w:w="676" w:type="pct"/>
                  <w:noWrap w:val="0"/>
                  <w:vAlign w:val="center"/>
                </w:tcPr>
                <w:p>
                  <w:pPr>
                    <w:pStyle w:val="6"/>
                    <w:keepNext w:val="0"/>
                    <w:keepLines w:val="0"/>
                    <w:suppressLineNumbers w:val="0"/>
                    <w:adjustRightInd/>
                    <w:snapToGrid w:val="0"/>
                    <w:spacing w:before="0" w:beforeAutospacing="0" w:after="0" w:afterAutospacing="0" w:line="240" w:lineRule="auto"/>
                    <w:ind w:left="0" w:right="0" w:firstLine="0"/>
                    <w:contextualSpacing/>
                    <w:jc w:val="center"/>
                    <w:rPr>
                      <w:rFonts w:hint="default" w:ascii="宋体" w:hAnsi="宋体" w:cs="宋体"/>
                      <w:color w:val="auto"/>
                    </w:rPr>
                  </w:pPr>
                  <w:r>
                    <w:rPr>
                      <w:rFonts w:hint="default" w:ascii="宋体" w:hAnsi="宋体" w:cs="宋体"/>
                      <w:color w:val="auto"/>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7" w:type="pct"/>
                  <w:vMerge w:val="restar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运营期</w:t>
                  </w:r>
                </w:p>
              </w:tc>
              <w:tc>
                <w:tcPr>
                  <w:tcW w:w="499" w:type="pct"/>
                  <w:vMerge w:val="restar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废气</w:t>
                  </w:r>
                </w:p>
              </w:tc>
              <w:tc>
                <w:tcPr>
                  <w:tcW w:w="758" w:type="pc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异味</w:t>
                  </w:r>
                </w:p>
              </w:tc>
              <w:tc>
                <w:tcPr>
                  <w:tcW w:w="2728" w:type="pct"/>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Calibri" w:hAnsi="Calibri" w:cs="Times New Roman"/>
                      <w:color w:val="auto"/>
                    </w:rPr>
                  </w:pPr>
                  <w:r>
                    <w:rPr>
                      <w:rFonts w:hint="eastAsia" w:ascii="Calibri" w:hAnsi="Calibri" w:cs="Times New Roman"/>
                      <w:color w:val="auto"/>
                    </w:rPr>
                    <w:t>生活垃圾使用带盖垃圾桶，及时收集清运；</w:t>
                  </w:r>
                </w:p>
                <w:p>
                  <w:pPr>
                    <w:keepNext w:val="0"/>
                    <w:keepLines w:val="0"/>
                    <w:suppressLineNumbers w:val="0"/>
                    <w:autoSpaceDE w:val="0"/>
                    <w:autoSpaceDN w:val="0"/>
                    <w:adjustRightInd w:val="0"/>
                    <w:spacing w:before="0" w:beforeAutospacing="0" w:after="0" w:afterAutospacing="0"/>
                    <w:ind w:left="0" w:right="0"/>
                    <w:jc w:val="left"/>
                    <w:rPr>
                      <w:rFonts w:hint="eastAsia" w:ascii="Calibri" w:hAnsi="Calibri" w:cs="Times New Roman"/>
                      <w:color w:val="auto"/>
                    </w:rPr>
                  </w:pPr>
                  <w:r>
                    <w:rPr>
                      <w:rFonts w:hint="eastAsia" w:ascii="Calibri" w:hAnsi="Calibri" w:cs="Times New Roman"/>
                      <w:color w:val="auto"/>
                    </w:rPr>
                    <w:t>医疗废物袋装收集后放置在密闭的专用的医疗废物暂存间内；</w:t>
                  </w:r>
                </w:p>
                <w:p>
                  <w:pPr>
                    <w:keepNext w:val="0"/>
                    <w:keepLines w:val="0"/>
                    <w:suppressLineNumbers w:val="0"/>
                    <w:snapToGrid w:val="0"/>
                    <w:spacing w:before="0" w:beforeAutospacing="0" w:after="0" w:afterAutospacing="0"/>
                    <w:ind w:left="0" w:right="0"/>
                    <w:contextualSpacing/>
                    <w:rPr>
                      <w:rFonts w:hint="eastAsia" w:ascii="Calibri" w:hAnsi="Calibri" w:cs="Times New Roman"/>
                      <w:color w:val="auto"/>
                    </w:rPr>
                  </w:pPr>
                  <w:r>
                    <w:rPr>
                      <w:rFonts w:hint="eastAsia" w:ascii="Calibri" w:hAnsi="Calibri" w:cs="Times New Roman"/>
                      <w:color w:val="auto"/>
                    </w:rPr>
                    <w:t>污水处理站反应池采用全封闭建设；</w:t>
                  </w:r>
                </w:p>
              </w:tc>
              <w:tc>
                <w:tcPr>
                  <w:tcW w:w="676" w:type="pc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337" w:type="pct"/>
                  <w:vMerge w:val="continue"/>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p>
              </w:tc>
              <w:tc>
                <w:tcPr>
                  <w:tcW w:w="499" w:type="pct"/>
                  <w:vMerge w:val="continue"/>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p>
              </w:tc>
              <w:tc>
                <w:tcPr>
                  <w:tcW w:w="758" w:type="pc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厨房油烟</w:t>
                  </w:r>
                </w:p>
              </w:tc>
              <w:tc>
                <w:tcPr>
                  <w:tcW w:w="2728" w:type="pct"/>
                  <w:noWrap w:val="0"/>
                  <w:vAlign w:val="center"/>
                </w:tcPr>
                <w:p>
                  <w:pPr>
                    <w:keepNext w:val="0"/>
                    <w:keepLines w:val="0"/>
                    <w:suppressLineNumbers w:val="0"/>
                    <w:snapToGrid w:val="0"/>
                    <w:spacing w:before="0" w:beforeAutospacing="0" w:after="0" w:afterAutospacing="0"/>
                    <w:ind w:left="0" w:right="0"/>
                    <w:contextualSpacing/>
                    <w:rPr>
                      <w:rFonts w:hint="eastAsia" w:ascii="宋体" w:hAnsi="宋体" w:cs="宋体"/>
                      <w:color w:val="auto"/>
                    </w:rPr>
                  </w:pPr>
                  <w:r>
                    <w:rPr>
                      <w:rFonts w:hint="eastAsia" w:ascii="宋体" w:hAnsi="宋体" w:cs="宋体"/>
                      <w:color w:val="auto"/>
                    </w:rPr>
                    <w:t>1套油烟净化器</w:t>
                  </w:r>
                </w:p>
              </w:tc>
              <w:tc>
                <w:tcPr>
                  <w:tcW w:w="676" w:type="pc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37" w:type="pct"/>
                  <w:vMerge w:val="continue"/>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p>
              </w:tc>
              <w:tc>
                <w:tcPr>
                  <w:tcW w:w="499" w:type="pct"/>
                  <w:vMerge w:val="restar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废水</w:t>
                  </w:r>
                </w:p>
              </w:tc>
              <w:tc>
                <w:tcPr>
                  <w:tcW w:w="758" w:type="pc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eastAsia="宋体" w:cs="宋体"/>
                      <w:color w:val="auto"/>
                      <w:lang w:eastAsia="zh-CN"/>
                    </w:rPr>
                  </w:pPr>
                  <w:r>
                    <w:rPr>
                      <w:rFonts w:hint="eastAsia" w:ascii="宋体" w:hAnsi="宋体" w:cs="宋体"/>
                      <w:color w:val="auto"/>
                      <w:lang w:eastAsia="zh-CN"/>
                    </w:rPr>
                    <w:t>化粪池</w:t>
                  </w:r>
                </w:p>
              </w:tc>
              <w:tc>
                <w:tcPr>
                  <w:tcW w:w="2728" w:type="pct"/>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cs="宋体"/>
                      <w:color w:val="auto"/>
                    </w:rPr>
                  </w:pPr>
                  <w:r>
                    <w:rPr>
                      <w:rFonts w:hint="eastAsia" w:ascii="Calibri" w:hAnsi="Calibri" w:cs="Times New Roman"/>
                      <w:color w:val="auto"/>
                    </w:rPr>
                    <w:t>项目配备</w:t>
                  </w:r>
                  <w:r>
                    <w:rPr>
                      <w:rFonts w:hint="default" w:ascii="Calibri" w:hAnsi="Calibri" w:cs="Times New Roman"/>
                      <w:color w:val="auto"/>
                    </w:rPr>
                    <w:t>1</w:t>
                  </w:r>
                  <w:r>
                    <w:rPr>
                      <w:rFonts w:hint="eastAsia" w:ascii="Calibri" w:hAnsi="Calibri" w:cs="Times New Roman"/>
                      <w:color w:val="auto"/>
                    </w:rPr>
                    <w:t>个化粪池，布置在卫生间下方，化粪池容积</w:t>
                  </w:r>
                  <w:r>
                    <w:rPr>
                      <w:rFonts w:hint="default" w:ascii="Calibri" w:hAnsi="Calibri" w:cs="Times New Roman"/>
                      <w:color w:val="auto"/>
                      <w:lang w:val="en-US"/>
                    </w:rPr>
                    <w:t>10</w:t>
                  </w:r>
                  <w:r>
                    <w:rPr>
                      <w:rFonts w:hint="eastAsia" w:ascii="Calibri" w:hAnsi="Calibri" w:cs="Times New Roman"/>
                      <w:color w:val="auto"/>
                    </w:rPr>
                    <w:t>0m</w:t>
                  </w:r>
                  <w:r>
                    <w:rPr>
                      <w:rFonts w:hint="default" w:ascii="Calibri" w:hAnsi="Calibri" w:cs="Times New Roman"/>
                      <w:color w:val="auto"/>
                      <w:vertAlign w:val="superscript"/>
                    </w:rPr>
                    <w:t>3</w:t>
                  </w:r>
                  <w:r>
                    <w:rPr>
                      <w:rFonts w:hint="eastAsia" w:ascii="Calibri" w:hAnsi="Calibri" w:cs="Times New Roman"/>
                      <w:color w:val="auto"/>
                    </w:rPr>
                    <w:t>。</w:t>
                  </w:r>
                </w:p>
              </w:tc>
              <w:tc>
                <w:tcPr>
                  <w:tcW w:w="676" w:type="pct"/>
                  <w:noWrap w:val="0"/>
                  <w:vAlign w:val="center"/>
                </w:tcPr>
                <w:p>
                  <w:pPr>
                    <w:keepNext w:val="0"/>
                    <w:keepLines w:val="0"/>
                    <w:suppressLineNumbers w:val="0"/>
                    <w:snapToGrid w:val="0"/>
                    <w:spacing w:before="0" w:beforeAutospacing="0" w:after="0" w:afterAutospacing="0"/>
                    <w:ind w:left="0" w:right="0"/>
                    <w:contextualSpacing/>
                    <w:jc w:val="center"/>
                    <w:rPr>
                      <w:rFonts w:hint="default" w:ascii="宋体" w:hAnsi="宋体" w:cs="宋体"/>
                      <w:color w:val="auto"/>
                      <w:lang w:val="en-US"/>
                    </w:rPr>
                  </w:pPr>
                  <w:r>
                    <w:rPr>
                      <w:rFonts w:hint="default" w:ascii="宋体" w:hAnsi="宋体" w:cs="宋体"/>
                      <w:color w:val="auto"/>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37" w:type="pct"/>
                  <w:vMerge w:val="continue"/>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p>
              </w:tc>
              <w:tc>
                <w:tcPr>
                  <w:tcW w:w="499" w:type="pct"/>
                  <w:vMerge w:val="continue"/>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p>
              </w:tc>
              <w:tc>
                <w:tcPr>
                  <w:tcW w:w="758" w:type="pc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eastAsia="宋体" w:cs="宋体"/>
                      <w:color w:val="auto"/>
                      <w:lang w:eastAsia="zh-CN"/>
                    </w:rPr>
                  </w:pPr>
                  <w:r>
                    <w:rPr>
                      <w:rFonts w:hint="eastAsia" w:ascii="宋体" w:hAnsi="宋体" w:cs="宋体"/>
                      <w:color w:val="auto"/>
                      <w:lang w:eastAsia="zh-CN"/>
                    </w:rPr>
                    <w:t>隔油池</w:t>
                  </w:r>
                </w:p>
              </w:tc>
              <w:tc>
                <w:tcPr>
                  <w:tcW w:w="2728" w:type="pct"/>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Calibri" w:hAnsi="Calibri" w:cs="Times New Roman"/>
                      <w:color w:val="auto"/>
                    </w:rPr>
                  </w:pPr>
                  <w:r>
                    <w:rPr>
                      <w:rFonts w:hint="eastAsia" w:ascii="Calibri" w:hAnsi="Calibri" w:cs="Times New Roman"/>
                      <w:color w:val="auto"/>
                    </w:rPr>
                    <w:t>厨房外侧配备1个隔油池，用于厨房废水的隔油处理。</w:t>
                  </w:r>
                </w:p>
              </w:tc>
              <w:tc>
                <w:tcPr>
                  <w:tcW w:w="676" w:type="pct"/>
                  <w:noWrap w:val="0"/>
                  <w:vAlign w:val="center"/>
                </w:tcPr>
                <w:p>
                  <w:pPr>
                    <w:keepNext w:val="0"/>
                    <w:keepLines w:val="0"/>
                    <w:suppressLineNumbers w:val="0"/>
                    <w:snapToGrid w:val="0"/>
                    <w:spacing w:before="0" w:beforeAutospacing="0" w:after="0" w:afterAutospacing="0"/>
                    <w:ind w:left="0" w:right="0"/>
                    <w:contextualSpacing/>
                    <w:jc w:val="center"/>
                    <w:rPr>
                      <w:rFonts w:hint="default" w:ascii="宋体" w:hAnsi="宋体" w:cs="宋体"/>
                      <w:color w:val="auto"/>
                      <w:lang w:val="en-US"/>
                    </w:rPr>
                  </w:pPr>
                  <w:r>
                    <w:rPr>
                      <w:rFonts w:hint="default" w:ascii="宋体" w:hAnsi="宋体" w:cs="宋体"/>
                      <w:color w:val="auto"/>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37" w:type="pct"/>
                  <w:vMerge w:val="continue"/>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p>
              </w:tc>
              <w:tc>
                <w:tcPr>
                  <w:tcW w:w="499" w:type="pct"/>
                  <w:vMerge w:val="continue"/>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p>
              </w:tc>
              <w:tc>
                <w:tcPr>
                  <w:tcW w:w="758" w:type="pc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eastAsia="宋体" w:cs="宋体"/>
                      <w:color w:val="auto"/>
                      <w:lang w:eastAsia="zh-CN"/>
                    </w:rPr>
                  </w:pPr>
                  <w:r>
                    <w:rPr>
                      <w:rFonts w:hint="eastAsia" w:ascii="宋体" w:hAnsi="宋体" w:cs="宋体"/>
                      <w:color w:val="auto"/>
                      <w:lang w:eastAsia="zh-CN"/>
                    </w:rPr>
                    <w:t>污水处理站</w:t>
                  </w:r>
                </w:p>
              </w:tc>
              <w:tc>
                <w:tcPr>
                  <w:tcW w:w="2728" w:type="pct"/>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Calibri" w:hAnsi="Calibri" w:cs="Times New Roman"/>
                      <w:color w:val="auto"/>
                    </w:rPr>
                  </w:pPr>
                  <w:r>
                    <w:rPr>
                      <w:rFonts w:hint="eastAsia" w:ascii="Calibri" w:hAnsi="Calibri" w:cs="Times New Roman"/>
                      <w:color w:val="auto"/>
                    </w:rPr>
                    <w:t>新建1套</w:t>
                  </w:r>
                  <w:r>
                    <w:rPr>
                      <w:rFonts w:hint="default" w:ascii="Calibri" w:hAnsi="Calibri" w:cs="Times New Roman"/>
                      <w:color w:val="auto"/>
                    </w:rPr>
                    <w:t>1</w:t>
                  </w:r>
                  <w:r>
                    <w:rPr>
                      <w:rFonts w:hint="default" w:ascii="Calibri" w:hAnsi="Calibri" w:cs="Times New Roman"/>
                      <w:color w:val="auto"/>
                      <w:lang w:val="en-US"/>
                    </w:rPr>
                    <w:t>35</w:t>
                  </w:r>
                  <w:r>
                    <w:rPr>
                      <w:rFonts w:hint="eastAsia" w:ascii="Calibri" w:hAnsi="Calibri" w:cs="Times New Roman"/>
                      <w:color w:val="auto"/>
                    </w:rPr>
                    <w:t>m</w:t>
                  </w:r>
                  <w:r>
                    <w:rPr>
                      <w:rFonts w:hint="eastAsia" w:ascii="Calibri" w:hAnsi="Calibri" w:cs="Times New Roman"/>
                      <w:color w:val="auto"/>
                      <w:vertAlign w:val="superscript"/>
                    </w:rPr>
                    <w:t>3</w:t>
                  </w:r>
                  <w:r>
                    <w:rPr>
                      <w:rFonts w:hint="eastAsia" w:ascii="Calibri" w:hAnsi="Calibri" w:cs="Times New Roman"/>
                      <w:color w:val="auto"/>
                    </w:rPr>
                    <w:t>/d的一体化污水处理站进行处理，采用SBR+次氯酸钠消毒工艺。</w:t>
                  </w:r>
                </w:p>
              </w:tc>
              <w:tc>
                <w:tcPr>
                  <w:tcW w:w="676" w:type="pct"/>
                  <w:noWrap w:val="0"/>
                  <w:vAlign w:val="center"/>
                </w:tcPr>
                <w:p>
                  <w:pPr>
                    <w:keepNext w:val="0"/>
                    <w:keepLines w:val="0"/>
                    <w:suppressLineNumbers w:val="0"/>
                    <w:snapToGrid w:val="0"/>
                    <w:spacing w:before="0" w:beforeAutospacing="0" w:after="0" w:afterAutospacing="0"/>
                    <w:ind w:left="0" w:right="0"/>
                    <w:contextualSpacing/>
                    <w:jc w:val="center"/>
                    <w:rPr>
                      <w:rFonts w:hint="default" w:ascii="宋体" w:hAnsi="宋体" w:cs="宋体"/>
                      <w:color w:val="auto"/>
                      <w:lang w:val="en-US"/>
                    </w:rPr>
                  </w:pPr>
                  <w:r>
                    <w:rPr>
                      <w:rFonts w:hint="default" w:ascii="宋体" w:hAnsi="宋体" w:cs="宋体"/>
                      <w:color w:val="auto"/>
                      <w:lang w:val="en-US"/>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7" w:type="pct"/>
                  <w:vMerge w:val="continue"/>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p>
              </w:tc>
              <w:tc>
                <w:tcPr>
                  <w:tcW w:w="499" w:type="pc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噪声</w:t>
                  </w:r>
                </w:p>
              </w:tc>
              <w:tc>
                <w:tcPr>
                  <w:tcW w:w="758" w:type="pc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减震降噪措施</w:t>
                  </w:r>
                </w:p>
              </w:tc>
              <w:tc>
                <w:tcPr>
                  <w:tcW w:w="2728" w:type="pct"/>
                  <w:noWrap w:val="0"/>
                  <w:vAlign w:val="center"/>
                </w:tcPr>
                <w:p>
                  <w:pPr>
                    <w:pStyle w:val="9"/>
                    <w:keepNext w:val="0"/>
                    <w:keepLines w:val="0"/>
                    <w:suppressLineNumbers w:val="0"/>
                    <w:spacing w:before="0" w:beforeAutospacing="0" w:after="0" w:afterAutospacing="0" w:line="240" w:lineRule="auto"/>
                    <w:ind w:left="0"/>
                    <w:rPr>
                      <w:rFonts w:hint="eastAsia" w:ascii="Calibri" w:hAnsi="Calibri" w:eastAsia="宋体" w:cs="Times New Roman"/>
                      <w:color w:val="auto"/>
                      <w:kern w:val="0"/>
                      <w:sz w:val="18"/>
                      <w:szCs w:val="20"/>
                      <w:lang w:eastAsia="zh-CN"/>
                    </w:rPr>
                  </w:pPr>
                  <w:r>
                    <w:rPr>
                      <w:rFonts w:hint="eastAsia" w:ascii="Calibri" w:hAnsi="Calibri" w:cs="Times New Roman"/>
                      <w:color w:val="auto"/>
                      <w:kern w:val="0"/>
                      <w:sz w:val="18"/>
                      <w:szCs w:val="20"/>
                      <w:lang w:eastAsia="zh-CN"/>
                    </w:rPr>
                    <w:t>采用基础减震、建筑隔声、安装减震垫等措施</w:t>
                  </w:r>
                </w:p>
              </w:tc>
              <w:tc>
                <w:tcPr>
                  <w:tcW w:w="676" w:type="pc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37" w:type="pct"/>
                  <w:vMerge w:val="continue"/>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p>
              </w:tc>
              <w:tc>
                <w:tcPr>
                  <w:tcW w:w="499" w:type="pct"/>
                  <w:vMerge w:val="restar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固废</w:t>
                  </w:r>
                </w:p>
              </w:tc>
              <w:tc>
                <w:tcPr>
                  <w:tcW w:w="758" w:type="pc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生活垃圾</w:t>
                  </w:r>
                </w:p>
              </w:tc>
              <w:tc>
                <w:tcPr>
                  <w:tcW w:w="2728" w:type="pct"/>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cs="宋体"/>
                      <w:color w:val="auto"/>
                    </w:rPr>
                  </w:pPr>
                  <w:r>
                    <w:rPr>
                      <w:rFonts w:hint="eastAsia" w:ascii="宋体" w:hAnsi="宋体" w:cs="宋体"/>
                      <w:color w:val="auto"/>
                    </w:rPr>
                    <w:t>生活垃圾使用带盖垃圾桶集中收集。</w:t>
                  </w:r>
                </w:p>
              </w:tc>
              <w:tc>
                <w:tcPr>
                  <w:tcW w:w="676" w:type="pc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337" w:type="pct"/>
                  <w:vMerge w:val="continue"/>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p>
              </w:tc>
              <w:tc>
                <w:tcPr>
                  <w:tcW w:w="499" w:type="pct"/>
                  <w:vMerge w:val="continue"/>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p>
              </w:tc>
              <w:tc>
                <w:tcPr>
                  <w:tcW w:w="758" w:type="pc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医疗废物</w:t>
                  </w:r>
                </w:p>
              </w:tc>
              <w:tc>
                <w:tcPr>
                  <w:tcW w:w="2728"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rPr>
                  </w:pPr>
                  <w:r>
                    <w:rPr>
                      <w:rFonts w:hint="eastAsia" w:ascii="Calibri" w:hAnsi="Calibri" w:cs="Times New Roman"/>
                      <w:color w:val="auto"/>
                    </w:rPr>
                    <w:t>在项目东南角单独建设</w:t>
                  </w:r>
                  <w:r>
                    <w:rPr>
                      <w:rFonts w:hint="eastAsia"/>
                      <w:color w:val="auto"/>
                      <w:lang w:val="en-US" w:eastAsia="zh-CN"/>
                    </w:rPr>
                    <w:t>1间医废间</w:t>
                  </w:r>
                  <w:r>
                    <w:rPr>
                      <w:rFonts w:hint="eastAsia" w:ascii="Calibri" w:hAnsi="Calibri" w:cs="Times New Roman"/>
                      <w:color w:val="auto"/>
                    </w:rPr>
                    <w:t>，面积</w:t>
                  </w:r>
                  <w:r>
                    <w:rPr>
                      <w:rFonts w:hint="default" w:ascii="Calibri" w:hAnsi="Calibri" w:cs="Times New Roman"/>
                      <w:color w:val="auto"/>
                    </w:rPr>
                    <w:t>43.8</w:t>
                  </w:r>
                  <w:r>
                    <w:rPr>
                      <w:rFonts w:hint="eastAsia" w:ascii="Calibri" w:hAnsi="Calibri" w:cs="Times New Roman"/>
                      <w:color w:val="auto"/>
                    </w:rPr>
                    <w:t>m</w:t>
                  </w:r>
                  <w:r>
                    <w:rPr>
                      <w:rFonts w:hint="eastAsia" w:ascii="Calibri" w:hAnsi="Calibri" w:cs="Times New Roman"/>
                      <w:color w:val="auto"/>
                      <w:vertAlign w:val="superscript"/>
                    </w:rPr>
                    <w:t>2</w:t>
                  </w:r>
                  <w:r>
                    <w:rPr>
                      <w:rFonts w:hint="eastAsia" w:ascii="Calibri" w:hAnsi="Calibri" w:cs="Times New Roman"/>
                      <w:color w:val="auto"/>
                    </w:rPr>
                    <w:t>，暂存医疗废物，委托有资质单位定期处置。</w:t>
                  </w:r>
                </w:p>
              </w:tc>
              <w:tc>
                <w:tcPr>
                  <w:tcW w:w="676" w:type="pct"/>
                  <w:noWrap w:val="0"/>
                  <w:vAlign w:val="center"/>
                </w:tcPr>
                <w:p>
                  <w:pPr>
                    <w:keepNext w:val="0"/>
                    <w:keepLines w:val="0"/>
                    <w:suppressLineNumbers w:val="0"/>
                    <w:snapToGrid w:val="0"/>
                    <w:spacing w:before="0" w:beforeAutospacing="0" w:after="0" w:afterAutospacing="0"/>
                    <w:ind w:left="0" w:right="0"/>
                    <w:contextualSpacing/>
                    <w:jc w:val="center"/>
                    <w:rPr>
                      <w:rFonts w:hint="default" w:ascii="宋体" w:hAnsi="宋体" w:cs="宋体"/>
                      <w:color w:val="auto"/>
                    </w:rPr>
                  </w:pPr>
                  <w:r>
                    <w:rPr>
                      <w:rFonts w:hint="default" w:ascii="宋体" w:hAnsi="宋体" w:cs="宋体"/>
                      <w:color w:val="auto"/>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337" w:type="pct"/>
                  <w:vMerge w:val="continue"/>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p>
              </w:tc>
              <w:tc>
                <w:tcPr>
                  <w:tcW w:w="499" w:type="pct"/>
                  <w:vMerge w:val="continue"/>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p>
              </w:tc>
              <w:tc>
                <w:tcPr>
                  <w:tcW w:w="758" w:type="pct"/>
                  <w:noWrap w:val="0"/>
                  <w:vAlign w:val="center"/>
                </w:tcPr>
                <w:p>
                  <w:pPr>
                    <w:keepNext w:val="0"/>
                    <w:keepLines w:val="0"/>
                    <w:suppressLineNumbers w:val="0"/>
                    <w:snapToGrid w:val="0"/>
                    <w:spacing w:before="0" w:beforeAutospacing="0" w:after="0" w:afterAutospacing="0"/>
                    <w:ind w:left="0" w:right="0"/>
                    <w:contextualSpacing/>
                    <w:jc w:val="center"/>
                    <w:rPr>
                      <w:rFonts w:hint="default" w:ascii="宋体" w:hAnsi="宋体" w:cs="宋体"/>
                      <w:color w:val="auto"/>
                    </w:rPr>
                  </w:pPr>
                  <w:r>
                    <w:rPr>
                      <w:rFonts w:hint="eastAsia" w:ascii="宋体" w:hAnsi="宋体" w:cs="宋体"/>
                      <w:color w:val="auto"/>
                    </w:rPr>
                    <w:t>危险废物</w:t>
                  </w:r>
                </w:p>
              </w:tc>
              <w:tc>
                <w:tcPr>
                  <w:tcW w:w="2728" w:type="pct"/>
                  <w:noWrap w:val="0"/>
                  <w:vAlign w:val="center"/>
                </w:tcPr>
                <w:p>
                  <w:pPr>
                    <w:keepNext w:val="0"/>
                    <w:keepLines w:val="0"/>
                    <w:suppressLineNumbers w:val="0"/>
                    <w:spacing w:before="0" w:beforeAutospacing="0" w:after="0" w:afterAutospacing="0"/>
                    <w:ind w:left="0" w:right="0"/>
                    <w:rPr>
                      <w:rFonts w:hint="default" w:ascii="宋体" w:hAnsi="宋体" w:cs="宋体"/>
                      <w:color w:val="auto"/>
                    </w:rPr>
                  </w:pPr>
                  <w:r>
                    <w:rPr>
                      <w:rFonts w:hint="eastAsia" w:ascii="宋体" w:hAnsi="宋体" w:cs="宋体"/>
                      <w:color w:val="auto"/>
                    </w:rPr>
                    <w:t>格栅、化粪池及污水处理站污泥委托有资质单位定期</w:t>
                  </w:r>
                  <w:r>
                    <w:rPr>
                      <w:rFonts w:hint="eastAsia" w:ascii="宋体" w:hAnsi="宋体" w:cs="宋体"/>
                      <w:color w:val="auto"/>
                      <w:lang w:eastAsia="zh-CN"/>
                    </w:rPr>
                    <w:t>进行现场清掏消毒脱水并清运处置</w:t>
                  </w:r>
                  <w:r>
                    <w:rPr>
                      <w:rFonts w:hint="eastAsia" w:ascii="宋体" w:hAnsi="宋体" w:cs="宋体"/>
                      <w:color w:val="auto"/>
                    </w:rPr>
                    <w:t>。</w:t>
                  </w:r>
                </w:p>
              </w:tc>
              <w:tc>
                <w:tcPr>
                  <w:tcW w:w="676" w:type="pct"/>
                  <w:noWrap w:val="0"/>
                  <w:vAlign w:val="center"/>
                </w:tcPr>
                <w:p>
                  <w:pPr>
                    <w:keepNext w:val="0"/>
                    <w:keepLines w:val="0"/>
                    <w:suppressLineNumbers w:val="0"/>
                    <w:snapToGrid w:val="0"/>
                    <w:spacing w:before="0" w:beforeAutospacing="0" w:after="0" w:afterAutospacing="0"/>
                    <w:ind w:left="0" w:right="0"/>
                    <w:contextualSpacing/>
                    <w:jc w:val="center"/>
                    <w:rPr>
                      <w:rFonts w:hint="default" w:ascii="宋体" w:hAnsi="宋体" w:cs="宋体"/>
                      <w:color w:val="auto"/>
                    </w:rPr>
                  </w:pPr>
                  <w:r>
                    <w:rPr>
                      <w:rFonts w:hint="eastAsia" w:ascii="宋体" w:hAnsi="宋体" w:cs="宋体"/>
                      <w:color w:val="auto"/>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7" w:type="pct"/>
                  <w:vMerge w:val="continue"/>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p>
              </w:tc>
              <w:tc>
                <w:tcPr>
                  <w:tcW w:w="3985" w:type="pct"/>
                  <w:gridSpan w:val="3"/>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环保设施运维护管理费用，环境</w:t>
                  </w:r>
                  <w:r>
                    <w:rPr>
                      <w:rFonts w:hint="eastAsia" w:ascii="宋体" w:hAnsi="宋体" w:cs="宋体"/>
                      <w:color w:val="auto"/>
                    </w:rPr>
                    <w:cr/>
                  </w:r>
                  <w:r>
                    <w:rPr>
                      <w:rFonts w:hint="eastAsia" w:ascii="宋体" w:hAnsi="宋体" w:cs="宋体"/>
                      <w:color w:val="auto"/>
                    </w:rPr>
                    <w:t>管理与监测费用</w:t>
                  </w:r>
                </w:p>
              </w:tc>
              <w:tc>
                <w:tcPr>
                  <w:tcW w:w="676" w:type="pc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7" w:type="pc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p>
              </w:tc>
              <w:tc>
                <w:tcPr>
                  <w:tcW w:w="3985" w:type="pct"/>
                  <w:gridSpan w:val="3"/>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合计</w:t>
                  </w:r>
                </w:p>
              </w:tc>
              <w:tc>
                <w:tcPr>
                  <w:tcW w:w="676" w:type="pct"/>
                  <w:noWrap w:val="0"/>
                  <w:vAlign w:val="center"/>
                </w:tcPr>
                <w:p>
                  <w:pPr>
                    <w:keepNext w:val="0"/>
                    <w:keepLines w:val="0"/>
                    <w:suppressLineNumbers w:val="0"/>
                    <w:snapToGrid w:val="0"/>
                    <w:spacing w:before="0" w:beforeAutospacing="0" w:after="0" w:afterAutospacing="0"/>
                    <w:ind w:left="0" w:right="0"/>
                    <w:contextualSpacing/>
                    <w:jc w:val="center"/>
                    <w:rPr>
                      <w:rFonts w:hint="default" w:ascii="宋体" w:hAnsi="宋体" w:cs="宋体"/>
                      <w:color w:val="auto"/>
                    </w:rPr>
                  </w:pPr>
                  <w:r>
                    <w:rPr>
                      <w:rFonts w:hint="default" w:ascii="宋体" w:hAnsi="宋体" w:cs="宋体"/>
                      <w:color w:val="auto"/>
                    </w:rPr>
                    <w:t>78.6</w:t>
                  </w:r>
                </w:p>
              </w:tc>
            </w:tr>
          </w:tbl>
          <w:p>
            <w:pPr>
              <w:pStyle w:val="6"/>
              <w:keepNext w:val="0"/>
              <w:keepLines w:val="0"/>
              <w:suppressLineNumbers w:val="0"/>
              <w:spacing w:before="0" w:beforeAutospacing="0" w:after="0" w:afterAutospacing="0" w:line="360" w:lineRule="auto"/>
              <w:ind w:left="0" w:right="0" w:firstLine="0"/>
              <w:rPr>
                <w:rFonts w:hint="eastAsia" w:ascii="宋体" w:hAnsi="宋体" w:cs="宋体"/>
                <w:color w:val="auto"/>
                <w:kern w:val="2"/>
                <w:sz w:val="24"/>
                <w:szCs w:val="24"/>
              </w:rPr>
            </w:pPr>
          </w:p>
        </w:tc>
      </w:tr>
    </w:tbl>
    <w:p>
      <w:pPr>
        <w:adjustRightInd w:val="0"/>
        <w:snapToGrid w:val="0"/>
        <w:spacing w:line="360" w:lineRule="auto"/>
        <w:rPr>
          <w:b/>
          <w:color w:val="auto"/>
          <w:kern w:val="0"/>
          <w:sz w:val="28"/>
          <w:szCs w:val="28"/>
        </w:rPr>
        <w:sectPr>
          <w:pgSz w:w="11907" w:h="16840"/>
          <w:pgMar w:top="1304" w:right="1134" w:bottom="1304" w:left="1531" w:header="851" w:footer="851" w:gutter="0"/>
          <w:cols w:space="720" w:num="1"/>
          <w:docGrid w:linePitch="312" w:charSpace="0"/>
        </w:sectPr>
      </w:pPr>
    </w:p>
    <w:p>
      <w:pPr>
        <w:pStyle w:val="3"/>
        <w:jc w:val="center"/>
        <w:rPr>
          <w:rFonts w:hint="eastAsia" w:ascii="Calibri" w:hAnsi="Calibri" w:cs="Calibri"/>
          <w:color w:val="auto"/>
        </w:rPr>
      </w:pPr>
      <w:bookmarkStart w:id="6" w:name="_Toc305"/>
      <w:r>
        <w:rPr>
          <w:rFonts w:hint="eastAsia" w:ascii="Calibri" w:hAnsi="Calibri" w:cs="Calibri"/>
          <w:color w:val="auto"/>
        </w:rPr>
        <w:t>五、</w:t>
      </w:r>
      <w:bookmarkStart w:id="7" w:name="_Hlk54167917"/>
      <w:r>
        <w:rPr>
          <w:rFonts w:hint="eastAsia" w:ascii="Calibri" w:hAnsi="Calibri" w:cs="Calibri"/>
          <w:color w:val="auto"/>
        </w:rPr>
        <w:t>环境保护措施监督检查清单</w:t>
      </w:r>
      <w:bookmarkEnd w:id="6"/>
      <w:bookmarkEnd w:id="7"/>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702"/>
        <w:gridCol w:w="1437"/>
        <w:gridCol w:w="2538"/>
        <w:gridCol w:w="24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41" w:type="dxa"/>
            <w:tcBorders>
              <w:tl2br w:val="single" w:color="auto" w:sz="4" w:space="0"/>
            </w:tcBorders>
            <w:noWrap w:val="0"/>
            <w:vAlign w:val="top"/>
          </w:tcPr>
          <w:p>
            <w:pPr>
              <w:keepNext w:val="0"/>
              <w:keepLines w:val="0"/>
              <w:suppressLineNumbers w:val="0"/>
              <w:adjustRightInd w:val="0"/>
              <w:snapToGrid w:val="0"/>
              <w:spacing w:before="0" w:beforeAutospacing="0" w:after="0" w:afterAutospacing="0"/>
              <w:ind w:left="0" w:right="0" w:firstLine="210" w:firstLineChars="100"/>
              <w:jc w:val="center"/>
              <w:rPr>
                <w:rFonts w:hint="default" w:ascii="Calibri" w:hAnsi="Calibri" w:cs="Times New Roman"/>
                <w:color w:val="auto"/>
              </w:rPr>
            </w:pPr>
            <w:r>
              <w:rPr>
                <w:rFonts w:hint="default" w:ascii="Calibri" w:hAnsi="Calibri" w:cs="Times New Roman"/>
                <w:color w:val="auto"/>
              </w:rPr>
              <w:t>内容</w:t>
            </w:r>
          </w:p>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要素</w:t>
            </w:r>
          </w:p>
        </w:tc>
        <w:tc>
          <w:tcPr>
            <w:tcW w:w="1702"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排放口(编号、</w:t>
            </w:r>
          </w:p>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名称)/污染源</w:t>
            </w:r>
          </w:p>
        </w:tc>
        <w:tc>
          <w:tcPr>
            <w:tcW w:w="1437"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污染物项目</w:t>
            </w:r>
          </w:p>
        </w:tc>
        <w:tc>
          <w:tcPr>
            <w:tcW w:w="253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环境保护措施</w:t>
            </w:r>
          </w:p>
        </w:tc>
        <w:tc>
          <w:tcPr>
            <w:tcW w:w="2424"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1141"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大气环境</w:t>
            </w:r>
          </w:p>
        </w:tc>
        <w:tc>
          <w:tcPr>
            <w:tcW w:w="1702"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eastAsia" w:ascii="宋体" w:hAnsi="宋体" w:cs="Times New Roman"/>
                <w:color w:val="auto"/>
              </w:rPr>
              <w:t>生活垃圾、化粪池、污水处理站</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lang w:eastAsia="zh-CN"/>
              </w:rPr>
            </w:pPr>
            <w:r>
              <w:rPr>
                <w:rFonts w:hint="eastAsia" w:ascii="宋体" w:hAnsi="宋体" w:cs="Times New Roman"/>
                <w:color w:val="auto"/>
                <w:lang w:eastAsia="zh-CN"/>
              </w:rPr>
              <w:t>硫化氢、氨、氯气、甲烷、臭气浓度</w:t>
            </w:r>
          </w:p>
        </w:tc>
        <w:tc>
          <w:tcPr>
            <w:tcW w:w="2538"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Calibri" w:hAnsi="Calibri" w:cs="Times New Roman"/>
                <w:color w:val="auto"/>
              </w:rPr>
            </w:pPr>
            <w:r>
              <w:rPr>
                <w:rFonts w:hint="eastAsia" w:ascii="Calibri" w:hAnsi="Calibri" w:cs="Times New Roman"/>
                <w:color w:val="auto"/>
              </w:rPr>
              <w:t>生活垃圾使</w:t>
            </w:r>
            <w:r>
              <w:rPr>
                <w:rFonts w:hint="default" w:ascii="Calibri" w:hAnsi="Calibri" w:cs="Times New Roman"/>
                <w:color w:val="auto"/>
              </w:rPr>
              <w:t>用带盖垃圾桶</w:t>
            </w:r>
            <w:r>
              <w:rPr>
                <w:rFonts w:hint="eastAsia" w:ascii="Calibri" w:hAnsi="Calibri" w:cs="Times New Roman"/>
                <w:color w:val="auto"/>
              </w:rPr>
              <w:t>，</w:t>
            </w:r>
            <w:r>
              <w:rPr>
                <w:rFonts w:hint="default" w:ascii="Calibri" w:hAnsi="Calibri" w:cs="Times New Roman"/>
                <w:color w:val="auto"/>
              </w:rPr>
              <w:t>及时收集清运；</w:t>
            </w:r>
            <w:r>
              <w:rPr>
                <w:rFonts w:hint="eastAsia" w:ascii="Calibri" w:hAnsi="Calibri" w:cs="Times New Roman"/>
                <w:color w:val="auto"/>
              </w:rPr>
              <w:t>医疗废物袋装收集后放置在密闭的专用的医疗废物暂存间内；</w:t>
            </w:r>
            <w:r>
              <w:rPr>
                <w:rFonts w:hint="default" w:ascii="Calibri" w:hAnsi="Calibri" w:cs="Times New Roman"/>
                <w:color w:val="auto"/>
              </w:rPr>
              <w:t>污水处理站</w:t>
            </w:r>
            <w:r>
              <w:rPr>
                <w:rFonts w:hint="eastAsia" w:ascii="Calibri" w:hAnsi="Calibri" w:cs="Times New Roman"/>
                <w:color w:val="auto"/>
              </w:rPr>
              <w:t>SBR反应池</w:t>
            </w:r>
            <w:r>
              <w:rPr>
                <w:rFonts w:hint="default" w:ascii="Calibri" w:hAnsi="Calibri" w:cs="Times New Roman"/>
                <w:color w:val="auto"/>
              </w:rPr>
              <w:t>采用全封闭建设</w:t>
            </w:r>
            <w:r>
              <w:rPr>
                <w:rFonts w:hint="eastAsia" w:ascii="Calibri" w:hAnsi="Calibri" w:cs="Times New Roman"/>
                <w:color w:val="auto"/>
              </w:rPr>
              <w:t>；</w:t>
            </w:r>
          </w:p>
        </w:tc>
        <w:tc>
          <w:tcPr>
            <w:tcW w:w="2424"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Calibri"/>
                <w:color w:val="auto"/>
              </w:rPr>
            </w:pPr>
            <w:r>
              <w:rPr>
                <w:rFonts w:hint="default" w:ascii="宋体" w:hAnsi="宋体" w:cs="Calibri"/>
                <w:color w:val="auto"/>
              </w:rPr>
              <w:t>《医疗机构废水染物排放标准》（GB</w:t>
            </w:r>
            <w:r>
              <w:rPr>
                <w:rFonts w:hint="eastAsia" w:ascii="宋体" w:hAnsi="宋体" w:cs="Calibri"/>
                <w:color w:val="auto"/>
                <w:lang w:eastAsia="zh-CN"/>
              </w:rPr>
              <w:t>*****</w:t>
            </w:r>
            <w:r>
              <w:rPr>
                <w:rFonts w:hint="default" w:ascii="宋体" w:hAnsi="宋体" w:cs="Calibri"/>
                <w:color w:val="auto"/>
              </w:rPr>
              <w:t>-2005）中表3污水处理站周边大气污染物最高允许浓度限值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4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p>
        </w:tc>
        <w:tc>
          <w:tcPr>
            <w:tcW w:w="1702"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eastAsia" w:ascii="宋体" w:hAnsi="宋体" w:cs="Times New Roman"/>
                <w:color w:val="auto"/>
              </w:rPr>
              <w:t>厨房</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rPr>
            </w:pPr>
            <w:r>
              <w:rPr>
                <w:rFonts w:hint="eastAsia" w:ascii="宋体" w:hAnsi="宋体" w:cs="Times New Roman"/>
                <w:color w:val="auto"/>
              </w:rPr>
              <w:t>油烟</w:t>
            </w:r>
          </w:p>
        </w:tc>
        <w:tc>
          <w:tcPr>
            <w:tcW w:w="253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eastAsia" w:ascii="宋体" w:hAnsi="宋体" w:cs="Times New Roman"/>
                <w:color w:val="auto"/>
              </w:rPr>
              <w:t>油烟净化器</w:t>
            </w:r>
          </w:p>
        </w:tc>
        <w:tc>
          <w:tcPr>
            <w:tcW w:w="2424"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Calibri"/>
                <w:color w:val="auto"/>
                <w:sz w:val="21"/>
                <w:szCs w:val="21"/>
              </w:rPr>
            </w:pPr>
            <w:r>
              <w:rPr>
                <w:rFonts w:hint="eastAsia" w:ascii="Times New Roman" w:hAnsi="Times New Roman" w:cs="Times New Roman"/>
                <w:color w:val="auto"/>
                <w:kern w:val="0"/>
                <w:sz w:val="21"/>
                <w:szCs w:val="21"/>
                <w:lang w:bidi="ar"/>
              </w:rPr>
              <w:t>《餐饮业油烟污染物排放要求》（DB</w:t>
            </w:r>
            <w:r>
              <w:rPr>
                <w:rFonts w:hint="eastAsia" w:cs="Times New Roman"/>
                <w:color w:val="auto"/>
                <w:kern w:val="0"/>
                <w:sz w:val="21"/>
                <w:szCs w:val="21"/>
                <w:lang w:eastAsia="zh-CN" w:bidi="ar"/>
              </w:rPr>
              <w:t>****</w:t>
            </w:r>
            <w:r>
              <w:rPr>
                <w:rFonts w:hint="eastAsia" w:ascii="Times New Roman" w:hAnsi="Times New Roman" w:cs="Times New Roman"/>
                <w:color w:val="auto"/>
                <w:kern w:val="0"/>
                <w:sz w:val="21"/>
                <w:szCs w:val="21"/>
                <w:lang w:bidi="ar"/>
              </w:rPr>
              <w:t>/T50</w:t>
            </w:r>
            <w:r>
              <w:rPr>
                <w:rFonts w:hint="eastAsia" w:ascii="Calibri" w:hAnsi="Calibri" w:cs="Times New Roman"/>
                <w:color w:val="auto"/>
                <w:kern w:val="0"/>
                <w:sz w:val="21"/>
                <w:szCs w:val="21"/>
                <w:lang w:bidi="ar"/>
              </w:rPr>
              <w:t>-</w:t>
            </w:r>
            <w:r>
              <w:rPr>
                <w:rFonts w:hint="eastAsia" w:ascii="Times New Roman" w:hAnsi="Times New Roman" w:cs="Times New Roman"/>
                <w:color w:val="auto"/>
                <w:kern w:val="0"/>
                <w:sz w:val="21"/>
                <w:szCs w:val="21"/>
                <w:lang w:bidi="ar"/>
              </w:rPr>
              <w:t>2021）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14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p>
        </w:tc>
        <w:tc>
          <w:tcPr>
            <w:tcW w:w="1702" w:type="dxa"/>
            <w:noWrap w:val="0"/>
            <w:vAlign w:val="center"/>
          </w:tcPr>
          <w:p>
            <w:pPr>
              <w:pStyle w:val="36"/>
              <w:keepNext w:val="0"/>
              <w:keepLines w:val="0"/>
              <w:suppressLineNumbers w:val="0"/>
              <w:spacing w:before="0" w:beforeAutospacing="0" w:after="0" w:afterAutospacing="0"/>
              <w:ind w:left="0" w:right="0" w:firstLine="0"/>
              <w:jc w:val="center"/>
              <w:rPr>
                <w:rFonts w:hint="eastAsia" w:ascii="宋体" w:hAnsi="宋体" w:cs="Times New Roman"/>
                <w:color w:val="auto"/>
              </w:rPr>
            </w:pPr>
            <w:r>
              <w:rPr>
                <w:rFonts w:hint="eastAsia" w:ascii="宋体" w:hAnsi="宋体" w:cs="宋体"/>
                <w:color w:val="auto"/>
                <w:szCs w:val="21"/>
                <w:lang w:val="en-US"/>
              </w:rPr>
              <w:t>备用发电机</w:t>
            </w:r>
          </w:p>
        </w:tc>
        <w:tc>
          <w:tcPr>
            <w:tcW w:w="1437"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auto"/>
              </w:rPr>
            </w:pPr>
            <w:r>
              <w:rPr>
                <w:rFonts w:hint="eastAsia" w:ascii="宋体" w:hAnsi="宋体" w:cs="Times New Roman"/>
                <w:color w:val="auto"/>
              </w:rPr>
              <w:t>尾气</w:t>
            </w:r>
          </w:p>
        </w:tc>
        <w:tc>
          <w:tcPr>
            <w:tcW w:w="2538" w:type="dxa"/>
            <w:noWrap w:val="0"/>
            <w:vAlign w:val="center"/>
          </w:tcPr>
          <w:p>
            <w:pPr>
              <w:pStyle w:val="36"/>
              <w:keepNext w:val="0"/>
              <w:keepLines w:val="0"/>
              <w:suppressLineNumbers w:val="0"/>
              <w:spacing w:before="0" w:beforeAutospacing="0" w:after="0" w:afterAutospacing="0" w:line="240" w:lineRule="auto"/>
              <w:ind w:left="0" w:right="0" w:firstLine="0"/>
              <w:rPr>
                <w:rFonts w:hint="eastAsia" w:ascii="宋体" w:hAnsi="宋体" w:cs="Times New Roman"/>
                <w:color w:val="auto"/>
                <w:szCs w:val="21"/>
                <w:lang w:val="en-US"/>
              </w:rPr>
            </w:pPr>
            <w:r>
              <w:rPr>
                <w:rFonts w:hint="eastAsia" w:ascii="宋体" w:hAnsi="宋体" w:cs="宋体"/>
                <w:color w:val="auto"/>
                <w:szCs w:val="21"/>
                <w:lang w:val="en-US"/>
              </w:rPr>
              <w:t>备用发电机使用轻质柴油为燃料，备用发电机尾气需发电机自带的排气管通过专用烟道以无组织形式排入大气环境。</w:t>
            </w:r>
          </w:p>
        </w:tc>
        <w:tc>
          <w:tcPr>
            <w:tcW w:w="2424"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Calibri"/>
                <w:color w:val="auto"/>
              </w:rPr>
            </w:pPr>
            <w:r>
              <w:rPr>
                <w:rFonts w:hint="eastAsia" w:ascii="宋体" w:hAnsi="宋体" w:cs="Calibri"/>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38" w:hRule="atLeast"/>
          <w:jc w:val="center"/>
        </w:trPr>
        <w:tc>
          <w:tcPr>
            <w:tcW w:w="114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地表水环境</w:t>
            </w:r>
          </w:p>
        </w:tc>
        <w:tc>
          <w:tcPr>
            <w:tcW w:w="1702"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Times New Roman"/>
                <w:color w:val="auto"/>
              </w:rPr>
            </w:pPr>
          </w:p>
          <w:p>
            <w:pPr>
              <w:keepNext w:val="0"/>
              <w:keepLines w:val="0"/>
              <w:suppressLineNumbers w:val="0"/>
              <w:adjustRightInd w:val="0"/>
              <w:snapToGrid w:val="0"/>
              <w:spacing w:before="0" w:beforeAutospacing="0" w:after="0" w:afterAutospacing="0"/>
              <w:ind w:left="0" w:right="0"/>
              <w:jc w:val="left"/>
              <w:rPr>
                <w:rFonts w:hint="default" w:ascii="宋体" w:hAnsi="宋体" w:cs="Times New Roman"/>
                <w:color w:val="auto"/>
                <w:spacing w:val="2"/>
              </w:rPr>
            </w:pPr>
            <w:r>
              <w:rPr>
                <w:rFonts w:hint="eastAsia" w:ascii="宋体" w:hAnsi="宋体" w:cs="Times New Roman"/>
                <w:color w:val="auto"/>
              </w:rPr>
              <w:t>住院病床（含厨房废水）、门诊、检验科</w:t>
            </w:r>
          </w:p>
        </w:tc>
        <w:tc>
          <w:tcPr>
            <w:tcW w:w="1437" w:type="dxa"/>
            <w:noWrap w:val="0"/>
            <w:vAlign w:val="center"/>
          </w:tcPr>
          <w:p>
            <w:pPr>
              <w:keepNext w:val="0"/>
              <w:keepLines w:val="0"/>
              <w:widowControl/>
              <w:suppressLineNumbers w:val="0"/>
              <w:spacing w:before="0" w:beforeAutospacing="0" w:after="0" w:afterAutospacing="0"/>
              <w:ind w:left="0" w:right="0"/>
              <w:jc w:val="left"/>
              <w:rPr>
                <w:rFonts w:hint="default" w:ascii="宋体" w:hAnsi="宋体" w:cs="Times New Roman"/>
                <w:color w:val="auto"/>
                <w:spacing w:val="2"/>
                <w:highlight w:val="yellow"/>
              </w:rPr>
            </w:pPr>
            <w:r>
              <w:rPr>
                <w:rFonts w:hint="eastAsia" w:ascii="宋体" w:hAnsi="宋体" w:cs="Times New Roman"/>
                <w:bCs/>
                <w:color w:val="auto"/>
              </w:rPr>
              <w:t>pH、化学需氧量、悬浮物、生化需氧量、氨氮、粪大肠菌群数、总余氯、阴离子表面活性剂</w:t>
            </w:r>
            <w:r>
              <w:rPr>
                <w:rFonts w:hint="eastAsia" w:ascii="宋体" w:hAnsi="宋体" w:cs="Times New Roman"/>
                <w:bCs/>
                <w:color w:val="auto"/>
                <w:lang w:eastAsia="zh-CN"/>
              </w:rPr>
              <w:t>、氨氮、总磷</w:t>
            </w:r>
            <w:r>
              <w:rPr>
                <w:rFonts w:hint="eastAsia" w:ascii="宋体" w:hAnsi="宋体" w:cs="Times New Roman"/>
                <w:bCs/>
                <w:color w:val="auto"/>
              </w:rPr>
              <w:t>。</w:t>
            </w:r>
          </w:p>
        </w:tc>
        <w:tc>
          <w:tcPr>
            <w:tcW w:w="2538" w:type="dxa"/>
            <w:noWrap w:val="0"/>
            <w:vAlign w:val="center"/>
          </w:tcPr>
          <w:p>
            <w:pPr>
              <w:keepNext w:val="0"/>
              <w:keepLines w:val="0"/>
              <w:suppressLineNumbers w:val="0"/>
              <w:adjustRightInd w:val="0"/>
              <w:snapToGrid w:val="0"/>
              <w:spacing w:before="0" w:beforeAutospacing="0" w:after="0" w:afterAutospacing="0"/>
              <w:ind w:left="0" w:right="0"/>
              <w:jc w:val="left"/>
              <w:rPr>
                <w:rFonts w:hint="default" w:ascii="Calibri" w:hAnsi="Calibri" w:cs="Times New Roman"/>
                <w:color w:val="auto"/>
              </w:rPr>
            </w:pPr>
            <w:r>
              <w:rPr>
                <w:rFonts w:hint="eastAsia" w:ascii="宋体" w:hAnsi="宋体" w:cs="Times New Roman"/>
                <w:bCs/>
                <w:color w:val="auto"/>
              </w:rPr>
              <w:t>医院内部实施雨污分流制度，雨水经雨水沟排至市政雨水管网。</w:t>
            </w:r>
            <w:r>
              <w:rPr>
                <w:rFonts w:hint="eastAsia" w:ascii="宋体" w:hAnsi="宋体" w:cs="Times New Roman"/>
                <w:color w:val="auto"/>
              </w:rPr>
              <w:t>食</w:t>
            </w:r>
            <w:r>
              <w:rPr>
                <w:rFonts w:hint="eastAsia" w:ascii="宋体" w:hAnsi="宋体" w:cs="Times New Roman"/>
                <w:bCs/>
                <w:color w:val="auto"/>
              </w:rPr>
              <w:t>堂废水经隔油池处理，生活污水和医疗废水经化粪池处理后，进入1套</w:t>
            </w:r>
            <w:r>
              <w:rPr>
                <w:rFonts w:hint="default" w:ascii="宋体" w:hAnsi="宋体" w:cs="Times New Roman"/>
                <w:bCs/>
                <w:color w:val="auto"/>
              </w:rPr>
              <w:t>1</w:t>
            </w:r>
            <w:r>
              <w:rPr>
                <w:rFonts w:hint="default" w:ascii="宋体" w:hAnsi="宋体" w:cs="Times New Roman"/>
                <w:bCs/>
                <w:color w:val="auto"/>
                <w:lang w:val="en-US"/>
              </w:rPr>
              <w:t>35</w:t>
            </w:r>
            <w:r>
              <w:rPr>
                <w:rFonts w:hint="eastAsia" w:ascii="宋体" w:hAnsi="宋体" w:cs="Times New Roman"/>
                <w:bCs/>
                <w:color w:val="auto"/>
              </w:rPr>
              <w:t>m</w:t>
            </w:r>
            <w:r>
              <w:rPr>
                <w:rFonts w:hint="eastAsia" w:ascii="宋体" w:hAnsi="宋体" w:cs="Times New Roman"/>
                <w:bCs/>
                <w:color w:val="auto"/>
                <w:vertAlign w:val="superscript"/>
              </w:rPr>
              <w:t>3</w:t>
            </w:r>
            <w:r>
              <w:rPr>
                <w:rFonts w:hint="eastAsia" w:ascii="宋体" w:hAnsi="宋体" w:cs="Times New Roman"/>
                <w:bCs/>
                <w:color w:val="auto"/>
              </w:rPr>
              <w:t>/d的污水处理站进行处理，采用</w:t>
            </w:r>
            <w:r>
              <w:rPr>
                <w:rFonts w:hint="eastAsia" w:ascii="宋体" w:hAnsi="宋体" w:eastAsia="宋体" w:cs="Times New Roman"/>
                <w:bCs/>
                <w:color w:val="auto"/>
              </w:rPr>
              <w:t>化粪池+调节池+</w:t>
            </w:r>
            <w:r>
              <w:rPr>
                <w:rFonts w:hint="default" w:ascii="宋体" w:hAnsi="宋体" w:eastAsia="宋体" w:cs="Times New Roman"/>
                <w:bCs/>
                <w:color w:val="auto"/>
                <w:lang w:val="en-US"/>
              </w:rPr>
              <w:t>A</w:t>
            </w:r>
            <w:r>
              <w:rPr>
                <w:rFonts w:hint="eastAsia" w:ascii="宋体" w:hAnsi="宋体" w:eastAsia="宋体" w:cs="Times New Roman"/>
                <w:bCs/>
                <w:color w:val="auto"/>
                <w:lang w:val="en-US" w:eastAsia="zh-CN"/>
              </w:rPr>
              <w:t>级生物池</w:t>
            </w:r>
            <w:r>
              <w:rPr>
                <w:rFonts w:hint="default" w:ascii="宋体" w:hAnsi="宋体" w:eastAsia="宋体" w:cs="Times New Roman"/>
                <w:bCs/>
                <w:color w:val="auto"/>
                <w:lang w:val="en-US" w:eastAsia="zh-CN"/>
              </w:rPr>
              <w:t>+O</w:t>
            </w:r>
            <w:r>
              <w:rPr>
                <w:rFonts w:hint="eastAsia" w:ascii="宋体" w:hAnsi="宋体" w:eastAsia="宋体" w:cs="Times New Roman"/>
                <w:bCs/>
                <w:color w:val="auto"/>
                <w:lang w:val="en-US" w:eastAsia="zh-CN"/>
              </w:rPr>
              <w:t>级生物池</w:t>
            </w:r>
            <w:r>
              <w:rPr>
                <w:rFonts w:hint="default" w:ascii="宋体" w:hAnsi="宋体" w:eastAsia="宋体" w:cs="Times New Roman"/>
                <w:bCs/>
                <w:color w:val="auto"/>
                <w:lang w:val="en-US" w:eastAsia="zh-CN"/>
              </w:rPr>
              <w:t>+</w:t>
            </w:r>
            <w:r>
              <w:rPr>
                <w:rFonts w:hint="eastAsia" w:ascii="宋体" w:hAnsi="宋体" w:eastAsia="宋体" w:cs="Times New Roman"/>
                <w:bCs/>
                <w:color w:val="auto"/>
                <w:lang w:val="en-US" w:eastAsia="zh-CN"/>
              </w:rPr>
              <w:t>二沉池</w:t>
            </w:r>
            <w:r>
              <w:rPr>
                <w:rFonts w:hint="default" w:ascii="宋体" w:hAnsi="宋体" w:eastAsia="宋体" w:cs="Times New Roman"/>
                <w:bCs/>
                <w:color w:val="auto"/>
                <w:lang w:val="en-US" w:eastAsia="zh-CN"/>
              </w:rPr>
              <w:t>+</w:t>
            </w:r>
            <w:r>
              <w:rPr>
                <w:rFonts w:hint="eastAsia" w:ascii="宋体" w:hAnsi="宋体" w:eastAsia="宋体" w:cs="Times New Roman"/>
                <w:bCs/>
                <w:color w:val="auto"/>
                <w:lang w:val="en-US" w:eastAsia="zh-CN"/>
              </w:rPr>
              <w:t>清水池</w:t>
            </w:r>
            <w:r>
              <w:rPr>
                <w:rFonts w:hint="eastAsia" w:ascii="宋体" w:hAnsi="宋体" w:eastAsia="宋体" w:cs="Times New Roman"/>
                <w:bCs/>
                <w:color w:val="auto"/>
              </w:rPr>
              <w:t>+消毒工</w:t>
            </w:r>
            <w:r>
              <w:rPr>
                <w:rFonts w:hint="eastAsia" w:ascii="宋体" w:hAnsi="宋体" w:cs="Times New Roman"/>
                <w:bCs/>
                <w:color w:val="auto"/>
              </w:rPr>
              <w:t>艺，达标排入市政污水管网。最终进东川区污水处理厂处理。</w:t>
            </w:r>
          </w:p>
        </w:tc>
        <w:tc>
          <w:tcPr>
            <w:tcW w:w="2424" w:type="dxa"/>
            <w:noWrap w:val="0"/>
            <w:vAlign w:val="center"/>
          </w:tcPr>
          <w:p>
            <w:pPr>
              <w:pStyle w:val="13"/>
              <w:keepNext w:val="0"/>
              <w:keepLines w:val="0"/>
              <w:suppressLineNumbers w:val="0"/>
              <w:spacing w:before="0" w:beforeAutospacing="0" w:after="0" w:afterAutospacing="0" w:line="240" w:lineRule="auto"/>
              <w:ind w:left="0" w:right="0"/>
              <w:jc w:val="center"/>
              <w:rPr>
                <w:rFonts w:hAnsi="宋体" w:cs="Times New Roman"/>
                <w:color w:val="auto"/>
                <w:spacing w:val="2"/>
                <w:highlight w:val="yellow"/>
              </w:rPr>
            </w:pPr>
            <w:r>
              <w:rPr>
                <w:rFonts w:hAnsi="宋体" w:cs="Times New Roman"/>
                <w:color w:val="auto"/>
              </w:rPr>
              <w:t>《医疗机构水污染物排放标准》GB</w:t>
            </w:r>
            <w:r>
              <w:rPr>
                <w:rFonts w:hint="eastAsia" w:hAnsi="宋体" w:cs="Times New Roman"/>
                <w:color w:val="auto"/>
                <w:lang w:eastAsia="zh-CN"/>
              </w:rPr>
              <w:t>*****</w:t>
            </w:r>
            <w:r>
              <w:rPr>
                <w:rFonts w:hAnsi="宋体" w:cs="Times New Roman"/>
                <w:color w:val="auto"/>
              </w:rPr>
              <w:t>-2005表二综合医疗机构和其他医疗机构水污染排放限值（日均值），氨氮执行《污水排入城镇下水道水质标准》（GB/T</w:t>
            </w:r>
            <w:r>
              <w:rPr>
                <w:rFonts w:hint="eastAsia" w:hAnsi="宋体" w:cs="Times New Roman"/>
                <w:color w:val="auto"/>
                <w:lang w:eastAsia="zh-CN"/>
              </w:rPr>
              <w:t>*****</w:t>
            </w:r>
            <w:r>
              <w:rPr>
                <w:rFonts w:hAnsi="宋体" w:cs="Times New Roman"/>
                <w:color w:val="auto"/>
              </w:rPr>
              <w:t>-2015）中A等级标准。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2" w:hRule="atLeast"/>
          <w:jc w:val="center"/>
        </w:trPr>
        <w:tc>
          <w:tcPr>
            <w:tcW w:w="1141"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highlight w:val="yellow"/>
              </w:rPr>
            </w:pPr>
            <w:r>
              <w:rPr>
                <w:rFonts w:hint="default" w:ascii="宋体" w:hAnsi="宋体" w:cs="Times New Roman"/>
                <w:color w:val="auto"/>
              </w:rPr>
              <w:t>声环境</w:t>
            </w:r>
          </w:p>
        </w:tc>
        <w:tc>
          <w:tcPr>
            <w:tcW w:w="1702"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highlight w:val="yellow"/>
              </w:rPr>
            </w:pPr>
            <w:r>
              <w:rPr>
                <w:rFonts w:hint="default" w:ascii="Calibri" w:hAnsi="Calibri" w:cs="Times New Roman"/>
                <w:color w:val="auto"/>
              </w:rPr>
              <w:t>人群活动、排风扇、水泵</w:t>
            </w:r>
          </w:p>
        </w:tc>
        <w:tc>
          <w:tcPr>
            <w:tcW w:w="14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Times New Roman"/>
                <w:color w:val="auto"/>
                <w:highlight w:val="yellow"/>
              </w:rPr>
            </w:pPr>
            <w:r>
              <w:rPr>
                <w:rFonts w:hint="eastAsia" w:ascii="宋体" w:hAnsi="宋体" w:cs="Times New Roman"/>
                <w:color w:val="auto"/>
              </w:rPr>
              <w:t>噪声</w:t>
            </w:r>
          </w:p>
        </w:tc>
        <w:tc>
          <w:tcPr>
            <w:tcW w:w="2538" w:type="dxa"/>
            <w:noWrap w:val="0"/>
            <w:vAlign w:val="center"/>
          </w:tcPr>
          <w:p>
            <w:pPr>
              <w:pStyle w:val="36"/>
              <w:keepNext w:val="0"/>
              <w:keepLines w:val="0"/>
              <w:suppressLineNumbers w:val="0"/>
              <w:spacing w:before="0" w:beforeAutospacing="0" w:after="0" w:afterAutospacing="0" w:line="240" w:lineRule="auto"/>
              <w:ind w:left="0" w:right="0" w:firstLine="0"/>
              <w:rPr>
                <w:rFonts w:hint="eastAsia" w:ascii="宋体" w:hAnsi="宋体" w:cs="宋体"/>
                <w:color w:val="auto"/>
                <w:spacing w:val="0"/>
                <w:kern w:val="2"/>
                <w:szCs w:val="21"/>
                <w:lang w:val="en-US"/>
              </w:rPr>
            </w:pPr>
            <w:r>
              <w:rPr>
                <w:rFonts w:hint="eastAsia" w:ascii="宋体" w:hAnsi="宋体" w:cs="宋体"/>
                <w:color w:val="auto"/>
                <w:spacing w:val="0"/>
                <w:kern w:val="2"/>
                <w:szCs w:val="21"/>
                <w:lang w:val="en-US"/>
              </w:rPr>
              <w:t>1）调节池水泵设置为潜水泵，污水处理站水泵放置在一体化设施内部。利用建筑物隔声，排风扇利用墙体和门窗隔声。</w:t>
            </w:r>
          </w:p>
          <w:p>
            <w:pPr>
              <w:pStyle w:val="36"/>
              <w:keepNext w:val="0"/>
              <w:keepLines w:val="0"/>
              <w:suppressLineNumbers w:val="0"/>
              <w:spacing w:before="0" w:beforeAutospacing="0" w:after="0" w:afterAutospacing="0" w:line="240" w:lineRule="auto"/>
              <w:ind w:left="0" w:right="0" w:firstLine="0"/>
              <w:rPr>
                <w:rFonts w:hint="eastAsia" w:ascii="宋体" w:hAnsi="宋体" w:cs="宋体"/>
                <w:color w:val="auto"/>
                <w:spacing w:val="0"/>
                <w:kern w:val="2"/>
                <w:szCs w:val="21"/>
                <w:lang w:val="en-US"/>
              </w:rPr>
            </w:pPr>
            <w:r>
              <w:rPr>
                <w:rFonts w:hint="eastAsia" w:ascii="宋体" w:hAnsi="宋体" w:cs="宋体"/>
                <w:color w:val="auto"/>
                <w:spacing w:val="0"/>
                <w:kern w:val="2"/>
                <w:szCs w:val="21"/>
                <w:lang w:val="en-US"/>
              </w:rPr>
              <w:t>2）在医院车流入口处放置提示标语院内禁止鸣笛或低速慢行等标语。</w:t>
            </w:r>
          </w:p>
          <w:p>
            <w:pPr>
              <w:pStyle w:val="36"/>
              <w:keepNext w:val="0"/>
              <w:keepLines w:val="0"/>
              <w:suppressLineNumbers w:val="0"/>
              <w:spacing w:before="0" w:beforeAutospacing="0" w:after="0" w:afterAutospacing="0" w:line="240" w:lineRule="auto"/>
              <w:ind w:left="0" w:right="0" w:firstLine="0"/>
              <w:rPr>
                <w:rFonts w:hint="eastAsia" w:ascii="宋体" w:hAnsi="宋体" w:cs="宋体"/>
                <w:color w:val="auto"/>
                <w:spacing w:val="0"/>
                <w:kern w:val="2"/>
                <w:szCs w:val="21"/>
                <w:lang w:val="en-US"/>
              </w:rPr>
            </w:pPr>
            <w:r>
              <w:rPr>
                <w:rFonts w:hint="eastAsia" w:ascii="宋体" w:hAnsi="宋体" w:cs="宋体"/>
                <w:color w:val="auto"/>
                <w:spacing w:val="0"/>
                <w:kern w:val="2"/>
                <w:szCs w:val="21"/>
                <w:lang w:val="en-US"/>
              </w:rPr>
              <w:t>3）医院内部贴标语“禁止大声喧哗”等，提醒病患和其他人员。</w:t>
            </w:r>
          </w:p>
          <w:p>
            <w:pPr>
              <w:pStyle w:val="36"/>
              <w:keepNext w:val="0"/>
              <w:keepLines w:val="0"/>
              <w:suppressLineNumbers w:val="0"/>
              <w:spacing w:before="0" w:beforeAutospacing="0" w:after="0" w:afterAutospacing="0" w:line="240" w:lineRule="auto"/>
              <w:ind w:left="0" w:right="0" w:firstLine="0"/>
              <w:rPr>
                <w:rFonts w:hint="eastAsia" w:ascii="Calibri" w:hAnsi="Calibri" w:cs="Times New Roman"/>
                <w:color w:val="auto"/>
                <w:spacing w:val="0"/>
                <w:kern w:val="2"/>
                <w:szCs w:val="21"/>
                <w:lang w:val="en-US"/>
              </w:rPr>
            </w:pPr>
            <w:r>
              <w:rPr>
                <w:rFonts w:hint="eastAsia" w:ascii="宋体" w:hAnsi="宋体" w:cs="宋体"/>
                <w:color w:val="auto"/>
                <w:spacing w:val="0"/>
                <w:kern w:val="2"/>
                <w:szCs w:val="21"/>
                <w:lang w:val="en-US"/>
              </w:rPr>
              <w:t>4）定期对产生噪声和振动的设备进行检修维护，避免设备产生故障噪声及振动。</w:t>
            </w:r>
          </w:p>
        </w:tc>
        <w:tc>
          <w:tcPr>
            <w:tcW w:w="2424" w:type="dxa"/>
            <w:vMerge w:val="restart"/>
            <w:noWrap w:val="0"/>
            <w:vAlign w:val="center"/>
          </w:tcPr>
          <w:p>
            <w:pPr>
              <w:keepNext w:val="0"/>
              <w:keepLines w:val="0"/>
              <w:suppressLineNumbers w:val="0"/>
              <w:spacing w:before="0" w:beforeAutospacing="0" w:after="0" w:afterAutospacing="0"/>
              <w:ind w:left="0" w:right="0"/>
              <w:rPr>
                <w:rFonts w:hint="eastAsia" w:ascii="宋体" w:hAnsi="宋体" w:cs="Times New Roman"/>
                <w:color w:val="auto"/>
              </w:rPr>
            </w:pPr>
            <w:r>
              <w:rPr>
                <w:rFonts w:hint="eastAsia" w:ascii="宋体" w:hAnsi="宋体" w:cs="Times New Roman"/>
                <w:color w:val="auto"/>
              </w:rPr>
              <w:t>院区东、西、北厂界执行《工业企业厂界环境噪声排放标准》（GB</w:t>
            </w:r>
            <w:r>
              <w:rPr>
                <w:rFonts w:hint="eastAsia" w:ascii="宋体" w:hAnsi="宋体" w:cs="Times New Roman"/>
                <w:color w:val="auto"/>
                <w:lang w:eastAsia="zh-CN"/>
              </w:rPr>
              <w:t>*****</w:t>
            </w:r>
            <w:r>
              <w:rPr>
                <w:rFonts w:hint="eastAsia" w:ascii="宋体" w:hAnsi="宋体" w:cs="Times New Roman"/>
                <w:color w:val="auto"/>
              </w:rPr>
              <w:t>—2008）2类标准，南厂界执行《工业企业厂界环境噪声排放标准》（GB</w:t>
            </w:r>
            <w:r>
              <w:rPr>
                <w:rFonts w:hint="eastAsia" w:ascii="宋体" w:hAnsi="宋体" w:cs="Times New Roman"/>
                <w:color w:val="auto"/>
                <w:lang w:eastAsia="zh-CN"/>
              </w:rPr>
              <w:t>*****</w:t>
            </w:r>
            <w:r>
              <w:rPr>
                <w:rFonts w:hint="eastAsia" w:ascii="宋体" w:hAnsi="宋体" w:cs="Times New Roman"/>
                <w:color w:val="auto"/>
              </w:rPr>
              <w:t>—2008）4类标准。</w:t>
            </w:r>
          </w:p>
          <w:p>
            <w:pPr>
              <w:keepNext w:val="0"/>
              <w:keepLines w:val="0"/>
              <w:suppressLineNumbers w:val="0"/>
              <w:adjustRightInd w:val="0"/>
              <w:snapToGrid w:val="0"/>
              <w:spacing w:before="0" w:beforeAutospacing="0" w:after="0" w:afterAutospacing="0"/>
              <w:ind w:left="0" w:right="0"/>
              <w:jc w:val="center"/>
              <w:rPr>
                <w:rFonts w:hint="eastAsia" w:ascii="宋体" w:hAnsi="宋体" w:cs="Times New Roman"/>
                <w:color w:val="auto"/>
                <w:highlight w:val="yellow"/>
              </w:rPr>
            </w:pPr>
          </w:p>
          <w:p>
            <w:pPr>
              <w:keepNext w:val="0"/>
              <w:keepLines w:val="0"/>
              <w:suppressLineNumbers w:val="0"/>
              <w:adjustRightInd w:val="0"/>
              <w:snapToGrid w:val="0"/>
              <w:spacing w:before="0" w:beforeAutospacing="0" w:after="0" w:afterAutospacing="0"/>
              <w:ind w:left="0" w:right="0"/>
              <w:jc w:val="center"/>
              <w:rPr>
                <w:rFonts w:hint="eastAsia" w:ascii="宋体" w:hAnsi="宋体" w:cs="Times New Roman"/>
                <w:color w:val="auto"/>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4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p>
        </w:tc>
        <w:tc>
          <w:tcPr>
            <w:tcW w:w="1702"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eastAsia" w:ascii="Calibri" w:hAnsi="Calibri" w:cs="Times New Roman"/>
                <w:color w:val="auto"/>
              </w:rPr>
              <w:t>备用发电机</w:t>
            </w:r>
          </w:p>
        </w:tc>
        <w:tc>
          <w:tcPr>
            <w:tcW w:w="14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Times New Roman"/>
                <w:color w:val="auto"/>
              </w:rPr>
            </w:pPr>
            <w:r>
              <w:rPr>
                <w:rFonts w:hint="eastAsia" w:ascii="宋体" w:hAnsi="宋体" w:cs="Times New Roman"/>
                <w:color w:val="auto"/>
              </w:rPr>
              <w:t>噪声</w:t>
            </w:r>
          </w:p>
        </w:tc>
        <w:tc>
          <w:tcPr>
            <w:tcW w:w="2538" w:type="dxa"/>
            <w:noWrap w:val="0"/>
            <w:vAlign w:val="center"/>
          </w:tcPr>
          <w:p>
            <w:pPr>
              <w:pStyle w:val="36"/>
              <w:keepNext w:val="0"/>
              <w:keepLines w:val="0"/>
              <w:suppressLineNumbers w:val="0"/>
              <w:spacing w:before="0" w:beforeAutospacing="0" w:after="0" w:afterAutospacing="0" w:line="240" w:lineRule="auto"/>
              <w:ind w:left="0" w:right="0" w:firstLine="0"/>
              <w:rPr>
                <w:rFonts w:hint="eastAsia" w:ascii="Calibri" w:hAnsi="Calibri" w:cs="Times New Roman"/>
                <w:color w:val="auto"/>
                <w:spacing w:val="-3"/>
                <w:szCs w:val="21"/>
              </w:rPr>
            </w:pPr>
            <w:r>
              <w:rPr>
                <w:rFonts w:hint="eastAsia" w:ascii="Calibri" w:hAnsi="Calibri" w:cs="Times New Roman"/>
                <w:color w:val="auto"/>
                <w:spacing w:val="-3"/>
                <w:szCs w:val="21"/>
              </w:rPr>
              <w:t>备用发电机置于</w:t>
            </w:r>
            <w:r>
              <w:rPr>
                <w:rFonts w:hint="eastAsia" w:ascii="Calibri" w:hAnsi="Calibri" w:cs="Times New Roman"/>
                <w:color w:val="auto"/>
                <w:szCs w:val="21"/>
              </w:rPr>
              <w:t>单独的发电室</w:t>
            </w:r>
            <w:r>
              <w:rPr>
                <w:rFonts w:hint="eastAsia" w:ascii="Calibri" w:hAnsi="Calibri" w:cs="Times New Roman"/>
                <w:color w:val="auto"/>
                <w:spacing w:val="-3"/>
                <w:szCs w:val="21"/>
              </w:rPr>
              <w:t>内，并采取基础减震、构筑设施隔声、距离衰减，</w:t>
            </w:r>
          </w:p>
          <w:p>
            <w:pPr>
              <w:pStyle w:val="36"/>
              <w:keepNext w:val="0"/>
              <w:keepLines w:val="0"/>
              <w:suppressLineNumbers w:val="0"/>
              <w:spacing w:before="0" w:beforeAutospacing="0" w:after="0" w:afterAutospacing="0" w:line="240" w:lineRule="auto"/>
              <w:ind w:left="0" w:right="0" w:firstLine="0"/>
              <w:rPr>
                <w:rFonts w:hint="eastAsia" w:ascii="Calibri" w:hAnsi="Calibri" w:cs="Times New Roman"/>
                <w:color w:val="auto"/>
                <w:spacing w:val="-3"/>
                <w:szCs w:val="21"/>
                <w:lang w:val="en-US"/>
              </w:rPr>
            </w:pPr>
            <w:r>
              <w:rPr>
                <w:rFonts w:hint="eastAsia" w:ascii="宋体" w:hAnsi="宋体" w:cs="宋体"/>
                <w:color w:val="auto"/>
                <w:szCs w:val="21"/>
                <w:lang w:val="en-US"/>
              </w:rPr>
              <w:t>在使用备用发电机时使用减震垫，在密闭的发电室内工作。</w:t>
            </w:r>
          </w:p>
        </w:tc>
        <w:tc>
          <w:tcPr>
            <w:tcW w:w="2424"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Times New Roman"/>
                <w:color w:val="auto"/>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4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电磁辐射</w:t>
            </w:r>
          </w:p>
        </w:tc>
        <w:tc>
          <w:tcPr>
            <w:tcW w:w="8101" w:type="dxa"/>
            <w:gridSpan w:val="4"/>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eastAsia" w:ascii="宋体" w:hAnsi="宋体" w:cs="Times New Roman"/>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14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highlight w:val="yellow"/>
              </w:rPr>
            </w:pPr>
            <w:r>
              <w:rPr>
                <w:rFonts w:hint="default" w:ascii="宋体" w:hAnsi="宋体" w:cs="Times New Roman"/>
                <w:color w:val="auto"/>
              </w:rPr>
              <w:t>固体废物</w:t>
            </w:r>
          </w:p>
        </w:tc>
        <w:tc>
          <w:tcPr>
            <w:tcW w:w="8101" w:type="dxa"/>
            <w:gridSpan w:val="4"/>
            <w:noWrap w:val="0"/>
            <w:vAlign w:val="center"/>
          </w:tcPr>
          <w:p>
            <w:pPr>
              <w:pStyle w:val="36"/>
              <w:keepNext w:val="0"/>
              <w:keepLines w:val="0"/>
              <w:suppressLineNumbers w:val="0"/>
              <w:spacing w:before="0" w:beforeAutospacing="0" w:after="0" w:afterAutospacing="0" w:line="240" w:lineRule="auto"/>
              <w:ind w:left="0" w:right="0" w:firstLine="0"/>
              <w:rPr>
                <w:rFonts w:hint="eastAsia" w:ascii="Calibri" w:hAnsi="Calibri" w:cs="Times New Roman"/>
                <w:color w:val="auto"/>
                <w:lang w:val="en-US"/>
              </w:rPr>
            </w:pPr>
            <w:r>
              <w:rPr>
                <w:rFonts w:hint="eastAsia" w:ascii="Calibri" w:hAnsi="Calibri" w:cs="Times New Roman"/>
                <w:color w:val="auto"/>
                <w:lang w:val="en-US"/>
              </w:rPr>
              <w:t>（1）生活垃圾：</w:t>
            </w:r>
            <w:r>
              <w:rPr>
                <w:rFonts w:hint="default" w:ascii="Calibri" w:hAnsi="Calibri" w:cs="Times New Roman"/>
                <w:color w:val="auto"/>
              </w:rPr>
              <w:t>生活垃圾</w:t>
            </w:r>
            <w:r>
              <w:rPr>
                <w:rFonts w:hint="eastAsia" w:ascii="Calibri" w:hAnsi="Calibri" w:cs="Times New Roman"/>
                <w:color w:val="auto"/>
                <w:lang w:val="en-US"/>
              </w:rPr>
              <w:t>使用垃圾桶</w:t>
            </w:r>
            <w:r>
              <w:rPr>
                <w:rFonts w:hint="default" w:ascii="Calibri" w:hAnsi="Calibri" w:cs="Times New Roman"/>
                <w:color w:val="auto"/>
              </w:rPr>
              <w:t>集中收集，委托环卫部门按日清运</w:t>
            </w:r>
            <w:r>
              <w:rPr>
                <w:rFonts w:hint="eastAsia" w:ascii="Calibri" w:hAnsi="Calibri" w:cs="Times New Roman"/>
                <w:color w:val="auto"/>
              </w:rPr>
              <w:t>。</w:t>
            </w:r>
            <w:r>
              <w:rPr>
                <w:rFonts w:hint="eastAsia" w:ascii="Calibri" w:hAnsi="Calibri" w:cs="Times New Roman"/>
                <w:color w:val="auto"/>
                <w:lang w:val="en-US"/>
              </w:rPr>
              <w:t>；</w:t>
            </w:r>
          </w:p>
          <w:p>
            <w:pPr>
              <w:pStyle w:val="36"/>
              <w:keepNext w:val="0"/>
              <w:keepLines w:val="0"/>
              <w:suppressLineNumbers w:val="0"/>
              <w:spacing w:before="0" w:beforeAutospacing="0" w:after="0" w:afterAutospacing="0" w:line="240" w:lineRule="auto"/>
              <w:ind w:left="0" w:right="0" w:firstLine="0"/>
              <w:rPr>
                <w:rFonts w:hint="eastAsia" w:ascii="Calibri" w:hAnsi="Calibri" w:cs="Times New Roman"/>
                <w:color w:val="auto"/>
                <w:lang w:val="en-US"/>
              </w:rPr>
            </w:pPr>
            <w:r>
              <w:rPr>
                <w:rFonts w:hint="eastAsia" w:ascii="Calibri" w:hAnsi="Calibri" w:cs="Times New Roman"/>
                <w:color w:val="auto"/>
                <w:lang w:val="en-US"/>
              </w:rPr>
              <w:t>（2）格栅、化粪池和污水处理站污泥经过消毒处理后，委托有资质的单位进行处置。</w:t>
            </w:r>
          </w:p>
          <w:p>
            <w:pPr>
              <w:pStyle w:val="21"/>
              <w:keepNext w:val="0"/>
              <w:keepLines w:val="0"/>
              <w:suppressLineNumbers w:val="0"/>
              <w:spacing w:beforeAutospacing="0" w:after="0" w:afterAutospacing="0" w:line="240" w:lineRule="auto"/>
              <w:rPr>
                <w:rFonts w:hint="default" w:ascii="Times New Roman" w:hAnsi="Times New Roman" w:cs="Times New Roman"/>
                <w:color w:val="auto"/>
              </w:rPr>
            </w:pPr>
            <w:r>
              <w:rPr>
                <w:rFonts w:hint="eastAsia" w:ascii="Times New Roman" w:hAnsi="Times New Roman" w:cs="Times New Roman"/>
                <w:color w:val="auto"/>
              </w:rPr>
              <w:t>（3）医疗废物分类收集，暂存在1间医疗废物暂存间内，委托有资质单位上门清运处置。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14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土壤及地下水</w:t>
            </w:r>
          </w:p>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污染防治措施</w:t>
            </w:r>
          </w:p>
        </w:tc>
        <w:tc>
          <w:tcPr>
            <w:tcW w:w="8101" w:type="dxa"/>
            <w:gridSpan w:val="4"/>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14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生态保护措施</w:t>
            </w:r>
          </w:p>
        </w:tc>
        <w:tc>
          <w:tcPr>
            <w:tcW w:w="8101" w:type="dxa"/>
            <w:gridSpan w:val="4"/>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14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spacing w:val="-8"/>
                <w:highlight w:val="yellow"/>
              </w:rPr>
            </w:pPr>
            <w:r>
              <w:rPr>
                <w:rFonts w:hint="default" w:ascii="宋体" w:hAnsi="宋体" w:cs="Times New Roman"/>
                <w:color w:val="auto"/>
                <w:spacing w:val="-8"/>
              </w:rPr>
              <w:t>环境风险防范措施</w:t>
            </w:r>
          </w:p>
        </w:tc>
        <w:tc>
          <w:tcPr>
            <w:tcW w:w="8101" w:type="dxa"/>
            <w:gridSpan w:val="4"/>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rPr>
              <w:t>1.</w:t>
            </w:r>
            <w:r>
              <w:rPr>
                <w:rFonts w:hint="eastAsia" w:ascii="Times New Roman" w:hAnsi="Times New Roman" w:cs="Times New Roman"/>
                <w:color w:val="auto"/>
                <w:lang w:val="en-US" w:eastAsia="zh-CN"/>
              </w:rPr>
              <w:t>项目设置</w:t>
            </w: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个事故应急池，容积为</w:t>
            </w:r>
            <w:r>
              <w:rPr>
                <w:rFonts w:hint="default" w:ascii="Times New Roman" w:hAnsi="Times New Roman" w:cs="Times New Roman"/>
                <w:color w:val="auto"/>
                <w:lang w:val="en-US" w:eastAsia="zh-CN"/>
              </w:rPr>
              <w:t>13</w:t>
            </w:r>
            <w:r>
              <w:rPr>
                <w:rFonts w:hint="default" w:cs="Times New Roman"/>
                <w:color w:val="auto"/>
                <w:lang w:val="en-US" w:eastAsia="zh-CN"/>
              </w:rPr>
              <w:t>5</w:t>
            </w:r>
            <w:r>
              <w:rPr>
                <w:rFonts w:hint="default" w:ascii="Times New Roman" w:hAnsi="Times New Roman" w:cs="Times New Roman"/>
                <w:color w:val="auto"/>
                <w:lang w:val="en-US" w:eastAsia="zh-CN"/>
              </w:rPr>
              <w:t>m</w:t>
            </w:r>
            <w:r>
              <w:rPr>
                <w:rFonts w:hint="default" w:ascii="Times New Roman" w:hAnsi="Times New Roman" w:cs="Times New Roman"/>
                <w:color w:val="auto"/>
                <w:vertAlign w:val="superscript"/>
                <w:lang w:val="en-US" w:eastAsia="zh-CN"/>
              </w:rPr>
              <w:t>3</w:t>
            </w:r>
            <w:r>
              <w:rPr>
                <w:rFonts w:hint="eastAsia" w:ascii="Times New Roman" w:hAnsi="Times New Roman" w:cs="Times New Roman"/>
                <w:color w:val="auto"/>
                <w:lang w:val="en-US" w:eastAsia="zh-CN"/>
              </w:rPr>
              <w:t>，位于住院楼西南角。</w:t>
            </w:r>
          </w:p>
          <w:p>
            <w:pPr>
              <w:keepNext w:val="0"/>
              <w:keepLines w:val="0"/>
              <w:widowControl/>
              <w:suppressLineNumbers w:val="0"/>
              <w:spacing w:before="0" w:beforeAutospacing="0" w:after="0" w:afterAutospacing="0"/>
              <w:ind w:left="0" w:right="0"/>
              <w:jc w:val="left"/>
              <w:rPr>
                <w:rFonts w:hint="eastAsia" w:ascii="宋体" w:hAnsi="宋体" w:cs="Times New Roman"/>
                <w:color w:val="auto"/>
                <w:highlight w:val="yellow"/>
              </w:rPr>
            </w:pPr>
            <w:r>
              <w:rPr>
                <w:rFonts w:hint="default" w:ascii="Times New Roman" w:hAnsi="Times New Roman" w:cs="Times New Roman"/>
                <w:color w:val="auto"/>
                <w:lang w:val="en-US"/>
              </w:rPr>
              <w:t>2.</w:t>
            </w:r>
            <w:r>
              <w:rPr>
                <w:rFonts w:hint="default" w:ascii="Times New Roman" w:hAnsi="Times New Roman" w:cs="Times New Roman"/>
                <w:color w:val="auto"/>
              </w:rPr>
              <w:t>编制突发环境事件应急预案；消毒剂为次氯酸钠，专人管理，加强污水处理设施运行维护管理。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1141"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其他环境管理要求</w:t>
            </w:r>
          </w:p>
        </w:tc>
        <w:tc>
          <w:tcPr>
            <w:tcW w:w="8101" w:type="dxa"/>
            <w:gridSpan w:val="4"/>
            <w:noWrap w:val="0"/>
            <w:vAlign w:val="center"/>
          </w:tcPr>
          <w:p>
            <w:pPr>
              <w:keepNext w:val="0"/>
              <w:keepLines w:val="0"/>
              <w:suppressLineNumbers w:val="0"/>
              <w:adjustRightInd w:val="0"/>
              <w:snapToGrid w:val="0"/>
              <w:spacing w:before="0" w:beforeAutospacing="0" w:after="0" w:afterAutospacing="0"/>
              <w:ind w:left="0" w:right="0"/>
              <w:jc w:val="left"/>
              <w:rPr>
                <w:rFonts w:hint="default" w:ascii="Calibri" w:hAnsi="Calibri" w:cs="Times New Roman"/>
                <w:color w:val="auto"/>
              </w:rPr>
            </w:pPr>
          </w:p>
          <w:p>
            <w:pPr>
              <w:pStyle w:val="13"/>
              <w:keepNext w:val="0"/>
              <w:keepLines w:val="0"/>
              <w:suppressLineNumbers w:val="0"/>
              <w:spacing w:before="0" w:beforeAutospacing="0" w:after="0" w:afterAutospacing="0"/>
              <w:ind w:left="0" w:right="0"/>
              <w:jc w:val="center"/>
              <w:rPr>
                <w:rFonts w:cs="Times New Roman"/>
                <w:color w:val="auto"/>
                <w:sz w:val="28"/>
              </w:rPr>
            </w:pPr>
            <w:r>
              <w:rPr>
                <w:rFonts w:hAnsi="宋体" w:cs="Times New Roman"/>
                <w:color w:val="auto"/>
              </w:rPr>
              <w:t>/</w:t>
            </w:r>
          </w:p>
        </w:tc>
      </w:tr>
    </w:tbl>
    <w:p>
      <w:pPr>
        <w:pStyle w:val="22"/>
        <w:jc w:val="center"/>
        <w:outlineLvl w:val="0"/>
        <w:rPr>
          <w:rFonts w:ascii="Times New Roman" w:hAnsi="Times New Roman" w:eastAsia="黑体"/>
          <w:snapToGrid w:val="0"/>
          <w:color w:val="auto"/>
          <w:sz w:val="30"/>
          <w:szCs w:val="30"/>
        </w:rPr>
      </w:pPr>
      <w:r>
        <w:rPr>
          <w:rFonts w:ascii="Times New Roman" w:hAnsi="Times New Roman"/>
          <w:snapToGrid w:val="0"/>
          <w:color w:val="auto"/>
        </w:rPr>
        <w:br w:type="page"/>
      </w:r>
      <w:bookmarkStart w:id="8" w:name="_Toc14062"/>
      <w:r>
        <w:rPr>
          <w:rStyle w:val="38"/>
          <w:rFonts w:hint="eastAsia"/>
          <w:color w:val="auto"/>
        </w:rPr>
        <w:t>六、结论</w:t>
      </w:r>
      <w:bookmarkEnd w:id="8"/>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09" w:hRule="atLeast"/>
          <w:jc w:val="center"/>
        </w:trPr>
        <w:tc>
          <w:tcPr>
            <w:tcW w:w="9258" w:type="dxa"/>
            <w:noWrap w:val="0"/>
            <w:vAlign w:val="top"/>
          </w:tcPr>
          <w:p>
            <w:pPr>
              <w:pStyle w:val="16"/>
              <w:keepNext w:val="0"/>
              <w:keepLines w:val="0"/>
              <w:suppressLineNumbers w:val="0"/>
              <w:spacing w:before="0" w:beforeAutospacing="0" w:after="0" w:afterAutospacing="0" w:line="360" w:lineRule="auto"/>
              <w:ind w:left="0" w:leftChars="0" w:right="0" w:firstLine="480" w:firstLineChars="200"/>
              <w:rPr>
                <w:rFonts w:hint="eastAsia" w:ascii="宋体" w:hAnsi="宋体" w:cs="宋体"/>
                <w:color w:val="auto"/>
                <w:sz w:val="24"/>
                <w:szCs w:val="24"/>
              </w:rPr>
            </w:pPr>
            <w:r>
              <w:rPr>
                <w:rFonts w:hint="eastAsia" w:ascii="宋体" w:hAnsi="宋体" w:cs="宋体"/>
                <w:color w:val="auto"/>
                <w:sz w:val="24"/>
                <w:szCs w:val="24"/>
              </w:rPr>
              <w:t>本项目产生的污染物采取相应的治理控制措施，污染物可以达标排放，对</w:t>
            </w:r>
            <w:r>
              <w:rPr>
                <w:rFonts w:hint="eastAsia" w:ascii="宋体" w:hAnsi="宋体" w:cs="Times New Roman"/>
                <w:bCs/>
                <w:color w:val="auto"/>
                <w:kern w:val="0"/>
                <w:sz w:val="24"/>
                <w:szCs w:val="24"/>
              </w:rPr>
              <w:t>地表水、声环境和大气环境影响小</w:t>
            </w:r>
            <w:r>
              <w:rPr>
                <w:rFonts w:hint="eastAsia" w:ascii="宋体" w:hAnsi="宋体" w:cs="宋体"/>
                <w:color w:val="auto"/>
                <w:sz w:val="24"/>
                <w:szCs w:val="24"/>
              </w:rPr>
              <w:t xml:space="preserve">，项目运营过程中，排放的污染物不会改变周边环境的环境功能，其对环境的影响可以接受。项目建设得到周边企业和居民的认同，建设单位单位在今后的运营过程中严格落实对策措施，严格执行“三同时”制度，认真落实本报告提出的各项污染防治，加强企业的环境管理，确保污染物的达标排放。  </w:t>
            </w:r>
          </w:p>
          <w:p>
            <w:pPr>
              <w:pStyle w:val="16"/>
              <w:keepNext w:val="0"/>
              <w:keepLines w:val="0"/>
              <w:suppressLineNumbers w:val="0"/>
              <w:spacing w:before="0" w:beforeAutospacing="0" w:after="0" w:afterAutospacing="0" w:line="360" w:lineRule="auto"/>
              <w:ind w:left="0" w:leftChars="0" w:right="0" w:firstLine="480" w:firstLineChars="200"/>
              <w:rPr>
                <w:rFonts w:hint="eastAsia" w:ascii="宋体" w:hAnsi="宋体" w:cs="Times New Roman"/>
                <w:bCs/>
                <w:color w:val="auto"/>
                <w:kern w:val="0"/>
                <w:sz w:val="24"/>
                <w:szCs w:val="24"/>
              </w:rPr>
            </w:pPr>
            <w:r>
              <w:rPr>
                <w:rFonts w:hint="eastAsia" w:ascii="宋体" w:hAnsi="宋体" w:cs="宋体"/>
                <w:color w:val="auto"/>
                <w:sz w:val="24"/>
                <w:szCs w:val="24"/>
              </w:rPr>
              <w:t>因此，从环境保护角度分析，项目可行。</w:t>
            </w:r>
          </w:p>
          <w:p>
            <w:pPr>
              <w:pStyle w:val="16"/>
              <w:keepNext w:val="0"/>
              <w:keepLines w:val="0"/>
              <w:suppressLineNumbers w:val="0"/>
              <w:spacing w:before="0" w:beforeAutospacing="0" w:afterAutospacing="0"/>
              <w:ind w:right="0"/>
              <w:rPr>
                <w:rFonts w:hint="default" w:ascii="Calibri" w:hAnsi="Calibri" w:cs="Times New Roman"/>
                <w:bCs/>
                <w:color w:val="auto"/>
                <w:kern w:val="0"/>
                <w:sz w:val="24"/>
                <w:szCs w:val="24"/>
              </w:rPr>
            </w:pPr>
          </w:p>
        </w:tc>
      </w:tr>
    </w:tbl>
    <w:p>
      <w:pPr>
        <w:jc w:val="center"/>
        <w:rPr>
          <w:rFonts w:hint="eastAsia"/>
          <w:b/>
          <w:bCs/>
          <w:color w:val="auto"/>
          <w:sz w:val="44"/>
          <w:szCs w:val="52"/>
        </w:rPr>
      </w:pPr>
    </w:p>
    <w:p>
      <w:pPr>
        <w:jc w:val="center"/>
        <w:rPr>
          <w:rFonts w:hint="eastAsia"/>
          <w:b/>
          <w:bCs/>
          <w:color w:val="auto"/>
          <w:sz w:val="44"/>
          <w:szCs w:val="52"/>
        </w:rPr>
      </w:pPr>
    </w:p>
    <w:p>
      <w:pPr>
        <w:jc w:val="center"/>
        <w:rPr>
          <w:rFonts w:hint="eastAsia"/>
          <w:b/>
          <w:bCs/>
          <w:color w:val="auto"/>
          <w:sz w:val="44"/>
          <w:szCs w:val="52"/>
        </w:rPr>
        <w:sectPr>
          <w:footerReference r:id="rId7" w:type="default"/>
          <w:pgSz w:w="11906" w:h="16838"/>
          <w:pgMar w:top="1304" w:right="1134" w:bottom="1304" w:left="1531" w:header="851" w:footer="851" w:gutter="0"/>
          <w:cols w:space="720" w:num="1"/>
          <w:docGrid w:linePitch="312" w:charSpace="0"/>
        </w:sectPr>
      </w:pPr>
    </w:p>
    <w:p>
      <w:pPr>
        <w:jc w:val="center"/>
        <w:rPr>
          <w:b/>
          <w:bCs/>
          <w:color w:val="auto"/>
          <w:sz w:val="44"/>
          <w:szCs w:val="52"/>
        </w:rPr>
      </w:pPr>
      <w:r>
        <w:rPr>
          <w:rFonts w:hint="eastAsia"/>
          <w:b/>
          <w:bCs/>
          <w:color w:val="auto"/>
          <w:sz w:val="44"/>
          <w:szCs w:val="52"/>
        </w:rPr>
        <w:t>建设项目污染物排放量汇总表</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281"/>
        <w:gridCol w:w="1500"/>
        <w:gridCol w:w="1145"/>
        <w:gridCol w:w="1418"/>
        <w:gridCol w:w="1814"/>
        <w:gridCol w:w="1622"/>
        <w:gridCol w:w="1787"/>
        <w:gridCol w:w="17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88" w:type="dxa"/>
            <w:tcBorders>
              <w:tl2br w:val="single" w:color="auto" w:sz="4" w:space="0"/>
            </w:tcBorders>
            <w:tcMar>
              <w:left w:w="28" w:type="dxa"/>
              <w:right w:w="28" w:type="dxa"/>
            </w:tcMar>
            <w:vAlign w:val="center"/>
          </w:tcPr>
          <w:p>
            <w:pPr>
              <w:pStyle w:val="54"/>
              <w:keepNext w:val="0"/>
              <w:keepLines w:val="0"/>
              <w:suppressLineNumbers w:val="0"/>
              <w:spacing w:before="0" w:beforeLines="0" w:beforeAutospacing="0" w:after="0" w:afterLines="0" w:afterAutospacing="0" w:line="240" w:lineRule="auto"/>
              <w:ind w:left="0" w:right="0"/>
              <w:jc w:val="right"/>
              <w:rPr>
                <w:rFonts w:hint="default"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项目</w:t>
            </w:r>
          </w:p>
          <w:p>
            <w:pPr>
              <w:pStyle w:val="54"/>
              <w:keepNext w:val="0"/>
              <w:keepLines w:val="0"/>
              <w:suppressLineNumbers w:val="0"/>
              <w:spacing w:before="0" w:beforeLines="0" w:beforeAutospacing="0" w:after="0" w:afterLines="0" w:afterAutospacing="0" w:line="240" w:lineRule="auto"/>
              <w:ind w:left="0" w:right="0"/>
              <w:jc w:val="left"/>
              <w:rPr>
                <w:rFonts w:hint="default"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分类</w:t>
            </w:r>
          </w:p>
        </w:tc>
        <w:tc>
          <w:tcPr>
            <w:tcW w:w="1281" w:type="dxa"/>
            <w:tcMar>
              <w:left w:w="28" w:type="dxa"/>
              <w:right w:w="28" w:type="dxa"/>
            </w:tcMar>
            <w:vAlign w:val="center"/>
          </w:tcPr>
          <w:p>
            <w:pPr>
              <w:pStyle w:val="54"/>
              <w:keepNext w:val="0"/>
              <w:keepLines w:val="0"/>
              <w:suppressLineNumbers w:val="0"/>
              <w:spacing w:before="0" w:beforeLines="0" w:beforeAutospacing="0" w:after="0" w:afterLines="0" w:afterAutospacing="0" w:line="240" w:lineRule="auto"/>
              <w:ind w:left="0" w:right="0"/>
              <w:rPr>
                <w:rFonts w:hint="default"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污染物名称</w:t>
            </w:r>
          </w:p>
        </w:tc>
        <w:tc>
          <w:tcPr>
            <w:tcW w:w="1500" w:type="dxa"/>
            <w:tcMar>
              <w:left w:w="28" w:type="dxa"/>
              <w:right w:w="28" w:type="dxa"/>
            </w:tcMar>
            <w:vAlign w:val="center"/>
          </w:tcPr>
          <w:p>
            <w:pPr>
              <w:pStyle w:val="54"/>
              <w:keepNext w:val="0"/>
              <w:keepLines w:val="0"/>
              <w:suppressLineNumbers w:val="0"/>
              <w:spacing w:before="0" w:beforeLines="0" w:beforeAutospacing="0" w:after="0" w:afterLines="0" w:afterAutospacing="0" w:line="240" w:lineRule="auto"/>
              <w:ind w:left="0" w:right="0"/>
              <w:rPr>
                <w:rFonts w:hint="default" w:ascii="黑体" w:hAnsi="黑体" w:eastAsia="黑体"/>
                <w:snapToGrid w:val="0"/>
                <w:color w:val="auto"/>
                <w:spacing w:val="-6"/>
                <w:kern w:val="21"/>
                <w:szCs w:val="21"/>
              </w:rPr>
            </w:pPr>
            <w:r>
              <w:rPr>
                <w:rFonts w:hint="default" w:ascii="黑体" w:hAnsi="黑体" w:eastAsia="黑体"/>
                <w:snapToGrid w:val="0"/>
                <w:color w:val="auto"/>
                <w:spacing w:val="-6"/>
                <w:kern w:val="21"/>
                <w:szCs w:val="21"/>
              </w:rPr>
              <w:t>现有工程</w:t>
            </w:r>
          </w:p>
          <w:p>
            <w:pPr>
              <w:pStyle w:val="54"/>
              <w:keepNext w:val="0"/>
              <w:keepLines w:val="0"/>
              <w:suppressLineNumbers w:val="0"/>
              <w:spacing w:before="0" w:beforeLines="0" w:beforeAutospacing="0" w:after="0" w:afterLines="0" w:afterAutospacing="0" w:line="240" w:lineRule="auto"/>
              <w:ind w:left="0" w:right="0"/>
              <w:rPr>
                <w:rFonts w:hint="default" w:ascii="黑体" w:hAnsi="黑体" w:eastAsia="黑体"/>
                <w:snapToGrid w:val="0"/>
                <w:color w:val="auto"/>
                <w:spacing w:val="-6"/>
                <w:kern w:val="21"/>
                <w:szCs w:val="21"/>
              </w:rPr>
            </w:pPr>
            <w:r>
              <w:rPr>
                <w:rFonts w:hint="default" w:ascii="黑体" w:hAnsi="黑体" w:eastAsia="黑体"/>
                <w:snapToGrid w:val="0"/>
                <w:color w:val="auto"/>
                <w:spacing w:val="-6"/>
                <w:kern w:val="21"/>
                <w:szCs w:val="21"/>
              </w:rPr>
              <w:t>排放量（固</w:t>
            </w:r>
            <w:r>
              <w:rPr>
                <w:rFonts w:hint="eastAsia" w:ascii="黑体" w:hAnsi="黑体" w:eastAsia="黑体"/>
                <w:snapToGrid w:val="0"/>
                <w:color w:val="auto"/>
                <w:spacing w:val="-6"/>
                <w:kern w:val="21"/>
                <w:szCs w:val="21"/>
              </w:rPr>
              <w:t>体</w:t>
            </w:r>
            <w:r>
              <w:rPr>
                <w:rFonts w:hint="default" w:ascii="黑体" w:hAnsi="黑体" w:eastAsia="黑体"/>
                <w:snapToGrid w:val="0"/>
                <w:color w:val="auto"/>
                <w:spacing w:val="-6"/>
                <w:kern w:val="21"/>
                <w:szCs w:val="21"/>
              </w:rPr>
              <w:t>废</w:t>
            </w:r>
            <w:r>
              <w:rPr>
                <w:rFonts w:hint="eastAsia" w:ascii="黑体" w:hAnsi="黑体" w:eastAsia="黑体"/>
                <w:snapToGrid w:val="0"/>
                <w:color w:val="auto"/>
                <w:spacing w:val="-6"/>
                <w:kern w:val="21"/>
                <w:szCs w:val="21"/>
              </w:rPr>
              <w:t>物</w:t>
            </w:r>
            <w:r>
              <w:rPr>
                <w:rFonts w:hint="default" w:ascii="黑体" w:hAnsi="黑体" w:eastAsia="黑体"/>
                <w:snapToGrid w:val="0"/>
                <w:color w:val="auto"/>
                <w:spacing w:val="-6"/>
                <w:kern w:val="21"/>
                <w:szCs w:val="21"/>
              </w:rPr>
              <w:t>产生量）</w:t>
            </w:r>
            <w:r>
              <w:rPr>
                <w:rFonts w:hint="default" w:ascii="黑体" w:hAnsi="黑体" w:eastAsia="黑体"/>
                <w:snapToGrid w:val="0"/>
                <w:color w:val="auto"/>
                <w:spacing w:val="-6"/>
                <w:kern w:val="21"/>
                <w:szCs w:val="21"/>
              </w:rPr>
              <w:fldChar w:fldCharType="begin"/>
            </w:r>
            <w:r>
              <w:rPr>
                <w:rFonts w:hint="default" w:ascii="黑体" w:hAnsi="黑体" w:eastAsia="黑体"/>
                <w:snapToGrid w:val="0"/>
                <w:color w:val="auto"/>
                <w:spacing w:val="-6"/>
                <w:kern w:val="21"/>
                <w:szCs w:val="21"/>
              </w:rPr>
              <w:instrText xml:space="preserve"> = 1 \* GB3 \* MERGEFORMAT </w:instrText>
            </w:r>
            <w:r>
              <w:rPr>
                <w:rFonts w:hint="default" w:ascii="黑体" w:hAnsi="黑体" w:eastAsia="黑体"/>
                <w:snapToGrid w:val="0"/>
                <w:color w:val="auto"/>
                <w:spacing w:val="-6"/>
                <w:kern w:val="21"/>
                <w:szCs w:val="21"/>
              </w:rPr>
              <w:fldChar w:fldCharType="separate"/>
            </w:r>
            <w:r>
              <w:rPr>
                <w:rFonts w:hint="eastAsia" w:ascii="黑体" w:hAnsi="黑体" w:eastAsia="黑体" w:cs="宋体"/>
                <w:color w:val="auto"/>
                <w:kern w:val="2"/>
                <w:szCs w:val="21"/>
              </w:rPr>
              <w:t>①</w:t>
            </w:r>
            <w:r>
              <w:rPr>
                <w:rFonts w:hint="default" w:ascii="黑体" w:hAnsi="黑体" w:eastAsia="黑体"/>
                <w:snapToGrid w:val="0"/>
                <w:color w:val="auto"/>
                <w:spacing w:val="-6"/>
                <w:kern w:val="21"/>
                <w:szCs w:val="21"/>
              </w:rPr>
              <w:fldChar w:fldCharType="end"/>
            </w:r>
          </w:p>
        </w:tc>
        <w:tc>
          <w:tcPr>
            <w:tcW w:w="1145" w:type="dxa"/>
            <w:tcMar>
              <w:left w:w="28" w:type="dxa"/>
              <w:right w:w="28" w:type="dxa"/>
            </w:tcMar>
            <w:vAlign w:val="center"/>
          </w:tcPr>
          <w:p>
            <w:pPr>
              <w:pStyle w:val="54"/>
              <w:keepNext w:val="0"/>
              <w:keepLines w:val="0"/>
              <w:suppressLineNumbers w:val="0"/>
              <w:spacing w:before="0" w:beforeLines="0" w:beforeAutospacing="0" w:after="0" w:afterLines="0" w:afterAutospacing="0" w:line="240" w:lineRule="auto"/>
              <w:ind w:left="0" w:right="0"/>
              <w:rPr>
                <w:rFonts w:hint="default" w:ascii="黑体" w:hAnsi="黑体" w:eastAsia="黑体"/>
                <w:snapToGrid w:val="0"/>
                <w:color w:val="auto"/>
                <w:spacing w:val="-6"/>
                <w:kern w:val="21"/>
                <w:szCs w:val="21"/>
              </w:rPr>
            </w:pPr>
            <w:r>
              <w:rPr>
                <w:rFonts w:hint="default" w:ascii="黑体" w:hAnsi="黑体" w:eastAsia="黑体"/>
                <w:snapToGrid w:val="0"/>
                <w:color w:val="auto"/>
                <w:spacing w:val="-6"/>
                <w:kern w:val="21"/>
                <w:szCs w:val="21"/>
              </w:rPr>
              <w:t>现有工程</w:t>
            </w:r>
          </w:p>
          <w:p>
            <w:pPr>
              <w:pStyle w:val="54"/>
              <w:keepNext w:val="0"/>
              <w:keepLines w:val="0"/>
              <w:suppressLineNumbers w:val="0"/>
              <w:spacing w:before="0" w:beforeLines="0" w:beforeAutospacing="0" w:after="0" w:afterLines="0" w:afterAutospacing="0" w:line="240" w:lineRule="auto"/>
              <w:ind w:left="0" w:right="0"/>
              <w:rPr>
                <w:rFonts w:hint="default" w:ascii="黑体" w:hAnsi="黑体" w:eastAsia="黑体"/>
                <w:snapToGrid w:val="0"/>
                <w:color w:val="auto"/>
                <w:spacing w:val="-6"/>
                <w:kern w:val="21"/>
                <w:szCs w:val="21"/>
              </w:rPr>
            </w:pPr>
            <w:r>
              <w:rPr>
                <w:rFonts w:hint="default" w:ascii="黑体" w:hAnsi="黑体" w:eastAsia="黑体"/>
                <w:snapToGrid w:val="0"/>
                <w:color w:val="auto"/>
                <w:spacing w:val="-6"/>
                <w:kern w:val="21"/>
                <w:szCs w:val="21"/>
              </w:rPr>
              <w:t>许可排放量</w:t>
            </w:r>
          </w:p>
          <w:p>
            <w:pPr>
              <w:pStyle w:val="54"/>
              <w:keepNext w:val="0"/>
              <w:keepLines w:val="0"/>
              <w:suppressLineNumbers w:val="0"/>
              <w:spacing w:before="0" w:beforeLines="0" w:beforeAutospacing="0" w:after="0" w:afterLines="0" w:afterAutospacing="0"/>
              <w:ind w:left="0" w:right="0"/>
              <w:rPr>
                <w:rFonts w:hint="default" w:ascii="黑体" w:hAnsi="黑体" w:eastAsia="黑体"/>
                <w:snapToGrid w:val="0"/>
                <w:color w:val="auto"/>
                <w:spacing w:val="-6"/>
                <w:kern w:val="21"/>
                <w:szCs w:val="21"/>
              </w:rPr>
            </w:pPr>
            <w:r>
              <w:rPr>
                <w:rFonts w:hint="default" w:ascii="黑体" w:hAnsi="黑体" w:eastAsia="黑体"/>
                <w:snapToGrid w:val="0"/>
                <w:color w:val="auto"/>
                <w:spacing w:val="-6"/>
                <w:kern w:val="21"/>
                <w:szCs w:val="21"/>
              </w:rPr>
              <w:fldChar w:fldCharType="begin"/>
            </w:r>
            <w:r>
              <w:rPr>
                <w:rFonts w:hint="default" w:ascii="黑体" w:hAnsi="黑体" w:eastAsia="黑体"/>
                <w:snapToGrid w:val="0"/>
                <w:color w:val="auto"/>
                <w:spacing w:val="-6"/>
                <w:kern w:val="21"/>
                <w:szCs w:val="21"/>
              </w:rPr>
              <w:instrText xml:space="preserve"> = 2 \* GB3 \* MERGEFORMAT </w:instrText>
            </w:r>
            <w:r>
              <w:rPr>
                <w:rFonts w:hint="default" w:ascii="黑体" w:hAnsi="黑体" w:eastAsia="黑体"/>
                <w:snapToGrid w:val="0"/>
                <w:color w:val="auto"/>
                <w:spacing w:val="-6"/>
                <w:kern w:val="21"/>
                <w:szCs w:val="21"/>
              </w:rPr>
              <w:fldChar w:fldCharType="separate"/>
            </w:r>
            <w:r>
              <w:rPr>
                <w:rFonts w:hint="eastAsia" w:ascii="黑体" w:hAnsi="黑体" w:eastAsia="黑体" w:cs="宋体"/>
                <w:snapToGrid w:val="0"/>
                <w:color w:val="auto"/>
                <w:spacing w:val="-6"/>
                <w:kern w:val="21"/>
                <w:szCs w:val="21"/>
              </w:rPr>
              <w:t>②</w:t>
            </w:r>
            <w:r>
              <w:rPr>
                <w:rFonts w:hint="default" w:ascii="黑体" w:hAnsi="黑体" w:eastAsia="黑体"/>
                <w:snapToGrid w:val="0"/>
                <w:color w:val="auto"/>
                <w:spacing w:val="-6"/>
                <w:kern w:val="21"/>
                <w:szCs w:val="21"/>
              </w:rPr>
              <w:fldChar w:fldCharType="end"/>
            </w:r>
          </w:p>
        </w:tc>
        <w:tc>
          <w:tcPr>
            <w:tcW w:w="1418" w:type="dxa"/>
            <w:tcMar>
              <w:left w:w="28" w:type="dxa"/>
              <w:right w:w="28" w:type="dxa"/>
            </w:tcMar>
            <w:vAlign w:val="center"/>
          </w:tcPr>
          <w:p>
            <w:pPr>
              <w:pStyle w:val="54"/>
              <w:keepNext w:val="0"/>
              <w:keepLines w:val="0"/>
              <w:suppressLineNumbers w:val="0"/>
              <w:spacing w:before="0" w:beforeLines="0" w:beforeAutospacing="0" w:after="0" w:afterLines="0" w:afterAutospacing="0" w:line="240" w:lineRule="auto"/>
              <w:ind w:left="0" w:right="0"/>
              <w:rPr>
                <w:rFonts w:hint="default" w:ascii="黑体" w:hAnsi="黑体" w:eastAsia="黑体"/>
                <w:snapToGrid w:val="0"/>
                <w:color w:val="auto"/>
                <w:spacing w:val="-6"/>
                <w:kern w:val="21"/>
                <w:szCs w:val="21"/>
              </w:rPr>
            </w:pPr>
            <w:r>
              <w:rPr>
                <w:rFonts w:hint="default" w:ascii="黑体" w:hAnsi="黑体" w:eastAsia="黑体"/>
                <w:snapToGrid w:val="0"/>
                <w:color w:val="auto"/>
                <w:spacing w:val="-6"/>
                <w:kern w:val="21"/>
                <w:szCs w:val="21"/>
              </w:rPr>
              <w:t>在建工程</w:t>
            </w:r>
          </w:p>
          <w:p>
            <w:pPr>
              <w:pStyle w:val="54"/>
              <w:keepNext w:val="0"/>
              <w:keepLines w:val="0"/>
              <w:suppressLineNumbers w:val="0"/>
              <w:spacing w:before="0" w:beforeLines="0" w:beforeAutospacing="0" w:after="0" w:afterLines="0" w:afterAutospacing="0" w:line="240" w:lineRule="auto"/>
              <w:ind w:left="0" w:right="0"/>
              <w:rPr>
                <w:rFonts w:hint="default" w:ascii="黑体" w:hAnsi="黑体" w:eastAsia="黑体"/>
                <w:snapToGrid w:val="0"/>
                <w:color w:val="auto"/>
                <w:spacing w:val="-6"/>
                <w:kern w:val="21"/>
                <w:szCs w:val="21"/>
              </w:rPr>
            </w:pPr>
            <w:r>
              <w:rPr>
                <w:rFonts w:hint="default" w:ascii="黑体" w:hAnsi="黑体" w:eastAsia="黑体"/>
                <w:snapToGrid w:val="0"/>
                <w:color w:val="auto"/>
                <w:spacing w:val="-6"/>
                <w:kern w:val="21"/>
                <w:szCs w:val="21"/>
              </w:rPr>
              <w:t>排放量（固</w:t>
            </w:r>
            <w:r>
              <w:rPr>
                <w:rFonts w:hint="eastAsia" w:ascii="黑体" w:hAnsi="黑体" w:eastAsia="黑体"/>
                <w:snapToGrid w:val="0"/>
                <w:color w:val="auto"/>
                <w:spacing w:val="-6"/>
                <w:kern w:val="21"/>
                <w:szCs w:val="21"/>
              </w:rPr>
              <w:t>体</w:t>
            </w:r>
            <w:r>
              <w:rPr>
                <w:rFonts w:hint="default" w:ascii="黑体" w:hAnsi="黑体" w:eastAsia="黑体"/>
                <w:snapToGrid w:val="0"/>
                <w:color w:val="auto"/>
                <w:spacing w:val="-6"/>
                <w:kern w:val="21"/>
                <w:szCs w:val="21"/>
              </w:rPr>
              <w:t>废</w:t>
            </w:r>
            <w:r>
              <w:rPr>
                <w:rFonts w:hint="eastAsia" w:ascii="黑体" w:hAnsi="黑体" w:eastAsia="黑体"/>
                <w:snapToGrid w:val="0"/>
                <w:color w:val="auto"/>
                <w:spacing w:val="-6"/>
                <w:kern w:val="21"/>
                <w:szCs w:val="21"/>
              </w:rPr>
              <w:t>物</w:t>
            </w:r>
            <w:r>
              <w:rPr>
                <w:rFonts w:hint="default" w:ascii="黑体" w:hAnsi="黑体" w:eastAsia="黑体"/>
                <w:snapToGrid w:val="0"/>
                <w:color w:val="auto"/>
                <w:spacing w:val="-6"/>
                <w:kern w:val="21"/>
                <w:szCs w:val="21"/>
              </w:rPr>
              <w:t>产生量）</w:t>
            </w:r>
            <w:r>
              <w:rPr>
                <w:rFonts w:hint="default" w:ascii="黑体" w:hAnsi="黑体" w:eastAsia="黑体"/>
                <w:snapToGrid w:val="0"/>
                <w:color w:val="auto"/>
                <w:spacing w:val="-6"/>
                <w:kern w:val="21"/>
                <w:szCs w:val="21"/>
              </w:rPr>
              <w:fldChar w:fldCharType="begin"/>
            </w:r>
            <w:r>
              <w:rPr>
                <w:rFonts w:hint="default" w:ascii="黑体" w:hAnsi="黑体" w:eastAsia="黑体"/>
                <w:snapToGrid w:val="0"/>
                <w:color w:val="auto"/>
                <w:spacing w:val="-6"/>
                <w:kern w:val="21"/>
                <w:szCs w:val="21"/>
              </w:rPr>
              <w:instrText xml:space="preserve"> = 3 \* GB3 \* MERGEFORMAT </w:instrText>
            </w:r>
            <w:r>
              <w:rPr>
                <w:rFonts w:hint="default" w:ascii="黑体" w:hAnsi="黑体" w:eastAsia="黑体"/>
                <w:snapToGrid w:val="0"/>
                <w:color w:val="auto"/>
                <w:spacing w:val="-6"/>
                <w:kern w:val="21"/>
                <w:szCs w:val="21"/>
              </w:rPr>
              <w:fldChar w:fldCharType="separate"/>
            </w:r>
            <w:r>
              <w:rPr>
                <w:rFonts w:hint="eastAsia" w:ascii="黑体" w:hAnsi="黑体" w:eastAsia="黑体" w:cs="宋体"/>
                <w:color w:val="auto"/>
                <w:kern w:val="2"/>
                <w:szCs w:val="21"/>
              </w:rPr>
              <w:t>③</w:t>
            </w:r>
            <w:r>
              <w:rPr>
                <w:rFonts w:hint="default" w:ascii="黑体" w:hAnsi="黑体" w:eastAsia="黑体"/>
                <w:snapToGrid w:val="0"/>
                <w:color w:val="auto"/>
                <w:spacing w:val="-6"/>
                <w:kern w:val="21"/>
                <w:szCs w:val="21"/>
              </w:rPr>
              <w:fldChar w:fldCharType="end"/>
            </w:r>
          </w:p>
        </w:tc>
        <w:tc>
          <w:tcPr>
            <w:tcW w:w="1814" w:type="dxa"/>
            <w:tcMar>
              <w:left w:w="28" w:type="dxa"/>
              <w:right w:w="28" w:type="dxa"/>
            </w:tcMar>
            <w:vAlign w:val="center"/>
          </w:tcPr>
          <w:p>
            <w:pPr>
              <w:pStyle w:val="54"/>
              <w:keepNext w:val="0"/>
              <w:keepLines w:val="0"/>
              <w:suppressLineNumbers w:val="0"/>
              <w:spacing w:before="0" w:beforeLines="0" w:beforeAutospacing="0" w:after="0" w:afterLines="0" w:afterAutospacing="0" w:line="240" w:lineRule="auto"/>
              <w:ind w:left="0" w:right="0"/>
              <w:rPr>
                <w:rFonts w:hint="default" w:ascii="黑体" w:hAnsi="黑体" w:eastAsia="黑体"/>
                <w:snapToGrid w:val="0"/>
                <w:color w:val="auto"/>
                <w:spacing w:val="-6"/>
                <w:kern w:val="21"/>
                <w:szCs w:val="21"/>
              </w:rPr>
            </w:pPr>
            <w:r>
              <w:rPr>
                <w:rFonts w:hint="default" w:ascii="黑体" w:hAnsi="黑体" w:eastAsia="黑体"/>
                <w:snapToGrid w:val="0"/>
                <w:color w:val="auto"/>
                <w:spacing w:val="-6"/>
                <w:kern w:val="21"/>
                <w:szCs w:val="21"/>
              </w:rPr>
              <w:t>本项目</w:t>
            </w:r>
          </w:p>
          <w:p>
            <w:pPr>
              <w:pStyle w:val="54"/>
              <w:keepNext w:val="0"/>
              <w:keepLines w:val="0"/>
              <w:suppressLineNumbers w:val="0"/>
              <w:spacing w:before="0" w:beforeLines="0" w:beforeAutospacing="0" w:after="0" w:afterLines="0" w:afterAutospacing="0" w:line="240" w:lineRule="auto"/>
              <w:ind w:left="0" w:right="0"/>
              <w:rPr>
                <w:rFonts w:hint="default" w:ascii="黑体" w:hAnsi="黑体" w:eastAsia="黑体"/>
                <w:snapToGrid w:val="0"/>
                <w:color w:val="auto"/>
                <w:spacing w:val="-6"/>
                <w:kern w:val="21"/>
                <w:szCs w:val="21"/>
              </w:rPr>
            </w:pPr>
            <w:r>
              <w:rPr>
                <w:rFonts w:hint="default" w:ascii="黑体" w:hAnsi="黑体" w:eastAsia="黑体"/>
                <w:snapToGrid w:val="0"/>
                <w:color w:val="auto"/>
                <w:spacing w:val="-6"/>
                <w:kern w:val="21"/>
                <w:szCs w:val="21"/>
              </w:rPr>
              <w:t>排放量（固</w:t>
            </w:r>
            <w:r>
              <w:rPr>
                <w:rFonts w:hint="eastAsia" w:ascii="黑体" w:hAnsi="黑体" w:eastAsia="黑体"/>
                <w:snapToGrid w:val="0"/>
                <w:color w:val="auto"/>
                <w:spacing w:val="-6"/>
                <w:kern w:val="21"/>
                <w:szCs w:val="21"/>
              </w:rPr>
              <w:t>体</w:t>
            </w:r>
            <w:r>
              <w:rPr>
                <w:rFonts w:hint="default" w:ascii="黑体" w:hAnsi="黑体" w:eastAsia="黑体"/>
                <w:snapToGrid w:val="0"/>
                <w:color w:val="auto"/>
                <w:spacing w:val="-6"/>
                <w:kern w:val="21"/>
                <w:szCs w:val="21"/>
              </w:rPr>
              <w:t>废</w:t>
            </w:r>
            <w:r>
              <w:rPr>
                <w:rFonts w:hint="eastAsia" w:ascii="黑体" w:hAnsi="黑体" w:eastAsia="黑体"/>
                <w:snapToGrid w:val="0"/>
                <w:color w:val="auto"/>
                <w:spacing w:val="-6"/>
                <w:kern w:val="21"/>
                <w:szCs w:val="21"/>
              </w:rPr>
              <w:t>物</w:t>
            </w:r>
            <w:r>
              <w:rPr>
                <w:rFonts w:hint="default" w:ascii="黑体" w:hAnsi="黑体" w:eastAsia="黑体"/>
                <w:snapToGrid w:val="0"/>
                <w:color w:val="auto"/>
                <w:spacing w:val="-6"/>
                <w:kern w:val="21"/>
                <w:szCs w:val="21"/>
              </w:rPr>
              <w:t>产生量）</w:t>
            </w:r>
            <w:r>
              <w:rPr>
                <w:rFonts w:hint="default" w:ascii="黑体" w:hAnsi="黑体" w:eastAsia="黑体"/>
                <w:snapToGrid w:val="0"/>
                <w:color w:val="auto"/>
                <w:spacing w:val="-6"/>
                <w:kern w:val="21"/>
                <w:szCs w:val="21"/>
              </w:rPr>
              <w:fldChar w:fldCharType="begin"/>
            </w:r>
            <w:r>
              <w:rPr>
                <w:rFonts w:hint="default" w:ascii="黑体" w:hAnsi="黑体" w:eastAsia="黑体"/>
                <w:snapToGrid w:val="0"/>
                <w:color w:val="auto"/>
                <w:spacing w:val="-6"/>
                <w:kern w:val="21"/>
                <w:szCs w:val="21"/>
              </w:rPr>
              <w:instrText xml:space="preserve"> = 4 \* GB3 \* MERGEFORMAT </w:instrText>
            </w:r>
            <w:r>
              <w:rPr>
                <w:rFonts w:hint="default" w:ascii="黑体" w:hAnsi="黑体" w:eastAsia="黑体"/>
                <w:snapToGrid w:val="0"/>
                <w:color w:val="auto"/>
                <w:spacing w:val="-6"/>
                <w:kern w:val="21"/>
                <w:szCs w:val="21"/>
              </w:rPr>
              <w:fldChar w:fldCharType="separate"/>
            </w:r>
            <w:r>
              <w:rPr>
                <w:rFonts w:hint="eastAsia" w:ascii="黑体" w:hAnsi="黑体" w:eastAsia="黑体" w:cs="宋体"/>
                <w:color w:val="auto"/>
                <w:kern w:val="2"/>
                <w:szCs w:val="21"/>
              </w:rPr>
              <w:t>④</w:t>
            </w:r>
            <w:r>
              <w:rPr>
                <w:rFonts w:hint="default" w:ascii="黑体" w:hAnsi="黑体" w:eastAsia="黑体"/>
                <w:snapToGrid w:val="0"/>
                <w:color w:val="auto"/>
                <w:spacing w:val="-6"/>
                <w:kern w:val="21"/>
                <w:szCs w:val="21"/>
              </w:rPr>
              <w:fldChar w:fldCharType="end"/>
            </w:r>
          </w:p>
        </w:tc>
        <w:tc>
          <w:tcPr>
            <w:tcW w:w="1622" w:type="dxa"/>
            <w:tcMar>
              <w:left w:w="28" w:type="dxa"/>
              <w:right w:w="28" w:type="dxa"/>
            </w:tcMar>
            <w:vAlign w:val="center"/>
          </w:tcPr>
          <w:p>
            <w:pPr>
              <w:pStyle w:val="54"/>
              <w:keepNext w:val="0"/>
              <w:keepLines w:val="0"/>
              <w:suppressLineNumbers w:val="0"/>
              <w:spacing w:before="0" w:beforeLines="0" w:beforeAutospacing="0" w:after="0" w:afterLines="0" w:afterAutospacing="0" w:line="240" w:lineRule="auto"/>
              <w:ind w:left="0" w:right="0"/>
              <w:rPr>
                <w:rFonts w:hint="default" w:ascii="黑体" w:hAnsi="黑体" w:eastAsia="黑体"/>
                <w:snapToGrid w:val="0"/>
                <w:color w:val="auto"/>
                <w:spacing w:val="-16"/>
                <w:kern w:val="21"/>
                <w:szCs w:val="21"/>
              </w:rPr>
            </w:pPr>
            <w:r>
              <w:rPr>
                <w:rFonts w:hint="default" w:ascii="黑体" w:hAnsi="黑体" w:eastAsia="黑体"/>
                <w:snapToGrid w:val="0"/>
                <w:color w:val="auto"/>
                <w:spacing w:val="-16"/>
                <w:kern w:val="21"/>
                <w:szCs w:val="21"/>
              </w:rPr>
              <w:t>以新带老削减量</w:t>
            </w:r>
          </w:p>
          <w:p>
            <w:pPr>
              <w:pStyle w:val="54"/>
              <w:keepNext w:val="0"/>
              <w:keepLines w:val="0"/>
              <w:suppressLineNumbers w:val="0"/>
              <w:spacing w:before="0" w:beforeLines="0" w:beforeAutospacing="0" w:after="0" w:afterLines="0" w:afterAutospacing="0" w:line="240" w:lineRule="auto"/>
              <w:ind w:left="0" w:right="0"/>
              <w:rPr>
                <w:rFonts w:hint="default" w:ascii="黑体" w:hAnsi="黑体" w:eastAsia="黑体"/>
                <w:snapToGrid w:val="0"/>
                <w:color w:val="auto"/>
                <w:spacing w:val="-16"/>
                <w:kern w:val="21"/>
                <w:szCs w:val="21"/>
              </w:rPr>
            </w:pPr>
            <w:r>
              <w:rPr>
                <w:rFonts w:hint="default" w:ascii="黑体" w:hAnsi="黑体" w:eastAsia="黑体"/>
                <w:snapToGrid w:val="0"/>
                <w:color w:val="auto"/>
                <w:spacing w:val="-16"/>
                <w:kern w:val="21"/>
                <w:szCs w:val="21"/>
              </w:rPr>
              <w:t>（新建项目不填）</w:t>
            </w:r>
            <w:r>
              <w:rPr>
                <w:rFonts w:hint="default" w:ascii="黑体" w:hAnsi="黑体" w:eastAsia="黑体"/>
                <w:snapToGrid w:val="0"/>
                <w:color w:val="auto"/>
                <w:spacing w:val="-16"/>
                <w:kern w:val="21"/>
                <w:szCs w:val="21"/>
              </w:rPr>
              <w:fldChar w:fldCharType="begin"/>
            </w:r>
            <w:r>
              <w:rPr>
                <w:rFonts w:hint="default" w:ascii="黑体" w:hAnsi="黑体" w:eastAsia="黑体"/>
                <w:snapToGrid w:val="0"/>
                <w:color w:val="auto"/>
                <w:spacing w:val="-16"/>
                <w:kern w:val="21"/>
                <w:szCs w:val="21"/>
              </w:rPr>
              <w:instrText xml:space="preserve"> = 5 \* GB3 \* MERGEFORMAT </w:instrText>
            </w:r>
            <w:r>
              <w:rPr>
                <w:rFonts w:hint="default" w:ascii="黑体" w:hAnsi="黑体" w:eastAsia="黑体"/>
                <w:snapToGrid w:val="0"/>
                <w:color w:val="auto"/>
                <w:spacing w:val="-16"/>
                <w:kern w:val="21"/>
                <w:szCs w:val="21"/>
              </w:rPr>
              <w:fldChar w:fldCharType="separate"/>
            </w:r>
            <w:r>
              <w:rPr>
                <w:rFonts w:hint="eastAsia" w:ascii="黑体" w:hAnsi="黑体" w:eastAsia="黑体" w:cs="宋体"/>
                <w:color w:val="auto"/>
                <w:kern w:val="2"/>
                <w:szCs w:val="21"/>
              </w:rPr>
              <w:t>⑤</w:t>
            </w:r>
            <w:r>
              <w:rPr>
                <w:rFonts w:hint="default" w:ascii="黑体" w:hAnsi="黑体" w:eastAsia="黑体"/>
                <w:snapToGrid w:val="0"/>
                <w:color w:val="auto"/>
                <w:spacing w:val="-16"/>
                <w:kern w:val="21"/>
                <w:szCs w:val="21"/>
              </w:rPr>
              <w:fldChar w:fldCharType="end"/>
            </w:r>
          </w:p>
        </w:tc>
        <w:tc>
          <w:tcPr>
            <w:tcW w:w="1787" w:type="dxa"/>
            <w:tcMar>
              <w:left w:w="28" w:type="dxa"/>
              <w:right w:w="28" w:type="dxa"/>
            </w:tcMar>
            <w:vAlign w:val="center"/>
          </w:tcPr>
          <w:p>
            <w:pPr>
              <w:pStyle w:val="54"/>
              <w:keepNext w:val="0"/>
              <w:keepLines w:val="0"/>
              <w:suppressLineNumbers w:val="0"/>
              <w:spacing w:before="0" w:beforeLines="0" w:beforeAutospacing="0" w:after="0" w:afterLines="0" w:afterAutospacing="0" w:line="240" w:lineRule="auto"/>
              <w:ind w:left="0" w:right="0"/>
              <w:rPr>
                <w:rFonts w:hint="default" w:ascii="黑体" w:hAnsi="黑体" w:eastAsia="黑体"/>
                <w:snapToGrid w:val="0"/>
                <w:color w:val="auto"/>
                <w:spacing w:val="-16"/>
                <w:kern w:val="21"/>
                <w:szCs w:val="21"/>
              </w:rPr>
            </w:pPr>
            <w:r>
              <w:rPr>
                <w:rFonts w:hint="default" w:ascii="黑体" w:hAnsi="黑体" w:eastAsia="黑体"/>
                <w:snapToGrid w:val="0"/>
                <w:color w:val="auto"/>
                <w:spacing w:val="-16"/>
                <w:kern w:val="21"/>
                <w:szCs w:val="21"/>
              </w:rPr>
              <w:t>本项目建成后</w:t>
            </w:r>
          </w:p>
          <w:p>
            <w:pPr>
              <w:pStyle w:val="54"/>
              <w:keepNext w:val="0"/>
              <w:keepLines w:val="0"/>
              <w:suppressLineNumbers w:val="0"/>
              <w:spacing w:before="0" w:beforeLines="0" w:beforeAutospacing="0" w:after="0" w:afterLines="0" w:afterAutospacing="0" w:line="240" w:lineRule="auto"/>
              <w:ind w:left="0" w:right="0"/>
              <w:rPr>
                <w:rFonts w:hint="default" w:ascii="黑体" w:hAnsi="黑体" w:eastAsia="黑体"/>
                <w:snapToGrid w:val="0"/>
                <w:color w:val="auto"/>
                <w:spacing w:val="-16"/>
                <w:kern w:val="21"/>
                <w:szCs w:val="21"/>
              </w:rPr>
            </w:pPr>
            <w:r>
              <w:rPr>
                <w:rFonts w:hint="eastAsia" w:ascii="黑体" w:hAnsi="黑体" w:eastAsia="黑体"/>
                <w:snapToGrid w:val="0"/>
                <w:color w:val="auto"/>
                <w:spacing w:val="-16"/>
                <w:kern w:val="21"/>
                <w:szCs w:val="21"/>
              </w:rPr>
              <w:t>全厂</w:t>
            </w:r>
            <w:r>
              <w:rPr>
                <w:rFonts w:hint="default" w:ascii="黑体" w:hAnsi="黑体" w:eastAsia="黑体"/>
                <w:snapToGrid w:val="0"/>
                <w:color w:val="auto"/>
                <w:spacing w:val="-16"/>
                <w:kern w:val="21"/>
                <w:szCs w:val="21"/>
              </w:rPr>
              <w:t>排放量（固</w:t>
            </w:r>
            <w:r>
              <w:rPr>
                <w:rFonts w:hint="eastAsia" w:ascii="黑体" w:hAnsi="黑体" w:eastAsia="黑体"/>
                <w:snapToGrid w:val="0"/>
                <w:color w:val="auto"/>
                <w:spacing w:val="-16"/>
                <w:kern w:val="21"/>
                <w:szCs w:val="21"/>
              </w:rPr>
              <w:t>体</w:t>
            </w:r>
            <w:r>
              <w:rPr>
                <w:rFonts w:hint="default" w:ascii="黑体" w:hAnsi="黑体" w:eastAsia="黑体"/>
                <w:snapToGrid w:val="0"/>
                <w:color w:val="auto"/>
                <w:spacing w:val="-16"/>
                <w:kern w:val="21"/>
                <w:szCs w:val="21"/>
              </w:rPr>
              <w:t>废</w:t>
            </w:r>
            <w:r>
              <w:rPr>
                <w:rFonts w:hint="eastAsia" w:ascii="黑体" w:hAnsi="黑体" w:eastAsia="黑体"/>
                <w:snapToGrid w:val="0"/>
                <w:color w:val="auto"/>
                <w:spacing w:val="-16"/>
                <w:kern w:val="21"/>
                <w:szCs w:val="21"/>
              </w:rPr>
              <w:t>物</w:t>
            </w:r>
            <w:r>
              <w:rPr>
                <w:rFonts w:hint="default" w:ascii="黑体" w:hAnsi="黑体" w:eastAsia="黑体"/>
                <w:snapToGrid w:val="0"/>
                <w:color w:val="auto"/>
                <w:spacing w:val="-16"/>
                <w:kern w:val="21"/>
                <w:szCs w:val="21"/>
              </w:rPr>
              <w:t>产生量）</w:t>
            </w:r>
            <w:r>
              <w:rPr>
                <w:rFonts w:hint="default" w:ascii="黑体" w:hAnsi="黑体" w:eastAsia="黑体"/>
                <w:snapToGrid w:val="0"/>
                <w:color w:val="auto"/>
                <w:spacing w:val="-16"/>
                <w:kern w:val="21"/>
                <w:szCs w:val="21"/>
              </w:rPr>
              <w:fldChar w:fldCharType="begin"/>
            </w:r>
            <w:r>
              <w:rPr>
                <w:rFonts w:hint="default" w:ascii="黑体" w:hAnsi="黑体" w:eastAsia="黑体"/>
                <w:snapToGrid w:val="0"/>
                <w:color w:val="auto"/>
                <w:spacing w:val="-16"/>
                <w:kern w:val="21"/>
                <w:szCs w:val="21"/>
              </w:rPr>
              <w:instrText xml:space="preserve"> = 6 \* GB3 \* MERGEFORMAT </w:instrText>
            </w:r>
            <w:r>
              <w:rPr>
                <w:rFonts w:hint="default" w:ascii="黑体" w:hAnsi="黑体" w:eastAsia="黑体"/>
                <w:snapToGrid w:val="0"/>
                <w:color w:val="auto"/>
                <w:spacing w:val="-16"/>
                <w:kern w:val="21"/>
                <w:szCs w:val="21"/>
              </w:rPr>
              <w:fldChar w:fldCharType="separate"/>
            </w:r>
            <w:r>
              <w:rPr>
                <w:rFonts w:hint="eastAsia" w:ascii="黑体" w:hAnsi="黑体" w:eastAsia="黑体" w:cs="宋体"/>
                <w:color w:val="auto"/>
                <w:kern w:val="2"/>
                <w:szCs w:val="21"/>
              </w:rPr>
              <w:t>⑥</w:t>
            </w:r>
            <w:r>
              <w:rPr>
                <w:rFonts w:hint="default" w:ascii="黑体" w:hAnsi="黑体" w:eastAsia="黑体"/>
                <w:snapToGrid w:val="0"/>
                <w:color w:val="auto"/>
                <w:spacing w:val="-16"/>
                <w:kern w:val="21"/>
                <w:szCs w:val="21"/>
              </w:rPr>
              <w:fldChar w:fldCharType="end"/>
            </w:r>
          </w:p>
        </w:tc>
        <w:tc>
          <w:tcPr>
            <w:tcW w:w="1793" w:type="dxa"/>
            <w:tcMar>
              <w:left w:w="28" w:type="dxa"/>
              <w:right w:w="28" w:type="dxa"/>
            </w:tcMar>
            <w:vAlign w:val="center"/>
          </w:tcPr>
          <w:p>
            <w:pPr>
              <w:pStyle w:val="54"/>
              <w:keepNext w:val="0"/>
              <w:keepLines w:val="0"/>
              <w:suppressLineNumbers w:val="0"/>
              <w:spacing w:before="0" w:beforeLines="0" w:beforeAutospacing="0" w:after="0" w:afterLines="0" w:afterAutospacing="0" w:line="240" w:lineRule="auto"/>
              <w:ind w:left="0" w:right="0"/>
              <w:rPr>
                <w:rFonts w:hint="default" w:ascii="黑体" w:hAnsi="黑体" w:eastAsia="黑体"/>
                <w:snapToGrid w:val="0"/>
                <w:color w:val="auto"/>
                <w:spacing w:val="-6"/>
                <w:kern w:val="21"/>
                <w:szCs w:val="21"/>
              </w:rPr>
            </w:pPr>
            <w:r>
              <w:rPr>
                <w:rFonts w:hint="default" w:ascii="黑体" w:hAnsi="黑体" w:eastAsia="黑体"/>
                <w:snapToGrid w:val="0"/>
                <w:color w:val="auto"/>
                <w:spacing w:val="-6"/>
                <w:kern w:val="21"/>
                <w:szCs w:val="21"/>
              </w:rPr>
              <w:t>变化量</w:t>
            </w:r>
          </w:p>
          <w:p>
            <w:pPr>
              <w:pStyle w:val="54"/>
              <w:keepNext w:val="0"/>
              <w:keepLines w:val="0"/>
              <w:suppressLineNumbers w:val="0"/>
              <w:spacing w:before="0" w:beforeLines="0" w:beforeAutospacing="0" w:after="0" w:afterLines="0" w:afterAutospacing="0" w:line="240" w:lineRule="auto"/>
              <w:ind w:left="0" w:right="0"/>
              <w:rPr>
                <w:rFonts w:hint="default" w:ascii="黑体" w:hAnsi="黑体" w:eastAsia="黑体"/>
                <w:snapToGrid w:val="0"/>
                <w:color w:val="auto"/>
                <w:spacing w:val="-6"/>
                <w:kern w:val="21"/>
                <w:szCs w:val="21"/>
              </w:rPr>
            </w:pPr>
            <w:r>
              <w:rPr>
                <w:rFonts w:hint="default" w:ascii="黑体" w:hAnsi="黑体" w:eastAsia="黑体"/>
                <w:snapToGrid w:val="0"/>
                <w:color w:val="auto"/>
                <w:spacing w:val="-6"/>
                <w:kern w:val="21"/>
                <w:szCs w:val="21"/>
              </w:rPr>
              <w:fldChar w:fldCharType="begin"/>
            </w:r>
            <w:r>
              <w:rPr>
                <w:rFonts w:hint="default" w:ascii="黑体" w:hAnsi="黑体" w:eastAsia="黑体"/>
                <w:snapToGrid w:val="0"/>
                <w:color w:val="auto"/>
                <w:spacing w:val="-6"/>
                <w:kern w:val="21"/>
                <w:szCs w:val="21"/>
              </w:rPr>
              <w:instrText xml:space="preserve"> = 7 \* GB3 \* MERGEFORMAT </w:instrText>
            </w:r>
            <w:r>
              <w:rPr>
                <w:rFonts w:hint="default" w:ascii="黑体" w:hAnsi="黑体" w:eastAsia="黑体"/>
                <w:snapToGrid w:val="0"/>
                <w:color w:val="auto"/>
                <w:spacing w:val="-6"/>
                <w:kern w:val="21"/>
                <w:szCs w:val="21"/>
              </w:rPr>
              <w:fldChar w:fldCharType="separate"/>
            </w:r>
            <w:r>
              <w:rPr>
                <w:rFonts w:hint="eastAsia" w:ascii="黑体" w:hAnsi="黑体" w:eastAsia="黑体" w:cs="宋体"/>
                <w:color w:val="auto"/>
                <w:kern w:val="2"/>
                <w:szCs w:val="21"/>
              </w:rPr>
              <w:t>⑦</w:t>
            </w:r>
            <w:r>
              <w:rPr>
                <w:rFonts w:hint="default" w:ascii="黑体" w:hAnsi="黑体" w:eastAsia="黑体"/>
                <w:snapToGrid w:val="0"/>
                <w:color w:val="auto"/>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8" w:type="dxa"/>
            <w:vMerge w:val="restart"/>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废气</w:t>
            </w:r>
          </w:p>
        </w:tc>
        <w:tc>
          <w:tcPr>
            <w:tcW w:w="1281"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w:t>
            </w:r>
          </w:p>
        </w:tc>
        <w:tc>
          <w:tcPr>
            <w:tcW w:w="1500"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w:t>
            </w:r>
          </w:p>
        </w:tc>
        <w:tc>
          <w:tcPr>
            <w:tcW w:w="1145"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w:t>
            </w:r>
          </w:p>
        </w:tc>
        <w:tc>
          <w:tcPr>
            <w:tcW w:w="1418"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w:t>
            </w:r>
          </w:p>
        </w:tc>
        <w:tc>
          <w:tcPr>
            <w:tcW w:w="1814"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w:t>
            </w:r>
          </w:p>
        </w:tc>
        <w:tc>
          <w:tcPr>
            <w:tcW w:w="1622"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w:t>
            </w:r>
          </w:p>
        </w:tc>
        <w:tc>
          <w:tcPr>
            <w:tcW w:w="1787"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w:t>
            </w:r>
          </w:p>
        </w:tc>
        <w:tc>
          <w:tcPr>
            <w:tcW w:w="1793"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8" w:type="dxa"/>
            <w:vMerge w:val="continue"/>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p>
        </w:tc>
        <w:tc>
          <w:tcPr>
            <w:tcW w:w="1281"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w:t>
            </w:r>
          </w:p>
        </w:tc>
        <w:tc>
          <w:tcPr>
            <w:tcW w:w="1500"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w:t>
            </w:r>
          </w:p>
        </w:tc>
        <w:tc>
          <w:tcPr>
            <w:tcW w:w="1145"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w:t>
            </w:r>
          </w:p>
        </w:tc>
        <w:tc>
          <w:tcPr>
            <w:tcW w:w="1418"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w:t>
            </w:r>
          </w:p>
        </w:tc>
        <w:tc>
          <w:tcPr>
            <w:tcW w:w="1814"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w:t>
            </w:r>
          </w:p>
        </w:tc>
        <w:tc>
          <w:tcPr>
            <w:tcW w:w="1622"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w:t>
            </w:r>
          </w:p>
        </w:tc>
        <w:tc>
          <w:tcPr>
            <w:tcW w:w="1787"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w:t>
            </w:r>
          </w:p>
        </w:tc>
        <w:tc>
          <w:tcPr>
            <w:tcW w:w="1793"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8" w:type="dxa"/>
            <w:vMerge w:val="restart"/>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废水</w:t>
            </w:r>
          </w:p>
        </w:tc>
        <w:tc>
          <w:tcPr>
            <w:tcW w:w="1281"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废水量</w:t>
            </w:r>
          </w:p>
        </w:tc>
        <w:tc>
          <w:tcPr>
            <w:tcW w:w="1500"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color w:val="auto"/>
                <w:szCs w:val="21"/>
              </w:rPr>
              <w:t>0</w:t>
            </w:r>
          </w:p>
        </w:tc>
        <w:tc>
          <w:tcPr>
            <w:tcW w:w="1145"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0</w:t>
            </w:r>
          </w:p>
        </w:tc>
        <w:tc>
          <w:tcPr>
            <w:tcW w:w="1418"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0</w:t>
            </w:r>
          </w:p>
        </w:tc>
        <w:tc>
          <w:tcPr>
            <w:tcW w:w="1814"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default" w:hAnsi="宋体" w:cs="宋体"/>
                <w:color w:val="auto"/>
                <w:szCs w:val="21"/>
                <w:lang w:val="en-US" w:eastAsia="zh-CN"/>
              </w:rPr>
              <w:t>39942.315</w:t>
            </w:r>
            <w:r>
              <w:rPr>
                <w:rFonts w:hint="eastAsia" w:hAnsi="宋体" w:cs="宋体"/>
                <w:color w:val="auto"/>
                <w:szCs w:val="21"/>
              </w:rPr>
              <w:t>m³/a</w:t>
            </w:r>
          </w:p>
        </w:tc>
        <w:tc>
          <w:tcPr>
            <w:tcW w:w="1622"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0</w:t>
            </w:r>
          </w:p>
        </w:tc>
        <w:tc>
          <w:tcPr>
            <w:tcW w:w="1787"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default" w:hAnsi="宋体" w:cs="宋体"/>
                <w:color w:val="auto"/>
                <w:szCs w:val="21"/>
                <w:lang w:val="en-US" w:eastAsia="zh-CN"/>
              </w:rPr>
              <w:t>39942.315</w:t>
            </w:r>
            <w:r>
              <w:rPr>
                <w:rFonts w:hint="eastAsia" w:hAnsi="宋体" w:cs="宋体"/>
                <w:color w:val="auto"/>
                <w:szCs w:val="21"/>
              </w:rPr>
              <w:t>m³/a</w:t>
            </w:r>
          </w:p>
        </w:tc>
        <w:tc>
          <w:tcPr>
            <w:tcW w:w="1793"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w:t>
            </w:r>
            <w:r>
              <w:rPr>
                <w:rFonts w:hint="default" w:hAnsi="宋体" w:cs="宋体"/>
                <w:color w:val="auto"/>
                <w:szCs w:val="21"/>
                <w:lang w:val="en-US" w:eastAsia="zh-CN"/>
              </w:rPr>
              <w:t>39942.315</w:t>
            </w:r>
            <w:r>
              <w:rPr>
                <w:rFonts w:hint="eastAsia" w:hAnsi="宋体" w:cs="宋体"/>
                <w:color w:val="auto"/>
                <w:szCs w:val="21"/>
              </w:rPr>
              <w:t>m³/a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8" w:type="dxa"/>
            <w:vMerge w:val="continue"/>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p>
        </w:tc>
        <w:tc>
          <w:tcPr>
            <w:tcW w:w="1281"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CODcr</w:t>
            </w:r>
          </w:p>
        </w:tc>
        <w:tc>
          <w:tcPr>
            <w:tcW w:w="1500"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color w:val="auto"/>
                <w:szCs w:val="21"/>
              </w:rPr>
              <w:t>0</w:t>
            </w:r>
          </w:p>
        </w:tc>
        <w:tc>
          <w:tcPr>
            <w:tcW w:w="1145"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0</w:t>
            </w:r>
          </w:p>
        </w:tc>
        <w:tc>
          <w:tcPr>
            <w:tcW w:w="1418"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0</w:t>
            </w:r>
          </w:p>
        </w:tc>
        <w:tc>
          <w:tcPr>
            <w:tcW w:w="1814"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default" w:hAnsi="宋体" w:cs="宋体"/>
                <w:color w:val="auto"/>
                <w:szCs w:val="21"/>
                <w:lang w:val="en-US"/>
              </w:rPr>
              <w:t>6.431</w:t>
            </w:r>
            <w:r>
              <w:rPr>
                <w:rFonts w:hint="eastAsia" w:hAnsi="宋体" w:cs="宋体"/>
                <w:color w:val="auto"/>
                <w:szCs w:val="21"/>
              </w:rPr>
              <w:t>t/a</w:t>
            </w:r>
          </w:p>
        </w:tc>
        <w:tc>
          <w:tcPr>
            <w:tcW w:w="1622"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0</w:t>
            </w:r>
          </w:p>
        </w:tc>
        <w:tc>
          <w:tcPr>
            <w:tcW w:w="1787" w:type="dxa"/>
            <w:vAlign w:val="center"/>
          </w:tcPr>
          <w:p>
            <w:pPr>
              <w:pStyle w:val="54"/>
              <w:keepNext w:val="0"/>
              <w:keepLines w:val="0"/>
              <w:suppressLineNumbers w:val="0"/>
              <w:spacing w:before="0" w:beforeLines="0" w:beforeAutospacing="0" w:after="0" w:afterLines="0" w:afterAutospacing="0" w:line="240" w:lineRule="auto"/>
              <w:ind w:left="0" w:leftChars="0" w:right="0" w:rightChars="0"/>
              <w:rPr>
                <w:rFonts w:hint="default" w:hAnsi="宋体" w:cs="宋体"/>
                <w:snapToGrid w:val="0"/>
                <w:color w:val="auto"/>
                <w:kern w:val="21"/>
                <w:szCs w:val="21"/>
              </w:rPr>
            </w:pPr>
            <w:r>
              <w:rPr>
                <w:rFonts w:hint="default" w:hAnsi="宋体" w:cs="宋体"/>
                <w:color w:val="auto"/>
                <w:szCs w:val="21"/>
                <w:lang w:val="en-US"/>
              </w:rPr>
              <w:t>6.431</w:t>
            </w:r>
            <w:r>
              <w:rPr>
                <w:rFonts w:hint="eastAsia" w:hAnsi="宋体" w:cs="宋体"/>
                <w:color w:val="auto"/>
                <w:szCs w:val="21"/>
              </w:rPr>
              <w:t>t/a</w:t>
            </w:r>
          </w:p>
        </w:tc>
        <w:tc>
          <w:tcPr>
            <w:tcW w:w="1793" w:type="dxa"/>
            <w:vAlign w:val="center"/>
          </w:tcPr>
          <w:p>
            <w:pPr>
              <w:pStyle w:val="54"/>
              <w:keepNext w:val="0"/>
              <w:keepLines w:val="0"/>
              <w:suppressLineNumbers w:val="0"/>
              <w:spacing w:before="0" w:beforeLines="0" w:beforeAutospacing="0" w:after="0" w:afterLines="0" w:afterAutospacing="0" w:line="240" w:lineRule="auto"/>
              <w:ind w:left="0" w:leftChars="0" w:right="0" w:rightChars="0"/>
              <w:rPr>
                <w:rFonts w:hint="default" w:hAnsi="宋体" w:cs="宋体"/>
                <w:snapToGrid w:val="0"/>
                <w:color w:val="auto"/>
                <w:kern w:val="21"/>
                <w:szCs w:val="21"/>
              </w:rPr>
            </w:pPr>
            <w:r>
              <w:rPr>
                <w:rFonts w:hint="default" w:hAnsi="宋体" w:cs="宋体"/>
                <w:color w:val="auto"/>
                <w:szCs w:val="21"/>
                <w:lang w:val="en-US"/>
              </w:rPr>
              <w:t>+6.431</w:t>
            </w:r>
            <w:r>
              <w:rPr>
                <w:rFonts w:hint="eastAsia" w:hAnsi="宋体" w:cs="宋体"/>
                <w:color w:val="auto"/>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8" w:type="dxa"/>
            <w:vMerge w:val="continue"/>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p>
        </w:tc>
        <w:tc>
          <w:tcPr>
            <w:tcW w:w="1281"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氨氮</w:t>
            </w:r>
          </w:p>
        </w:tc>
        <w:tc>
          <w:tcPr>
            <w:tcW w:w="1500"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color w:val="auto"/>
                <w:szCs w:val="21"/>
              </w:rPr>
              <w:t>0</w:t>
            </w:r>
          </w:p>
        </w:tc>
        <w:tc>
          <w:tcPr>
            <w:tcW w:w="1145"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0</w:t>
            </w:r>
          </w:p>
        </w:tc>
        <w:tc>
          <w:tcPr>
            <w:tcW w:w="1418"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0</w:t>
            </w:r>
          </w:p>
        </w:tc>
        <w:tc>
          <w:tcPr>
            <w:tcW w:w="1814"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lang w:val="en-US"/>
              </w:rPr>
            </w:pPr>
            <w:r>
              <w:rPr>
                <w:rFonts w:hint="default" w:hAnsi="宋体" w:cs="宋体"/>
                <w:color w:val="auto"/>
                <w:szCs w:val="21"/>
                <w:lang w:val="en-US"/>
              </w:rPr>
              <w:t>1.215</w:t>
            </w:r>
            <w:r>
              <w:rPr>
                <w:rFonts w:hint="eastAsia" w:hAnsi="宋体" w:cs="宋体"/>
                <w:color w:val="auto"/>
                <w:szCs w:val="21"/>
              </w:rPr>
              <w:t>t/a</w:t>
            </w:r>
          </w:p>
        </w:tc>
        <w:tc>
          <w:tcPr>
            <w:tcW w:w="1622"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0</w:t>
            </w:r>
          </w:p>
        </w:tc>
        <w:tc>
          <w:tcPr>
            <w:tcW w:w="1787" w:type="dxa"/>
            <w:vAlign w:val="center"/>
          </w:tcPr>
          <w:p>
            <w:pPr>
              <w:pStyle w:val="54"/>
              <w:keepNext w:val="0"/>
              <w:keepLines w:val="0"/>
              <w:suppressLineNumbers w:val="0"/>
              <w:spacing w:before="0" w:beforeLines="0" w:beforeAutospacing="0" w:after="0" w:afterLines="0" w:afterAutospacing="0" w:line="240" w:lineRule="auto"/>
              <w:ind w:left="0" w:leftChars="0" w:right="0" w:rightChars="0"/>
              <w:rPr>
                <w:rFonts w:hint="default" w:hAnsi="宋体" w:cs="宋体"/>
                <w:snapToGrid w:val="0"/>
                <w:color w:val="auto"/>
                <w:kern w:val="21"/>
                <w:szCs w:val="21"/>
              </w:rPr>
            </w:pPr>
            <w:r>
              <w:rPr>
                <w:rFonts w:hint="default" w:hAnsi="宋体" w:cs="宋体"/>
                <w:color w:val="auto"/>
                <w:szCs w:val="21"/>
                <w:lang w:val="en-US"/>
              </w:rPr>
              <w:t>1.215</w:t>
            </w:r>
            <w:r>
              <w:rPr>
                <w:rFonts w:hint="eastAsia" w:hAnsi="宋体" w:cs="宋体"/>
                <w:color w:val="auto"/>
                <w:szCs w:val="21"/>
              </w:rPr>
              <w:t>t/a</w:t>
            </w:r>
          </w:p>
        </w:tc>
        <w:tc>
          <w:tcPr>
            <w:tcW w:w="1793" w:type="dxa"/>
            <w:vAlign w:val="center"/>
          </w:tcPr>
          <w:p>
            <w:pPr>
              <w:pStyle w:val="54"/>
              <w:keepNext w:val="0"/>
              <w:keepLines w:val="0"/>
              <w:suppressLineNumbers w:val="0"/>
              <w:spacing w:before="0" w:beforeLines="0" w:beforeAutospacing="0" w:after="0" w:afterLines="0" w:afterAutospacing="0" w:line="240" w:lineRule="auto"/>
              <w:ind w:left="0" w:leftChars="0" w:right="0" w:rightChars="0"/>
              <w:rPr>
                <w:rFonts w:hint="default" w:hAnsi="宋体" w:cs="宋体"/>
                <w:snapToGrid w:val="0"/>
                <w:color w:val="auto"/>
                <w:kern w:val="21"/>
                <w:szCs w:val="21"/>
              </w:rPr>
            </w:pPr>
            <w:r>
              <w:rPr>
                <w:rFonts w:hint="default" w:hAnsi="宋体" w:cs="宋体"/>
                <w:color w:val="auto"/>
                <w:szCs w:val="21"/>
                <w:lang w:val="en-US"/>
              </w:rPr>
              <w:t>+1.215</w:t>
            </w:r>
            <w:r>
              <w:rPr>
                <w:rFonts w:hint="eastAsia" w:hAnsi="宋体" w:cs="宋体"/>
                <w:color w:val="auto"/>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8" w:type="dxa"/>
            <w:vMerge w:val="restart"/>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一般工业</w:t>
            </w:r>
          </w:p>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固体废物</w:t>
            </w:r>
          </w:p>
        </w:tc>
        <w:tc>
          <w:tcPr>
            <w:tcW w:w="1281" w:type="dxa"/>
            <w:vAlign w:val="center"/>
          </w:tcPr>
          <w:p>
            <w:pPr>
              <w:keepNext w:val="0"/>
              <w:keepLines w:val="0"/>
              <w:suppressLineNumbers w:val="0"/>
              <w:autoSpaceDN w:val="0"/>
              <w:spacing w:before="0" w:beforeAutospacing="0" w:after="0" w:afterAutospacing="0" w:line="280" w:lineRule="exact"/>
              <w:ind w:left="0" w:right="0"/>
              <w:jc w:val="center"/>
              <w:textAlignment w:val="center"/>
              <w:rPr>
                <w:rFonts w:hint="default" w:ascii="宋体" w:hAnsi="宋体" w:cs="宋体"/>
                <w:color w:val="auto"/>
                <w:szCs w:val="21"/>
              </w:rPr>
            </w:pPr>
            <w:r>
              <w:rPr>
                <w:rFonts w:hint="eastAsia" w:ascii="宋体" w:hAnsi="宋体" w:cs="宋体"/>
                <w:color w:val="auto"/>
                <w:szCs w:val="21"/>
              </w:rPr>
              <w:t>生活垃圾</w:t>
            </w:r>
          </w:p>
        </w:tc>
        <w:tc>
          <w:tcPr>
            <w:tcW w:w="1500"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color w:val="auto"/>
                <w:szCs w:val="21"/>
              </w:rPr>
              <w:t>0</w:t>
            </w:r>
          </w:p>
        </w:tc>
        <w:tc>
          <w:tcPr>
            <w:tcW w:w="1145"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0</w:t>
            </w:r>
          </w:p>
        </w:tc>
        <w:tc>
          <w:tcPr>
            <w:tcW w:w="1418"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0</w:t>
            </w:r>
          </w:p>
        </w:tc>
        <w:tc>
          <w:tcPr>
            <w:tcW w:w="1814" w:type="dxa"/>
            <w:vAlign w:val="center"/>
          </w:tcPr>
          <w:p>
            <w:pPr>
              <w:pStyle w:val="54"/>
              <w:keepNext w:val="0"/>
              <w:keepLines w:val="0"/>
              <w:suppressLineNumbers w:val="0"/>
              <w:spacing w:before="0" w:beforeLines="0" w:beforeAutospacing="0" w:after="0" w:afterLines="0" w:afterAutospacing="0" w:line="240" w:lineRule="auto"/>
              <w:ind w:left="0" w:right="0"/>
              <w:jc w:val="both"/>
              <w:rPr>
                <w:rFonts w:hint="default" w:hAnsi="宋体" w:cs="宋体"/>
                <w:color w:val="auto"/>
                <w:szCs w:val="21"/>
              </w:rPr>
            </w:pPr>
          </w:p>
          <w:p>
            <w:pPr>
              <w:pStyle w:val="54"/>
              <w:keepNext w:val="0"/>
              <w:keepLines w:val="0"/>
              <w:suppressLineNumbers w:val="0"/>
              <w:spacing w:before="0" w:beforeLines="0" w:beforeAutospacing="0" w:after="0" w:afterLines="0" w:afterAutospacing="0" w:line="240" w:lineRule="auto"/>
              <w:ind w:left="0" w:right="0"/>
              <w:rPr>
                <w:rFonts w:hint="default" w:hAnsi="宋体" w:cs="宋体"/>
                <w:color w:val="auto"/>
                <w:szCs w:val="21"/>
              </w:rPr>
            </w:pPr>
            <w:r>
              <w:rPr>
                <w:rFonts w:hint="default" w:hAnsi="宋体" w:cs="宋体"/>
                <w:color w:val="auto"/>
                <w:szCs w:val="21"/>
                <w:lang w:val="en-US"/>
              </w:rPr>
              <w:t>117.165</w:t>
            </w:r>
            <w:r>
              <w:rPr>
                <w:rFonts w:hint="eastAsia" w:hAnsi="宋体" w:cs="宋体"/>
                <w:color w:val="auto"/>
                <w:szCs w:val="21"/>
              </w:rPr>
              <w:t>t/a</w:t>
            </w:r>
          </w:p>
          <w:p>
            <w:pPr>
              <w:pStyle w:val="54"/>
              <w:keepNext w:val="0"/>
              <w:keepLines w:val="0"/>
              <w:suppressLineNumbers w:val="0"/>
              <w:spacing w:before="0" w:beforeLines="0" w:beforeAutospacing="0" w:after="0" w:afterLines="0" w:afterAutospacing="0" w:line="240" w:lineRule="auto"/>
              <w:ind w:left="0" w:right="0"/>
              <w:jc w:val="both"/>
              <w:rPr>
                <w:rFonts w:hint="default" w:hAnsi="宋体" w:cs="宋体"/>
                <w:snapToGrid w:val="0"/>
                <w:color w:val="auto"/>
                <w:kern w:val="21"/>
                <w:szCs w:val="21"/>
              </w:rPr>
            </w:pPr>
          </w:p>
        </w:tc>
        <w:tc>
          <w:tcPr>
            <w:tcW w:w="1622"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0</w:t>
            </w:r>
          </w:p>
        </w:tc>
        <w:tc>
          <w:tcPr>
            <w:tcW w:w="1787"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default" w:hAnsi="宋体" w:cs="宋体"/>
                <w:color w:val="auto"/>
                <w:szCs w:val="21"/>
                <w:lang w:val="en-US"/>
              </w:rPr>
              <w:t>117.165</w:t>
            </w:r>
            <w:r>
              <w:rPr>
                <w:rFonts w:hint="eastAsia" w:hAnsi="宋体" w:cs="宋体"/>
                <w:color w:val="auto"/>
                <w:szCs w:val="21"/>
              </w:rPr>
              <w:t>t/a</w:t>
            </w:r>
          </w:p>
        </w:tc>
        <w:tc>
          <w:tcPr>
            <w:tcW w:w="1793"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color w:val="auto"/>
                <w:szCs w:val="21"/>
              </w:rPr>
              <w:t>+</w:t>
            </w:r>
            <w:r>
              <w:rPr>
                <w:rFonts w:hint="default" w:hAnsi="宋体" w:cs="宋体"/>
                <w:color w:val="auto"/>
                <w:szCs w:val="21"/>
                <w:lang w:val="en-US"/>
              </w:rPr>
              <w:t>117.165</w:t>
            </w:r>
            <w:r>
              <w:rPr>
                <w:rFonts w:hint="default" w:hAnsi="宋体" w:cs="宋体"/>
                <w:color w:val="auto"/>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8" w:type="dxa"/>
            <w:vMerge w:val="continue"/>
            <w:vAlign w:val="center"/>
          </w:tcPr>
          <w:p>
            <w:pPr>
              <w:pStyle w:val="54"/>
              <w:keepNext w:val="0"/>
              <w:keepLines w:val="0"/>
              <w:suppressLineNumbers w:val="0"/>
              <w:spacing w:before="0" w:beforeLines="0" w:beforeAutospacing="0" w:after="0" w:afterLines="0" w:afterAutospacing="0" w:line="240" w:lineRule="auto"/>
              <w:ind w:left="0" w:right="0"/>
              <w:rPr>
                <w:rFonts w:hint="eastAsia" w:hAnsi="宋体" w:cs="宋体"/>
                <w:snapToGrid w:val="0"/>
                <w:color w:val="auto"/>
                <w:kern w:val="21"/>
                <w:szCs w:val="21"/>
              </w:rPr>
            </w:pPr>
          </w:p>
        </w:tc>
        <w:tc>
          <w:tcPr>
            <w:tcW w:w="1281" w:type="dxa"/>
            <w:vAlign w:val="center"/>
          </w:tcPr>
          <w:p>
            <w:pPr>
              <w:keepNext w:val="0"/>
              <w:keepLines w:val="0"/>
              <w:suppressLineNumbers w:val="0"/>
              <w:autoSpaceDN w:val="0"/>
              <w:spacing w:before="0" w:beforeAutospacing="0" w:after="0" w:afterAutospacing="0" w:line="280" w:lineRule="exact"/>
              <w:ind w:left="0" w:right="0"/>
              <w:jc w:val="center"/>
              <w:textAlignment w:val="center"/>
              <w:rPr>
                <w:rFonts w:hint="eastAsia" w:ascii="宋体" w:hAnsi="宋体" w:eastAsia="宋体" w:cs="宋体"/>
                <w:color w:val="auto"/>
                <w:szCs w:val="21"/>
                <w:lang w:eastAsia="zh-CN"/>
              </w:rPr>
            </w:pPr>
            <w:r>
              <w:rPr>
                <w:rFonts w:hint="eastAsia" w:ascii="宋体" w:hAnsi="宋体" w:cs="宋体"/>
                <w:color w:val="auto"/>
                <w:szCs w:val="21"/>
                <w:lang w:eastAsia="zh-CN"/>
              </w:rPr>
              <w:t>餐厨垃圾</w:t>
            </w:r>
          </w:p>
        </w:tc>
        <w:tc>
          <w:tcPr>
            <w:tcW w:w="1500"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color w:val="auto"/>
                <w:szCs w:val="21"/>
                <w:lang w:val="en-US"/>
              </w:rPr>
            </w:pPr>
            <w:r>
              <w:rPr>
                <w:rFonts w:hint="default" w:hAnsi="宋体" w:cs="宋体"/>
                <w:color w:val="auto"/>
                <w:szCs w:val="21"/>
                <w:lang w:val="en-US"/>
              </w:rPr>
              <w:t>0</w:t>
            </w:r>
          </w:p>
        </w:tc>
        <w:tc>
          <w:tcPr>
            <w:tcW w:w="1145"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lang w:val="en-US"/>
              </w:rPr>
            </w:pPr>
            <w:r>
              <w:rPr>
                <w:rFonts w:hint="default" w:hAnsi="宋体" w:cs="宋体"/>
                <w:snapToGrid w:val="0"/>
                <w:color w:val="auto"/>
                <w:kern w:val="21"/>
                <w:szCs w:val="21"/>
                <w:lang w:val="en-US"/>
              </w:rPr>
              <w:t>0</w:t>
            </w:r>
          </w:p>
        </w:tc>
        <w:tc>
          <w:tcPr>
            <w:tcW w:w="1418"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lang w:val="en-US"/>
              </w:rPr>
            </w:pPr>
            <w:r>
              <w:rPr>
                <w:rFonts w:hint="default" w:hAnsi="宋体" w:cs="宋体"/>
                <w:snapToGrid w:val="0"/>
                <w:color w:val="auto"/>
                <w:kern w:val="21"/>
                <w:szCs w:val="21"/>
                <w:lang w:val="en-US"/>
              </w:rPr>
              <w:t>0</w:t>
            </w:r>
          </w:p>
        </w:tc>
        <w:tc>
          <w:tcPr>
            <w:tcW w:w="1814" w:type="dxa"/>
            <w:vAlign w:val="center"/>
          </w:tcPr>
          <w:p>
            <w:pPr>
              <w:pStyle w:val="54"/>
              <w:keepNext w:val="0"/>
              <w:keepLines w:val="0"/>
              <w:suppressLineNumbers w:val="0"/>
              <w:spacing w:before="0" w:beforeLines="0" w:beforeAutospacing="0" w:after="0" w:afterLines="0" w:afterAutospacing="0" w:line="240" w:lineRule="auto"/>
              <w:ind w:left="0" w:right="0"/>
              <w:jc w:val="center"/>
              <w:rPr>
                <w:rFonts w:hint="default" w:hAnsi="宋体" w:cs="宋体"/>
                <w:snapToGrid w:val="0"/>
                <w:color w:val="auto"/>
                <w:kern w:val="21"/>
                <w:szCs w:val="21"/>
                <w:lang w:val="en-US"/>
              </w:rPr>
            </w:pPr>
            <w:r>
              <w:rPr>
                <w:rFonts w:hint="default" w:hAnsi="宋体" w:cs="宋体"/>
                <w:snapToGrid w:val="0"/>
                <w:color w:val="auto"/>
                <w:kern w:val="21"/>
                <w:szCs w:val="21"/>
                <w:lang w:val="en-US"/>
              </w:rPr>
              <w:t>65.7</w:t>
            </w:r>
            <w:r>
              <w:rPr>
                <w:rFonts w:hint="eastAsia" w:hAnsi="宋体" w:cs="宋体"/>
                <w:color w:val="auto"/>
                <w:szCs w:val="21"/>
              </w:rPr>
              <w:t>t/a</w:t>
            </w:r>
          </w:p>
        </w:tc>
        <w:tc>
          <w:tcPr>
            <w:tcW w:w="1622" w:type="dxa"/>
            <w:vAlign w:val="center"/>
          </w:tcPr>
          <w:p>
            <w:pPr>
              <w:pStyle w:val="54"/>
              <w:keepNext w:val="0"/>
              <w:keepLines w:val="0"/>
              <w:suppressLineNumbers w:val="0"/>
              <w:spacing w:before="0" w:beforeLines="0" w:beforeAutospacing="0" w:after="0" w:afterLines="0" w:afterAutospacing="0" w:line="240" w:lineRule="auto"/>
              <w:ind w:left="0" w:right="0"/>
              <w:jc w:val="center"/>
              <w:rPr>
                <w:rFonts w:hint="default" w:hAnsi="宋体" w:cs="宋体"/>
                <w:snapToGrid w:val="0"/>
                <w:color w:val="auto"/>
                <w:kern w:val="21"/>
                <w:szCs w:val="21"/>
                <w:lang w:val="en-US"/>
              </w:rPr>
            </w:pPr>
            <w:r>
              <w:rPr>
                <w:rFonts w:hint="default" w:hAnsi="宋体" w:cs="宋体"/>
                <w:snapToGrid w:val="0"/>
                <w:color w:val="auto"/>
                <w:kern w:val="21"/>
                <w:szCs w:val="21"/>
                <w:lang w:val="en-US"/>
              </w:rPr>
              <w:t>0</w:t>
            </w:r>
          </w:p>
        </w:tc>
        <w:tc>
          <w:tcPr>
            <w:tcW w:w="1787" w:type="dxa"/>
            <w:vAlign w:val="center"/>
          </w:tcPr>
          <w:p>
            <w:pPr>
              <w:pStyle w:val="54"/>
              <w:keepNext w:val="0"/>
              <w:keepLines w:val="0"/>
              <w:suppressLineNumbers w:val="0"/>
              <w:spacing w:before="0" w:beforeLines="0" w:beforeAutospacing="0" w:after="0" w:afterLines="0" w:afterAutospacing="0" w:line="240" w:lineRule="auto"/>
              <w:ind w:left="0" w:leftChars="0" w:right="0" w:rightChars="0"/>
              <w:jc w:val="center"/>
              <w:rPr>
                <w:rFonts w:hint="default" w:ascii="宋体" w:hAnsi="宋体" w:eastAsia="宋体" w:cs="宋体"/>
                <w:snapToGrid w:val="0"/>
                <w:color w:val="auto"/>
                <w:kern w:val="21"/>
                <w:sz w:val="21"/>
                <w:szCs w:val="21"/>
                <w:lang w:val="en-US" w:eastAsia="zh-CN" w:bidi="ar-SA"/>
              </w:rPr>
            </w:pPr>
            <w:r>
              <w:rPr>
                <w:rFonts w:hint="default" w:hAnsi="宋体" w:cs="宋体"/>
                <w:snapToGrid w:val="0"/>
                <w:color w:val="auto"/>
                <w:kern w:val="21"/>
                <w:szCs w:val="21"/>
                <w:lang w:val="en-US"/>
              </w:rPr>
              <w:t>65.7</w:t>
            </w:r>
            <w:r>
              <w:rPr>
                <w:rFonts w:hint="eastAsia" w:hAnsi="宋体" w:cs="宋体"/>
                <w:color w:val="auto"/>
                <w:szCs w:val="21"/>
              </w:rPr>
              <w:t>t/a</w:t>
            </w:r>
          </w:p>
        </w:tc>
        <w:tc>
          <w:tcPr>
            <w:tcW w:w="1793" w:type="dxa"/>
            <w:vAlign w:val="center"/>
          </w:tcPr>
          <w:p>
            <w:pPr>
              <w:pStyle w:val="54"/>
              <w:keepNext w:val="0"/>
              <w:keepLines w:val="0"/>
              <w:suppressLineNumbers w:val="0"/>
              <w:spacing w:before="0" w:beforeLines="0" w:beforeAutospacing="0" w:after="0" w:afterLines="0" w:afterAutospacing="0" w:line="240" w:lineRule="auto"/>
              <w:ind w:left="0" w:leftChars="0" w:right="0" w:rightChars="0"/>
              <w:jc w:val="center"/>
              <w:rPr>
                <w:rFonts w:hint="eastAsia" w:ascii="宋体" w:hAnsi="宋体" w:eastAsia="宋体" w:cs="宋体"/>
                <w:snapToGrid w:val="0"/>
                <w:color w:val="auto"/>
                <w:kern w:val="21"/>
                <w:sz w:val="21"/>
                <w:szCs w:val="21"/>
                <w:lang w:val="en-US" w:eastAsia="zh-CN" w:bidi="ar-SA"/>
              </w:rPr>
            </w:pPr>
            <w:r>
              <w:rPr>
                <w:rFonts w:hint="default" w:hAnsi="宋体" w:cs="宋体"/>
                <w:snapToGrid w:val="0"/>
                <w:color w:val="auto"/>
                <w:kern w:val="21"/>
                <w:szCs w:val="21"/>
                <w:lang w:val="en-US"/>
              </w:rPr>
              <w:t>+65.7</w:t>
            </w:r>
            <w:r>
              <w:rPr>
                <w:rFonts w:hint="eastAsia" w:hAnsi="宋体" w:cs="宋体"/>
                <w:color w:val="auto"/>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8" w:type="dxa"/>
            <w:vMerge w:val="continue"/>
            <w:vAlign w:val="center"/>
          </w:tcPr>
          <w:p>
            <w:pPr>
              <w:pStyle w:val="54"/>
              <w:keepNext w:val="0"/>
              <w:keepLines w:val="0"/>
              <w:suppressLineNumbers w:val="0"/>
              <w:spacing w:before="0" w:beforeLines="0" w:beforeAutospacing="0" w:after="0" w:afterLines="0" w:afterAutospacing="0" w:line="240" w:lineRule="auto"/>
              <w:ind w:left="0" w:right="0"/>
              <w:rPr>
                <w:rFonts w:hint="eastAsia" w:hAnsi="宋体" w:cs="宋体"/>
                <w:snapToGrid w:val="0"/>
                <w:color w:val="auto"/>
                <w:kern w:val="21"/>
                <w:szCs w:val="21"/>
              </w:rPr>
            </w:pPr>
          </w:p>
        </w:tc>
        <w:tc>
          <w:tcPr>
            <w:tcW w:w="1281" w:type="dxa"/>
            <w:vAlign w:val="center"/>
          </w:tcPr>
          <w:p>
            <w:pPr>
              <w:keepNext w:val="0"/>
              <w:keepLines w:val="0"/>
              <w:suppressLineNumbers w:val="0"/>
              <w:autoSpaceDN w:val="0"/>
              <w:spacing w:before="0" w:beforeAutospacing="0" w:after="0" w:afterAutospacing="0" w:line="280" w:lineRule="exact"/>
              <w:ind w:left="0" w:right="0"/>
              <w:jc w:val="center"/>
              <w:textAlignment w:val="center"/>
              <w:rPr>
                <w:rFonts w:hint="eastAsia" w:ascii="宋体" w:hAnsi="宋体" w:eastAsia="宋体" w:cs="宋体"/>
                <w:color w:val="auto"/>
                <w:szCs w:val="21"/>
                <w:lang w:eastAsia="zh-CN"/>
              </w:rPr>
            </w:pPr>
            <w:r>
              <w:rPr>
                <w:rFonts w:hint="eastAsia" w:ascii="宋体" w:hAnsi="宋体" w:cs="宋体"/>
                <w:color w:val="auto"/>
                <w:szCs w:val="21"/>
                <w:lang w:eastAsia="zh-CN"/>
              </w:rPr>
              <w:t>隔油池废油</w:t>
            </w:r>
          </w:p>
        </w:tc>
        <w:tc>
          <w:tcPr>
            <w:tcW w:w="1500"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color w:val="auto"/>
                <w:szCs w:val="21"/>
                <w:lang w:val="en-US"/>
              </w:rPr>
            </w:pPr>
            <w:r>
              <w:rPr>
                <w:rFonts w:hint="default" w:hAnsi="宋体" w:cs="宋体"/>
                <w:color w:val="auto"/>
                <w:szCs w:val="21"/>
                <w:lang w:val="en-US"/>
              </w:rPr>
              <w:t>0</w:t>
            </w:r>
          </w:p>
        </w:tc>
        <w:tc>
          <w:tcPr>
            <w:tcW w:w="1145"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lang w:val="en-US"/>
              </w:rPr>
            </w:pPr>
            <w:r>
              <w:rPr>
                <w:rFonts w:hint="default" w:hAnsi="宋体" w:cs="宋体"/>
                <w:snapToGrid w:val="0"/>
                <w:color w:val="auto"/>
                <w:kern w:val="21"/>
                <w:szCs w:val="21"/>
                <w:lang w:val="en-US"/>
              </w:rPr>
              <w:t>0</w:t>
            </w:r>
          </w:p>
        </w:tc>
        <w:tc>
          <w:tcPr>
            <w:tcW w:w="1418"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lang w:val="en-US"/>
              </w:rPr>
            </w:pPr>
            <w:r>
              <w:rPr>
                <w:rFonts w:hint="default" w:hAnsi="宋体" w:cs="宋体"/>
                <w:snapToGrid w:val="0"/>
                <w:color w:val="auto"/>
                <w:kern w:val="21"/>
                <w:szCs w:val="21"/>
                <w:lang w:val="en-US"/>
              </w:rPr>
              <w:t>0</w:t>
            </w:r>
          </w:p>
        </w:tc>
        <w:tc>
          <w:tcPr>
            <w:tcW w:w="1814" w:type="dxa"/>
            <w:vAlign w:val="center"/>
          </w:tcPr>
          <w:p>
            <w:pPr>
              <w:pStyle w:val="54"/>
              <w:keepNext w:val="0"/>
              <w:keepLines w:val="0"/>
              <w:suppressLineNumbers w:val="0"/>
              <w:spacing w:before="0" w:beforeLines="0" w:beforeAutospacing="0" w:after="0" w:afterLines="0" w:afterAutospacing="0" w:line="240" w:lineRule="auto"/>
              <w:ind w:left="0" w:right="0"/>
              <w:jc w:val="center"/>
              <w:rPr>
                <w:rFonts w:hint="default" w:hAnsi="宋体" w:cs="宋体"/>
                <w:snapToGrid w:val="0"/>
                <w:color w:val="auto"/>
                <w:kern w:val="21"/>
                <w:szCs w:val="21"/>
                <w:lang w:val="en-US"/>
              </w:rPr>
            </w:pPr>
            <w:r>
              <w:rPr>
                <w:rFonts w:hint="default" w:hAnsi="宋体" w:cs="宋体"/>
                <w:snapToGrid w:val="0"/>
                <w:color w:val="auto"/>
                <w:kern w:val="21"/>
                <w:szCs w:val="21"/>
                <w:lang w:val="en-US"/>
              </w:rPr>
              <w:t>0.17</w:t>
            </w:r>
            <w:r>
              <w:rPr>
                <w:rFonts w:hint="eastAsia" w:hAnsi="宋体" w:cs="宋体"/>
                <w:color w:val="auto"/>
                <w:szCs w:val="21"/>
              </w:rPr>
              <w:t>t/a</w:t>
            </w:r>
          </w:p>
        </w:tc>
        <w:tc>
          <w:tcPr>
            <w:tcW w:w="1622" w:type="dxa"/>
            <w:vAlign w:val="center"/>
          </w:tcPr>
          <w:p>
            <w:pPr>
              <w:pStyle w:val="54"/>
              <w:keepNext w:val="0"/>
              <w:keepLines w:val="0"/>
              <w:suppressLineNumbers w:val="0"/>
              <w:spacing w:before="0" w:beforeLines="0" w:beforeAutospacing="0" w:after="0" w:afterLines="0" w:afterAutospacing="0" w:line="240" w:lineRule="auto"/>
              <w:ind w:left="0" w:right="0"/>
              <w:jc w:val="center"/>
              <w:rPr>
                <w:rFonts w:hint="default" w:hAnsi="宋体" w:cs="宋体"/>
                <w:snapToGrid w:val="0"/>
                <w:color w:val="auto"/>
                <w:kern w:val="21"/>
                <w:szCs w:val="21"/>
                <w:lang w:val="en-US"/>
              </w:rPr>
            </w:pPr>
            <w:r>
              <w:rPr>
                <w:rFonts w:hint="default" w:hAnsi="宋体" w:cs="宋体"/>
                <w:snapToGrid w:val="0"/>
                <w:color w:val="auto"/>
                <w:kern w:val="21"/>
                <w:szCs w:val="21"/>
                <w:lang w:val="en-US"/>
              </w:rPr>
              <w:t>0</w:t>
            </w:r>
          </w:p>
        </w:tc>
        <w:tc>
          <w:tcPr>
            <w:tcW w:w="1787" w:type="dxa"/>
            <w:vAlign w:val="center"/>
          </w:tcPr>
          <w:p>
            <w:pPr>
              <w:pStyle w:val="54"/>
              <w:keepNext w:val="0"/>
              <w:keepLines w:val="0"/>
              <w:suppressLineNumbers w:val="0"/>
              <w:spacing w:before="0" w:beforeLines="0" w:beforeAutospacing="0" w:after="0" w:afterLines="0" w:afterAutospacing="0" w:line="240" w:lineRule="auto"/>
              <w:ind w:left="0" w:leftChars="0" w:right="0" w:rightChars="0"/>
              <w:jc w:val="center"/>
              <w:rPr>
                <w:rFonts w:hint="default" w:ascii="宋体" w:hAnsi="宋体" w:eastAsia="宋体" w:cs="宋体"/>
                <w:snapToGrid w:val="0"/>
                <w:color w:val="auto"/>
                <w:kern w:val="21"/>
                <w:sz w:val="21"/>
                <w:szCs w:val="21"/>
                <w:lang w:val="en-US" w:eastAsia="zh-CN" w:bidi="ar-SA"/>
              </w:rPr>
            </w:pPr>
            <w:r>
              <w:rPr>
                <w:rFonts w:hint="default" w:hAnsi="宋体" w:cs="宋体"/>
                <w:snapToGrid w:val="0"/>
                <w:color w:val="auto"/>
                <w:kern w:val="21"/>
                <w:szCs w:val="21"/>
                <w:lang w:val="en-US"/>
              </w:rPr>
              <w:t>0.17</w:t>
            </w:r>
            <w:r>
              <w:rPr>
                <w:rFonts w:hint="eastAsia" w:hAnsi="宋体" w:cs="宋体"/>
                <w:color w:val="auto"/>
                <w:szCs w:val="21"/>
              </w:rPr>
              <w:t>t/a</w:t>
            </w:r>
          </w:p>
        </w:tc>
        <w:tc>
          <w:tcPr>
            <w:tcW w:w="1793" w:type="dxa"/>
            <w:vAlign w:val="center"/>
          </w:tcPr>
          <w:p>
            <w:pPr>
              <w:pStyle w:val="54"/>
              <w:keepNext w:val="0"/>
              <w:keepLines w:val="0"/>
              <w:suppressLineNumbers w:val="0"/>
              <w:spacing w:before="0" w:beforeLines="0" w:beforeAutospacing="0" w:after="0" w:afterLines="0" w:afterAutospacing="0" w:line="240" w:lineRule="auto"/>
              <w:ind w:left="0" w:leftChars="0" w:right="0" w:rightChars="0"/>
              <w:jc w:val="center"/>
              <w:rPr>
                <w:rFonts w:hint="eastAsia" w:ascii="宋体" w:hAnsi="宋体" w:eastAsia="宋体" w:cs="宋体"/>
                <w:snapToGrid w:val="0"/>
                <w:color w:val="auto"/>
                <w:kern w:val="21"/>
                <w:sz w:val="21"/>
                <w:szCs w:val="21"/>
                <w:lang w:val="en-US" w:eastAsia="zh-CN" w:bidi="ar-SA"/>
              </w:rPr>
            </w:pPr>
            <w:r>
              <w:rPr>
                <w:rFonts w:hint="default" w:hAnsi="宋体" w:cs="宋体"/>
                <w:snapToGrid w:val="0"/>
                <w:color w:val="auto"/>
                <w:kern w:val="21"/>
                <w:szCs w:val="21"/>
                <w:lang w:val="en-US"/>
              </w:rPr>
              <w:t>+0.17</w:t>
            </w:r>
            <w:r>
              <w:rPr>
                <w:rFonts w:hint="eastAsia" w:hAnsi="宋体" w:cs="宋体"/>
                <w:color w:val="auto"/>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8" w:type="dxa"/>
            <w:vMerge w:val="restart"/>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危险废物</w:t>
            </w:r>
          </w:p>
        </w:tc>
        <w:tc>
          <w:tcPr>
            <w:tcW w:w="1281"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医疗废物</w:t>
            </w:r>
          </w:p>
        </w:tc>
        <w:tc>
          <w:tcPr>
            <w:tcW w:w="1500"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color w:val="auto"/>
                <w:szCs w:val="21"/>
              </w:rPr>
              <w:t>0</w:t>
            </w:r>
          </w:p>
        </w:tc>
        <w:tc>
          <w:tcPr>
            <w:tcW w:w="1145"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0</w:t>
            </w:r>
          </w:p>
        </w:tc>
        <w:tc>
          <w:tcPr>
            <w:tcW w:w="1418"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0</w:t>
            </w:r>
          </w:p>
        </w:tc>
        <w:tc>
          <w:tcPr>
            <w:tcW w:w="1814"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color w:val="auto"/>
                <w:szCs w:val="21"/>
              </w:rPr>
            </w:pPr>
            <w:r>
              <w:rPr>
                <w:rFonts w:hint="default" w:hAnsi="宋体" w:cs="宋体"/>
                <w:color w:val="auto"/>
                <w:szCs w:val="21"/>
                <w:lang w:val="en-US"/>
              </w:rPr>
              <w:t>54.2</w:t>
            </w:r>
            <w:r>
              <w:rPr>
                <w:rFonts w:hint="eastAsia" w:hAnsi="宋体" w:cs="宋体"/>
                <w:color w:val="auto"/>
                <w:szCs w:val="21"/>
              </w:rPr>
              <w:t>t/a</w:t>
            </w:r>
          </w:p>
        </w:tc>
        <w:tc>
          <w:tcPr>
            <w:tcW w:w="1622"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0</w:t>
            </w:r>
          </w:p>
        </w:tc>
        <w:tc>
          <w:tcPr>
            <w:tcW w:w="1787" w:type="dxa"/>
            <w:vAlign w:val="center"/>
          </w:tcPr>
          <w:p>
            <w:pPr>
              <w:pStyle w:val="54"/>
              <w:keepNext w:val="0"/>
              <w:keepLines w:val="0"/>
              <w:suppressLineNumbers w:val="0"/>
              <w:spacing w:before="0" w:beforeLines="0" w:beforeAutospacing="0" w:after="0" w:afterLines="0" w:afterAutospacing="0" w:line="240" w:lineRule="auto"/>
              <w:ind w:left="0" w:right="0" w:firstLine="420" w:firstLineChars="200"/>
              <w:jc w:val="both"/>
              <w:rPr>
                <w:rFonts w:hint="default" w:hAnsi="宋体" w:cs="宋体"/>
                <w:color w:val="auto"/>
                <w:szCs w:val="21"/>
              </w:rPr>
            </w:pPr>
            <w:r>
              <w:rPr>
                <w:rFonts w:hint="default" w:hAnsi="宋体" w:cs="宋体"/>
                <w:color w:val="auto"/>
                <w:szCs w:val="21"/>
                <w:lang w:val="en-US"/>
              </w:rPr>
              <w:t>54.2</w:t>
            </w:r>
            <w:r>
              <w:rPr>
                <w:rFonts w:hint="eastAsia" w:hAnsi="宋体" w:cs="宋体"/>
                <w:color w:val="auto"/>
                <w:szCs w:val="21"/>
              </w:rPr>
              <w:t>t/a</w:t>
            </w:r>
          </w:p>
        </w:tc>
        <w:tc>
          <w:tcPr>
            <w:tcW w:w="1793"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color w:val="auto"/>
                <w:szCs w:val="21"/>
              </w:rPr>
            </w:pPr>
            <w:r>
              <w:rPr>
                <w:rFonts w:hint="eastAsia" w:hAnsi="宋体" w:cs="宋体"/>
                <w:color w:val="auto"/>
                <w:szCs w:val="21"/>
              </w:rPr>
              <w:t>+</w:t>
            </w:r>
            <w:r>
              <w:rPr>
                <w:rFonts w:hint="default" w:hAnsi="宋体" w:cs="宋体"/>
                <w:color w:val="auto"/>
                <w:szCs w:val="21"/>
                <w:lang w:val="en-US"/>
              </w:rPr>
              <w:t>54.2</w:t>
            </w:r>
            <w:r>
              <w:rPr>
                <w:rFonts w:hint="eastAsia" w:hAnsi="宋体" w:cs="宋体"/>
                <w:color w:val="auto"/>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8" w:type="dxa"/>
            <w:vMerge w:val="continue"/>
            <w:vAlign w:val="center"/>
          </w:tcPr>
          <w:p>
            <w:pPr>
              <w:pStyle w:val="54"/>
              <w:keepNext w:val="0"/>
              <w:keepLines w:val="0"/>
              <w:suppressLineNumbers w:val="0"/>
              <w:spacing w:before="0" w:beforeLines="0" w:beforeAutospacing="0" w:after="0" w:afterLines="0" w:afterAutospacing="0" w:line="240" w:lineRule="auto"/>
              <w:ind w:left="0" w:right="0"/>
              <w:rPr>
                <w:rFonts w:hint="eastAsia" w:hAnsi="宋体" w:cs="宋体"/>
                <w:snapToGrid w:val="0"/>
                <w:color w:val="auto"/>
                <w:kern w:val="21"/>
                <w:szCs w:val="21"/>
              </w:rPr>
            </w:pPr>
          </w:p>
        </w:tc>
        <w:tc>
          <w:tcPr>
            <w:tcW w:w="1281" w:type="dxa"/>
            <w:vAlign w:val="center"/>
          </w:tcPr>
          <w:p>
            <w:pPr>
              <w:pStyle w:val="54"/>
              <w:keepNext w:val="0"/>
              <w:keepLines w:val="0"/>
              <w:suppressLineNumbers w:val="0"/>
              <w:spacing w:before="0" w:beforeLines="0" w:beforeAutospacing="0" w:after="0" w:afterLines="0" w:afterAutospacing="0" w:line="240" w:lineRule="auto"/>
              <w:ind w:left="0" w:right="0"/>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污泥</w:t>
            </w:r>
          </w:p>
        </w:tc>
        <w:tc>
          <w:tcPr>
            <w:tcW w:w="1500" w:type="dxa"/>
            <w:vAlign w:val="center"/>
          </w:tcPr>
          <w:p>
            <w:pPr>
              <w:pStyle w:val="54"/>
              <w:keepNext w:val="0"/>
              <w:keepLines w:val="0"/>
              <w:suppressLineNumbers w:val="0"/>
              <w:spacing w:before="0" w:beforeLines="0" w:beforeAutospacing="0" w:after="0" w:afterLines="0" w:afterAutospacing="0" w:line="240" w:lineRule="auto"/>
              <w:ind w:left="0" w:right="0"/>
              <w:rPr>
                <w:rFonts w:hint="eastAsia" w:ascii="宋体" w:hAnsi="宋体" w:eastAsia="宋体" w:cs="宋体"/>
                <w:snapToGrid w:val="0"/>
                <w:color w:val="auto"/>
                <w:kern w:val="21"/>
                <w:sz w:val="21"/>
                <w:szCs w:val="21"/>
                <w:lang w:val="en-US" w:eastAsia="zh-CN" w:bidi="ar-SA"/>
              </w:rPr>
            </w:pPr>
            <w:r>
              <w:rPr>
                <w:rFonts w:hint="eastAsia" w:hAnsi="宋体" w:cs="宋体"/>
                <w:color w:val="auto"/>
                <w:szCs w:val="21"/>
              </w:rPr>
              <w:t>0</w:t>
            </w:r>
          </w:p>
        </w:tc>
        <w:tc>
          <w:tcPr>
            <w:tcW w:w="1145" w:type="dxa"/>
            <w:vAlign w:val="center"/>
          </w:tcPr>
          <w:p>
            <w:pPr>
              <w:pStyle w:val="54"/>
              <w:keepNext w:val="0"/>
              <w:keepLines w:val="0"/>
              <w:suppressLineNumbers w:val="0"/>
              <w:spacing w:before="0" w:beforeLines="0" w:beforeAutospacing="0" w:after="0" w:afterLines="0" w:afterAutospacing="0" w:line="240" w:lineRule="auto"/>
              <w:ind w:left="0" w:right="0"/>
              <w:rPr>
                <w:rFonts w:hint="eastAsia" w:ascii="宋体" w:hAnsi="宋体" w:eastAsia="宋体" w:cs="宋体"/>
                <w:snapToGrid w:val="0"/>
                <w:color w:val="auto"/>
                <w:kern w:val="21"/>
                <w:sz w:val="21"/>
                <w:szCs w:val="21"/>
                <w:lang w:val="en-US" w:eastAsia="zh-CN" w:bidi="ar-SA"/>
              </w:rPr>
            </w:pPr>
            <w:r>
              <w:rPr>
                <w:rFonts w:hint="eastAsia" w:hAnsi="宋体" w:cs="宋体"/>
                <w:snapToGrid w:val="0"/>
                <w:color w:val="auto"/>
                <w:kern w:val="21"/>
                <w:szCs w:val="21"/>
              </w:rPr>
              <w:t>0</w:t>
            </w:r>
          </w:p>
        </w:tc>
        <w:tc>
          <w:tcPr>
            <w:tcW w:w="1418" w:type="dxa"/>
            <w:vAlign w:val="center"/>
          </w:tcPr>
          <w:p>
            <w:pPr>
              <w:pStyle w:val="54"/>
              <w:keepNext w:val="0"/>
              <w:keepLines w:val="0"/>
              <w:suppressLineNumbers w:val="0"/>
              <w:spacing w:before="0" w:beforeLines="0" w:beforeAutospacing="0" w:after="0" w:afterLines="0" w:afterAutospacing="0" w:line="240" w:lineRule="auto"/>
              <w:ind w:left="0" w:right="0"/>
              <w:rPr>
                <w:rFonts w:hint="eastAsia" w:ascii="宋体" w:hAnsi="宋体" w:eastAsia="宋体" w:cs="宋体"/>
                <w:snapToGrid w:val="0"/>
                <w:color w:val="auto"/>
                <w:kern w:val="21"/>
                <w:sz w:val="21"/>
                <w:szCs w:val="21"/>
                <w:lang w:val="en-US" w:eastAsia="zh-CN" w:bidi="ar-SA"/>
              </w:rPr>
            </w:pPr>
            <w:r>
              <w:rPr>
                <w:rFonts w:hint="eastAsia" w:hAnsi="宋体" w:cs="宋体"/>
                <w:snapToGrid w:val="0"/>
                <w:color w:val="auto"/>
                <w:kern w:val="21"/>
                <w:szCs w:val="21"/>
              </w:rPr>
              <w:t>0</w:t>
            </w:r>
          </w:p>
        </w:tc>
        <w:tc>
          <w:tcPr>
            <w:tcW w:w="1814" w:type="dxa"/>
            <w:vAlign w:val="center"/>
          </w:tcPr>
          <w:p>
            <w:pPr>
              <w:pStyle w:val="54"/>
              <w:keepNext w:val="0"/>
              <w:keepLines w:val="0"/>
              <w:suppressLineNumbers w:val="0"/>
              <w:spacing w:before="0" w:beforeLines="0" w:beforeAutospacing="0" w:after="0" w:afterLines="0" w:afterAutospacing="0" w:line="240" w:lineRule="auto"/>
              <w:ind w:left="0" w:right="0"/>
              <w:rPr>
                <w:rFonts w:hint="eastAsia" w:hAnsi="宋体" w:cs="宋体"/>
                <w:color w:val="auto"/>
                <w:szCs w:val="21"/>
              </w:rPr>
            </w:pPr>
            <w:r>
              <w:rPr>
                <w:rFonts w:hint="default" w:hAnsi="宋体" w:cs="宋体"/>
                <w:color w:val="auto"/>
                <w:szCs w:val="21"/>
                <w:lang w:val="en-US" w:eastAsia="zh-CN"/>
              </w:rPr>
              <w:t>39.45</w:t>
            </w:r>
            <w:r>
              <w:rPr>
                <w:rFonts w:hint="eastAsia" w:hAnsi="宋体" w:cs="宋体"/>
                <w:color w:val="auto"/>
                <w:szCs w:val="21"/>
              </w:rPr>
              <w:t>t/a</w:t>
            </w:r>
          </w:p>
        </w:tc>
        <w:tc>
          <w:tcPr>
            <w:tcW w:w="1622" w:type="dxa"/>
            <w:vAlign w:val="center"/>
          </w:tcPr>
          <w:p>
            <w:pPr>
              <w:pStyle w:val="54"/>
              <w:keepNext w:val="0"/>
              <w:keepLines w:val="0"/>
              <w:suppressLineNumbers w:val="0"/>
              <w:spacing w:before="0" w:beforeLines="0" w:beforeAutospacing="0" w:after="0" w:afterLines="0" w:afterAutospacing="0" w:line="240" w:lineRule="auto"/>
              <w:ind w:left="0" w:right="0"/>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0</w:t>
            </w:r>
          </w:p>
        </w:tc>
        <w:tc>
          <w:tcPr>
            <w:tcW w:w="1787" w:type="dxa"/>
            <w:vAlign w:val="center"/>
          </w:tcPr>
          <w:p>
            <w:pPr>
              <w:pStyle w:val="54"/>
              <w:keepNext w:val="0"/>
              <w:keepLines w:val="0"/>
              <w:suppressLineNumbers w:val="0"/>
              <w:spacing w:before="0" w:beforeLines="0" w:beforeAutospacing="0" w:after="0" w:afterLines="0" w:afterAutospacing="0" w:line="240" w:lineRule="auto"/>
              <w:ind w:left="0" w:right="0" w:firstLine="420" w:firstLineChars="200"/>
              <w:jc w:val="both"/>
              <w:rPr>
                <w:rFonts w:hint="eastAsia" w:hAnsi="宋体" w:cs="宋体"/>
                <w:color w:val="auto"/>
                <w:szCs w:val="21"/>
              </w:rPr>
            </w:pPr>
            <w:r>
              <w:rPr>
                <w:rFonts w:hint="default" w:hAnsi="宋体" w:cs="宋体"/>
                <w:color w:val="auto"/>
                <w:szCs w:val="21"/>
                <w:lang w:val="en-US" w:eastAsia="zh-CN"/>
              </w:rPr>
              <w:t>39.45</w:t>
            </w:r>
            <w:r>
              <w:rPr>
                <w:rFonts w:hint="eastAsia" w:hAnsi="宋体" w:cs="宋体"/>
                <w:color w:val="auto"/>
                <w:szCs w:val="21"/>
              </w:rPr>
              <w:t>t/a</w:t>
            </w:r>
          </w:p>
        </w:tc>
        <w:tc>
          <w:tcPr>
            <w:tcW w:w="1793" w:type="dxa"/>
            <w:vAlign w:val="center"/>
          </w:tcPr>
          <w:p>
            <w:pPr>
              <w:pStyle w:val="54"/>
              <w:keepNext w:val="0"/>
              <w:keepLines w:val="0"/>
              <w:suppressLineNumbers w:val="0"/>
              <w:spacing w:before="0" w:beforeLines="0" w:beforeAutospacing="0" w:after="0" w:afterLines="0" w:afterAutospacing="0" w:line="240" w:lineRule="auto"/>
              <w:ind w:left="0" w:right="0"/>
              <w:rPr>
                <w:rFonts w:hint="eastAsia" w:hAnsi="宋体" w:cs="宋体"/>
                <w:color w:val="auto"/>
                <w:szCs w:val="21"/>
              </w:rPr>
            </w:pPr>
            <w:r>
              <w:rPr>
                <w:rFonts w:hint="eastAsia" w:hAnsi="宋体" w:cs="宋体"/>
                <w:color w:val="auto"/>
                <w:szCs w:val="21"/>
                <w:lang w:val="en-US" w:eastAsia="zh-CN"/>
              </w:rPr>
              <w:t>+</w:t>
            </w:r>
            <w:r>
              <w:rPr>
                <w:rFonts w:hint="default" w:hAnsi="宋体" w:cs="宋体"/>
                <w:color w:val="auto"/>
                <w:szCs w:val="21"/>
                <w:lang w:val="en-US" w:eastAsia="zh-CN"/>
              </w:rPr>
              <w:t>39.45</w:t>
            </w:r>
            <w:r>
              <w:rPr>
                <w:rFonts w:hint="eastAsia" w:hAnsi="宋体" w:cs="宋体"/>
                <w:color w:val="auto"/>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8" w:type="dxa"/>
            <w:vMerge w:val="continue"/>
            <w:vAlign w:val="center"/>
          </w:tcPr>
          <w:p>
            <w:pPr>
              <w:pStyle w:val="54"/>
              <w:keepNext w:val="0"/>
              <w:keepLines w:val="0"/>
              <w:suppressLineNumbers w:val="0"/>
              <w:spacing w:before="0" w:beforeLines="0" w:beforeAutospacing="0" w:after="0" w:afterLines="0" w:afterAutospacing="0" w:line="240" w:lineRule="auto"/>
              <w:ind w:left="0" w:right="0"/>
              <w:rPr>
                <w:rFonts w:hint="eastAsia" w:hAnsi="宋体" w:cs="宋体"/>
                <w:snapToGrid w:val="0"/>
                <w:color w:val="auto"/>
                <w:kern w:val="21"/>
                <w:szCs w:val="21"/>
              </w:rPr>
            </w:pPr>
          </w:p>
        </w:tc>
        <w:tc>
          <w:tcPr>
            <w:tcW w:w="1281" w:type="dxa"/>
            <w:vAlign w:val="center"/>
          </w:tcPr>
          <w:p>
            <w:pPr>
              <w:pStyle w:val="54"/>
              <w:keepNext w:val="0"/>
              <w:keepLines w:val="0"/>
              <w:suppressLineNumbers w:val="0"/>
              <w:spacing w:before="0" w:beforeLines="0" w:beforeAutospacing="0" w:after="0" w:afterLines="0" w:afterAutospacing="0" w:line="240" w:lineRule="auto"/>
              <w:ind w:left="0" w:right="0"/>
              <w:rPr>
                <w:rFonts w:hint="eastAsia" w:hAnsi="宋体" w:cs="宋体"/>
                <w:snapToGrid w:val="0"/>
                <w:color w:val="auto"/>
                <w:kern w:val="21"/>
                <w:szCs w:val="21"/>
                <w:lang w:val="en-US" w:eastAsia="zh-CN"/>
              </w:rPr>
            </w:pPr>
            <w:r>
              <w:rPr>
                <w:rFonts w:hint="eastAsia" w:hAnsi="宋体" w:cs="宋体"/>
                <w:snapToGrid w:val="0"/>
                <w:color w:val="auto"/>
                <w:kern w:val="21"/>
                <w:szCs w:val="21"/>
                <w:lang w:val="en-US" w:eastAsia="zh-CN"/>
              </w:rPr>
              <w:t>检验废液</w:t>
            </w:r>
          </w:p>
        </w:tc>
        <w:tc>
          <w:tcPr>
            <w:tcW w:w="1500"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color w:val="auto"/>
                <w:szCs w:val="21"/>
                <w:lang w:val="en-US"/>
              </w:rPr>
            </w:pPr>
            <w:r>
              <w:rPr>
                <w:rFonts w:hint="default" w:hAnsi="宋体" w:cs="宋体"/>
                <w:color w:val="auto"/>
                <w:szCs w:val="21"/>
                <w:lang w:val="en-US"/>
              </w:rPr>
              <w:t>0</w:t>
            </w:r>
          </w:p>
        </w:tc>
        <w:tc>
          <w:tcPr>
            <w:tcW w:w="1145"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lang w:val="en-US"/>
              </w:rPr>
            </w:pPr>
            <w:r>
              <w:rPr>
                <w:rFonts w:hint="default" w:hAnsi="宋体" w:cs="宋体"/>
                <w:snapToGrid w:val="0"/>
                <w:color w:val="auto"/>
                <w:kern w:val="21"/>
                <w:szCs w:val="21"/>
                <w:lang w:val="en-US"/>
              </w:rPr>
              <w:t>0</w:t>
            </w:r>
          </w:p>
        </w:tc>
        <w:tc>
          <w:tcPr>
            <w:tcW w:w="1418"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lang w:val="en-US"/>
              </w:rPr>
            </w:pPr>
            <w:r>
              <w:rPr>
                <w:rFonts w:hint="default" w:hAnsi="宋体" w:cs="宋体"/>
                <w:snapToGrid w:val="0"/>
                <w:color w:val="auto"/>
                <w:kern w:val="21"/>
                <w:szCs w:val="21"/>
                <w:lang w:val="en-US"/>
              </w:rPr>
              <w:t>0</w:t>
            </w:r>
          </w:p>
        </w:tc>
        <w:tc>
          <w:tcPr>
            <w:tcW w:w="1814"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color w:val="auto"/>
                <w:szCs w:val="21"/>
                <w:lang w:val="en-US" w:eastAsia="zh-CN"/>
              </w:rPr>
            </w:pPr>
            <w:r>
              <w:rPr>
                <w:rFonts w:hint="default" w:hAnsi="宋体" w:cs="宋体"/>
                <w:color w:val="auto"/>
                <w:szCs w:val="21"/>
                <w:lang w:val="en-US" w:eastAsia="zh-CN"/>
              </w:rPr>
              <w:t>0.05t/a</w:t>
            </w:r>
          </w:p>
        </w:tc>
        <w:tc>
          <w:tcPr>
            <w:tcW w:w="1622"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lang w:val="en-US" w:eastAsia="zh-CN"/>
              </w:rPr>
            </w:pPr>
            <w:r>
              <w:rPr>
                <w:rFonts w:hint="default" w:hAnsi="宋体" w:cs="宋体"/>
                <w:snapToGrid w:val="0"/>
                <w:color w:val="auto"/>
                <w:kern w:val="21"/>
                <w:szCs w:val="21"/>
                <w:lang w:val="en-US" w:eastAsia="zh-CN"/>
              </w:rPr>
              <w:t>0</w:t>
            </w:r>
          </w:p>
        </w:tc>
        <w:tc>
          <w:tcPr>
            <w:tcW w:w="1787" w:type="dxa"/>
            <w:vAlign w:val="center"/>
          </w:tcPr>
          <w:p>
            <w:pPr>
              <w:pStyle w:val="54"/>
              <w:keepNext w:val="0"/>
              <w:keepLines w:val="0"/>
              <w:suppressLineNumbers w:val="0"/>
              <w:spacing w:before="0" w:beforeLines="0" w:beforeAutospacing="0" w:after="0" w:afterLines="0" w:afterAutospacing="0" w:line="240" w:lineRule="auto"/>
              <w:ind w:left="0" w:leftChars="0" w:right="0" w:rightChars="0"/>
              <w:rPr>
                <w:rFonts w:hint="default" w:ascii="宋体" w:hAnsi="宋体" w:eastAsia="宋体" w:cs="宋体"/>
                <w:color w:val="auto"/>
                <w:kern w:val="0"/>
                <w:sz w:val="21"/>
                <w:szCs w:val="21"/>
                <w:lang w:val="en-US" w:eastAsia="zh-CN" w:bidi="ar-SA"/>
              </w:rPr>
            </w:pPr>
            <w:r>
              <w:rPr>
                <w:rFonts w:hint="default" w:hAnsi="宋体" w:cs="宋体"/>
                <w:color w:val="auto"/>
                <w:szCs w:val="21"/>
                <w:lang w:val="en-US" w:eastAsia="zh-CN"/>
              </w:rPr>
              <w:t>0.05t/a</w:t>
            </w:r>
          </w:p>
        </w:tc>
        <w:tc>
          <w:tcPr>
            <w:tcW w:w="1793" w:type="dxa"/>
            <w:vAlign w:val="center"/>
          </w:tcPr>
          <w:p>
            <w:pPr>
              <w:pStyle w:val="54"/>
              <w:keepNext w:val="0"/>
              <w:keepLines w:val="0"/>
              <w:suppressLineNumbers w:val="0"/>
              <w:spacing w:before="0" w:beforeLines="0" w:beforeAutospacing="0" w:after="0" w:afterLines="0" w:afterAutospacing="0" w:line="240" w:lineRule="auto"/>
              <w:ind w:left="0" w:leftChars="0" w:right="0" w:rightChars="0"/>
              <w:rPr>
                <w:rFonts w:hint="eastAsia" w:ascii="宋体" w:hAnsi="宋体" w:eastAsia="宋体" w:cs="宋体"/>
                <w:color w:val="auto"/>
                <w:kern w:val="0"/>
                <w:sz w:val="21"/>
                <w:szCs w:val="21"/>
                <w:lang w:val="en-US" w:eastAsia="zh-CN" w:bidi="ar-SA"/>
              </w:rPr>
            </w:pPr>
            <w:r>
              <w:rPr>
                <w:rFonts w:hint="default" w:hAnsi="宋体" w:cs="宋体"/>
                <w:color w:val="auto"/>
                <w:szCs w:val="21"/>
                <w:lang w:val="en-US" w:eastAsia="zh-CN"/>
              </w:rPr>
              <w:t>+0.05t/a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8" w:type="dxa"/>
            <w:vMerge w:val="continue"/>
            <w:vAlign w:val="center"/>
          </w:tcPr>
          <w:p>
            <w:pPr>
              <w:pStyle w:val="54"/>
              <w:keepNext w:val="0"/>
              <w:keepLines w:val="0"/>
              <w:suppressLineNumbers w:val="0"/>
              <w:spacing w:before="0" w:beforeLines="0" w:beforeAutospacing="0" w:after="0" w:afterLines="0" w:afterAutospacing="0" w:line="240" w:lineRule="auto"/>
              <w:ind w:left="0" w:right="0"/>
              <w:rPr>
                <w:rFonts w:hint="eastAsia" w:hAnsi="宋体" w:cs="宋体"/>
                <w:snapToGrid w:val="0"/>
                <w:color w:val="auto"/>
                <w:kern w:val="21"/>
                <w:szCs w:val="21"/>
              </w:rPr>
            </w:pPr>
          </w:p>
        </w:tc>
        <w:tc>
          <w:tcPr>
            <w:tcW w:w="1281" w:type="dxa"/>
            <w:vAlign w:val="center"/>
          </w:tcPr>
          <w:p>
            <w:pPr>
              <w:pStyle w:val="54"/>
              <w:keepNext w:val="0"/>
              <w:keepLines w:val="0"/>
              <w:suppressLineNumbers w:val="0"/>
              <w:spacing w:before="0" w:beforeLines="0" w:beforeAutospacing="0" w:after="0" w:afterLines="0" w:afterAutospacing="0" w:line="240" w:lineRule="auto"/>
              <w:ind w:left="0" w:right="0"/>
              <w:rPr>
                <w:rFonts w:hint="eastAsia" w:hAnsi="宋体" w:cs="宋体"/>
                <w:snapToGrid w:val="0"/>
                <w:color w:val="auto"/>
                <w:kern w:val="21"/>
                <w:szCs w:val="21"/>
                <w:lang w:val="en-US" w:eastAsia="zh-CN"/>
              </w:rPr>
            </w:pPr>
            <w:r>
              <w:rPr>
                <w:rFonts w:hint="eastAsia" w:hAnsi="宋体" w:cs="宋体"/>
                <w:snapToGrid w:val="0"/>
                <w:color w:val="auto"/>
                <w:kern w:val="21"/>
                <w:szCs w:val="21"/>
                <w:lang w:val="en-US" w:eastAsia="zh-CN"/>
              </w:rPr>
              <w:t>废紫外线灯管</w:t>
            </w:r>
          </w:p>
        </w:tc>
        <w:tc>
          <w:tcPr>
            <w:tcW w:w="1500"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color w:val="auto"/>
                <w:szCs w:val="21"/>
                <w:lang w:val="en-US"/>
              </w:rPr>
            </w:pPr>
            <w:r>
              <w:rPr>
                <w:rFonts w:hint="default" w:hAnsi="宋体" w:cs="宋体"/>
                <w:color w:val="auto"/>
                <w:szCs w:val="21"/>
                <w:lang w:val="en-US"/>
              </w:rPr>
              <w:t>0</w:t>
            </w:r>
          </w:p>
        </w:tc>
        <w:tc>
          <w:tcPr>
            <w:tcW w:w="1145"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lang w:val="en-US"/>
              </w:rPr>
            </w:pPr>
            <w:r>
              <w:rPr>
                <w:rFonts w:hint="default" w:hAnsi="宋体" w:cs="宋体"/>
                <w:snapToGrid w:val="0"/>
                <w:color w:val="auto"/>
                <w:kern w:val="21"/>
                <w:szCs w:val="21"/>
                <w:lang w:val="en-US"/>
              </w:rPr>
              <w:t>0</w:t>
            </w:r>
          </w:p>
        </w:tc>
        <w:tc>
          <w:tcPr>
            <w:tcW w:w="1418"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lang w:val="en-US"/>
              </w:rPr>
            </w:pPr>
            <w:r>
              <w:rPr>
                <w:rFonts w:hint="default" w:hAnsi="宋体" w:cs="宋体"/>
                <w:snapToGrid w:val="0"/>
                <w:color w:val="auto"/>
                <w:kern w:val="21"/>
                <w:szCs w:val="21"/>
                <w:lang w:val="en-US"/>
              </w:rPr>
              <w:t>0</w:t>
            </w:r>
          </w:p>
        </w:tc>
        <w:tc>
          <w:tcPr>
            <w:tcW w:w="1814"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color w:val="auto"/>
                <w:szCs w:val="21"/>
                <w:lang w:val="en-US" w:eastAsia="zh-CN"/>
              </w:rPr>
            </w:pPr>
            <w:r>
              <w:rPr>
                <w:rFonts w:hint="default" w:hAnsi="宋体" w:cs="宋体"/>
                <w:color w:val="auto"/>
                <w:szCs w:val="21"/>
                <w:lang w:val="en-US" w:eastAsia="zh-CN"/>
              </w:rPr>
              <w:t>0.005t/a</w:t>
            </w:r>
          </w:p>
        </w:tc>
        <w:tc>
          <w:tcPr>
            <w:tcW w:w="1622" w:type="dxa"/>
            <w:vAlign w:val="center"/>
          </w:tcPr>
          <w:p>
            <w:pPr>
              <w:pStyle w:val="54"/>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lang w:val="en-US" w:eastAsia="zh-CN"/>
              </w:rPr>
            </w:pPr>
            <w:r>
              <w:rPr>
                <w:rFonts w:hint="default" w:hAnsi="宋体" w:cs="宋体"/>
                <w:snapToGrid w:val="0"/>
                <w:color w:val="auto"/>
                <w:kern w:val="21"/>
                <w:szCs w:val="21"/>
                <w:lang w:val="en-US" w:eastAsia="zh-CN"/>
              </w:rPr>
              <w:t>0</w:t>
            </w:r>
          </w:p>
        </w:tc>
        <w:tc>
          <w:tcPr>
            <w:tcW w:w="1787" w:type="dxa"/>
            <w:vAlign w:val="center"/>
          </w:tcPr>
          <w:p>
            <w:pPr>
              <w:pStyle w:val="54"/>
              <w:keepNext w:val="0"/>
              <w:keepLines w:val="0"/>
              <w:suppressLineNumbers w:val="0"/>
              <w:spacing w:before="0" w:beforeLines="0" w:beforeAutospacing="0" w:after="0" w:afterLines="0" w:afterAutospacing="0" w:line="240" w:lineRule="auto"/>
              <w:ind w:left="0" w:leftChars="0" w:right="0" w:rightChars="0"/>
              <w:rPr>
                <w:rFonts w:hint="default" w:ascii="宋体" w:hAnsi="宋体" w:eastAsia="宋体" w:cs="宋体"/>
                <w:color w:val="auto"/>
                <w:kern w:val="0"/>
                <w:sz w:val="21"/>
                <w:szCs w:val="21"/>
                <w:lang w:val="en-US" w:eastAsia="zh-CN" w:bidi="ar-SA"/>
              </w:rPr>
            </w:pPr>
            <w:r>
              <w:rPr>
                <w:rFonts w:hint="default" w:hAnsi="宋体" w:cs="宋体"/>
                <w:color w:val="auto"/>
                <w:szCs w:val="21"/>
                <w:lang w:val="en-US" w:eastAsia="zh-CN"/>
              </w:rPr>
              <w:t>0.005t/a</w:t>
            </w:r>
          </w:p>
        </w:tc>
        <w:tc>
          <w:tcPr>
            <w:tcW w:w="1793" w:type="dxa"/>
            <w:vAlign w:val="center"/>
          </w:tcPr>
          <w:p>
            <w:pPr>
              <w:pStyle w:val="54"/>
              <w:keepNext w:val="0"/>
              <w:keepLines w:val="0"/>
              <w:suppressLineNumbers w:val="0"/>
              <w:spacing w:before="0" w:beforeLines="0" w:beforeAutospacing="0" w:after="0" w:afterLines="0" w:afterAutospacing="0" w:line="240" w:lineRule="auto"/>
              <w:ind w:left="0" w:leftChars="0" w:right="0" w:rightChars="0"/>
              <w:rPr>
                <w:rFonts w:hint="eastAsia" w:ascii="宋体" w:hAnsi="宋体" w:eastAsia="宋体" w:cs="宋体"/>
                <w:color w:val="auto"/>
                <w:kern w:val="0"/>
                <w:sz w:val="21"/>
                <w:szCs w:val="21"/>
                <w:lang w:val="en-US" w:eastAsia="zh-CN" w:bidi="ar-SA"/>
              </w:rPr>
            </w:pPr>
            <w:r>
              <w:rPr>
                <w:rFonts w:hint="default" w:hAnsi="宋体" w:cs="宋体"/>
                <w:color w:val="auto"/>
                <w:szCs w:val="21"/>
                <w:lang w:val="en-US" w:eastAsia="zh-CN"/>
              </w:rPr>
              <w:t>+0.005t/a</w:t>
            </w:r>
          </w:p>
        </w:tc>
      </w:tr>
    </w:tbl>
    <w:p>
      <w:pPr>
        <w:pStyle w:val="54"/>
        <w:spacing w:before="249" w:beforeLines="80" w:after="31"/>
        <w:jc w:val="left"/>
        <w:rPr>
          <w:rFonts w:hAnsi="宋体"/>
          <w:snapToGrid w:val="0"/>
          <w:color w:val="auto"/>
          <w:spacing w:val="-6"/>
          <w:kern w:val="21"/>
          <w:szCs w:val="21"/>
        </w:rPr>
      </w:pPr>
      <w:r>
        <w:rPr>
          <w:rFonts w:hAnsi="宋体"/>
          <w:snapToGrid w:val="0"/>
          <w:color w:val="auto"/>
          <w:kern w:val="21"/>
          <w:szCs w:val="21"/>
        </w:rPr>
        <w:t>注：</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3 \* GB3 \* MERGEFORMAT </w:instrText>
      </w:r>
      <w:r>
        <w:rPr>
          <w:rFonts w:hAnsi="宋体"/>
          <w:snapToGrid w:val="0"/>
          <w:color w:val="auto"/>
          <w:spacing w:val="-6"/>
          <w:kern w:val="21"/>
          <w:szCs w:val="21"/>
        </w:rPr>
        <w:fldChar w:fldCharType="separate"/>
      </w:r>
      <w:r>
        <w:rPr>
          <w:rFonts w:hint="eastAsia" w:hAnsi="宋体"/>
          <w:color w:val="auto"/>
          <w:szCs w:val="21"/>
        </w:rPr>
        <w:t>③</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4 \* GB3 \* MERGEFORMAT </w:instrText>
      </w:r>
      <w:r>
        <w:rPr>
          <w:rFonts w:hAnsi="宋体"/>
          <w:snapToGrid w:val="0"/>
          <w:color w:val="auto"/>
          <w:spacing w:val="-6"/>
          <w:kern w:val="21"/>
          <w:szCs w:val="21"/>
        </w:rPr>
        <w:fldChar w:fldCharType="separate"/>
      </w:r>
      <w:r>
        <w:rPr>
          <w:rFonts w:hint="eastAsia" w:hAnsi="宋体"/>
          <w:color w:val="auto"/>
          <w:szCs w:val="21"/>
        </w:rPr>
        <w:t>④</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5 \* GB3 \* MERGEFORMAT </w:instrText>
      </w:r>
      <w:r>
        <w:rPr>
          <w:rFonts w:hAnsi="宋体"/>
          <w:snapToGrid w:val="0"/>
          <w:color w:val="auto"/>
          <w:spacing w:val="-16"/>
          <w:kern w:val="21"/>
          <w:szCs w:val="21"/>
        </w:rPr>
        <w:fldChar w:fldCharType="separate"/>
      </w:r>
      <w:r>
        <w:rPr>
          <w:rFonts w:hint="eastAsia" w:hAnsi="宋体"/>
          <w:color w:val="auto"/>
          <w:szCs w:val="21"/>
        </w:rPr>
        <w:t>⑤</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7 \* GB3 \* MERGEFORMAT </w:instrText>
      </w:r>
      <w:r>
        <w:rPr>
          <w:rFonts w:hAnsi="宋体"/>
          <w:snapToGrid w:val="0"/>
          <w:color w:val="auto"/>
          <w:spacing w:val="-6"/>
          <w:kern w:val="21"/>
          <w:szCs w:val="21"/>
        </w:rPr>
        <w:fldChar w:fldCharType="separate"/>
      </w:r>
      <w:r>
        <w:rPr>
          <w:rFonts w:hint="eastAsia" w:hAnsi="宋体"/>
          <w:color w:val="auto"/>
          <w:szCs w:val="21"/>
        </w:rPr>
        <w:t>⑦</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p>
    <w:p>
      <w:pPr>
        <w:rPr>
          <w:color w:val="auto"/>
        </w:rPr>
      </w:pPr>
    </w:p>
    <w:p>
      <w:pPr>
        <w:rPr>
          <w:rFonts w:eastAsia="黑体"/>
          <w:color w:val="auto"/>
        </w:rPr>
      </w:pPr>
    </w:p>
    <w:sectPr>
      <w:pgSz w:w="16838" w:h="11906" w:orient="landscape"/>
      <w:pgMar w:top="1531" w:right="1304" w:bottom="1134" w:left="130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MingLiU">
    <w:altName w:val="Microsoft JhengHei"/>
    <w:panose1 w:val="02020509000000000000"/>
    <w:charset w:val="88"/>
    <w:family w:val="modern"/>
    <w:pitch w:val="default"/>
    <w:sig w:usb0="00000000" w:usb1="00000000" w:usb2="00000016" w:usb3="00000000" w:csb0="00100001" w:csb1="00000000"/>
  </w:font>
  <w:font w:name="Traditional Arabic">
    <w:panose1 w:val="02020603050405020304"/>
    <w:charset w:val="00"/>
    <w:family w:val="roman"/>
    <w:pitch w:val="default"/>
    <w:sig w:usb0="00006003" w:usb1="80000000" w:usb2="00000008" w:usb3="00000000" w:csb0="00000041" w:csb1="2008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auto"/>
    <w:pitch w:val="default"/>
    <w:sig w:usb0="E00002FF" w:usb1="420024FF" w:usb2="00000000" w:usb3="00000000" w:csb0="2000019F"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0"/>
      </w:rPr>
    </w:pPr>
    <w:r>
      <w:fldChar w:fldCharType="begin"/>
    </w:r>
    <w:r>
      <w:rPr>
        <w:rStyle w:val="30"/>
      </w:rPr>
      <w:instrText xml:space="preserve">PAGE  </w:instrText>
    </w:r>
    <w:r>
      <w:fldChar w:fldCharType="end"/>
    </w:r>
  </w:p>
  <w:p>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30"/>
        <w:rFonts w:ascii="宋体" w:hAnsi="宋体"/>
        <w:sz w:val="28"/>
        <w:szCs w:val="28"/>
      </w:rPr>
    </w:pPr>
    <w:r>
      <w:rPr>
        <w:rStyle w:val="30"/>
        <w:rFonts w:hint="eastAsia" w:ascii="宋体" w:hAnsi="宋体"/>
        <w:sz w:val="28"/>
        <w:szCs w:val="28"/>
      </w:rPr>
      <w:t>—</w:t>
    </w:r>
    <w:r>
      <w:rPr>
        <w:rStyle w:val="30"/>
        <w:rFonts w:hint="eastAsia" w:ascii="宋体" w:hAnsi="宋体"/>
        <w:sz w:val="20"/>
      </w:rPr>
      <w:t xml:space="preserve">  </w:t>
    </w:r>
    <w:r>
      <w:rPr>
        <w:rFonts w:ascii="宋体" w:hAnsi="宋体"/>
        <w:sz w:val="26"/>
        <w:szCs w:val="26"/>
      </w:rPr>
      <w:fldChar w:fldCharType="begin"/>
    </w:r>
    <w:r>
      <w:rPr>
        <w:rStyle w:val="30"/>
        <w:rFonts w:ascii="宋体" w:hAnsi="宋体"/>
        <w:sz w:val="26"/>
        <w:szCs w:val="26"/>
      </w:rPr>
      <w:instrText xml:space="preserve">PAGE  </w:instrText>
    </w:r>
    <w:r>
      <w:rPr>
        <w:rFonts w:ascii="宋体" w:hAnsi="宋体"/>
        <w:sz w:val="26"/>
        <w:szCs w:val="26"/>
      </w:rPr>
      <w:fldChar w:fldCharType="separate"/>
    </w:r>
    <w:r>
      <w:rPr>
        <w:rStyle w:val="30"/>
        <w:rFonts w:ascii="宋体" w:hAnsi="宋体"/>
        <w:sz w:val="26"/>
        <w:szCs w:val="26"/>
      </w:rPr>
      <w:t>55</w:t>
    </w:r>
    <w:r>
      <w:rPr>
        <w:rFonts w:ascii="宋体" w:hAnsi="宋体"/>
        <w:sz w:val="26"/>
        <w:szCs w:val="26"/>
      </w:rPr>
      <w:fldChar w:fldCharType="end"/>
    </w:r>
    <w:r>
      <w:rPr>
        <w:rStyle w:val="30"/>
        <w:rFonts w:hint="eastAsia" w:ascii="宋体" w:hAnsi="宋体"/>
        <w:sz w:val="20"/>
      </w:rPr>
      <w:t xml:space="preserve">  </w:t>
    </w:r>
    <w:r>
      <w:rPr>
        <w:rStyle w:val="30"/>
        <w:rFonts w:hint="eastAsia" w:ascii="宋体" w:hAnsi="宋体"/>
        <w:sz w:val="28"/>
        <w:szCs w:val="28"/>
      </w:rPr>
      <w:t>—</w:t>
    </w:r>
  </w:p>
  <w:p>
    <w:pPr>
      <w:pStyle w:val="18"/>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30"/>
        <w:rFonts w:ascii="宋体" w:hAnsi="宋体"/>
        <w:sz w:val="28"/>
        <w:szCs w:val="28"/>
      </w:rPr>
    </w:pPr>
    <w:r>
      <w:rPr>
        <w:rStyle w:val="30"/>
        <w:rFonts w:hint="eastAsia" w:ascii="宋体" w:hAnsi="宋体"/>
        <w:sz w:val="28"/>
        <w:szCs w:val="28"/>
      </w:rPr>
      <w:t>—</w:t>
    </w:r>
    <w:r>
      <w:rPr>
        <w:rStyle w:val="30"/>
        <w:rFonts w:hint="eastAsia" w:ascii="宋体" w:hAnsi="宋体"/>
        <w:sz w:val="20"/>
      </w:rPr>
      <w:t xml:space="preserve">  </w:t>
    </w:r>
    <w:r>
      <w:rPr>
        <w:rFonts w:ascii="宋体" w:hAnsi="宋体"/>
        <w:sz w:val="26"/>
        <w:szCs w:val="26"/>
      </w:rPr>
      <w:fldChar w:fldCharType="begin"/>
    </w:r>
    <w:r>
      <w:rPr>
        <w:rStyle w:val="30"/>
        <w:rFonts w:ascii="宋体" w:hAnsi="宋体"/>
        <w:sz w:val="26"/>
        <w:szCs w:val="26"/>
      </w:rPr>
      <w:instrText xml:space="preserve">PAGE  </w:instrText>
    </w:r>
    <w:r>
      <w:rPr>
        <w:rFonts w:ascii="宋体" w:hAnsi="宋体"/>
        <w:sz w:val="26"/>
        <w:szCs w:val="26"/>
      </w:rPr>
      <w:fldChar w:fldCharType="separate"/>
    </w:r>
    <w:r>
      <w:rPr>
        <w:rStyle w:val="30"/>
        <w:rFonts w:ascii="宋体" w:hAnsi="宋体"/>
        <w:sz w:val="26"/>
        <w:szCs w:val="26"/>
      </w:rPr>
      <w:t>58</w:t>
    </w:r>
    <w:r>
      <w:rPr>
        <w:rFonts w:ascii="宋体" w:hAnsi="宋体"/>
        <w:sz w:val="26"/>
        <w:szCs w:val="26"/>
      </w:rPr>
      <w:fldChar w:fldCharType="end"/>
    </w:r>
    <w:r>
      <w:rPr>
        <w:rStyle w:val="30"/>
        <w:rFonts w:hint="eastAsia" w:ascii="宋体" w:hAnsi="宋体"/>
        <w:sz w:val="20"/>
      </w:rPr>
      <w:t xml:space="preserve">  </w:t>
    </w:r>
    <w:r>
      <w:rPr>
        <w:rStyle w:val="30"/>
        <w:rFonts w:hint="eastAsia" w:ascii="宋体" w:hAnsi="宋体"/>
        <w:sz w:val="28"/>
        <w:szCs w:val="28"/>
      </w:rPr>
      <w:t>—</w:t>
    </w:r>
  </w:p>
  <w:p>
    <w:pPr>
      <w:pStyle w:val="18"/>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37B7B"/>
    <w:multiLevelType w:val="singleLevel"/>
    <w:tmpl w:val="8DD37B7B"/>
    <w:lvl w:ilvl="0" w:tentative="0">
      <w:start w:val="5"/>
      <w:numFmt w:val="decimal"/>
      <w:suff w:val="nothing"/>
      <w:lvlText w:val="（%1）"/>
      <w:lvlJc w:val="left"/>
    </w:lvl>
  </w:abstractNum>
  <w:abstractNum w:abstractNumId="1">
    <w:nsid w:val="F75C6923"/>
    <w:multiLevelType w:val="singleLevel"/>
    <w:tmpl w:val="F75C6923"/>
    <w:lvl w:ilvl="0" w:tentative="0">
      <w:start w:val="1"/>
      <w:numFmt w:val="decimal"/>
      <w:suff w:val="nothing"/>
      <w:lvlText w:val="%1、"/>
      <w:lvlJc w:val="left"/>
    </w:lvl>
  </w:abstractNum>
  <w:abstractNum w:abstractNumId="2">
    <w:nsid w:val="FC746C90"/>
    <w:multiLevelType w:val="multilevel"/>
    <w:tmpl w:val="FC746C90"/>
    <w:lvl w:ilvl="0" w:tentative="0">
      <w:start w:val="1"/>
      <w:numFmt w:val="decimal"/>
      <w:lvlText w:val="%1."/>
      <w:lvlJc w:val="left"/>
      <w:pPr>
        <w:tabs>
          <w:tab w:val="left" w:pos="0"/>
        </w:tabs>
        <w:ind w:left="0" w:firstLine="0"/>
      </w:pPr>
      <w:rPr>
        <w:rFonts w:hint="eastAsia"/>
      </w:rPr>
    </w:lvl>
    <w:lvl w:ilvl="1" w:tentative="0">
      <w:start w:val="1"/>
      <w:numFmt w:val="decimal"/>
      <w:lvlText w:val="%1.%2"/>
      <w:lvlJc w:val="left"/>
      <w:pPr>
        <w:tabs>
          <w:tab w:val="left" w:pos="0"/>
        </w:tabs>
        <w:ind w:left="0" w:firstLine="0"/>
      </w:pPr>
      <w:rPr>
        <w:rFonts w:hint="eastAsia"/>
      </w:rPr>
    </w:lvl>
    <w:lvl w:ilvl="2" w:tentative="0">
      <w:start w:val="1"/>
      <w:numFmt w:val="decimal"/>
      <w:pStyle w:val="5"/>
      <w:lvlText w:val="%1.%2.%3"/>
      <w:lvlJc w:val="left"/>
      <w:pPr>
        <w:tabs>
          <w:tab w:val="left" w:pos="0"/>
        </w:tabs>
        <w:ind w:left="0" w:firstLine="0"/>
      </w:pPr>
      <w:rPr>
        <w:rFonts w:hint="eastAsia"/>
      </w:rPr>
    </w:lvl>
    <w:lvl w:ilvl="3" w:tentative="0">
      <w:start w:val="1"/>
      <w:numFmt w:val="decimal"/>
      <w:lvlText w:val="%1.%2.%3.%4"/>
      <w:lvlJc w:val="left"/>
      <w:pPr>
        <w:tabs>
          <w:tab w:val="left" w:pos="1080"/>
        </w:tabs>
        <w:ind w:left="0" w:firstLine="0"/>
      </w:pPr>
      <w:rPr>
        <w:rFonts w:hint="default" w:ascii="Times New Roman" w:hAnsi="Times New Roman"/>
      </w:rPr>
    </w:lvl>
    <w:lvl w:ilvl="4" w:tentative="0">
      <w:start w:val="1"/>
      <w:numFmt w:val="decimal"/>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3">
    <w:nsid w:val="2F0D04AA"/>
    <w:multiLevelType w:val="singleLevel"/>
    <w:tmpl w:val="2F0D04AA"/>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EshMK7Q2Vjnh48UfMlp2S2my2bA=" w:salt="jyjY0YZyKKoz3HLVPk4ApA=="/>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yZTgxNWE4YTY3NTFjMWNhZDlhYTk2YTkyNjNlMTMifQ=="/>
  </w:docVars>
  <w:rsids>
    <w:rsidRoot w:val="00172A27"/>
    <w:rsid w:val="0000209B"/>
    <w:rsid w:val="00003B43"/>
    <w:rsid w:val="00003FC8"/>
    <w:rsid w:val="000060B3"/>
    <w:rsid w:val="00013334"/>
    <w:rsid w:val="00014154"/>
    <w:rsid w:val="00015F31"/>
    <w:rsid w:val="000178ED"/>
    <w:rsid w:val="00017C54"/>
    <w:rsid w:val="00020E17"/>
    <w:rsid w:val="0002233C"/>
    <w:rsid w:val="0002277C"/>
    <w:rsid w:val="000227D0"/>
    <w:rsid w:val="00024346"/>
    <w:rsid w:val="0002791D"/>
    <w:rsid w:val="00041B12"/>
    <w:rsid w:val="00041C75"/>
    <w:rsid w:val="0004364B"/>
    <w:rsid w:val="00045763"/>
    <w:rsid w:val="000509C0"/>
    <w:rsid w:val="00050FF2"/>
    <w:rsid w:val="0005373E"/>
    <w:rsid w:val="0005416C"/>
    <w:rsid w:val="00056ACC"/>
    <w:rsid w:val="0006004D"/>
    <w:rsid w:val="0006074B"/>
    <w:rsid w:val="00061B1F"/>
    <w:rsid w:val="0006361A"/>
    <w:rsid w:val="000701D0"/>
    <w:rsid w:val="00071FC8"/>
    <w:rsid w:val="00072218"/>
    <w:rsid w:val="00072AFB"/>
    <w:rsid w:val="00072D47"/>
    <w:rsid w:val="000733C4"/>
    <w:rsid w:val="00074783"/>
    <w:rsid w:val="00076791"/>
    <w:rsid w:val="0008070B"/>
    <w:rsid w:val="000810AC"/>
    <w:rsid w:val="00081A02"/>
    <w:rsid w:val="00081E91"/>
    <w:rsid w:val="00082231"/>
    <w:rsid w:val="000828B6"/>
    <w:rsid w:val="00091151"/>
    <w:rsid w:val="00092D38"/>
    <w:rsid w:val="0009377B"/>
    <w:rsid w:val="00093799"/>
    <w:rsid w:val="000954B9"/>
    <w:rsid w:val="000963F3"/>
    <w:rsid w:val="000A20C9"/>
    <w:rsid w:val="000A34C1"/>
    <w:rsid w:val="000A43CF"/>
    <w:rsid w:val="000A454E"/>
    <w:rsid w:val="000A473A"/>
    <w:rsid w:val="000B058F"/>
    <w:rsid w:val="000B12B3"/>
    <w:rsid w:val="000B4467"/>
    <w:rsid w:val="000B4DB9"/>
    <w:rsid w:val="000C09AC"/>
    <w:rsid w:val="000C2052"/>
    <w:rsid w:val="000C47C8"/>
    <w:rsid w:val="000C5526"/>
    <w:rsid w:val="000C767F"/>
    <w:rsid w:val="000D012B"/>
    <w:rsid w:val="000D38C4"/>
    <w:rsid w:val="000D3E7D"/>
    <w:rsid w:val="000D4255"/>
    <w:rsid w:val="000D48F8"/>
    <w:rsid w:val="000D5A44"/>
    <w:rsid w:val="000E10E9"/>
    <w:rsid w:val="000E3ED2"/>
    <w:rsid w:val="000E7082"/>
    <w:rsid w:val="000E734E"/>
    <w:rsid w:val="000F21D7"/>
    <w:rsid w:val="000F6956"/>
    <w:rsid w:val="0011012D"/>
    <w:rsid w:val="00113C6B"/>
    <w:rsid w:val="00115BC0"/>
    <w:rsid w:val="00117411"/>
    <w:rsid w:val="00120A2E"/>
    <w:rsid w:val="001231B1"/>
    <w:rsid w:val="00123549"/>
    <w:rsid w:val="001247EA"/>
    <w:rsid w:val="00124B76"/>
    <w:rsid w:val="00131A0C"/>
    <w:rsid w:val="00131F42"/>
    <w:rsid w:val="00134672"/>
    <w:rsid w:val="001357F1"/>
    <w:rsid w:val="00136826"/>
    <w:rsid w:val="00140A14"/>
    <w:rsid w:val="00140FA8"/>
    <w:rsid w:val="0014269D"/>
    <w:rsid w:val="00142FEB"/>
    <w:rsid w:val="001439E7"/>
    <w:rsid w:val="00143A2D"/>
    <w:rsid w:val="00145A41"/>
    <w:rsid w:val="00151675"/>
    <w:rsid w:val="00152E36"/>
    <w:rsid w:val="001530C2"/>
    <w:rsid w:val="00157435"/>
    <w:rsid w:val="001603D1"/>
    <w:rsid w:val="00161BCA"/>
    <w:rsid w:val="0017163F"/>
    <w:rsid w:val="00174038"/>
    <w:rsid w:val="0017504D"/>
    <w:rsid w:val="00175A16"/>
    <w:rsid w:val="0017671A"/>
    <w:rsid w:val="00177123"/>
    <w:rsid w:val="00177422"/>
    <w:rsid w:val="00177B7C"/>
    <w:rsid w:val="00180AA5"/>
    <w:rsid w:val="00182F50"/>
    <w:rsid w:val="00183D5F"/>
    <w:rsid w:val="00184590"/>
    <w:rsid w:val="001867FE"/>
    <w:rsid w:val="001870D1"/>
    <w:rsid w:val="0018781E"/>
    <w:rsid w:val="001923D4"/>
    <w:rsid w:val="0019262D"/>
    <w:rsid w:val="00192856"/>
    <w:rsid w:val="00195D07"/>
    <w:rsid w:val="00196991"/>
    <w:rsid w:val="001A1B35"/>
    <w:rsid w:val="001A1CAF"/>
    <w:rsid w:val="001A254F"/>
    <w:rsid w:val="001A2968"/>
    <w:rsid w:val="001A37A9"/>
    <w:rsid w:val="001A48A2"/>
    <w:rsid w:val="001A6F61"/>
    <w:rsid w:val="001B0237"/>
    <w:rsid w:val="001B119B"/>
    <w:rsid w:val="001B3D85"/>
    <w:rsid w:val="001B6BFF"/>
    <w:rsid w:val="001B72B8"/>
    <w:rsid w:val="001C174F"/>
    <w:rsid w:val="001C1A40"/>
    <w:rsid w:val="001C1ABA"/>
    <w:rsid w:val="001C3DB9"/>
    <w:rsid w:val="001C69B3"/>
    <w:rsid w:val="001D034F"/>
    <w:rsid w:val="001D4470"/>
    <w:rsid w:val="001D5595"/>
    <w:rsid w:val="001D6119"/>
    <w:rsid w:val="001D734D"/>
    <w:rsid w:val="001D7874"/>
    <w:rsid w:val="001D7F22"/>
    <w:rsid w:val="001E06D8"/>
    <w:rsid w:val="001E0B69"/>
    <w:rsid w:val="001E4017"/>
    <w:rsid w:val="001E5DC6"/>
    <w:rsid w:val="001E7F85"/>
    <w:rsid w:val="001F0F17"/>
    <w:rsid w:val="001F14F6"/>
    <w:rsid w:val="001F1F16"/>
    <w:rsid w:val="001F3347"/>
    <w:rsid w:val="001F69E4"/>
    <w:rsid w:val="001F79D8"/>
    <w:rsid w:val="00201139"/>
    <w:rsid w:val="00203B4C"/>
    <w:rsid w:val="00205A8E"/>
    <w:rsid w:val="002125B4"/>
    <w:rsid w:val="0021301C"/>
    <w:rsid w:val="002155B8"/>
    <w:rsid w:val="00215C43"/>
    <w:rsid w:val="00216D39"/>
    <w:rsid w:val="00221B35"/>
    <w:rsid w:val="00222B05"/>
    <w:rsid w:val="00224839"/>
    <w:rsid w:val="002249B2"/>
    <w:rsid w:val="00226574"/>
    <w:rsid w:val="0022710F"/>
    <w:rsid w:val="002278EC"/>
    <w:rsid w:val="00231F6A"/>
    <w:rsid w:val="0023280E"/>
    <w:rsid w:val="00233B99"/>
    <w:rsid w:val="002377D1"/>
    <w:rsid w:val="00243243"/>
    <w:rsid w:val="002442DE"/>
    <w:rsid w:val="00244686"/>
    <w:rsid w:val="00247831"/>
    <w:rsid w:val="00247CDC"/>
    <w:rsid w:val="002506B0"/>
    <w:rsid w:val="002506BC"/>
    <w:rsid w:val="00252730"/>
    <w:rsid w:val="00254345"/>
    <w:rsid w:val="0025608E"/>
    <w:rsid w:val="0026005E"/>
    <w:rsid w:val="002612DA"/>
    <w:rsid w:val="002621DD"/>
    <w:rsid w:val="00264557"/>
    <w:rsid w:val="0026492A"/>
    <w:rsid w:val="00265174"/>
    <w:rsid w:val="00266F05"/>
    <w:rsid w:val="00274724"/>
    <w:rsid w:val="00274F7B"/>
    <w:rsid w:val="002766AD"/>
    <w:rsid w:val="002805AB"/>
    <w:rsid w:val="00283543"/>
    <w:rsid w:val="00284204"/>
    <w:rsid w:val="00291773"/>
    <w:rsid w:val="00292422"/>
    <w:rsid w:val="00295346"/>
    <w:rsid w:val="00295D58"/>
    <w:rsid w:val="00297EA2"/>
    <w:rsid w:val="002A168C"/>
    <w:rsid w:val="002A1AA7"/>
    <w:rsid w:val="002A2794"/>
    <w:rsid w:val="002A2B0C"/>
    <w:rsid w:val="002A321C"/>
    <w:rsid w:val="002A3DC7"/>
    <w:rsid w:val="002A5115"/>
    <w:rsid w:val="002A5522"/>
    <w:rsid w:val="002B02DA"/>
    <w:rsid w:val="002B1DF7"/>
    <w:rsid w:val="002B49E2"/>
    <w:rsid w:val="002B742A"/>
    <w:rsid w:val="002B7B00"/>
    <w:rsid w:val="002B7C44"/>
    <w:rsid w:val="002C1308"/>
    <w:rsid w:val="002C14E5"/>
    <w:rsid w:val="002C2B17"/>
    <w:rsid w:val="002C3A81"/>
    <w:rsid w:val="002C7B37"/>
    <w:rsid w:val="002D23EC"/>
    <w:rsid w:val="002D3DD0"/>
    <w:rsid w:val="002D7E9D"/>
    <w:rsid w:val="002E1F3A"/>
    <w:rsid w:val="002E225D"/>
    <w:rsid w:val="002E298A"/>
    <w:rsid w:val="002E5A5E"/>
    <w:rsid w:val="002F423A"/>
    <w:rsid w:val="002F5F8F"/>
    <w:rsid w:val="002F5FAA"/>
    <w:rsid w:val="002F69BF"/>
    <w:rsid w:val="00301978"/>
    <w:rsid w:val="0030301D"/>
    <w:rsid w:val="0030332C"/>
    <w:rsid w:val="003048F5"/>
    <w:rsid w:val="00304E84"/>
    <w:rsid w:val="003051C2"/>
    <w:rsid w:val="00312296"/>
    <w:rsid w:val="003122B9"/>
    <w:rsid w:val="00314F0E"/>
    <w:rsid w:val="00315914"/>
    <w:rsid w:val="00315B7F"/>
    <w:rsid w:val="00320056"/>
    <w:rsid w:val="00321D8E"/>
    <w:rsid w:val="00325928"/>
    <w:rsid w:val="003277FE"/>
    <w:rsid w:val="00332805"/>
    <w:rsid w:val="00332863"/>
    <w:rsid w:val="00333B07"/>
    <w:rsid w:val="0033684D"/>
    <w:rsid w:val="00336B1E"/>
    <w:rsid w:val="0033753B"/>
    <w:rsid w:val="00337B42"/>
    <w:rsid w:val="00341B42"/>
    <w:rsid w:val="0034348F"/>
    <w:rsid w:val="003437EB"/>
    <w:rsid w:val="00356653"/>
    <w:rsid w:val="0035743F"/>
    <w:rsid w:val="00357B64"/>
    <w:rsid w:val="00357BE2"/>
    <w:rsid w:val="0036170C"/>
    <w:rsid w:val="00361D99"/>
    <w:rsid w:val="00363955"/>
    <w:rsid w:val="00366E0F"/>
    <w:rsid w:val="003751C2"/>
    <w:rsid w:val="00375686"/>
    <w:rsid w:val="00376A14"/>
    <w:rsid w:val="00381A72"/>
    <w:rsid w:val="00382810"/>
    <w:rsid w:val="00384676"/>
    <w:rsid w:val="003856F0"/>
    <w:rsid w:val="00390857"/>
    <w:rsid w:val="00390D64"/>
    <w:rsid w:val="0039652D"/>
    <w:rsid w:val="00396DB3"/>
    <w:rsid w:val="003A0483"/>
    <w:rsid w:val="003A4BF3"/>
    <w:rsid w:val="003A6500"/>
    <w:rsid w:val="003A670D"/>
    <w:rsid w:val="003B420D"/>
    <w:rsid w:val="003B5045"/>
    <w:rsid w:val="003B5BA2"/>
    <w:rsid w:val="003C1681"/>
    <w:rsid w:val="003C2664"/>
    <w:rsid w:val="003C5C36"/>
    <w:rsid w:val="003C6947"/>
    <w:rsid w:val="003C6C16"/>
    <w:rsid w:val="003C7CB9"/>
    <w:rsid w:val="003D3CEB"/>
    <w:rsid w:val="003D6814"/>
    <w:rsid w:val="003D794D"/>
    <w:rsid w:val="003E13F2"/>
    <w:rsid w:val="003E2430"/>
    <w:rsid w:val="003E29FE"/>
    <w:rsid w:val="003E3058"/>
    <w:rsid w:val="003E41CA"/>
    <w:rsid w:val="003E6293"/>
    <w:rsid w:val="003E76A9"/>
    <w:rsid w:val="003F0179"/>
    <w:rsid w:val="003F0809"/>
    <w:rsid w:val="003F3AB5"/>
    <w:rsid w:val="003F4095"/>
    <w:rsid w:val="003F6A8C"/>
    <w:rsid w:val="003F755C"/>
    <w:rsid w:val="003F77BD"/>
    <w:rsid w:val="00400271"/>
    <w:rsid w:val="00404C61"/>
    <w:rsid w:val="00406F01"/>
    <w:rsid w:val="00414BE1"/>
    <w:rsid w:val="00416D50"/>
    <w:rsid w:val="00416FD5"/>
    <w:rsid w:val="00417772"/>
    <w:rsid w:val="00420E6A"/>
    <w:rsid w:val="004232F7"/>
    <w:rsid w:val="00425A9E"/>
    <w:rsid w:val="00426D6B"/>
    <w:rsid w:val="00427B7C"/>
    <w:rsid w:val="00431785"/>
    <w:rsid w:val="00431E6C"/>
    <w:rsid w:val="0043249F"/>
    <w:rsid w:val="004324CA"/>
    <w:rsid w:val="004335D1"/>
    <w:rsid w:val="00433CE7"/>
    <w:rsid w:val="00436F80"/>
    <w:rsid w:val="00440E25"/>
    <w:rsid w:val="00441EC0"/>
    <w:rsid w:val="004426AF"/>
    <w:rsid w:val="00446CB2"/>
    <w:rsid w:val="004476D4"/>
    <w:rsid w:val="0045128E"/>
    <w:rsid w:val="00451530"/>
    <w:rsid w:val="00451E0A"/>
    <w:rsid w:val="0045270F"/>
    <w:rsid w:val="00452738"/>
    <w:rsid w:val="00456091"/>
    <w:rsid w:val="00456AB1"/>
    <w:rsid w:val="00457250"/>
    <w:rsid w:val="0045748E"/>
    <w:rsid w:val="00466321"/>
    <w:rsid w:val="00467AB8"/>
    <w:rsid w:val="00467D74"/>
    <w:rsid w:val="0047032D"/>
    <w:rsid w:val="00471FC4"/>
    <w:rsid w:val="004735BF"/>
    <w:rsid w:val="00475071"/>
    <w:rsid w:val="00484B9B"/>
    <w:rsid w:val="0048559D"/>
    <w:rsid w:val="004855F6"/>
    <w:rsid w:val="0048661E"/>
    <w:rsid w:val="00486FA3"/>
    <w:rsid w:val="0049085E"/>
    <w:rsid w:val="004936E7"/>
    <w:rsid w:val="00494670"/>
    <w:rsid w:val="0049607D"/>
    <w:rsid w:val="00496472"/>
    <w:rsid w:val="004965A6"/>
    <w:rsid w:val="0049751E"/>
    <w:rsid w:val="004A0A9E"/>
    <w:rsid w:val="004A2616"/>
    <w:rsid w:val="004A3823"/>
    <w:rsid w:val="004A40EC"/>
    <w:rsid w:val="004A5802"/>
    <w:rsid w:val="004A6906"/>
    <w:rsid w:val="004A73A2"/>
    <w:rsid w:val="004A7831"/>
    <w:rsid w:val="004B2DE1"/>
    <w:rsid w:val="004B5A82"/>
    <w:rsid w:val="004C1C36"/>
    <w:rsid w:val="004C2FE9"/>
    <w:rsid w:val="004C435F"/>
    <w:rsid w:val="004C5FFF"/>
    <w:rsid w:val="004E08F2"/>
    <w:rsid w:val="004E2726"/>
    <w:rsid w:val="004E468B"/>
    <w:rsid w:val="004E6946"/>
    <w:rsid w:val="004F15FF"/>
    <w:rsid w:val="004F1AD8"/>
    <w:rsid w:val="00500F8E"/>
    <w:rsid w:val="00501EEB"/>
    <w:rsid w:val="00503447"/>
    <w:rsid w:val="005039CB"/>
    <w:rsid w:val="005048CC"/>
    <w:rsid w:val="00504CCC"/>
    <w:rsid w:val="00504DBC"/>
    <w:rsid w:val="0050558F"/>
    <w:rsid w:val="00506286"/>
    <w:rsid w:val="00507E7B"/>
    <w:rsid w:val="00510813"/>
    <w:rsid w:val="00511990"/>
    <w:rsid w:val="00511DE0"/>
    <w:rsid w:val="00514870"/>
    <w:rsid w:val="00514B9B"/>
    <w:rsid w:val="00516EB1"/>
    <w:rsid w:val="00517F02"/>
    <w:rsid w:val="00520AF3"/>
    <w:rsid w:val="00524303"/>
    <w:rsid w:val="005258A2"/>
    <w:rsid w:val="005258F9"/>
    <w:rsid w:val="00530E9A"/>
    <w:rsid w:val="00532EA5"/>
    <w:rsid w:val="00533C6A"/>
    <w:rsid w:val="005356C6"/>
    <w:rsid w:val="005401AE"/>
    <w:rsid w:val="005409FB"/>
    <w:rsid w:val="00541766"/>
    <w:rsid w:val="005421CA"/>
    <w:rsid w:val="00542E07"/>
    <w:rsid w:val="00543319"/>
    <w:rsid w:val="00543FEC"/>
    <w:rsid w:val="00544E27"/>
    <w:rsid w:val="00545424"/>
    <w:rsid w:val="00554A7B"/>
    <w:rsid w:val="0055572C"/>
    <w:rsid w:val="005575CA"/>
    <w:rsid w:val="0056106A"/>
    <w:rsid w:val="00561942"/>
    <w:rsid w:val="005646CC"/>
    <w:rsid w:val="00565DC2"/>
    <w:rsid w:val="00566D6D"/>
    <w:rsid w:val="00567168"/>
    <w:rsid w:val="00571DBC"/>
    <w:rsid w:val="005720AE"/>
    <w:rsid w:val="005723BD"/>
    <w:rsid w:val="0058334C"/>
    <w:rsid w:val="005919B9"/>
    <w:rsid w:val="00594D77"/>
    <w:rsid w:val="005969E4"/>
    <w:rsid w:val="005A06B7"/>
    <w:rsid w:val="005A1759"/>
    <w:rsid w:val="005A1CF8"/>
    <w:rsid w:val="005A38B0"/>
    <w:rsid w:val="005A62CB"/>
    <w:rsid w:val="005A68A7"/>
    <w:rsid w:val="005A7F14"/>
    <w:rsid w:val="005B16CE"/>
    <w:rsid w:val="005B4DE7"/>
    <w:rsid w:val="005B6176"/>
    <w:rsid w:val="005C04D4"/>
    <w:rsid w:val="005C198D"/>
    <w:rsid w:val="005C5133"/>
    <w:rsid w:val="005D03C5"/>
    <w:rsid w:val="005D1C85"/>
    <w:rsid w:val="005D3361"/>
    <w:rsid w:val="005D36AB"/>
    <w:rsid w:val="005D583E"/>
    <w:rsid w:val="005E1BBF"/>
    <w:rsid w:val="005E635F"/>
    <w:rsid w:val="005F007D"/>
    <w:rsid w:val="005F1424"/>
    <w:rsid w:val="005F51E2"/>
    <w:rsid w:val="00601127"/>
    <w:rsid w:val="00601B02"/>
    <w:rsid w:val="006061DA"/>
    <w:rsid w:val="00607A2E"/>
    <w:rsid w:val="006123A3"/>
    <w:rsid w:val="0061320C"/>
    <w:rsid w:val="00617CC3"/>
    <w:rsid w:val="00620455"/>
    <w:rsid w:val="00620FFF"/>
    <w:rsid w:val="00622665"/>
    <w:rsid w:val="00623940"/>
    <w:rsid w:val="0062587C"/>
    <w:rsid w:val="00630936"/>
    <w:rsid w:val="00632DAD"/>
    <w:rsid w:val="006377A6"/>
    <w:rsid w:val="00637A3D"/>
    <w:rsid w:val="00637C96"/>
    <w:rsid w:val="006411EF"/>
    <w:rsid w:val="006417A4"/>
    <w:rsid w:val="006419AB"/>
    <w:rsid w:val="00643771"/>
    <w:rsid w:val="00651EEF"/>
    <w:rsid w:val="00654311"/>
    <w:rsid w:val="00661A65"/>
    <w:rsid w:val="006620D8"/>
    <w:rsid w:val="006628A8"/>
    <w:rsid w:val="0066662F"/>
    <w:rsid w:val="00666AE3"/>
    <w:rsid w:val="00673FD1"/>
    <w:rsid w:val="006748B8"/>
    <w:rsid w:val="006775C3"/>
    <w:rsid w:val="006804C7"/>
    <w:rsid w:val="00681BE1"/>
    <w:rsid w:val="006827D9"/>
    <w:rsid w:val="00683EDF"/>
    <w:rsid w:val="00683F0B"/>
    <w:rsid w:val="006853DA"/>
    <w:rsid w:val="0068711A"/>
    <w:rsid w:val="00687A08"/>
    <w:rsid w:val="0069290A"/>
    <w:rsid w:val="006942BF"/>
    <w:rsid w:val="00694CC9"/>
    <w:rsid w:val="00695FB1"/>
    <w:rsid w:val="0069689A"/>
    <w:rsid w:val="0069775A"/>
    <w:rsid w:val="00697813"/>
    <w:rsid w:val="006A26CE"/>
    <w:rsid w:val="006A3EE8"/>
    <w:rsid w:val="006A6875"/>
    <w:rsid w:val="006A7033"/>
    <w:rsid w:val="006A72BF"/>
    <w:rsid w:val="006A762D"/>
    <w:rsid w:val="006B03F2"/>
    <w:rsid w:val="006B128E"/>
    <w:rsid w:val="006B37DC"/>
    <w:rsid w:val="006B4F68"/>
    <w:rsid w:val="006B5154"/>
    <w:rsid w:val="006C0592"/>
    <w:rsid w:val="006C0813"/>
    <w:rsid w:val="006C1BC9"/>
    <w:rsid w:val="006C1C06"/>
    <w:rsid w:val="006C21E7"/>
    <w:rsid w:val="006C272E"/>
    <w:rsid w:val="006C3020"/>
    <w:rsid w:val="006C388B"/>
    <w:rsid w:val="006C3A3B"/>
    <w:rsid w:val="006C5479"/>
    <w:rsid w:val="006D13B5"/>
    <w:rsid w:val="006D4166"/>
    <w:rsid w:val="006D76A1"/>
    <w:rsid w:val="006E04B5"/>
    <w:rsid w:val="006E12FF"/>
    <w:rsid w:val="006E1812"/>
    <w:rsid w:val="006E1855"/>
    <w:rsid w:val="006E1A10"/>
    <w:rsid w:val="006E23C7"/>
    <w:rsid w:val="006E2C2F"/>
    <w:rsid w:val="006E446E"/>
    <w:rsid w:val="006E607E"/>
    <w:rsid w:val="006E71AB"/>
    <w:rsid w:val="006E7EF6"/>
    <w:rsid w:val="006F2159"/>
    <w:rsid w:val="006F6C18"/>
    <w:rsid w:val="0070079F"/>
    <w:rsid w:val="00701AB1"/>
    <w:rsid w:val="007028DC"/>
    <w:rsid w:val="007062E4"/>
    <w:rsid w:val="00706C5D"/>
    <w:rsid w:val="00707AAB"/>
    <w:rsid w:val="00707F19"/>
    <w:rsid w:val="00712ABB"/>
    <w:rsid w:val="00715A93"/>
    <w:rsid w:val="00716114"/>
    <w:rsid w:val="007170C8"/>
    <w:rsid w:val="007177E8"/>
    <w:rsid w:val="00723652"/>
    <w:rsid w:val="00730EE3"/>
    <w:rsid w:val="00732922"/>
    <w:rsid w:val="00732E8F"/>
    <w:rsid w:val="00733624"/>
    <w:rsid w:val="007368C9"/>
    <w:rsid w:val="00737586"/>
    <w:rsid w:val="00743C88"/>
    <w:rsid w:val="00744A99"/>
    <w:rsid w:val="0074519B"/>
    <w:rsid w:val="0075162E"/>
    <w:rsid w:val="00751A04"/>
    <w:rsid w:val="00754034"/>
    <w:rsid w:val="007551D1"/>
    <w:rsid w:val="00756556"/>
    <w:rsid w:val="007618C4"/>
    <w:rsid w:val="007622CD"/>
    <w:rsid w:val="0076418A"/>
    <w:rsid w:val="00764405"/>
    <w:rsid w:val="00767980"/>
    <w:rsid w:val="00770316"/>
    <w:rsid w:val="00770B19"/>
    <w:rsid w:val="007726F6"/>
    <w:rsid w:val="00772E0E"/>
    <w:rsid w:val="0077463F"/>
    <w:rsid w:val="007836EA"/>
    <w:rsid w:val="00783C4C"/>
    <w:rsid w:val="00784CDA"/>
    <w:rsid w:val="00786CA0"/>
    <w:rsid w:val="0078768E"/>
    <w:rsid w:val="007906C4"/>
    <w:rsid w:val="00793341"/>
    <w:rsid w:val="00793632"/>
    <w:rsid w:val="007940EA"/>
    <w:rsid w:val="007967E8"/>
    <w:rsid w:val="007A2170"/>
    <w:rsid w:val="007A22BF"/>
    <w:rsid w:val="007A3323"/>
    <w:rsid w:val="007A5730"/>
    <w:rsid w:val="007A7127"/>
    <w:rsid w:val="007B3500"/>
    <w:rsid w:val="007B53DC"/>
    <w:rsid w:val="007B6248"/>
    <w:rsid w:val="007B66B5"/>
    <w:rsid w:val="007B72B8"/>
    <w:rsid w:val="007B7959"/>
    <w:rsid w:val="007B7A58"/>
    <w:rsid w:val="007C040F"/>
    <w:rsid w:val="007C1026"/>
    <w:rsid w:val="007C21B5"/>
    <w:rsid w:val="007C387B"/>
    <w:rsid w:val="007C4311"/>
    <w:rsid w:val="007C73D6"/>
    <w:rsid w:val="007C78AB"/>
    <w:rsid w:val="007D59A0"/>
    <w:rsid w:val="007E0100"/>
    <w:rsid w:val="007E174A"/>
    <w:rsid w:val="007E4BD2"/>
    <w:rsid w:val="007E668B"/>
    <w:rsid w:val="007E6F7E"/>
    <w:rsid w:val="007F01EB"/>
    <w:rsid w:val="007F11BB"/>
    <w:rsid w:val="007F5FEA"/>
    <w:rsid w:val="00801393"/>
    <w:rsid w:val="008018DE"/>
    <w:rsid w:val="00802F88"/>
    <w:rsid w:val="0080605F"/>
    <w:rsid w:val="0080795B"/>
    <w:rsid w:val="0081022A"/>
    <w:rsid w:val="0081293E"/>
    <w:rsid w:val="0081427E"/>
    <w:rsid w:val="00815465"/>
    <w:rsid w:val="008162CA"/>
    <w:rsid w:val="008164C2"/>
    <w:rsid w:val="00817E9A"/>
    <w:rsid w:val="00817FBB"/>
    <w:rsid w:val="00822A9A"/>
    <w:rsid w:val="00823543"/>
    <w:rsid w:val="0083050D"/>
    <w:rsid w:val="008306BD"/>
    <w:rsid w:val="00831A80"/>
    <w:rsid w:val="00833743"/>
    <w:rsid w:val="008340A4"/>
    <w:rsid w:val="0083543C"/>
    <w:rsid w:val="00835EC3"/>
    <w:rsid w:val="00840B95"/>
    <w:rsid w:val="008413AD"/>
    <w:rsid w:val="00843A04"/>
    <w:rsid w:val="00852FB9"/>
    <w:rsid w:val="00853AC0"/>
    <w:rsid w:val="008609E2"/>
    <w:rsid w:val="008611C6"/>
    <w:rsid w:val="0086197B"/>
    <w:rsid w:val="00865656"/>
    <w:rsid w:val="0087135F"/>
    <w:rsid w:val="008719BF"/>
    <w:rsid w:val="008721A2"/>
    <w:rsid w:val="00872BA5"/>
    <w:rsid w:val="00872D94"/>
    <w:rsid w:val="008733DC"/>
    <w:rsid w:val="00877009"/>
    <w:rsid w:val="00877CF5"/>
    <w:rsid w:val="00880364"/>
    <w:rsid w:val="00881AB3"/>
    <w:rsid w:val="0088308F"/>
    <w:rsid w:val="00887B9B"/>
    <w:rsid w:val="00891592"/>
    <w:rsid w:val="00891E9E"/>
    <w:rsid w:val="00895194"/>
    <w:rsid w:val="00895ED5"/>
    <w:rsid w:val="008A2F68"/>
    <w:rsid w:val="008B0BD5"/>
    <w:rsid w:val="008B0C3A"/>
    <w:rsid w:val="008B1A6D"/>
    <w:rsid w:val="008B1F99"/>
    <w:rsid w:val="008B4FA6"/>
    <w:rsid w:val="008B5150"/>
    <w:rsid w:val="008B5282"/>
    <w:rsid w:val="008B5736"/>
    <w:rsid w:val="008B614F"/>
    <w:rsid w:val="008B7C17"/>
    <w:rsid w:val="008C2421"/>
    <w:rsid w:val="008C2D01"/>
    <w:rsid w:val="008C40E6"/>
    <w:rsid w:val="008C4E97"/>
    <w:rsid w:val="008D0F7A"/>
    <w:rsid w:val="008D4F3C"/>
    <w:rsid w:val="008D5427"/>
    <w:rsid w:val="008D63A8"/>
    <w:rsid w:val="008D68E4"/>
    <w:rsid w:val="008E0438"/>
    <w:rsid w:val="008E0506"/>
    <w:rsid w:val="008E0CFF"/>
    <w:rsid w:val="008E1613"/>
    <w:rsid w:val="008E1B33"/>
    <w:rsid w:val="008E5D6B"/>
    <w:rsid w:val="008E7468"/>
    <w:rsid w:val="008E76F0"/>
    <w:rsid w:val="008F073A"/>
    <w:rsid w:val="008F15FE"/>
    <w:rsid w:val="008F2D29"/>
    <w:rsid w:val="008F4331"/>
    <w:rsid w:val="008F5187"/>
    <w:rsid w:val="008F60D8"/>
    <w:rsid w:val="008F67A6"/>
    <w:rsid w:val="00902727"/>
    <w:rsid w:val="0090312B"/>
    <w:rsid w:val="009051B4"/>
    <w:rsid w:val="00905987"/>
    <w:rsid w:val="00907B79"/>
    <w:rsid w:val="00911426"/>
    <w:rsid w:val="0091167E"/>
    <w:rsid w:val="00911C1B"/>
    <w:rsid w:val="00913261"/>
    <w:rsid w:val="0091706A"/>
    <w:rsid w:val="0091736D"/>
    <w:rsid w:val="00921555"/>
    <w:rsid w:val="00922D30"/>
    <w:rsid w:val="0092767B"/>
    <w:rsid w:val="00930092"/>
    <w:rsid w:val="00930293"/>
    <w:rsid w:val="0093037A"/>
    <w:rsid w:val="00932AC8"/>
    <w:rsid w:val="00932B59"/>
    <w:rsid w:val="0094154D"/>
    <w:rsid w:val="009442E9"/>
    <w:rsid w:val="00946BB1"/>
    <w:rsid w:val="0095155F"/>
    <w:rsid w:val="00953797"/>
    <w:rsid w:val="00954429"/>
    <w:rsid w:val="00955615"/>
    <w:rsid w:val="009558CE"/>
    <w:rsid w:val="009563CE"/>
    <w:rsid w:val="0096170F"/>
    <w:rsid w:val="00966210"/>
    <w:rsid w:val="009677B1"/>
    <w:rsid w:val="0097236B"/>
    <w:rsid w:val="00973840"/>
    <w:rsid w:val="00976328"/>
    <w:rsid w:val="009766B7"/>
    <w:rsid w:val="0097680D"/>
    <w:rsid w:val="00976BB7"/>
    <w:rsid w:val="009814DF"/>
    <w:rsid w:val="00982438"/>
    <w:rsid w:val="0098350F"/>
    <w:rsid w:val="0098404C"/>
    <w:rsid w:val="00985283"/>
    <w:rsid w:val="009909F7"/>
    <w:rsid w:val="00991FC0"/>
    <w:rsid w:val="00993061"/>
    <w:rsid w:val="00993519"/>
    <w:rsid w:val="00995992"/>
    <w:rsid w:val="009A03E5"/>
    <w:rsid w:val="009A0BC2"/>
    <w:rsid w:val="009A0F3B"/>
    <w:rsid w:val="009A1BB4"/>
    <w:rsid w:val="009A2462"/>
    <w:rsid w:val="009A2628"/>
    <w:rsid w:val="009A3200"/>
    <w:rsid w:val="009A3540"/>
    <w:rsid w:val="009B0897"/>
    <w:rsid w:val="009B2526"/>
    <w:rsid w:val="009B2EEE"/>
    <w:rsid w:val="009B7BD9"/>
    <w:rsid w:val="009C133E"/>
    <w:rsid w:val="009C3EAD"/>
    <w:rsid w:val="009C7DD5"/>
    <w:rsid w:val="009D24D3"/>
    <w:rsid w:val="009D2555"/>
    <w:rsid w:val="009D40CF"/>
    <w:rsid w:val="009D5CB1"/>
    <w:rsid w:val="009D7BC7"/>
    <w:rsid w:val="009E227D"/>
    <w:rsid w:val="009E5019"/>
    <w:rsid w:val="009E649F"/>
    <w:rsid w:val="009F6CDC"/>
    <w:rsid w:val="009F77BE"/>
    <w:rsid w:val="00A0019E"/>
    <w:rsid w:val="00A04F1B"/>
    <w:rsid w:val="00A0501B"/>
    <w:rsid w:val="00A0690A"/>
    <w:rsid w:val="00A075B5"/>
    <w:rsid w:val="00A10EAA"/>
    <w:rsid w:val="00A11136"/>
    <w:rsid w:val="00A11712"/>
    <w:rsid w:val="00A145CD"/>
    <w:rsid w:val="00A14947"/>
    <w:rsid w:val="00A17C5E"/>
    <w:rsid w:val="00A235D6"/>
    <w:rsid w:val="00A26571"/>
    <w:rsid w:val="00A32A83"/>
    <w:rsid w:val="00A33B25"/>
    <w:rsid w:val="00A368DB"/>
    <w:rsid w:val="00A423AA"/>
    <w:rsid w:val="00A50304"/>
    <w:rsid w:val="00A53C3D"/>
    <w:rsid w:val="00A53EC6"/>
    <w:rsid w:val="00A55C0F"/>
    <w:rsid w:val="00A577FB"/>
    <w:rsid w:val="00A61435"/>
    <w:rsid w:val="00A62AB5"/>
    <w:rsid w:val="00A641FB"/>
    <w:rsid w:val="00A73AC8"/>
    <w:rsid w:val="00A73BCE"/>
    <w:rsid w:val="00A80333"/>
    <w:rsid w:val="00A80FB3"/>
    <w:rsid w:val="00A845DA"/>
    <w:rsid w:val="00A856A7"/>
    <w:rsid w:val="00A8713F"/>
    <w:rsid w:val="00A87605"/>
    <w:rsid w:val="00A90297"/>
    <w:rsid w:val="00A90BA1"/>
    <w:rsid w:val="00A94DFC"/>
    <w:rsid w:val="00A97A9A"/>
    <w:rsid w:val="00AA0671"/>
    <w:rsid w:val="00AA2531"/>
    <w:rsid w:val="00AA4438"/>
    <w:rsid w:val="00AA452F"/>
    <w:rsid w:val="00AA715D"/>
    <w:rsid w:val="00AB0A75"/>
    <w:rsid w:val="00AB1281"/>
    <w:rsid w:val="00AB14C2"/>
    <w:rsid w:val="00AB1E09"/>
    <w:rsid w:val="00AB4F29"/>
    <w:rsid w:val="00AB525C"/>
    <w:rsid w:val="00AB5330"/>
    <w:rsid w:val="00AB7747"/>
    <w:rsid w:val="00AB7E02"/>
    <w:rsid w:val="00AC14CE"/>
    <w:rsid w:val="00AC2A56"/>
    <w:rsid w:val="00AC3FF9"/>
    <w:rsid w:val="00AC4ADB"/>
    <w:rsid w:val="00AC5D1D"/>
    <w:rsid w:val="00AC7269"/>
    <w:rsid w:val="00AD055E"/>
    <w:rsid w:val="00AD37B7"/>
    <w:rsid w:val="00AD47A7"/>
    <w:rsid w:val="00AD6F22"/>
    <w:rsid w:val="00AE1E4E"/>
    <w:rsid w:val="00AE332D"/>
    <w:rsid w:val="00AF0CBF"/>
    <w:rsid w:val="00AF242E"/>
    <w:rsid w:val="00AF257F"/>
    <w:rsid w:val="00AF2827"/>
    <w:rsid w:val="00AF33CF"/>
    <w:rsid w:val="00AF4031"/>
    <w:rsid w:val="00AF417E"/>
    <w:rsid w:val="00AF4322"/>
    <w:rsid w:val="00AF4D50"/>
    <w:rsid w:val="00AF6179"/>
    <w:rsid w:val="00AF6E36"/>
    <w:rsid w:val="00AF763F"/>
    <w:rsid w:val="00B04B95"/>
    <w:rsid w:val="00B066C3"/>
    <w:rsid w:val="00B11464"/>
    <w:rsid w:val="00B1220A"/>
    <w:rsid w:val="00B1295A"/>
    <w:rsid w:val="00B137A5"/>
    <w:rsid w:val="00B14BB8"/>
    <w:rsid w:val="00B156B1"/>
    <w:rsid w:val="00B1573E"/>
    <w:rsid w:val="00B15F3E"/>
    <w:rsid w:val="00B1671B"/>
    <w:rsid w:val="00B20A45"/>
    <w:rsid w:val="00B20F35"/>
    <w:rsid w:val="00B22C5C"/>
    <w:rsid w:val="00B24F30"/>
    <w:rsid w:val="00B300EA"/>
    <w:rsid w:val="00B31ABF"/>
    <w:rsid w:val="00B33BE3"/>
    <w:rsid w:val="00B37D51"/>
    <w:rsid w:val="00B4334D"/>
    <w:rsid w:val="00B45F38"/>
    <w:rsid w:val="00B507B2"/>
    <w:rsid w:val="00B51A8F"/>
    <w:rsid w:val="00B53B5D"/>
    <w:rsid w:val="00B5598F"/>
    <w:rsid w:val="00B55F86"/>
    <w:rsid w:val="00B5674E"/>
    <w:rsid w:val="00B6055E"/>
    <w:rsid w:val="00B6317D"/>
    <w:rsid w:val="00B74E2F"/>
    <w:rsid w:val="00B7723F"/>
    <w:rsid w:val="00B80534"/>
    <w:rsid w:val="00B80C0C"/>
    <w:rsid w:val="00B82833"/>
    <w:rsid w:val="00B83293"/>
    <w:rsid w:val="00B8433C"/>
    <w:rsid w:val="00B86C3D"/>
    <w:rsid w:val="00B87491"/>
    <w:rsid w:val="00B901C8"/>
    <w:rsid w:val="00B93DC5"/>
    <w:rsid w:val="00B94D4D"/>
    <w:rsid w:val="00B96611"/>
    <w:rsid w:val="00B97D87"/>
    <w:rsid w:val="00BA0D9E"/>
    <w:rsid w:val="00BA29E9"/>
    <w:rsid w:val="00BA664B"/>
    <w:rsid w:val="00BA70A9"/>
    <w:rsid w:val="00BA7142"/>
    <w:rsid w:val="00BB237C"/>
    <w:rsid w:val="00BB41A3"/>
    <w:rsid w:val="00BB718E"/>
    <w:rsid w:val="00BC0E8B"/>
    <w:rsid w:val="00BC32DC"/>
    <w:rsid w:val="00BC35B6"/>
    <w:rsid w:val="00BC762F"/>
    <w:rsid w:val="00BD1B51"/>
    <w:rsid w:val="00BD2121"/>
    <w:rsid w:val="00BD22FC"/>
    <w:rsid w:val="00BD4596"/>
    <w:rsid w:val="00BD4CC4"/>
    <w:rsid w:val="00BE1405"/>
    <w:rsid w:val="00BE154F"/>
    <w:rsid w:val="00BE312D"/>
    <w:rsid w:val="00BF1C20"/>
    <w:rsid w:val="00BF7A26"/>
    <w:rsid w:val="00C01280"/>
    <w:rsid w:val="00C0152A"/>
    <w:rsid w:val="00C0278A"/>
    <w:rsid w:val="00C04F69"/>
    <w:rsid w:val="00C10578"/>
    <w:rsid w:val="00C12515"/>
    <w:rsid w:val="00C12B70"/>
    <w:rsid w:val="00C135BC"/>
    <w:rsid w:val="00C13687"/>
    <w:rsid w:val="00C15C95"/>
    <w:rsid w:val="00C20291"/>
    <w:rsid w:val="00C2284B"/>
    <w:rsid w:val="00C22A6B"/>
    <w:rsid w:val="00C23A7A"/>
    <w:rsid w:val="00C2596A"/>
    <w:rsid w:val="00C27537"/>
    <w:rsid w:val="00C31A65"/>
    <w:rsid w:val="00C328FE"/>
    <w:rsid w:val="00C33507"/>
    <w:rsid w:val="00C336DD"/>
    <w:rsid w:val="00C345CB"/>
    <w:rsid w:val="00C3649F"/>
    <w:rsid w:val="00C42251"/>
    <w:rsid w:val="00C42E4A"/>
    <w:rsid w:val="00C4409D"/>
    <w:rsid w:val="00C44E72"/>
    <w:rsid w:val="00C45A06"/>
    <w:rsid w:val="00C4735D"/>
    <w:rsid w:val="00C47E5B"/>
    <w:rsid w:val="00C5118E"/>
    <w:rsid w:val="00C56B8E"/>
    <w:rsid w:val="00C60848"/>
    <w:rsid w:val="00C61E4B"/>
    <w:rsid w:val="00C62173"/>
    <w:rsid w:val="00C62CDA"/>
    <w:rsid w:val="00C63114"/>
    <w:rsid w:val="00C646DC"/>
    <w:rsid w:val="00C64BFF"/>
    <w:rsid w:val="00C657BA"/>
    <w:rsid w:val="00C704E9"/>
    <w:rsid w:val="00C70AEB"/>
    <w:rsid w:val="00C70DF9"/>
    <w:rsid w:val="00C70FD8"/>
    <w:rsid w:val="00C763C9"/>
    <w:rsid w:val="00C80057"/>
    <w:rsid w:val="00C82232"/>
    <w:rsid w:val="00C82913"/>
    <w:rsid w:val="00C83436"/>
    <w:rsid w:val="00C83CE4"/>
    <w:rsid w:val="00C87AEA"/>
    <w:rsid w:val="00C90D5C"/>
    <w:rsid w:val="00C90EDD"/>
    <w:rsid w:val="00C933B3"/>
    <w:rsid w:val="00C972B1"/>
    <w:rsid w:val="00CA2CCE"/>
    <w:rsid w:val="00CA33CA"/>
    <w:rsid w:val="00CA43FD"/>
    <w:rsid w:val="00CA7EF8"/>
    <w:rsid w:val="00CB10C9"/>
    <w:rsid w:val="00CB37E6"/>
    <w:rsid w:val="00CB48AF"/>
    <w:rsid w:val="00CB765A"/>
    <w:rsid w:val="00CC1004"/>
    <w:rsid w:val="00CC489B"/>
    <w:rsid w:val="00CC64A4"/>
    <w:rsid w:val="00CD15EB"/>
    <w:rsid w:val="00CD2BCD"/>
    <w:rsid w:val="00CD3A4C"/>
    <w:rsid w:val="00CD4850"/>
    <w:rsid w:val="00CD7DC5"/>
    <w:rsid w:val="00CD7EE3"/>
    <w:rsid w:val="00CE10E9"/>
    <w:rsid w:val="00CE1BCC"/>
    <w:rsid w:val="00CE2910"/>
    <w:rsid w:val="00CE4D0C"/>
    <w:rsid w:val="00CE5393"/>
    <w:rsid w:val="00CE7E31"/>
    <w:rsid w:val="00CF36BE"/>
    <w:rsid w:val="00CF6000"/>
    <w:rsid w:val="00D003F3"/>
    <w:rsid w:val="00D01AAC"/>
    <w:rsid w:val="00D0364F"/>
    <w:rsid w:val="00D0600F"/>
    <w:rsid w:val="00D06834"/>
    <w:rsid w:val="00D17521"/>
    <w:rsid w:val="00D21607"/>
    <w:rsid w:val="00D308ED"/>
    <w:rsid w:val="00D314EF"/>
    <w:rsid w:val="00D31BB7"/>
    <w:rsid w:val="00D36D86"/>
    <w:rsid w:val="00D428AA"/>
    <w:rsid w:val="00D46037"/>
    <w:rsid w:val="00D50A34"/>
    <w:rsid w:val="00D53EFA"/>
    <w:rsid w:val="00D55B4C"/>
    <w:rsid w:val="00D63EBD"/>
    <w:rsid w:val="00D6634A"/>
    <w:rsid w:val="00D679C6"/>
    <w:rsid w:val="00D71EB6"/>
    <w:rsid w:val="00D73EAE"/>
    <w:rsid w:val="00D77717"/>
    <w:rsid w:val="00D82715"/>
    <w:rsid w:val="00D92961"/>
    <w:rsid w:val="00D94A7C"/>
    <w:rsid w:val="00D94C26"/>
    <w:rsid w:val="00D94EA5"/>
    <w:rsid w:val="00D94F2F"/>
    <w:rsid w:val="00D95896"/>
    <w:rsid w:val="00D97621"/>
    <w:rsid w:val="00DA02DA"/>
    <w:rsid w:val="00DA2C99"/>
    <w:rsid w:val="00DB2535"/>
    <w:rsid w:val="00DB2983"/>
    <w:rsid w:val="00DB6C50"/>
    <w:rsid w:val="00DB7F12"/>
    <w:rsid w:val="00DC1257"/>
    <w:rsid w:val="00DC15C8"/>
    <w:rsid w:val="00DC1F1D"/>
    <w:rsid w:val="00DC3DC0"/>
    <w:rsid w:val="00DC5B2B"/>
    <w:rsid w:val="00DC6CC4"/>
    <w:rsid w:val="00DD318D"/>
    <w:rsid w:val="00DD4DF6"/>
    <w:rsid w:val="00DD58F3"/>
    <w:rsid w:val="00DD6FC4"/>
    <w:rsid w:val="00DD7ED4"/>
    <w:rsid w:val="00DE46C7"/>
    <w:rsid w:val="00DE49C4"/>
    <w:rsid w:val="00DE5743"/>
    <w:rsid w:val="00DE5D76"/>
    <w:rsid w:val="00DF1709"/>
    <w:rsid w:val="00DF1FBC"/>
    <w:rsid w:val="00DF2462"/>
    <w:rsid w:val="00DF2E12"/>
    <w:rsid w:val="00DF4C1D"/>
    <w:rsid w:val="00DF514A"/>
    <w:rsid w:val="00DF6690"/>
    <w:rsid w:val="00DF6804"/>
    <w:rsid w:val="00DF69B1"/>
    <w:rsid w:val="00DF7C5F"/>
    <w:rsid w:val="00E0358D"/>
    <w:rsid w:val="00E04323"/>
    <w:rsid w:val="00E05974"/>
    <w:rsid w:val="00E070A2"/>
    <w:rsid w:val="00E112E9"/>
    <w:rsid w:val="00E137F8"/>
    <w:rsid w:val="00E13EE9"/>
    <w:rsid w:val="00E148F7"/>
    <w:rsid w:val="00E1581C"/>
    <w:rsid w:val="00E17440"/>
    <w:rsid w:val="00E2318E"/>
    <w:rsid w:val="00E2656A"/>
    <w:rsid w:val="00E27CD4"/>
    <w:rsid w:val="00E3523D"/>
    <w:rsid w:val="00E36A4F"/>
    <w:rsid w:val="00E37F8C"/>
    <w:rsid w:val="00E406B5"/>
    <w:rsid w:val="00E40825"/>
    <w:rsid w:val="00E412D0"/>
    <w:rsid w:val="00E427CD"/>
    <w:rsid w:val="00E434B9"/>
    <w:rsid w:val="00E43E00"/>
    <w:rsid w:val="00E47026"/>
    <w:rsid w:val="00E51288"/>
    <w:rsid w:val="00E51C28"/>
    <w:rsid w:val="00E56322"/>
    <w:rsid w:val="00E57C8F"/>
    <w:rsid w:val="00E6034E"/>
    <w:rsid w:val="00E60982"/>
    <w:rsid w:val="00E62C62"/>
    <w:rsid w:val="00E63A7C"/>
    <w:rsid w:val="00E64054"/>
    <w:rsid w:val="00E654C1"/>
    <w:rsid w:val="00E654E5"/>
    <w:rsid w:val="00E65A14"/>
    <w:rsid w:val="00E65D97"/>
    <w:rsid w:val="00E72A5A"/>
    <w:rsid w:val="00E73354"/>
    <w:rsid w:val="00E73791"/>
    <w:rsid w:val="00E76670"/>
    <w:rsid w:val="00E77A1F"/>
    <w:rsid w:val="00E8202B"/>
    <w:rsid w:val="00E825DA"/>
    <w:rsid w:val="00E838DD"/>
    <w:rsid w:val="00E86389"/>
    <w:rsid w:val="00E91784"/>
    <w:rsid w:val="00E91F03"/>
    <w:rsid w:val="00E9242D"/>
    <w:rsid w:val="00E975BC"/>
    <w:rsid w:val="00E97E5F"/>
    <w:rsid w:val="00EA023E"/>
    <w:rsid w:val="00EA2201"/>
    <w:rsid w:val="00EA4DC2"/>
    <w:rsid w:val="00EA745B"/>
    <w:rsid w:val="00EB035C"/>
    <w:rsid w:val="00EB0A34"/>
    <w:rsid w:val="00EB5255"/>
    <w:rsid w:val="00EB5602"/>
    <w:rsid w:val="00EB5C47"/>
    <w:rsid w:val="00EC16AC"/>
    <w:rsid w:val="00EC17D8"/>
    <w:rsid w:val="00ED0639"/>
    <w:rsid w:val="00ED0E94"/>
    <w:rsid w:val="00ED3DAE"/>
    <w:rsid w:val="00ED56FB"/>
    <w:rsid w:val="00EE521A"/>
    <w:rsid w:val="00EE5ECD"/>
    <w:rsid w:val="00EE6080"/>
    <w:rsid w:val="00EE72A0"/>
    <w:rsid w:val="00EF2238"/>
    <w:rsid w:val="00EF22E7"/>
    <w:rsid w:val="00EF41E1"/>
    <w:rsid w:val="00EF4755"/>
    <w:rsid w:val="00EF66BA"/>
    <w:rsid w:val="00EF7135"/>
    <w:rsid w:val="00EF7BD6"/>
    <w:rsid w:val="00EF7F9A"/>
    <w:rsid w:val="00F0060F"/>
    <w:rsid w:val="00F00DBF"/>
    <w:rsid w:val="00F027DB"/>
    <w:rsid w:val="00F05595"/>
    <w:rsid w:val="00F110E7"/>
    <w:rsid w:val="00F1235D"/>
    <w:rsid w:val="00F12F3F"/>
    <w:rsid w:val="00F14A7A"/>
    <w:rsid w:val="00F15610"/>
    <w:rsid w:val="00F16804"/>
    <w:rsid w:val="00F20431"/>
    <w:rsid w:val="00F22985"/>
    <w:rsid w:val="00F24F67"/>
    <w:rsid w:val="00F251E5"/>
    <w:rsid w:val="00F25433"/>
    <w:rsid w:val="00F259BA"/>
    <w:rsid w:val="00F317C4"/>
    <w:rsid w:val="00F3383E"/>
    <w:rsid w:val="00F45EBC"/>
    <w:rsid w:val="00F465A7"/>
    <w:rsid w:val="00F50B7C"/>
    <w:rsid w:val="00F50DEE"/>
    <w:rsid w:val="00F5106F"/>
    <w:rsid w:val="00F51311"/>
    <w:rsid w:val="00F550E6"/>
    <w:rsid w:val="00F60E5A"/>
    <w:rsid w:val="00F63F6D"/>
    <w:rsid w:val="00F64D3D"/>
    <w:rsid w:val="00F72049"/>
    <w:rsid w:val="00F724A1"/>
    <w:rsid w:val="00F737A3"/>
    <w:rsid w:val="00F74345"/>
    <w:rsid w:val="00F747B1"/>
    <w:rsid w:val="00F75843"/>
    <w:rsid w:val="00F75DDC"/>
    <w:rsid w:val="00F80A0A"/>
    <w:rsid w:val="00F82B19"/>
    <w:rsid w:val="00F87E52"/>
    <w:rsid w:val="00F909DD"/>
    <w:rsid w:val="00F9212D"/>
    <w:rsid w:val="00F93186"/>
    <w:rsid w:val="00F935F5"/>
    <w:rsid w:val="00F94D7F"/>
    <w:rsid w:val="00F95E3E"/>
    <w:rsid w:val="00F965DA"/>
    <w:rsid w:val="00F97BCB"/>
    <w:rsid w:val="00FA406A"/>
    <w:rsid w:val="00FA6581"/>
    <w:rsid w:val="00FB046A"/>
    <w:rsid w:val="00FB4AA5"/>
    <w:rsid w:val="00FB503A"/>
    <w:rsid w:val="00FB516C"/>
    <w:rsid w:val="00FB7289"/>
    <w:rsid w:val="00FC2A4A"/>
    <w:rsid w:val="00FC441C"/>
    <w:rsid w:val="00FC6420"/>
    <w:rsid w:val="00FD0236"/>
    <w:rsid w:val="00FD18F4"/>
    <w:rsid w:val="00FD3932"/>
    <w:rsid w:val="00FD54DB"/>
    <w:rsid w:val="00FD619F"/>
    <w:rsid w:val="00FD77FC"/>
    <w:rsid w:val="00FE0507"/>
    <w:rsid w:val="00FE1E36"/>
    <w:rsid w:val="00FE7CAF"/>
    <w:rsid w:val="00FF6387"/>
    <w:rsid w:val="00FF6596"/>
    <w:rsid w:val="00FF73FE"/>
    <w:rsid w:val="01001B5E"/>
    <w:rsid w:val="01021E63"/>
    <w:rsid w:val="01064C9A"/>
    <w:rsid w:val="01083350"/>
    <w:rsid w:val="011625B6"/>
    <w:rsid w:val="01286562"/>
    <w:rsid w:val="01290F7E"/>
    <w:rsid w:val="012B75C1"/>
    <w:rsid w:val="0131379C"/>
    <w:rsid w:val="0138678A"/>
    <w:rsid w:val="013C12EA"/>
    <w:rsid w:val="01406437"/>
    <w:rsid w:val="01415AFF"/>
    <w:rsid w:val="014507A3"/>
    <w:rsid w:val="01541009"/>
    <w:rsid w:val="01553F1D"/>
    <w:rsid w:val="015B3F6A"/>
    <w:rsid w:val="015D1E09"/>
    <w:rsid w:val="015D6BAC"/>
    <w:rsid w:val="016872EC"/>
    <w:rsid w:val="016B775B"/>
    <w:rsid w:val="017B11E4"/>
    <w:rsid w:val="017D4547"/>
    <w:rsid w:val="017D4A93"/>
    <w:rsid w:val="01817B37"/>
    <w:rsid w:val="01862FC2"/>
    <w:rsid w:val="0187402D"/>
    <w:rsid w:val="0190604E"/>
    <w:rsid w:val="01995A16"/>
    <w:rsid w:val="019F3575"/>
    <w:rsid w:val="01A5707B"/>
    <w:rsid w:val="01C01BB0"/>
    <w:rsid w:val="01C10D81"/>
    <w:rsid w:val="01C4177E"/>
    <w:rsid w:val="01D1627A"/>
    <w:rsid w:val="01D9718C"/>
    <w:rsid w:val="01DD41C2"/>
    <w:rsid w:val="01DE025C"/>
    <w:rsid w:val="01EA6E15"/>
    <w:rsid w:val="01EB44A6"/>
    <w:rsid w:val="01F07570"/>
    <w:rsid w:val="02005014"/>
    <w:rsid w:val="020061E4"/>
    <w:rsid w:val="020353CE"/>
    <w:rsid w:val="020C1077"/>
    <w:rsid w:val="020F1690"/>
    <w:rsid w:val="021014B9"/>
    <w:rsid w:val="02143CC9"/>
    <w:rsid w:val="02160F0D"/>
    <w:rsid w:val="02165584"/>
    <w:rsid w:val="0219202B"/>
    <w:rsid w:val="021F0818"/>
    <w:rsid w:val="022053AE"/>
    <w:rsid w:val="02253F74"/>
    <w:rsid w:val="02285BAE"/>
    <w:rsid w:val="02315D47"/>
    <w:rsid w:val="02356491"/>
    <w:rsid w:val="023A74F3"/>
    <w:rsid w:val="023D10AB"/>
    <w:rsid w:val="023F218F"/>
    <w:rsid w:val="02436F63"/>
    <w:rsid w:val="02586E8F"/>
    <w:rsid w:val="025B7CB0"/>
    <w:rsid w:val="025F0C4D"/>
    <w:rsid w:val="0267347E"/>
    <w:rsid w:val="02697903"/>
    <w:rsid w:val="026C6AA6"/>
    <w:rsid w:val="028140C9"/>
    <w:rsid w:val="02821C14"/>
    <w:rsid w:val="02882FF1"/>
    <w:rsid w:val="028869C3"/>
    <w:rsid w:val="0290202C"/>
    <w:rsid w:val="02911F25"/>
    <w:rsid w:val="02933CE8"/>
    <w:rsid w:val="02957290"/>
    <w:rsid w:val="02972DF5"/>
    <w:rsid w:val="029A1990"/>
    <w:rsid w:val="029F0B08"/>
    <w:rsid w:val="02A1111E"/>
    <w:rsid w:val="02AA35F4"/>
    <w:rsid w:val="02B14F77"/>
    <w:rsid w:val="02B17E86"/>
    <w:rsid w:val="02B248A6"/>
    <w:rsid w:val="02B5320A"/>
    <w:rsid w:val="02B653CE"/>
    <w:rsid w:val="02B7473F"/>
    <w:rsid w:val="02BF6981"/>
    <w:rsid w:val="02C275B9"/>
    <w:rsid w:val="02C32E43"/>
    <w:rsid w:val="02CD0ADA"/>
    <w:rsid w:val="02D84414"/>
    <w:rsid w:val="02DF01CB"/>
    <w:rsid w:val="02DF4310"/>
    <w:rsid w:val="02E519C7"/>
    <w:rsid w:val="02E66B31"/>
    <w:rsid w:val="02F41A0C"/>
    <w:rsid w:val="02F76012"/>
    <w:rsid w:val="02F96569"/>
    <w:rsid w:val="02FE0072"/>
    <w:rsid w:val="03031A87"/>
    <w:rsid w:val="03044E5C"/>
    <w:rsid w:val="030701CD"/>
    <w:rsid w:val="030B2A3C"/>
    <w:rsid w:val="030C2AD8"/>
    <w:rsid w:val="031A1169"/>
    <w:rsid w:val="031D6EFB"/>
    <w:rsid w:val="03243E67"/>
    <w:rsid w:val="032C1DF1"/>
    <w:rsid w:val="03315EC0"/>
    <w:rsid w:val="03317FFC"/>
    <w:rsid w:val="033D5627"/>
    <w:rsid w:val="03434A2C"/>
    <w:rsid w:val="03461D88"/>
    <w:rsid w:val="03484CE4"/>
    <w:rsid w:val="03621840"/>
    <w:rsid w:val="036526C0"/>
    <w:rsid w:val="03661E10"/>
    <w:rsid w:val="036E0EC6"/>
    <w:rsid w:val="036F5709"/>
    <w:rsid w:val="036F6B27"/>
    <w:rsid w:val="03736E5D"/>
    <w:rsid w:val="03740F38"/>
    <w:rsid w:val="03743FDE"/>
    <w:rsid w:val="03764359"/>
    <w:rsid w:val="037F104B"/>
    <w:rsid w:val="03824AAC"/>
    <w:rsid w:val="03835E04"/>
    <w:rsid w:val="0384735A"/>
    <w:rsid w:val="038F2D5C"/>
    <w:rsid w:val="03911DDD"/>
    <w:rsid w:val="03942A31"/>
    <w:rsid w:val="039C3F86"/>
    <w:rsid w:val="039D08CE"/>
    <w:rsid w:val="03A82039"/>
    <w:rsid w:val="03A964DC"/>
    <w:rsid w:val="03C055D4"/>
    <w:rsid w:val="03C06AF3"/>
    <w:rsid w:val="03C30C20"/>
    <w:rsid w:val="03D2050B"/>
    <w:rsid w:val="03D23490"/>
    <w:rsid w:val="03D26283"/>
    <w:rsid w:val="03DC3014"/>
    <w:rsid w:val="03E5204E"/>
    <w:rsid w:val="03E56DE9"/>
    <w:rsid w:val="03EA43FF"/>
    <w:rsid w:val="03EA7B21"/>
    <w:rsid w:val="03ED6368"/>
    <w:rsid w:val="03F522C6"/>
    <w:rsid w:val="03F8531B"/>
    <w:rsid w:val="040B7E75"/>
    <w:rsid w:val="04136A6E"/>
    <w:rsid w:val="0415705B"/>
    <w:rsid w:val="041851D5"/>
    <w:rsid w:val="04191127"/>
    <w:rsid w:val="041B6CAE"/>
    <w:rsid w:val="041E183F"/>
    <w:rsid w:val="0422003D"/>
    <w:rsid w:val="0424173E"/>
    <w:rsid w:val="042B5009"/>
    <w:rsid w:val="04325510"/>
    <w:rsid w:val="043412F0"/>
    <w:rsid w:val="0438160E"/>
    <w:rsid w:val="043A6B4C"/>
    <w:rsid w:val="043E5E04"/>
    <w:rsid w:val="043F0BEF"/>
    <w:rsid w:val="04460B0F"/>
    <w:rsid w:val="044A005B"/>
    <w:rsid w:val="044A09EA"/>
    <w:rsid w:val="0455004F"/>
    <w:rsid w:val="0456373B"/>
    <w:rsid w:val="046643CE"/>
    <w:rsid w:val="046823DA"/>
    <w:rsid w:val="046C3BDE"/>
    <w:rsid w:val="046E7ECC"/>
    <w:rsid w:val="04706663"/>
    <w:rsid w:val="04714324"/>
    <w:rsid w:val="047343F5"/>
    <w:rsid w:val="0475016D"/>
    <w:rsid w:val="04863039"/>
    <w:rsid w:val="048E122E"/>
    <w:rsid w:val="049251C3"/>
    <w:rsid w:val="04976134"/>
    <w:rsid w:val="04977016"/>
    <w:rsid w:val="049C6EBC"/>
    <w:rsid w:val="04A157B4"/>
    <w:rsid w:val="04A255A1"/>
    <w:rsid w:val="04A53309"/>
    <w:rsid w:val="04AF2A6C"/>
    <w:rsid w:val="04B137C5"/>
    <w:rsid w:val="04B213C1"/>
    <w:rsid w:val="04B52C5F"/>
    <w:rsid w:val="04BF6FBF"/>
    <w:rsid w:val="04C9737C"/>
    <w:rsid w:val="04CD0B17"/>
    <w:rsid w:val="04D07C68"/>
    <w:rsid w:val="04D23338"/>
    <w:rsid w:val="04D70AEA"/>
    <w:rsid w:val="04E3108C"/>
    <w:rsid w:val="04E62E18"/>
    <w:rsid w:val="04E8038E"/>
    <w:rsid w:val="04E856E3"/>
    <w:rsid w:val="04ED36B0"/>
    <w:rsid w:val="04F60868"/>
    <w:rsid w:val="04FE43F9"/>
    <w:rsid w:val="05091B1C"/>
    <w:rsid w:val="051031FF"/>
    <w:rsid w:val="051B72DE"/>
    <w:rsid w:val="051E25B2"/>
    <w:rsid w:val="05216546"/>
    <w:rsid w:val="05221F0E"/>
    <w:rsid w:val="052A697B"/>
    <w:rsid w:val="052F1FA2"/>
    <w:rsid w:val="053D46AF"/>
    <w:rsid w:val="05420A2F"/>
    <w:rsid w:val="05445F96"/>
    <w:rsid w:val="05453245"/>
    <w:rsid w:val="05455324"/>
    <w:rsid w:val="054D11CE"/>
    <w:rsid w:val="055043BD"/>
    <w:rsid w:val="055C551E"/>
    <w:rsid w:val="05722512"/>
    <w:rsid w:val="057325FA"/>
    <w:rsid w:val="058E2B2E"/>
    <w:rsid w:val="05AB5E10"/>
    <w:rsid w:val="05BB1F3B"/>
    <w:rsid w:val="05C0288C"/>
    <w:rsid w:val="05D25590"/>
    <w:rsid w:val="05D64B9C"/>
    <w:rsid w:val="05E54E5D"/>
    <w:rsid w:val="05EE2510"/>
    <w:rsid w:val="05EF703C"/>
    <w:rsid w:val="05F01313"/>
    <w:rsid w:val="05F15F19"/>
    <w:rsid w:val="05F83EAE"/>
    <w:rsid w:val="060C549D"/>
    <w:rsid w:val="06134DD0"/>
    <w:rsid w:val="061A09E2"/>
    <w:rsid w:val="061B4D44"/>
    <w:rsid w:val="061B67B3"/>
    <w:rsid w:val="061D55C3"/>
    <w:rsid w:val="06292897"/>
    <w:rsid w:val="06301E32"/>
    <w:rsid w:val="06340A08"/>
    <w:rsid w:val="063D61FF"/>
    <w:rsid w:val="063E7D85"/>
    <w:rsid w:val="06417108"/>
    <w:rsid w:val="06523CF8"/>
    <w:rsid w:val="065258B6"/>
    <w:rsid w:val="06581106"/>
    <w:rsid w:val="065E6023"/>
    <w:rsid w:val="06676945"/>
    <w:rsid w:val="06714074"/>
    <w:rsid w:val="06746165"/>
    <w:rsid w:val="06785FDA"/>
    <w:rsid w:val="067A4AB4"/>
    <w:rsid w:val="067A4ADB"/>
    <w:rsid w:val="067A6566"/>
    <w:rsid w:val="067D158D"/>
    <w:rsid w:val="067F1777"/>
    <w:rsid w:val="06A11ED6"/>
    <w:rsid w:val="06A413DD"/>
    <w:rsid w:val="06BC02D5"/>
    <w:rsid w:val="06BD5DFB"/>
    <w:rsid w:val="06BF3E77"/>
    <w:rsid w:val="06C77CE5"/>
    <w:rsid w:val="06D260E0"/>
    <w:rsid w:val="06D42F1A"/>
    <w:rsid w:val="06D86F7A"/>
    <w:rsid w:val="06D93A63"/>
    <w:rsid w:val="06DF0467"/>
    <w:rsid w:val="06E31F78"/>
    <w:rsid w:val="06E47555"/>
    <w:rsid w:val="06F57670"/>
    <w:rsid w:val="06FD2326"/>
    <w:rsid w:val="07021881"/>
    <w:rsid w:val="07074129"/>
    <w:rsid w:val="07085BF1"/>
    <w:rsid w:val="07192CD4"/>
    <w:rsid w:val="071C13E6"/>
    <w:rsid w:val="071E0976"/>
    <w:rsid w:val="072156AA"/>
    <w:rsid w:val="072216F6"/>
    <w:rsid w:val="0727274A"/>
    <w:rsid w:val="07293586"/>
    <w:rsid w:val="07295285"/>
    <w:rsid w:val="072A6020"/>
    <w:rsid w:val="07317FB4"/>
    <w:rsid w:val="073F51A1"/>
    <w:rsid w:val="073F57C6"/>
    <w:rsid w:val="075A52E0"/>
    <w:rsid w:val="07636392"/>
    <w:rsid w:val="07687E5C"/>
    <w:rsid w:val="0775396D"/>
    <w:rsid w:val="07770C56"/>
    <w:rsid w:val="077C680D"/>
    <w:rsid w:val="07826F51"/>
    <w:rsid w:val="0786706F"/>
    <w:rsid w:val="07890BE6"/>
    <w:rsid w:val="078D17EE"/>
    <w:rsid w:val="07990192"/>
    <w:rsid w:val="07A45231"/>
    <w:rsid w:val="07AD1156"/>
    <w:rsid w:val="07AD47D7"/>
    <w:rsid w:val="07AE7E92"/>
    <w:rsid w:val="07B01FCE"/>
    <w:rsid w:val="07B13B53"/>
    <w:rsid w:val="07B515D5"/>
    <w:rsid w:val="07BF08BF"/>
    <w:rsid w:val="07BF166A"/>
    <w:rsid w:val="07C504F5"/>
    <w:rsid w:val="07D25DA1"/>
    <w:rsid w:val="07D27185"/>
    <w:rsid w:val="07E36EAF"/>
    <w:rsid w:val="07F04234"/>
    <w:rsid w:val="07FC0D4A"/>
    <w:rsid w:val="07FC577E"/>
    <w:rsid w:val="08020FD9"/>
    <w:rsid w:val="080C16E2"/>
    <w:rsid w:val="080E24B1"/>
    <w:rsid w:val="081319F6"/>
    <w:rsid w:val="081B102B"/>
    <w:rsid w:val="081F4269"/>
    <w:rsid w:val="0828151B"/>
    <w:rsid w:val="082C27B2"/>
    <w:rsid w:val="083028C1"/>
    <w:rsid w:val="08326375"/>
    <w:rsid w:val="083435AD"/>
    <w:rsid w:val="0837641D"/>
    <w:rsid w:val="08491AF6"/>
    <w:rsid w:val="084A69C0"/>
    <w:rsid w:val="08511C41"/>
    <w:rsid w:val="08576614"/>
    <w:rsid w:val="08581772"/>
    <w:rsid w:val="085F474C"/>
    <w:rsid w:val="086056D6"/>
    <w:rsid w:val="08693B6E"/>
    <w:rsid w:val="086D186B"/>
    <w:rsid w:val="08770DC0"/>
    <w:rsid w:val="087719B9"/>
    <w:rsid w:val="08780F61"/>
    <w:rsid w:val="087E4ECC"/>
    <w:rsid w:val="08812CD4"/>
    <w:rsid w:val="08844A70"/>
    <w:rsid w:val="08896684"/>
    <w:rsid w:val="089112ED"/>
    <w:rsid w:val="08940F55"/>
    <w:rsid w:val="089808CE"/>
    <w:rsid w:val="089D7C92"/>
    <w:rsid w:val="08A53E85"/>
    <w:rsid w:val="08B30855"/>
    <w:rsid w:val="08B55474"/>
    <w:rsid w:val="08C14149"/>
    <w:rsid w:val="08C27717"/>
    <w:rsid w:val="08C85069"/>
    <w:rsid w:val="08CF1E16"/>
    <w:rsid w:val="08D1538A"/>
    <w:rsid w:val="08EE2DBE"/>
    <w:rsid w:val="08EE7E11"/>
    <w:rsid w:val="08F41C49"/>
    <w:rsid w:val="09023459"/>
    <w:rsid w:val="09037E74"/>
    <w:rsid w:val="090419F7"/>
    <w:rsid w:val="090624B6"/>
    <w:rsid w:val="0908475F"/>
    <w:rsid w:val="090E789D"/>
    <w:rsid w:val="09130635"/>
    <w:rsid w:val="091D0DD3"/>
    <w:rsid w:val="092217DD"/>
    <w:rsid w:val="092628DB"/>
    <w:rsid w:val="09276B6D"/>
    <w:rsid w:val="09282452"/>
    <w:rsid w:val="093148CF"/>
    <w:rsid w:val="093A686F"/>
    <w:rsid w:val="093A7294"/>
    <w:rsid w:val="093C5232"/>
    <w:rsid w:val="093E4F17"/>
    <w:rsid w:val="0946032A"/>
    <w:rsid w:val="09561425"/>
    <w:rsid w:val="09574037"/>
    <w:rsid w:val="09584A36"/>
    <w:rsid w:val="095C18FB"/>
    <w:rsid w:val="095E101F"/>
    <w:rsid w:val="095F0C08"/>
    <w:rsid w:val="0960344D"/>
    <w:rsid w:val="096D580A"/>
    <w:rsid w:val="0975450B"/>
    <w:rsid w:val="09787B25"/>
    <w:rsid w:val="097A1CCB"/>
    <w:rsid w:val="097F3B26"/>
    <w:rsid w:val="0980525A"/>
    <w:rsid w:val="098A46BA"/>
    <w:rsid w:val="09956CF9"/>
    <w:rsid w:val="09974E45"/>
    <w:rsid w:val="09976DD7"/>
    <w:rsid w:val="099C4A85"/>
    <w:rsid w:val="09A25201"/>
    <w:rsid w:val="09A60BB2"/>
    <w:rsid w:val="09B730DA"/>
    <w:rsid w:val="09CB082F"/>
    <w:rsid w:val="09D2491D"/>
    <w:rsid w:val="09DD1C70"/>
    <w:rsid w:val="09E2241E"/>
    <w:rsid w:val="09E35256"/>
    <w:rsid w:val="09E70B17"/>
    <w:rsid w:val="09E75075"/>
    <w:rsid w:val="09E77FF8"/>
    <w:rsid w:val="09E970C5"/>
    <w:rsid w:val="09FC2F10"/>
    <w:rsid w:val="0A0100C9"/>
    <w:rsid w:val="0A0C199D"/>
    <w:rsid w:val="0A0D0748"/>
    <w:rsid w:val="0A15092E"/>
    <w:rsid w:val="0A1631EE"/>
    <w:rsid w:val="0A1E4E03"/>
    <w:rsid w:val="0A263993"/>
    <w:rsid w:val="0A2D3AC2"/>
    <w:rsid w:val="0A3210F8"/>
    <w:rsid w:val="0A332662"/>
    <w:rsid w:val="0A3D127B"/>
    <w:rsid w:val="0A4100AA"/>
    <w:rsid w:val="0A4128C8"/>
    <w:rsid w:val="0A434869"/>
    <w:rsid w:val="0A492DD1"/>
    <w:rsid w:val="0A4D1C57"/>
    <w:rsid w:val="0A527D5D"/>
    <w:rsid w:val="0A540824"/>
    <w:rsid w:val="0A5A3237"/>
    <w:rsid w:val="0A5E2E5F"/>
    <w:rsid w:val="0A7031EF"/>
    <w:rsid w:val="0A7C57E0"/>
    <w:rsid w:val="0A7D426D"/>
    <w:rsid w:val="0A803EB8"/>
    <w:rsid w:val="0A830887"/>
    <w:rsid w:val="0A866BDE"/>
    <w:rsid w:val="0A8B4869"/>
    <w:rsid w:val="0A9059CF"/>
    <w:rsid w:val="0A93230B"/>
    <w:rsid w:val="0A943317"/>
    <w:rsid w:val="0AA03A6A"/>
    <w:rsid w:val="0AA37C6D"/>
    <w:rsid w:val="0AA755DF"/>
    <w:rsid w:val="0AAA48E8"/>
    <w:rsid w:val="0AB00535"/>
    <w:rsid w:val="0AB319EF"/>
    <w:rsid w:val="0AB70971"/>
    <w:rsid w:val="0AC14D3B"/>
    <w:rsid w:val="0AC80ADD"/>
    <w:rsid w:val="0AD44FAA"/>
    <w:rsid w:val="0ADB0F46"/>
    <w:rsid w:val="0AE26413"/>
    <w:rsid w:val="0AE35E84"/>
    <w:rsid w:val="0AE47DFA"/>
    <w:rsid w:val="0AE80787"/>
    <w:rsid w:val="0AEC37C6"/>
    <w:rsid w:val="0AEE2114"/>
    <w:rsid w:val="0AF10769"/>
    <w:rsid w:val="0AF12519"/>
    <w:rsid w:val="0B027910"/>
    <w:rsid w:val="0B0F0484"/>
    <w:rsid w:val="0B1074CB"/>
    <w:rsid w:val="0B120D44"/>
    <w:rsid w:val="0B15616A"/>
    <w:rsid w:val="0B1A5066"/>
    <w:rsid w:val="0B1B1D3C"/>
    <w:rsid w:val="0B1E587C"/>
    <w:rsid w:val="0B271D79"/>
    <w:rsid w:val="0B2B62A7"/>
    <w:rsid w:val="0B334825"/>
    <w:rsid w:val="0B3731A3"/>
    <w:rsid w:val="0B3F4F47"/>
    <w:rsid w:val="0B4611AE"/>
    <w:rsid w:val="0B475F22"/>
    <w:rsid w:val="0B484A7F"/>
    <w:rsid w:val="0B4D2284"/>
    <w:rsid w:val="0B5379F8"/>
    <w:rsid w:val="0B5E20D3"/>
    <w:rsid w:val="0B61416B"/>
    <w:rsid w:val="0B633415"/>
    <w:rsid w:val="0B737A96"/>
    <w:rsid w:val="0B7E61F4"/>
    <w:rsid w:val="0B8051E1"/>
    <w:rsid w:val="0B8E0DBC"/>
    <w:rsid w:val="0B90118D"/>
    <w:rsid w:val="0B97160C"/>
    <w:rsid w:val="0B9862A5"/>
    <w:rsid w:val="0B9D03CB"/>
    <w:rsid w:val="0B9F33E0"/>
    <w:rsid w:val="0BB40C62"/>
    <w:rsid w:val="0BB91287"/>
    <w:rsid w:val="0BB9501C"/>
    <w:rsid w:val="0BC955CD"/>
    <w:rsid w:val="0BCA5242"/>
    <w:rsid w:val="0BCD4D32"/>
    <w:rsid w:val="0BCE47C8"/>
    <w:rsid w:val="0BCE5DEB"/>
    <w:rsid w:val="0BD20A84"/>
    <w:rsid w:val="0BD27BF6"/>
    <w:rsid w:val="0BD34B45"/>
    <w:rsid w:val="0BD5483F"/>
    <w:rsid w:val="0BDB7177"/>
    <w:rsid w:val="0BE64CC5"/>
    <w:rsid w:val="0BE864B2"/>
    <w:rsid w:val="0BE93800"/>
    <w:rsid w:val="0BE960A7"/>
    <w:rsid w:val="0BF0736B"/>
    <w:rsid w:val="0BF264A3"/>
    <w:rsid w:val="0C0824E9"/>
    <w:rsid w:val="0C087B18"/>
    <w:rsid w:val="0C0A1B18"/>
    <w:rsid w:val="0C125915"/>
    <w:rsid w:val="0C195225"/>
    <w:rsid w:val="0C1B20EA"/>
    <w:rsid w:val="0C1C35C4"/>
    <w:rsid w:val="0C1E2006"/>
    <w:rsid w:val="0C1F09C7"/>
    <w:rsid w:val="0C250F5D"/>
    <w:rsid w:val="0C267B5D"/>
    <w:rsid w:val="0C2B3A5C"/>
    <w:rsid w:val="0C2B7C64"/>
    <w:rsid w:val="0C2C3B66"/>
    <w:rsid w:val="0C2F1549"/>
    <w:rsid w:val="0C344DB1"/>
    <w:rsid w:val="0C364685"/>
    <w:rsid w:val="0C3B3C7D"/>
    <w:rsid w:val="0C3F7B40"/>
    <w:rsid w:val="0C4827D3"/>
    <w:rsid w:val="0C4C22F0"/>
    <w:rsid w:val="0C627F3B"/>
    <w:rsid w:val="0C6E02C3"/>
    <w:rsid w:val="0C6E6B1A"/>
    <w:rsid w:val="0C701F49"/>
    <w:rsid w:val="0C720683"/>
    <w:rsid w:val="0C726A25"/>
    <w:rsid w:val="0C741652"/>
    <w:rsid w:val="0C746471"/>
    <w:rsid w:val="0C7936DE"/>
    <w:rsid w:val="0C7F3C6A"/>
    <w:rsid w:val="0C852408"/>
    <w:rsid w:val="0C8F023A"/>
    <w:rsid w:val="0C9744D2"/>
    <w:rsid w:val="0C9A4DE9"/>
    <w:rsid w:val="0C9F2986"/>
    <w:rsid w:val="0CAB2EAE"/>
    <w:rsid w:val="0CAC3C69"/>
    <w:rsid w:val="0CAD11C6"/>
    <w:rsid w:val="0CAE37D2"/>
    <w:rsid w:val="0CAE503E"/>
    <w:rsid w:val="0CAE6F86"/>
    <w:rsid w:val="0CAF2D32"/>
    <w:rsid w:val="0CBF1239"/>
    <w:rsid w:val="0CC0597B"/>
    <w:rsid w:val="0CC1397F"/>
    <w:rsid w:val="0CC14DDE"/>
    <w:rsid w:val="0CC4631A"/>
    <w:rsid w:val="0CD0159B"/>
    <w:rsid w:val="0CDD421C"/>
    <w:rsid w:val="0CE2297E"/>
    <w:rsid w:val="0CE42333"/>
    <w:rsid w:val="0CE70BE4"/>
    <w:rsid w:val="0CF50D95"/>
    <w:rsid w:val="0CF54D9C"/>
    <w:rsid w:val="0CF716BE"/>
    <w:rsid w:val="0D004534"/>
    <w:rsid w:val="0D042870"/>
    <w:rsid w:val="0D0440A8"/>
    <w:rsid w:val="0D0C3F69"/>
    <w:rsid w:val="0D1C2992"/>
    <w:rsid w:val="0D1D49FE"/>
    <w:rsid w:val="0D20589A"/>
    <w:rsid w:val="0D223D2F"/>
    <w:rsid w:val="0D247F4C"/>
    <w:rsid w:val="0D2C39D2"/>
    <w:rsid w:val="0D2D568D"/>
    <w:rsid w:val="0D2E7F82"/>
    <w:rsid w:val="0D3335DB"/>
    <w:rsid w:val="0D3C3521"/>
    <w:rsid w:val="0D3D37F2"/>
    <w:rsid w:val="0D437156"/>
    <w:rsid w:val="0D4847BC"/>
    <w:rsid w:val="0D487DC6"/>
    <w:rsid w:val="0D4A0F58"/>
    <w:rsid w:val="0D4B2A2D"/>
    <w:rsid w:val="0D520015"/>
    <w:rsid w:val="0D533F07"/>
    <w:rsid w:val="0D581B90"/>
    <w:rsid w:val="0D5A43A4"/>
    <w:rsid w:val="0D5B4989"/>
    <w:rsid w:val="0D621C7D"/>
    <w:rsid w:val="0D641115"/>
    <w:rsid w:val="0D755C33"/>
    <w:rsid w:val="0D770F7D"/>
    <w:rsid w:val="0D7B60F6"/>
    <w:rsid w:val="0D8C07AE"/>
    <w:rsid w:val="0D902475"/>
    <w:rsid w:val="0D9306F8"/>
    <w:rsid w:val="0D935B24"/>
    <w:rsid w:val="0DA12F20"/>
    <w:rsid w:val="0DA33F9D"/>
    <w:rsid w:val="0DA6583B"/>
    <w:rsid w:val="0DC41EAC"/>
    <w:rsid w:val="0DC62101"/>
    <w:rsid w:val="0DCD4649"/>
    <w:rsid w:val="0DCE30E0"/>
    <w:rsid w:val="0DCE47FC"/>
    <w:rsid w:val="0DD16314"/>
    <w:rsid w:val="0DD635DE"/>
    <w:rsid w:val="0DDA5743"/>
    <w:rsid w:val="0DDB093B"/>
    <w:rsid w:val="0DE43091"/>
    <w:rsid w:val="0DE60188"/>
    <w:rsid w:val="0DF35375"/>
    <w:rsid w:val="0DF55310"/>
    <w:rsid w:val="0E0011AA"/>
    <w:rsid w:val="0E0651CE"/>
    <w:rsid w:val="0E091408"/>
    <w:rsid w:val="0E0950B7"/>
    <w:rsid w:val="0E1B5B91"/>
    <w:rsid w:val="0E23030F"/>
    <w:rsid w:val="0E2B07E5"/>
    <w:rsid w:val="0E3167A6"/>
    <w:rsid w:val="0E380412"/>
    <w:rsid w:val="0E3918E9"/>
    <w:rsid w:val="0E3C05B1"/>
    <w:rsid w:val="0E553BE0"/>
    <w:rsid w:val="0E553C36"/>
    <w:rsid w:val="0E565428"/>
    <w:rsid w:val="0E661E97"/>
    <w:rsid w:val="0E667DD8"/>
    <w:rsid w:val="0E6F1206"/>
    <w:rsid w:val="0E7226B8"/>
    <w:rsid w:val="0E73034D"/>
    <w:rsid w:val="0E755B8E"/>
    <w:rsid w:val="0E867A8B"/>
    <w:rsid w:val="0E87407E"/>
    <w:rsid w:val="0E8A5D36"/>
    <w:rsid w:val="0E8A5E43"/>
    <w:rsid w:val="0E8C2C83"/>
    <w:rsid w:val="0E8E07E1"/>
    <w:rsid w:val="0E912D1F"/>
    <w:rsid w:val="0E941B37"/>
    <w:rsid w:val="0EA13E5D"/>
    <w:rsid w:val="0EA15A0F"/>
    <w:rsid w:val="0EA41BBC"/>
    <w:rsid w:val="0EA519D9"/>
    <w:rsid w:val="0EAB79AE"/>
    <w:rsid w:val="0EAD2BF9"/>
    <w:rsid w:val="0EAD4D1C"/>
    <w:rsid w:val="0EB40C65"/>
    <w:rsid w:val="0EBF720E"/>
    <w:rsid w:val="0EC20452"/>
    <w:rsid w:val="0EC536D9"/>
    <w:rsid w:val="0EC75A69"/>
    <w:rsid w:val="0ECD586B"/>
    <w:rsid w:val="0EDA034C"/>
    <w:rsid w:val="0EDF564A"/>
    <w:rsid w:val="0EE455D2"/>
    <w:rsid w:val="0EE859DF"/>
    <w:rsid w:val="0EE91DFB"/>
    <w:rsid w:val="0EE9574E"/>
    <w:rsid w:val="0EEA79A9"/>
    <w:rsid w:val="0EEC0DF4"/>
    <w:rsid w:val="0F021BDF"/>
    <w:rsid w:val="0F035F23"/>
    <w:rsid w:val="0F062978"/>
    <w:rsid w:val="0F0A45CA"/>
    <w:rsid w:val="0F0F2C55"/>
    <w:rsid w:val="0F0F3592"/>
    <w:rsid w:val="0F121895"/>
    <w:rsid w:val="0F13775A"/>
    <w:rsid w:val="0F174589"/>
    <w:rsid w:val="0F2870E3"/>
    <w:rsid w:val="0F2960B6"/>
    <w:rsid w:val="0F2B5E02"/>
    <w:rsid w:val="0F2D0180"/>
    <w:rsid w:val="0F2E5071"/>
    <w:rsid w:val="0F2E7896"/>
    <w:rsid w:val="0F343AFF"/>
    <w:rsid w:val="0F36577A"/>
    <w:rsid w:val="0F3973FF"/>
    <w:rsid w:val="0F3D76D5"/>
    <w:rsid w:val="0F3F1B69"/>
    <w:rsid w:val="0F446462"/>
    <w:rsid w:val="0F4470B9"/>
    <w:rsid w:val="0F4510B4"/>
    <w:rsid w:val="0F522B0A"/>
    <w:rsid w:val="0F526E81"/>
    <w:rsid w:val="0F5B6F0B"/>
    <w:rsid w:val="0F5C70CE"/>
    <w:rsid w:val="0F5D0C09"/>
    <w:rsid w:val="0F5F45FE"/>
    <w:rsid w:val="0F610EE9"/>
    <w:rsid w:val="0F645921"/>
    <w:rsid w:val="0F657DD5"/>
    <w:rsid w:val="0F684E2E"/>
    <w:rsid w:val="0F7F7929"/>
    <w:rsid w:val="0F87344A"/>
    <w:rsid w:val="0F8D20E1"/>
    <w:rsid w:val="0F931DEF"/>
    <w:rsid w:val="0F95520F"/>
    <w:rsid w:val="0F96368D"/>
    <w:rsid w:val="0F963C15"/>
    <w:rsid w:val="0F9A112B"/>
    <w:rsid w:val="0F9F0794"/>
    <w:rsid w:val="0FA91612"/>
    <w:rsid w:val="0FB000EF"/>
    <w:rsid w:val="0FB611FB"/>
    <w:rsid w:val="0FB80B00"/>
    <w:rsid w:val="0FBC182E"/>
    <w:rsid w:val="0FC32319"/>
    <w:rsid w:val="0FD1280D"/>
    <w:rsid w:val="0FD27C29"/>
    <w:rsid w:val="0FD64E5E"/>
    <w:rsid w:val="0FD92D3F"/>
    <w:rsid w:val="0FE77E96"/>
    <w:rsid w:val="0FEB4C52"/>
    <w:rsid w:val="0FEE4C03"/>
    <w:rsid w:val="0FF15702"/>
    <w:rsid w:val="0FF6744B"/>
    <w:rsid w:val="0FFD31FE"/>
    <w:rsid w:val="0FFF4FF4"/>
    <w:rsid w:val="100756CE"/>
    <w:rsid w:val="100A3A4B"/>
    <w:rsid w:val="100A7A36"/>
    <w:rsid w:val="100D1BA1"/>
    <w:rsid w:val="1013091E"/>
    <w:rsid w:val="10136D24"/>
    <w:rsid w:val="101E30D4"/>
    <w:rsid w:val="1021136A"/>
    <w:rsid w:val="10243FCF"/>
    <w:rsid w:val="102815E4"/>
    <w:rsid w:val="102A5197"/>
    <w:rsid w:val="10314BB0"/>
    <w:rsid w:val="10314D70"/>
    <w:rsid w:val="103D45E0"/>
    <w:rsid w:val="10496930"/>
    <w:rsid w:val="1062140A"/>
    <w:rsid w:val="10682246"/>
    <w:rsid w:val="106D2F64"/>
    <w:rsid w:val="10795489"/>
    <w:rsid w:val="107B7182"/>
    <w:rsid w:val="107C71F3"/>
    <w:rsid w:val="107D02DF"/>
    <w:rsid w:val="107E7A72"/>
    <w:rsid w:val="10822AF0"/>
    <w:rsid w:val="10861954"/>
    <w:rsid w:val="1095001D"/>
    <w:rsid w:val="10A16876"/>
    <w:rsid w:val="10A25085"/>
    <w:rsid w:val="10A32505"/>
    <w:rsid w:val="10A62DDB"/>
    <w:rsid w:val="10A65B52"/>
    <w:rsid w:val="10A67900"/>
    <w:rsid w:val="10B43CC9"/>
    <w:rsid w:val="10B63710"/>
    <w:rsid w:val="10B66E2C"/>
    <w:rsid w:val="10C317D1"/>
    <w:rsid w:val="10D33CA3"/>
    <w:rsid w:val="10D76DD0"/>
    <w:rsid w:val="10DB5B2E"/>
    <w:rsid w:val="10E12347"/>
    <w:rsid w:val="10E83A56"/>
    <w:rsid w:val="10EB7699"/>
    <w:rsid w:val="10EC7A09"/>
    <w:rsid w:val="10F10820"/>
    <w:rsid w:val="10FA4157"/>
    <w:rsid w:val="10FA47CF"/>
    <w:rsid w:val="10FC5772"/>
    <w:rsid w:val="10FE3CED"/>
    <w:rsid w:val="1102390F"/>
    <w:rsid w:val="1106203A"/>
    <w:rsid w:val="11074362"/>
    <w:rsid w:val="110C6B41"/>
    <w:rsid w:val="11130287"/>
    <w:rsid w:val="11180AB3"/>
    <w:rsid w:val="111B77C0"/>
    <w:rsid w:val="111C2F7A"/>
    <w:rsid w:val="11212E2F"/>
    <w:rsid w:val="112146B5"/>
    <w:rsid w:val="11225A47"/>
    <w:rsid w:val="11262C6A"/>
    <w:rsid w:val="11286304"/>
    <w:rsid w:val="112B5BA9"/>
    <w:rsid w:val="112C24FB"/>
    <w:rsid w:val="112D41C8"/>
    <w:rsid w:val="11332754"/>
    <w:rsid w:val="113C67FF"/>
    <w:rsid w:val="113D0E91"/>
    <w:rsid w:val="114D5CCC"/>
    <w:rsid w:val="11550431"/>
    <w:rsid w:val="115E420A"/>
    <w:rsid w:val="11643A43"/>
    <w:rsid w:val="11665CA1"/>
    <w:rsid w:val="11675CFB"/>
    <w:rsid w:val="116950CD"/>
    <w:rsid w:val="116A1F22"/>
    <w:rsid w:val="118327A4"/>
    <w:rsid w:val="118A023B"/>
    <w:rsid w:val="118B76F5"/>
    <w:rsid w:val="118E58A5"/>
    <w:rsid w:val="11955256"/>
    <w:rsid w:val="11964E85"/>
    <w:rsid w:val="11965D76"/>
    <w:rsid w:val="119C2F99"/>
    <w:rsid w:val="119D71B4"/>
    <w:rsid w:val="119E0095"/>
    <w:rsid w:val="11A11CCF"/>
    <w:rsid w:val="11A61D0E"/>
    <w:rsid w:val="11A65925"/>
    <w:rsid w:val="11AE5258"/>
    <w:rsid w:val="11B11176"/>
    <w:rsid w:val="11B5604C"/>
    <w:rsid w:val="11C24529"/>
    <w:rsid w:val="11C7537E"/>
    <w:rsid w:val="11CF519A"/>
    <w:rsid w:val="11D6002F"/>
    <w:rsid w:val="11E06E41"/>
    <w:rsid w:val="11E37291"/>
    <w:rsid w:val="11F46E20"/>
    <w:rsid w:val="11F61C69"/>
    <w:rsid w:val="11F93050"/>
    <w:rsid w:val="120A2BFB"/>
    <w:rsid w:val="120F03F5"/>
    <w:rsid w:val="1213192E"/>
    <w:rsid w:val="12173ABD"/>
    <w:rsid w:val="12174F59"/>
    <w:rsid w:val="121A2353"/>
    <w:rsid w:val="121C256F"/>
    <w:rsid w:val="122032FF"/>
    <w:rsid w:val="12205E98"/>
    <w:rsid w:val="122B7CCD"/>
    <w:rsid w:val="122C2766"/>
    <w:rsid w:val="123425BD"/>
    <w:rsid w:val="123727B1"/>
    <w:rsid w:val="123D6246"/>
    <w:rsid w:val="12402365"/>
    <w:rsid w:val="1248145A"/>
    <w:rsid w:val="124C2D6B"/>
    <w:rsid w:val="124D1D8C"/>
    <w:rsid w:val="12527B71"/>
    <w:rsid w:val="125355AA"/>
    <w:rsid w:val="1254167E"/>
    <w:rsid w:val="125D7747"/>
    <w:rsid w:val="125E5053"/>
    <w:rsid w:val="125E62FB"/>
    <w:rsid w:val="12612DDC"/>
    <w:rsid w:val="12697DEB"/>
    <w:rsid w:val="127B7C1A"/>
    <w:rsid w:val="1282545E"/>
    <w:rsid w:val="12831CC4"/>
    <w:rsid w:val="12837BA9"/>
    <w:rsid w:val="128C1A9B"/>
    <w:rsid w:val="128D7387"/>
    <w:rsid w:val="129140F9"/>
    <w:rsid w:val="12A67EF8"/>
    <w:rsid w:val="12B23828"/>
    <w:rsid w:val="12B50A06"/>
    <w:rsid w:val="12C042B2"/>
    <w:rsid w:val="12C353EE"/>
    <w:rsid w:val="12C46794"/>
    <w:rsid w:val="12C72544"/>
    <w:rsid w:val="12D06EB6"/>
    <w:rsid w:val="12D767E4"/>
    <w:rsid w:val="12DE15D3"/>
    <w:rsid w:val="12DE49AA"/>
    <w:rsid w:val="12F564D9"/>
    <w:rsid w:val="12FF30A9"/>
    <w:rsid w:val="13035B65"/>
    <w:rsid w:val="131D375E"/>
    <w:rsid w:val="132C0590"/>
    <w:rsid w:val="133E6199"/>
    <w:rsid w:val="133E76FB"/>
    <w:rsid w:val="13433A28"/>
    <w:rsid w:val="13465C7A"/>
    <w:rsid w:val="1349214D"/>
    <w:rsid w:val="134B6A57"/>
    <w:rsid w:val="135131D1"/>
    <w:rsid w:val="1354546B"/>
    <w:rsid w:val="13575D9B"/>
    <w:rsid w:val="135F0019"/>
    <w:rsid w:val="13713B27"/>
    <w:rsid w:val="137260CE"/>
    <w:rsid w:val="13766380"/>
    <w:rsid w:val="137D2FD7"/>
    <w:rsid w:val="137D757D"/>
    <w:rsid w:val="13837E8F"/>
    <w:rsid w:val="1384217A"/>
    <w:rsid w:val="1385498E"/>
    <w:rsid w:val="13951726"/>
    <w:rsid w:val="139E4785"/>
    <w:rsid w:val="13A05E1B"/>
    <w:rsid w:val="13A438DC"/>
    <w:rsid w:val="13A66595"/>
    <w:rsid w:val="13A66D0A"/>
    <w:rsid w:val="13C907B5"/>
    <w:rsid w:val="13CE422C"/>
    <w:rsid w:val="13D40760"/>
    <w:rsid w:val="13E67435"/>
    <w:rsid w:val="13F015BE"/>
    <w:rsid w:val="13F050F5"/>
    <w:rsid w:val="13F07A81"/>
    <w:rsid w:val="13F31B8B"/>
    <w:rsid w:val="13F94DB6"/>
    <w:rsid w:val="140040F4"/>
    <w:rsid w:val="140B464A"/>
    <w:rsid w:val="140C2ACE"/>
    <w:rsid w:val="141100A3"/>
    <w:rsid w:val="141364A6"/>
    <w:rsid w:val="14153928"/>
    <w:rsid w:val="14174B51"/>
    <w:rsid w:val="14175CEC"/>
    <w:rsid w:val="141B29D9"/>
    <w:rsid w:val="14213FAA"/>
    <w:rsid w:val="14310FC1"/>
    <w:rsid w:val="14334F7A"/>
    <w:rsid w:val="14343398"/>
    <w:rsid w:val="143508B1"/>
    <w:rsid w:val="14373691"/>
    <w:rsid w:val="143858EB"/>
    <w:rsid w:val="1439331E"/>
    <w:rsid w:val="14396509"/>
    <w:rsid w:val="14397409"/>
    <w:rsid w:val="143B7DCF"/>
    <w:rsid w:val="143E18E6"/>
    <w:rsid w:val="143E22D4"/>
    <w:rsid w:val="14464648"/>
    <w:rsid w:val="14464F0A"/>
    <w:rsid w:val="144729A1"/>
    <w:rsid w:val="14510AA5"/>
    <w:rsid w:val="145311AF"/>
    <w:rsid w:val="145B2133"/>
    <w:rsid w:val="145C6C53"/>
    <w:rsid w:val="1464702A"/>
    <w:rsid w:val="146823F9"/>
    <w:rsid w:val="146E082D"/>
    <w:rsid w:val="14717E92"/>
    <w:rsid w:val="14792FAD"/>
    <w:rsid w:val="14796129"/>
    <w:rsid w:val="147C5A17"/>
    <w:rsid w:val="14863CD0"/>
    <w:rsid w:val="14897E35"/>
    <w:rsid w:val="148B3699"/>
    <w:rsid w:val="148D5A84"/>
    <w:rsid w:val="149635A0"/>
    <w:rsid w:val="149D3294"/>
    <w:rsid w:val="149D3A87"/>
    <w:rsid w:val="14AA3F90"/>
    <w:rsid w:val="14AE2B7C"/>
    <w:rsid w:val="14B338CD"/>
    <w:rsid w:val="14BD6C85"/>
    <w:rsid w:val="14C305E0"/>
    <w:rsid w:val="14C54C9A"/>
    <w:rsid w:val="14C81A92"/>
    <w:rsid w:val="14CB4E38"/>
    <w:rsid w:val="14CC2224"/>
    <w:rsid w:val="14CF6D94"/>
    <w:rsid w:val="14DB698F"/>
    <w:rsid w:val="14DD2C3C"/>
    <w:rsid w:val="14E07479"/>
    <w:rsid w:val="14E55366"/>
    <w:rsid w:val="14E83C4D"/>
    <w:rsid w:val="14ED1FA1"/>
    <w:rsid w:val="14F46D83"/>
    <w:rsid w:val="14FB46BE"/>
    <w:rsid w:val="14FB581C"/>
    <w:rsid w:val="15001CD4"/>
    <w:rsid w:val="15013844"/>
    <w:rsid w:val="150A3AAC"/>
    <w:rsid w:val="150D117F"/>
    <w:rsid w:val="15111A6E"/>
    <w:rsid w:val="152A1D4D"/>
    <w:rsid w:val="152C0665"/>
    <w:rsid w:val="152C75DF"/>
    <w:rsid w:val="153575F8"/>
    <w:rsid w:val="15376F39"/>
    <w:rsid w:val="153A05DC"/>
    <w:rsid w:val="153C3086"/>
    <w:rsid w:val="153F23A4"/>
    <w:rsid w:val="154174CE"/>
    <w:rsid w:val="15477900"/>
    <w:rsid w:val="15566B18"/>
    <w:rsid w:val="15581D5C"/>
    <w:rsid w:val="155A282C"/>
    <w:rsid w:val="155B0D31"/>
    <w:rsid w:val="15620037"/>
    <w:rsid w:val="157514AB"/>
    <w:rsid w:val="158315B0"/>
    <w:rsid w:val="15843F6E"/>
    <w:rsid w:val="1586169E"/>
    <w:rsid w:val="15875A52"/>
    <w:rsid w:val="15896389"/>
    <w:rsid w:val="158C7B2F"/>
    <w:rsid w:val="158F5087"/>
    <w:rsid w:val="15924CF9"/>
    <w:rsid w:val="1594152E"/>
    <w:rsid w:val="15981F0D"/>
    <w:rsid w:val="15A91717"/>
    <w:rsid w:val="15B25DE9"/>
    <w:rsid w:val="15C02B2C"/>
    <w:rsid w:val="15C56A7A"/>
    <w:rsid w:val="15CA2AD1"/>
    <w:rsid w:val="15CB35C4"/>
    <w:rsid w:val="15D13AFC"/>
    <w:rsid w:val="15D30C82"/>
    <w:rsid w:val="15D419CD"/>
    <w:rsid w:val="15D95E9F"/>
    <w:rsid w:val="15E17595"/>
    <w:rsid w:val="15FC71E9"/>
    <w:rsid w:val="16050871"/>
    <w:rsid w:val="16065D46"/>
    <w:rsid w:val="16087E1D"/>
    <w:rsid w:val="16126048"/>
    <w:rsid w:val="161A2BA7"/>
    <w:rsid w:val="16210B0A"/>
    <w:rsid w:val="16217C62"/>
    <w:rsid w:val="1628375A"/>
    <w:rsid w:val="163740C2"/>
    <w:rsid w:val="16380220"/>
    <w:rsid w:val="163B7EF3"/>
    <w:rsid w:val="163F36D0"/>
    <w:rsid w:val="1654783B"/>
    <w:rsid w:val="165A0095"/>
    <w:rsid w:val="165A0FE6"/>
    <w:rsid w:val="165B4520"/>
    <w:rsid w:val="16621743"/>
    <w:rsid w:val="166D6FC9"/>
    <w:rsid w:val="16712FF3"/>
    <w:rsid w:val="167748C5"/>
    <w:rsid w:val="167778B6"/>
    <w:rsid w:val="167C5007"/>
    <w:rsid w:val="16953304"/>
    <w:rsid w:val="1698496B"/>
    <w:rsid w:val="16A23B3C"/>
    <w:rsid w:val="16B165CA"/>
    <w:rsid w:val="16B53ACD"/>
    <w:rsid w:val="16BB72EF"/>
    <w:rsid w:val="16BF791B"/>
    <w:rsid w:val="16C37619"/>
    <w:rsid w:val="16C44F84"/>
    <w:rsid w:val="16C92092"/>
    <w:rsid w:val="16CA259A"/>
    <w:rsid w:val="16D60824"/>
    <w:rsid w:val="16D631A8"/>
    <w:rsid w:val="16E5443E"/>
    <w:rsid w:val="16E57934"/>
    <w:rsid w:val="16EA4FF5"/>
    <w:rsid w:val="16EE154B"/>
    <w:rsid w:val="16F400EA"/>
    <w:rsid w:val="16F7589B"/>
    <w:rsid w:val="16FE2244"/>
    <w:rsid w:val="16FE3F7E"/>
    <w:rsid w:val="16FF3AD6"/>
    <w:rsid w:val="170306E5"/>
    <w:rsid w:val="170A114A"/>
    <w:rsid w:val="17150D9A"/>
    <w:rsid w:val="17166C2E"/>
    <w:rsid w:val="171A4B0A"/>
    <w:rsid w:val="171B3F64"/>
    <w:rsid w:val="171C0BC6"/>
    <w:rsid w:val="171C593F"/>
    <w:rsid w:val="171F75CD"/>
    <w:rsid w:val="1720665E"/>
    <w:rsid w:val="17307137"/>
    <w:rsid w:val="17321641"/>
    <w:rsid w:val="17336233"/>
    <w:rsid w:val="17342109"/>
    <w:rsid w:val="1734709E"/>
    <w:rsid w:val="1735086C"/>
    <w:rsid w:val="173A5B1E"/>
    <w:rsid w:val="173C03EC"/>
    <w:rsid w:val="17460920"/>
    <w:rsid w:val="17467C1C"/>
    <w:rsid w:val="17471068"/>
    <w:rsid w:val="174B3633"/>
    <w:rsid w:val="17582776"/>
    <w:rsid w:val="175E0A74"/>
    <w:rsid w:val="17614581"/>
    <w:rsid w:val="17656FCE"/>
    <w:rsid w:val="17685ABB"/>
    <w:rsid w:val="17701D14"/>
    <w:rsid w:val="17735226"/>
    <w:rsid w:val="17742506"/>
    <w:rsid w:val="177E1286"/>
    <w:rsid w:val="17803347"/>
    <w:rsid w:val="17840521"/>
    <w:rsid w:val="178726F1"/>
    <w:rsid w:val="178D54B3"/>
    <w:rsid w:val="178E5B2D"/>
    <w:rsid w:val="179B75D9"/>
    <w:rsid w:val="179E3A27"/>
    <w:rsid w:val="17BD7087"/>
    <w:rsid w:val="17BF2791"/>
    <w:rsid w:val="17C013FB"/>
    <w:rsid w:val="17C2133C"/>
    <w:rsid w:val="17C4341E"/>
    <w:rsid w:val="17CF5963"/>
    <w:rsid w:val="17D52CDA"/>
    <w:rsid w:val="17D66D1D"/>
    <w:rsid w:val="17D905BB"/>
    <w:rsid w:val="17DA4F20"/>
    <w:rsid w:val="17DE1C23"/>
    <w:rsid w:val="17DF2D8B"/>
    <w:rsid w:val="18040CDB"/>
    <w:rsid w:val="18065729"/>
    <w:rsid w:val="18071EAB"/>
    <w:rsid w:val="1808207A"/>
    <w:rsid w:val="180D7ADF"/>
    <w:rsid w:val="181430DB"/>
    <w:rsid w:val="181A00BC"/>
    <w:rsid w:val="181A1BDA"/>
    <w:rsid w:val="18254506"/>
    <w:rsid w:val="18261E8E"/>
    <w:rsid w:val="182954DB"/>
    <w:rsid w:val="182A3BAF"/>
    <w:rsid w:val="182D7745"/>
    <w:rsid w:val="182F613C"/>
    <w:rsid w:val="183121A5"/>
    <w:rsid w:val="1833150B"/>
    <w:rsid w:val="18365A0D"/>
    <w:rsid w:val="183A50A8"/>
    <w:rsid w:val="18456C51"/>
    <w:rsid w:val="184D11A4"/>
    <w:rsid w:val="184F0B35"/>
    <w:rsid w:val="18553069"/>
    <w:rsid w:val="185540E5"/>
    <w:rsid w:val="185A5BA0"/>
    <w:rsid w:val="185A7BA0"/>
    <w:rsid w:val="185C2D45"/>
    <w:rsid w:val="18631136"/>
    <w:rsid w:val="18652AC1"/>
    <w:rsid w:val="18743F6E"/>
    <w:rsid w:val="187622AE"/>
    <w:rsid w:val="187C5B16"/>
    <w:rsid w:val="18815FB6"/>
    <w:rsid w:val="188B5684"/>
    <w:rsid w:val="188D068E"/>
    <w:rsid w:val="188E5849"/>
    <w:rsid w:val="1890336F"/>
    <w:rsid w:val="18926A17"/>
    <w:rsid w:val="189578B2"/>
    <w:rsid w:val="18965652"/>
    <w:rsid w:val="189866C8"/>
    <w:rsid w:val="189B5DD0"/>
    <w:rsid w:val="189C0EA3"/>
    <w:rsid w:val="189F624C"/>
    <w:rsid w:val="18A0230C"/>
    <w:rsid w:val="18A11F2E"/>
    <w:rsid w:val="18A27794"/>
    <w:rsid w:val="18A40BC9"/>
    <w:rsid w:val="18A6445C"/>
    <w:rsid w:val="18A91B76"/>
    <w:rsid w:val="18AB3E7D"/>
    <w:rsid w:val="18B2332D"/>
    <w:rsid w:val="18C35080"/>
    <w:rsid w:val="18C80D5B"/>
    <w:rsid w:val="18CC3B47"/>
    <w:rsid w:val="18D9277B"/>
    <w:rsid w:val="18DB1231"/>
    <w:rsid w:val="18DD655C"/>
    <w:rsid w:val="18E63974"/>
    <w:rsid w:val="18E9106F"/>
    <w:rsid w:val="18F1466A"/>
    <w:rsid w:val="18F4316C"/>
    <w:rsid w:val="18F67D42"/>
    <w:rsid w:val="18F733EE"/>
    <w:rsid w:val="18FA4FDE"/>
    <w:rsid w:val="18FF7928"/>
    <w:rsid w:val="19045B0B"/>
    <w:rsid w:val="190F7B30"/>
    <w:rsid w:val="191968F6"/>
    <w:rsid w:val="191E05B0"/>
    <w:rsid w:val="191F7447"/>
    <w:rsid w:val="19252BDA"/>
    <w:rsid w:val="192671AC"/>
    <w:rsid w:val="19332FBE"/>
    <w:rsid w:val="193D0663"/>
    <w:rsid w:val="19414CE0"/>
    <w:rsid w:val="194C2307"/>
    <w:rsid w:val="195005BE"/>
    <w:rsid w:val="19535998"/>
    <w:rsid w:val="19543AC4"/>
    <w:rsid w:val="19546531"/>
    <w:rsid w:val="195C5A11"/>
    <w:rsid w:val="19680538"/>
    <w:rsid w:val="196D031B"/>
    <w:rsid w:val="196D1903"/>
    <w:rsid w:val="197831A0"/>
    <w:rsid w:val="198736E1"/>
    <w:rsid w:val="19925A22"/>
    <w:rsid w:val="19931546"/>
    <w:rsid w:val="199569EA"/>
    <w:rsid w:val="199A59B4"/>
    <w:rsid w:val="19A74E14"/>
    <w:rsid w:val="19CB74D8"/>
    <w:rsid w:val="19CC5AF9"/>
    <w:rsid w:val="19CE0296"/>
    <w:rsid w:val="19D46815"/>
    <w:rsid w:val="19D87115"/>
    <w:rsid w:val="19E04B14"/>
    <w:rsid w:val="19E0763A"/>
    <w:rsid w:val="19E42EFD"/>
    <w:rsid w:val="19E97BBC"/>
    <w:rsid w:val="19EA50F6"/>
    <w:rsid w:val="19F2189F"/>
    <w:rsid w:val="19F33BB6"/>
    <w:rsid w:val="19F418A5"/>
    <w:rsid w:val="19F94A0B"/>
    <w:rsid w:val="1A0057FC"/>
    <w:rsid w:val="1A063B32"/>
    <w:rsid w:val="1A0A0110"/>
    <w:rsid w:val="1A1030CA"/>
    <w:rsid w:val="1A11013F"/>
    <w:rsid w:val="1A125406"/>
    <w:rsid w:val="1A1C66C0"/>
    <w:rsid w:val="1A2570E8"/>
    <w:rsid w:val="1A293AB0"/>
    <w:rsid w:val="1A2E6EC9"/>
    <w:rsid w:val="1A33709C"/>
    <w:rsid w:val="1A361738"/>
    <w:rsid w:val="1A3850C8"/>
    <w:rsid w:val="1A3A41C3"/>
    <w:rsid w:val="1A40014D"/>
    <w:rsid w:val="1A400DC5"/>
    <w:rsid w:val="1A42393B"/>
    <w:rsid w:val="1A472154"/>
    <w:rsid w:val="1A4F434F"/>
    <w:rsid w:val="1A504DFD"/>
    <w:rsid w:val="1A5072FD"/>
    <w:rsid w:val="1A533AB3"/>
    <w:rsid w:val="1A5A3F98"/>
    <w:rsid w:val="1A5D3B81"/>
    <w:rsid w:val="1A646564"/>
    <w:rsid w:val="1A776581"/>
    <w:rsid w:val="1A777033"/>
    <w:rsid w:val="1A805687"/>
    <w:rsid w:val="1A844DCF"/>
    <w:rsid w:val="1A8520F2"/>
    <w:rsid w:val="1A8C7B66"/>
    <w:rsid w:val="1A932F92"/>
    <w:rsid w:val="1A97187F"/>
    <w:rsid w:val="1AA83121"/>
    <w:rsid w:val="1AA84037"/>
    <w:rsid w:val="1AAA3621"/>
    <w:rsid w:val="1AAB1647"/>
    <w:rsid w:val="1AAB5BD8"/>
    <w:rsid w:val="1AAD45DE"/>
    <w:rsid w:val="1AAE0CEE"/>
    <w:rsid w:val="1AAF08B3"/>
    <w:rsid w:val="1AB205BF"/>
    <w:rsid w:val="1ABA4494"/>
    <w:rsid w:val="1ACE12BC"/>
    <w:rsid w:val="1AD14D7E"/>
    <w:rsid w:val="1ADF413A"/>
    <w:rsid w:val="1AED21A0"/>
    <w:rsid w:val="1AED513B"/>
    <w:rsid w:val="1AED55FE"/>
    <w:rsid w:val="1AF000F5"/>
    <w:rsid w:val="1AF37BE5"/>
    <w:rsid w:val="1AF56544"/>
    <w:rsid w:val="1B046F80"/>
    <w:rsid w:val="1B0555B5"/>
    <w:rsid w:val="1B0B5DD7"/>
    <w:rsid w:val="1B0C0358"/>
    <w:rsid w:val="1B124510"/>
    <w:rsid w:val="1B1B394B"/>
    <w:rsid w:val="1B1C361A"/>
    <w:rsid w:val="1B1E6550"/>
    <w:rsid w:val="1B207C5E"/>
    <w:rsid w:val="1B2C4F92"/>
    <w:rsid w:val="1B310070"/>
    <w:rsid w:val="1B3267B5"/>
    <w:rsid w:val="1B3657D1"/>
    <w:rsid w:val="1B40161D"/>
    <w:rsid w:val="1B432871"/>
    <w:rsid w:val="1B441859"/>
    <w:rsid w:val="1B4D379A"/>
    <w:rsid w:val="1B5803EA"/>
    <w:rsid w:val="1B597C09"/>
    <w:rsid w:val="1B5F1C60"/>
    <w:rsid w:val="1B650AE3"/>
    <w:rsid w:val="1B6606B1"/>
    <w:rsid w:val="1B671763"/>
    <w:rsid w:val="1B6C758F"/>
    <w:rsid w:val="1B6D1EF1"/>
    <w:rsid w:val="1B7326E2"/>
    <w:rsid w:val="1B854AF3"/>
    <w:rsid w:val="1B8F5687"/>
    <w:rsid w:val="1B9900CC"/>
    <w:rsid w:val="1BA45141"/>
    <w:rsid w:val="1BAB3D7E"/>
    <w:rsid w:val="1BB57C9A"/>
    <w:rsid w:val="1BB92689"/>
    <w:rsid w:val="1BBB3C5C"/>
    <w:rsid w:val="1BC81E2E"/>
    <w:rsid w:val="1BCB1A9C"/>
    <w:rsid w:val="1BD011D2"/>
    <w:rsid w:val="1BD23CF5"/>
    <w:rsid w:val="1BD306F8"/>
    <w:rsid w:val="1BD65C9F"/>
    <w:rsid w:val="1BD71A60"/>
    <w:rsid w:val="1BDF39B5"/>
    <w:rsid w:val="1BE02F01"/>
    <w:rsid w:val="1BE5660A"/>
    <w:rsid w:val="1BE92F7E"/>
    <w:rsid w:val="1BE9311F"/>
    <w:rsid w:val="1BF0044E"/>
    <w:rsid w:val="1BF400B9"/>
    <w:rsid w:val="1BF52725"/>
    <w:rsid w:val="1C060F97"/>
    <w:rsid w:val="1C166B91"/>
    <w:rsid w:val="1C1A0B67"/>
    <w:rsid w:val="1C1D6857"/>
    <w:rsid w:val="1C211DA9"/>
    <w:rsid w:val="1C284B16"/>
    <w:rsid w:val="1C2A4E80"/>
    <w:rsid w:val="1C2A7637"/>
    <w:rsid w:val="1C2B09E6"/>
    <w:rsid w:val="1C2D7DAB"/>
    <w:rsid w:val="1C333C6A"/>
    <w:rsid w:val="1C3D1C44"/>
    <w:rsid w:val="1C425C7A"/>
    <w:rsid w:val="1C425D82"/>
    <w:rsid w:val="1C5118CF"/>
    <w:rsid w:val="1C5316FB"/>
    <w:rsid w:val="1C5A43C0"/>
    <w:rsid w:val="1C5E7925"/>
    <w:rsid w:val="1C601033"/>
    <w:rsid w:val="1C6060CC"/>
    <w:rsid w:val="1C6A62F0"/>
    <w:rsid w:val="1C6A701E"/>
    <w:rsid w:val="1C6E47E1"/>
    <w:rsid w:val="1C721789"/>
    <w:rsid w:val="1C7217B1"/>
    <w:rsid w:val="1C735482"/>
    <w:rsid w:val="1C7576A1"/>
    <w:rsid w:val="1C7714BC"/>
    <w:rsid w:val="1C774776"/>
    <w:rsid w:val="1C7B5026"/>
    <w:rsid w:val="1C837E33"/>
    <w:rsid w:val="1C8411EA"/>
    <w:rsid w:val="1C9536EC"/>
    <w:rsid w:val="1C99656B"/>
    <w:rsid w:val="1C9B1EB8"/>
    <w:rsid w:val="1C9C19FA"/>
    <w:rsid w:val="1C9C5C1F"/>
    <w:rsid w:val="1CA62DC9"/>
    <w:rsid w:val="1CA754C8"/>
    <w:rsid w:val="1CB247F1"/>
    <w:rsid w:val="1CB3471D"/>
    <w:rsid w:val="1CB7706D"/>
    <w:rsid w:val="1CB922F3"/>
    <w:rsid w:val="1CC35603"/>
    <w:rsid w:val="1CC43535"/>
    <w:rsid w:val="1CCD6922"/>
    <w:rsid w:val="1CCE090A"/>
    <w:rsid w:val="1CDC5533"/>
    <w:rsid w:val="1CDF6673"/>
    <w:rsid w:val="1CE2239F"/>
    <w:rsid w:val="1CE343B6"/>
    <w:rsid w:val="1CEC5991"/>
    <w:rsid w:val="1CF10155"/>
    <w:rsid w:val="1CF46221"/>
    <w:rsid w:val="1CF70AEA"/>
    <w:rsid w:val="1CF73624"/>
    <w:rsid w:val="1CFD070F"/>
    <w:rsid w:val="1D085BCA"/>
    <w:rsid w:val="1D0C3873"/>
    <w:rsid w:val="1D181B85"/>
    <w:rsid w:val="1D2243FA"/>
    <w:rsid w:val="1D246914"/>
    <w:rsid w:val="1D296FC1"/>
    <w:rsid w:val="1D2A3274"/>
    <w:rsid w:val="1D3B3F65"/>
    <w:rsid w:val="1D3E0055"/>
    <w:rsid w:val="1D3F5364"/>
    <w:rsid w:val="1D4F05F9"/>
    <w:rsid w:val="1D52666A"/>
    <w:rsid w:val="1D532E7E"/>
    <w:rsid w:val="1D5F6196"/>
    <w:rsid w:val="1D605FA6"/>
    <w:rsid w:val="1D6132A5"/>
    <w:rsid w:val="1D651943"/>
    <w:rsid w:val="1D68460F"/>
    <w:rsid w:val="1D6B6159"/>
    <w:rsid w:val="1D6D2980"/>
    <w:rsid w:val="1D7568C7"/>
    <w:rsid w:val="1D823B84"/>
    <w:rsid w:val="1D83441C"/>
    <w:rsid w:val="1D867769"/>
    <w:rsid w:val="1D890A30"/>
    <w:rsid w:val="1D8E56D5"/>
    <w:rsid w:val="1D951428"/>
    <w:rsid w:val="1DA405F5"/>
    <w:rsid w:val="1DA446DA"/>
    <w:rsid w:val="1DA45F9F"/>
    <w:rsid w:val="1DAB2047"/>
    <w:rsid w:val="1DB01DBE"/>
    <w:rsid w:val="1DB36DE5"/>
    <w:rsid w:val="1DB8135A"/>
    <w:rsid w:val="1DB86BEF"/>
    <w:rsid w:val="1DBA296D"/>
    <w:rsid w:val="1DC1352B"/>
    <w:rsid w:val="1DC22C2D"/>
    <w:rsid w:val="1DC31AF1"/>
    <w:rsid w:val="1DC44F07"/>
    <w:rsid w:val="1DC46673"/>
    <w:rsid w:val="1DC6390F"/>
    <w:rsid w:val="1DCD41FB"/>
    <w:rsid w:val="1DCE1577"/>
    <w:rsid w:val="1DD0420E"/>
    <w:rsid w:val="1DD33AFA"/>
    <w:rsid w:val="1DD41F50"/>
    <w:rsid w:val="1DD97567"/>
    <w:rsid w:val="1DE02D84"/>
    <w:rsid w:val="1DE74BBA"/>
    <w:rsid w:val="1DEA45DB"/>
    <w:rsid w:val="1DEB48A1"/>
    <w:rsid w:val="1DEE7140"/>
    <w:rsid w:val="1DFF63AD"/>
    <w:rsid w:val="1E030979"/>
    <w:rsid w:val="1E0E365D"/>
    <w:rsid w:val="1E0E56FF"/>
    <w:rsid w:val="1E0F7C67"/>
    <w:rsid w:val="1E1057A2"/>
    <w:rsid w:val="1E11015B"/>
    <w:rsid w:val="1E1153F1"/>
    <w:rsid w:val="1E233251"/>
    <w:rsid w:val="1E267CAE"/>
    <w:rsid w:val="1E2A1272"/>
    <w:rsid w:val="1E2D66F1"/>
    <w:rsid w:val="1E355AA4"/>
    <w:rsid w:val="1E4247B3"/>
    <w:rsid w:val="1E5866DD"/>
    <w:rsid w:val="1E642C55"/>
    <w:rsid w:val="1E6A28F8"/>
    <w:rsid w:val="1E6B1336"/>
    <w:rsid w:val="1E6B328F"/>
    <w:rsid w:val="1E6D6981"/>
    <w:rsid w:val="1E7977D3"/>
    <w:rsid w:val="1E7A43DA"/>
    <w:rsid w:val="1E80054D"/>
    <w:rsid w:val="1E8737D7"/>
    <w:rsid w:val="1E8841DB"/>
    <w:rsid w:val="1E8A7BB3"/>
    <w:rsid w:val="1E8C6B5F"/>
    <w:rsid w:val="1E8E5C37"/>
    <w:rsid w:val="1E8F35C7"/>
    <w:rsid w:val="1E931C2B"/>
    <w:rsid w:val="1EA03C61"/>
    <w:rsid w:val="1EAE27A1"/>
    <w:rsid w:val="1EAE6D0F"/>
    <w:rsid w:val="1EAF0941"/>
    <w:rsid w:val="1EB27864"/>
    <w:rsid w:val="1EB53B30"/>
    <w:rsid w:val="1EB73556"/>
    <w:rsid w:val="1EB93811"/>
    <w:rsid w:val="1EC42B09"/>
    <w:rsid w:val="1ECC2C27"/>
    <w:rsid w:val="1ED447FC"/>
    <w:rsid w:val="1EDB77B7"/>
    <w:rsid w:val="1EDD106A"/>
    <w:rsid w:val="1EDF0BAD"/>
    <w:rsid w:val="1EE2390C"/>
    <w:rsid w:val="1EE53A1F"/>
    <w:rsid w:val="1EEA3E6E"/>
    <w:rsid w:val="1EEE648F"/>
    <w:rsid w:val="1EF34658"/>
    <w:rsid w:val="1F1563F3"/>
    <w:rsid w:val="1F1B770B"/>
    <w:rsid w:val="1F2A0319"/>
    <w:rsid w:val="1F3F2292"/>
    <w:rsid w:val="1F42113B"/>
    <w:rsid w:val="1F4960AF"/>
    <w:rsid w:val="1F4C5B16"/>
    <w:rsid w:val="1F516B9A"/>
    <w:rsid w:val="1F520C6C"/>
    <w:rsid w:val="1F530537"/>
    <w:rsid w:val="1F5D545C"/>
    <w:rsid w:val="1F687A6C"/>
    <w:rsid w:val="1F7947DE"/>
    <w:rsid w:val="1F7956DC"/>
    <w:rsid w:val="1F8B003C"/>
    <w:rsid w:val="1F967153"/>
    <w:rsid w:val="1F973235"/>
    <w:rsid w:val="1FA12F8C"/>
    <w:rsid w:val="1FA13A55"/>
    <w:rsid w:val="1FA22D81"/>
    <w:rsid w:val="1FB552CC"/>
    <w:rsid w:val="1FBB4BD6"/>
    <w:rsid w:val="1FBF278C"/>
    <w:rsid w:val="1FC52D11"/>
    <w:rsid w:val="1FC855AB"/>
    <w:rsid w:val="1FDF730E"/>
    <w:rsid w:val="1FE363AB"/>
    <w:rsid w:val="1FE7539E"/>
    <w:rsid w:val="1FE87606"/>
    <w:rsid w:val="1FEB514A"/>
    <w:rsid w:val="1FFE32B4"/>
    <w:rsid w:val="20061006"/>
    <w:rsid w:val="20095D00"/>
    <w:rsid w:val="20143494"/>
    <w:rsid w:val="201B3E66"/>
    <w:rsid w:val="20203421"/>
    <w:rsid w:val="202D44FC"/>
    <w:rsid w:val="20372A2E"/>
    <w:rsid w:val="203E3707"/>
    <w:rsid w:val="20412BAC"/>
    <w:rsid w:val="20447FB9"/>
    <w:rsid w:val="2046577C"/>
    <w:rsid w:val="204C5469"/>
    <w:rsid w:val="204D5FEA"/>
    <w:rsid w:val="205355E9"/>
    <w:rsid w:val="20535F35"/>
    <w:rsid w:val="205360FA"/>
    <w:rsid w:val="20564ADE"/>
    <w:rsid w:val="20566C4C"/>
    <w:rsid w:val="205E1154"/>
    <w:rsid w:val="20640054"/>
    <w:rsid w:val="20654685"/>
    <w:rsid w:val="206600B7"/>
    <w:rsid w:val="20671BE0"/>
    <w:rsid w:val="206A42EF"/>
    <w:rsid w:val="206C4496"/>
    <w:rsid w:val="206D73F9"/>
    <w:rsid w:val="206F5649"/>
    <w:rsid w:val="20711C45"/>
    <w:rsid w:val="207348BB"/>
    <w:rsid w:val="20750644"/>
    <w:rsid w:val="20811011"/>
    <w:rsid w:val="208512E0"/>
    <w:rsid w:val="208C6B12"/>
    <w:rsid w:val="20917450"/>
    <w:rsid w:val="20963CB8"/>
    <w:rsid w:val="209C52D8"/>
    <w:rsid w:val="20A224ED"/>
    <w:rsid w:val="20A81A1B"/>
    <w:rsid w:val="20AF7AAE"/>
    <w:rsid w:val="20B07FB6"/>
    <w:rsid w:val="20B45A48"/>
    <w:rsid w:val="20B646FB"/>
    <w:rsid w:val="20B8126D"/>
    <w:rsid w:val="20BD4E6F"/>
    <w:rsid w:val="20C26EDE"/>
    <w:rsid w:val="20C8618F"/>
    <w:rsid w:val="20CA0759"/>
    <w:rsid w:val="20CB32E8"/>
    <w:rsid w:val="20CE09F4"/>
    <w:rsid w:val="20D031B6"/>
    <w:rsid w:val="20D04ED9"/>
    <w:rsid w:val="20E95FEC"/>
    <w:rsid w:val="20ED17AC"/>
    <w:rsid w:val="20F127AB"/>
    <w:rsid w:val="20F6777E"/>
    <w:rsid w:val="20F87414"/>
    <w:rsid w:val="20F877D4"/>
    <w:rsid w:val="20F87D04"/>
    <w:rsid w:val="20FB632D"/>
    <w:rsid w:val="20FB77F4"/>
    <w:rsid w:val="21012678"/>
    <w:rsid w:val="21082A57"/>
    <w:rsid w:val="210B25A9"/>
    <w:rsid w:val="210B7A26"/>
    <w:rsid w:val="2110111F"/>
    <w:rsid w:val="211663DC"/>
    <w:rsid w:val="21182154"/>
    <w:rsid w:val="211F5D5B"/>
    <w:rsid w:val="21256724"/>
    <w:rsid w:val="21257950"/>
    <w:rsid w:val="2126105B"/>
    <w:rsid w:val="2126728C"/>
    <w:rsid w:val="212E5E1B"/>
    <w:rsid w:val="213B74B1"/>
    <w:rsid w:val="21454754"/>
    <w:rsid w:val="2148095A"/>
    <w:rsid w:val="214A11A7"/>
    <w:rsid w:val="215A2310"/>
    <w:rsid w:val="215A3C53"/>
    <w:rsid w:val="215A7BA5"/>
    <w:rsid w:val="215B4D83"/>
    <w:rsid w:val="21617F9F"/>
    <w:rsid w:val="2168768D"/>
    <w:rsid w:val="21697A41"/>
    <w:rsid w:val="216C72F5"/>
    <w:rsid w:val="217642C6"/>
    <w:rsid w:val="217A2ED8"/>
    <w:rsid w:val="217C19C4"/>
    <w:rsid w:val="218402F9"/>
    <w:rsid w:val="21844F7E"/>
    <w:rsid w:val="21857E3C"/>
    <w:rsid w:val="21883284"/>
    <w:rsid w:val="218914C5"/>
    <w:rsid w:val="218A6C07"/>
    <w:rsid w:val="219173DC"/>
    <w:rsid w:val="219D1E14"/>
    <w:rsid w:val="21A22AA0"/>
    <w:rsid w:val="21B23474"/>
    <w:rsid w:val="21B300CF"/>
    <w:rsid w:val="21B828BB"/>
    <w:rsid w:val="21B85C7C"/>
    <w:rsid w:val="21C10A3D"/>
    <w:rsid w:val="21C12210"/>
    <w:rsid w:val="21CE52E3"/>
    <w:rsid w:val="21DE318A"/>
    <w:rsid w:val="21E35704"/>
    <w:rsid w:val="21E93C29"/>
    <w:rsid w:val="21EC3216"/>
    <w:rsid w:val="21EF5B80"/>
    <w:rsid w:val="21F514CA"/>
    <w:rsid w:val="21F6394F"/>
    <w:rsid w:val="21F7191C"/>
    <w:rsid w:val="22010757"/>
    <w:rsid w:val="22014264"/>
    <w:rsid w:val="220516A4"/>
    <w:rsid w:val="22053AAC"/>
    <w:rsid w:val="22093F29"/>
    <w:rsid w:val="220D3994"/>
    <w:rsid w:val="220F17A9"/>
    <w:rsid w:val="221D3AD1"/>
    <w:rsid w:val="22251A19"/>
    <w:rsid w:val="222B6680"/>
    <w:rsid w:val="222C1D67"/>
    <w:rsid w:val="22326947"/>
    <w:rsid w:val="22330C09"/>
    <w:rsid w:val="22337F32"/>
    <w:rsid w:val="22430ED0"/>
    <w:rsid w:val="224F1354"/>
    <w:rsid w:val="22501274"/>
    <w:rsid w:val="22576990"/>
    <w:rsid w:val="226100AE"/>
    <w:rsid w:val="22621826"/>
    <w:rsid w:val="22712CF6"/>
    <w:rsid w:val="22772486"/>
    <w:rsid w:val="2279763E"/>
    <w:rsid w:val="2281050D"/>
    <w:rsid w:val="229706E4"/>
    <w:rsid w:val="22994C9C"/>
    <w:rsid w:val="22B660C8"/>
    <w:rsid w:val="22B67897"/>
    <w:rsid w:val="22B67F62"/>
    <w:rsid w:val="22C6417C"/>
    <w:rsid w:val="22CE3289"/>
    <w:rsid w:val="22D60519"/>
    <w:rsid w:val="22DB4D27"/>
    <w:rsid w:val="22E071F5"/>
    <w:rsid w:val="22E1185E"/>
    <w:rsid w:val="22EA2F74"/>
    <w:rsid w:val="22EA7B20"/>
    <w:rsid w:val="22EC37EA"/>
    <w:rsid w:val="22F47480"/>
    <w:rsid w:val="22F520BC"/>
    <w:rsid w:val="22F748C0"/>
    <w:rsid w:val="22F835EB"/>
    <w:rsid w:val="23024E6A"/>
    <w:rsid w:val="230332F7"/>
    <w:rsid w:val="230B14BC"/>
    <w:rsid w:val="230D784D"/>
    <w:rsid w:val="23101936"/>
    <w:rsid w:val="231B3493"/>
    <w:rsid w:val="232F186D"/>
    <w:rsid w:val="23305E7B"/>
    <w:rsid w:val="23315702"/>
    <w:rsid w:val="23346088"/>
    <w:rsid w:val="23374718"/>
    <w:rsid w:val="23385E06"/>
    <w:rsid w:val="233B05FA"/>
    <w:rsid w:val="235D4C4F"/>
    <w:rsid w:val="236329C8"/>
    <w:rsid w:val="23660FB8"/>
    <w:rsid w:val="23681EC9"/>
    <w:rsid w:val="236F3024"/>
    <w:rsid w:val="23710AF9"/>
    <w:rsid w:val="23737CA0"/>
    <w:rsid w:val="23740F47"/>
    <w:rsid w:val="237708DF"/>
    <w:rsid w:val="237B0619"/>
    <w:rsid w:val="237C01CB"/>
    <w:rsid w:val="237F4F78"/>
    <w:rsid w:val="23812773"/>
    <w:rsid w:val="23881010"/>
    <w:rsid w:val="23894234"/>
    <w:rsid w:val="238C0D51"/>
    <w:rsid w:val="238D5CE3"/>
    <w:rsid w:val="23950119"/>
    <w:rsid w:val="239C1F7F"/>
    <w:rsid w:val="239F6792"/>
    <w:rsid w:val="23A10133"/>
    <w:rsid w:val="23A744B6"/>
    <w:rsid w:val="23AB76E2"/>
    <w:rsid w:val="23BB0AD2"/>
    <w:rsid w:val="23C04706"/>
    <w:rsid w:val="23C07454"/>
    <w:rsid w:val="23C731CC"/>
    <w:rsid w:val="23CB7428"/>
    <w:rsid w:val="23CC3C8A"/>
    <w:rsid w:val="23D37845"/>
    <w:rsid w:val="23DC0372"/>
    <w:rsid w:val="23DC22B9"/>
    <w:rsid w:val="23DE0B66"/>
    <w:rsid w:val="23DE1C48"/>
    <w:rsid w:val="23DF4E95"/>
    <w:rsid w:val="23EA427B"/>
    <w:rsid w:val="23EC021F"/>
    <w:rsid w:val="23F27D7B"/>
    <w:rsid w:val="23F85F20"/>
    <w:rsid w:val="23FC7B0B"/>
    <w:rsid w:val="240210CD"/>
    <w:rsid w:val="2403793B"/>
    <w:rsid w:val="240752B3"/>
    <w:rsid w:val="240B258B"/>
    <w:rsid w:val="241018CF"/>
    <w:rsid w:val="24165747"/>
    <w:rsid w:val="24191BAC"/>
    <w:rsid w:val="241962B3"/>
    <w:rsid w:val="2420122E"/>
    <w:rsid w:val="24207C9D"/>
    <w:rsid w:val="24260A61"/>
    <w:rsid w:val="24374FE7"/>
    <w:rsid w:val="24406985"/>
    <w:rsid w:val="244B7AB1"/>
    <w:rsid w:val="244D7FA0"/>
    <w:rsid w:val="245A789B"/>
    <w:rsid w:val="24637968"/>
    <w:rsid w:val="24640F2E"/>
    <w:rsid w:val="24743706"/>
    <w:rsid w:val="24752A6F"/>
    <w:rsid w:val="24766DC8"/>
    <w:rsid w:val="247702FC"/>
    <w:rsid w:val="24791BEF"/>
    <w:rsid w:val="24844BCB"/>
    <w:rsid w:val="248875F1"/>
    <w:rsid w:val="248A3369"/>
    <w:rsid w:val="248A60D5"/>
    <w:rsid w:val="24A853DC"/>
    <w:rsid w:val="24B65A3E"/>
    <w:rsid w:val="24B959FC"/>
    <w:rsid w:val="24BB0B3C"/>
    <w:rsid w:val="24BD4855"/>
    <w:rsid w:val="24BF09F7"/>
    <w:rsid w:val="24C417E3"/>
    <w:rsid w:val="24C6342B"/>
    <w:rsid w:val="24C841D3"/>
    <w:rsid w:val="24C937DF"/>
    <w:rsid w:val="24D3612E"/>
    <w:rsid w:val="24D45146"/>
    <w:rsid w:val="24D47072"/>
    <w:rsid w:val="24D6035C"/>
    <w:rsid w:val="24DB49DD"/>
    <w:rsid w:val="24E17DE0"/>
    <w:rsid w:val="24E30CCB"/>
    <w:rsid w:val="24E66803"/>
    <w:rsid w:val="24E81437"/>
    <w:rsid w:val="250164CC"/>
    <w:rsid w:val="25072C0B"/>
    <w:rsid w:val="250E6F37"/>
    <w:rsid w:val="2513266D"/>
    <w:rsid w:val="25171C1C"/>
    <w:rsid w:val="251B2A96"/>
    <w:rsid w:val="251D242F"/>
    <w:rsid w:val="251E5F01"/>
    <w:rsid w:val="25213B67"/>
    <w:rsid w:val="252D53FE"/>
    <w:rsid w:val="25331C52"/>
    <w:rsid w:val="2537501D"/>
    <w:rsid w:val="25383CA3"/>
    <w:rsid w:val="254A2AF8"/>
    <w:rsid w:val="254E5E33"/>
    <w:rsid w:val="25503D0E"/>
    <w:rsid w:val="255130AB"/>
    <w:rsid w:val="25531958"/>
    <w:rsid w:val="25564E5D"/>
    <w:rsid w:val="25636497"/>
    <w:rsid w:val="257B0A0C"/>
    <w:rsid w:val="258532A7"/>
    <w:rsid w:val="2587611B"/>
    <w:rsid w:val="25897AC4"/>
    <w:rsid w:val="258E7C7F"/>
    <w:rsid w:val="25910F89"/>
    <w:rsid w:val="2591735F"/>
    <w:rsid w:val="2594364D"/>
    <w:rsid w:val="25974BA1"/>
    <w:rsid w:val="25975E02"/>
    <w:rsid w:val="25984913"/>
    <w:rsid w:val="259A3FCC"/>
    <w:rsid w:val="25AA4947"/>
    <w:rsid w:val="25AB5160"/>
    <w:rsid w:val="25AB5586"/>
    <w:rsid w:val="25B91208"/>
    <w:rsid w:val="25BC57A4"/>
    <w:rsid w:val="25C103C7"/>
    <w:rsid w:val="25C57D7D"/>
    <w:rsid w:val="25D3424A"/>
    <w:rsid w:val="25D423C5"/>
    <w:rsid w:val="25D71350"/>
    <w:rsid w:val="25D96ED3"/>
    <w:rsid w:val="25E80A1A"/>
    <w:rsid w:val="25EA2E5C"/>
    <w:rsid w:val="25EA2F9C"/>
    <w:rsid w:val="25EB7E37"/>
    <w:rsid w:val="25EC014A"/>
    <w:rsid w:val="25EC2D81"/>
    <w:rsid w:val="25F9568A"/>
    <w:rsid w:val="26055E23"/>
    <w:rsid w:val="260C59DC"/>
    <w:rsid w:val="26136763"/>
    <w:rsid w:val="261F5D33"/>
    <w:rsid w:val="262C7105"/>
    <w:rsid w:val="26317EFE"/>
    <w:rsid w:val="264B6AD7"/>
    <w:rsid w:val="265208FC"/>
    <w:rsid w:val="26561058"/>
    <w:rsid w:val="265763BF"/>
    <w:rsid w:val="2664654D"/>
    <w:rsid w:val="266556D2"/>
    <w:rsid w:val="26674087"/>
    <w:rsid w:val="266E3496"/>
    <w:rsid w:val="267542A7"/>
    <w:rsid w:val="267A696E"/>
    <w:rsid w:val="268C6764"/>
    <w:rsid w:val="268D4FB6"/>
    <w:rsid w:val="268E06C5"/>
    <w:rsid w:val="268F10FF"/>
    <w:rsid w:val="268F2EB8"/>
    <w:rsid w:val="269759AE"/>
    <w:rsid w:val="2699078F"/>
    <w:rsid w:val="269C3827"/>
    <w:rsid w:val="269F1E87"/>
    <w:rsid w:val="26A07908"/>
    <w:rsid w:val="26A20E44"/>
    <w:rsid w:val="26A30712"/>
    <w:rsid w:val="26B01233"/>
    <w:rsid w:val="26B40B71"/>
    <w:rsid w:val="26C55B3D"/>
    <w:rsid w:val="26CB19DF"/>
    <w:rsid w:val="26CD23C6"/>
    <w:rsid w:val="26CD578F"/>
    <w:rsid w:val="26CF3E66"/>
    <w:rsid w:val="26CF4F24"/>
    <w:rsid w:val="26D80541"/>
    <w:rsid w:val="26DF3823"/>
    <w:rsid w:val="26E0647F"/>
    <w:rsid w:val="26E53A18"/>
    <w:rsid w:val="26E67D64"/>
    <w:rsid w:val="26E73597"/>
    <w:rsid w:val="26EA00EF"/>
    <w:rsid w:val="26F51F6B"/>
    <w:rsid w:val="26F56720"/>
    <w:rsid w:val="27060C7C"/>
    <w:rsid w:val="270B4291"/>
    <w:rsid w:val="270B60E0"/>
    <w:rsid w:val="270B7B8D"/>
    <w:rsid w:val="270F3C76"/>
    <w:rsid w:val="270F56A4"/>
    <w:rsid w:val="27125C6F"/>
    <w:rsid w:val="27126B93"/>
    <w:rsid w:val="2719438D"/>
    <w:rsid w:val="271B744C"/>
    <w:rsid w:val="272C5349"/>
    <w:rsid w:val="2732174F"/>
    <w:rsid w:val="27357550"/>
    <w:rsid w:val="27370C29"/>
    <w:rsid w:val="27447004"/>
    <w:rsid w:val="274E0147"/>
    <w:rsid w:val="27550294"/>
    <w:rsid w:val="27575AA5"/>
    <w:rsid w:val="275B0B96"/>
    <w:rsid w:val="27603479"/>
    <w:rsid w:val="276A4062"/>
    <w:rsid w:val="276E1A0E"/>
    <w:rsid w:val="27702F56"/>
    <w:rsid w:val="277057A2"/>
    <w:rsid w:val="27710FB4"/>
    <w:rsid w:val="277A6A71"/>
    <w:rsid w:val="27822FE4"/>
    <w:rsid w:val="27824274"/>
    <w:rsid w:val="279279FA"/>
    <w:rsid w:val="27966AE9"/>
    <w:rsid w:val="279B078B"/>
    <w:rsid w:val="27A72E58"/>
    <w:rsid w:val="27B24C8A"/>
    <w:rsid w:val="27B47B8A"/>
    <w:rsid w:val="27BA21B7"/>
    <w:rsid w:val="27BD49A9"/>
    <w:rsid w:val="27C51966"/>
    <w:rsid w:val="27C546B8"/>
    <w:rsid w:val="27C907DD"/>
    <w:rsid w:val="27CB69A0"/>
    <w:rsid w:val="27D62D17"/>
    <w:rsid w:val="27D80B79"/>
    <w:rsid w:val="27DA1B05"/>
    <w:rsid w:val="27E27105"/>
    <w:rsid w:val="27E51C1C"/>
    <w:rsid w:val="27EF2A62"/>
    <w:rsid w:val="27EF4956"/>
    <w:rsid w:val="27F16ABE"/>
    <w:rsid w:val="27F54EDA"/>
    <w:rsid w:val="27F9495D"/>
    <w:rsid w:val="27FA0805"/>
    <w:rsid w:val="27FD64AB"/>
    <w:rsid w:val="28047419"/>
    <w:rsid w:val="28153D7B"/>
    <w:rsid w:val="282348A0"/>
    <w:rsid w:val="282458D9"/>
    <w:rsid w:val="28270BE5"/>
    <w:rsid w:val="283C0CEF"/>
    <w:rsid w:val="283C2BCC"/>
    <w:rsid w:val="283F0399"/>
    <w:rsid w:val="283F5D82"/>
    <w:rsid w:val="28400275"/>
    <w:rsid w:val="28467B96"/>
    <w:rsid w:val="28480D9A"/>
    <w:rsid w:val="284B1F6B"/>
    <w:rsid w:val="28505702"/>
    <w:rsid w:val="28570975"/>
    <w:rsid w:val="285B33CB"/>
    <w:rsid w:val="285E0153"/>
    <w:rsid w:val="28622CA9"/>
    <w:rsid w:val="286332DD"/>
    <w:rsid w:val="2865057F"/>
    <w:rsid w:val="2865121D"/>
    <w:rsid w:val="286B34B1"/>
    <w:rsid w:val="28713B2A"/>
    <w:rsid w:val="287A1B88"/>
    <w:rsid w:val="287A508B"/>
    <w:rsid w:val="28883316"/>
    <w:rsid w:val="288A6C1C"/>
    <w:rsid w:val="288B2594"/>
    <w:rsid w:val="288D49CB"/>
    <w:rsid w:val="2897652C"/>
    <w:rsid w:val="289C7B0E"/>
    <w:rsid w:val="28A349F9"/>
    <w:rsid w:val="28A5139C"/>
    <w:rsid w:val="28A6273B"/>
    <w:rsid w:val="28AA46B2"/>
    <w:rsid w:val="28AB5844"/>
    <w:rsid w:val="28B1386B"/>
    <w:rsid w:val="28BC3D0D"/>
    <w:rsid w:val="28C03C6D"/>
    <w:rsid w:val="28C563B4"/>
    <w:rsid w:val="28CA317D"/>
    <w:rsid w:val="28CE5D75"/>
    <w:rsid w:val="28D71832"/>
    <w:rsid w:val="28D948BF"/>
    <w:rsid w:val="28DE1ED5"/>
    <w:rsid w:val="28E15AD4"/>
    <w:rsid w:val="28E85FAC"/>
    <w:rsid w:val="28F2075C"/>
    <w:rsid w:val="28F74D45"/>
    <w:rsid w:val="28F80A2C"/>
    <w:rsid w:val="28F931A5"/>
    <w:rsid w:val="28F97A37"/>
    <w:rsid w:val="28FE0D65"/>
    <w:rsid w:val="2901470F"/>
    <w:rsid w:val="290741C6"/>
    <w:rsid w:val="2908226F"/>
    <w:rsid w:val="290B003E"/>
    <w:rsid w:val="290C0C35"/>
    <w:rsid w:val="290F6532"/>
    <w:rsid w:val="29180B3E"/>
    <w:rsid w:val="291F51C6"/>
    <w:rsid w:val="2920604A"/>
    <w:rsid w:val="29206EB8"/>
    <w:rsid w:val="2921463D"/>
    <w:rsid w:val="292D5287"/>
    <w:rsid w:val="292D5485"/>
    <w:rsid w:val="293163E2"/>
    <w:rsid w:val="29363ABF"/>
    <w:rsid w:val="293A602F"/>
    <w:rsid w:val="293D2EF8"/>
    <w:rsid w:val="29421C6C"/>
    <w:rsid w:val="29437D99"/>
    <w:rsid w:val="29443075"/>
    <w:rsid w:val="2944744B"/>
    <w:rsid w:val="2946204D"/>
    <w:rsid w:val="294B131E"/>
    <w:rsid w:val="294F41CB"/>
    <w:rsid w:val="29520F9A"/>
    <w:rsid w:val="29570B2D"/>
    <w:rsid w:val="29595666"/>
    <w:rsid w:val="295B5AB9"/>
    <w:rsid w:val="295D4808"/>
    <w:rsid w:val="29641295"/>
    <w:rsid w:val="2964553B"/>
    <w:rsid w:val="29692E3C"/>
    <w:rsid w:val="296B1A8E"/>
    <w:rsid w:val="29762C7E"/>
    <w:rsid w:val="297818F3"/>
    <w:rsid w:val="297B5976"/>
    <w:rsid w:val="297E1BCD"/>
    <w:rsid w:val="297E5717"/>
    <w:rsid w:val="29870BFE"/>
    <w:rsid w:val="29874881"/>
    <w:rsid w:val="2987639D"/>
    <w:rsid w:val="298C10E0"/>
    <w:rsid w:val="298F7BDB"/>
    <w:rsid w:val="29904113"/>
    <w:rsid w:val="29934A6D"/>
    <w:rsid w:val="299570C0"/>
    <w:rsid w:val="299B66E2"/>
    <w:rsid w:val="29A019A6"/>
    <w:rsid w:val="29AD0EA1"/>
    <w:rsid w:val="29AE18A7"/>
    <w:rsid w:val="29AE7D8F"/>
    <w:rsid w:val="29BA4665"/>
    <w:rsid w:val="29BB1DC2"/>
    <w:rsid w:val="29BB7362"/>
    <w:rsid w:val="29C16934"/>
    <w:rsid w:val="29DA269C"/>
    <w:rsid w:val="29E325E0"/>
    <w:rsid w:val="29E57F98"/>
    <w:rsid w:val="29F47920"/>
    <w:rsid w:val="29F574C8"/>
    <w:rsid w:val="29F64A9B"/>
    <w:rsid w:val="29FA2353"/>
    <w:rsid w:val="29FB6E6A"/>
    <w:rsid w:val="2A0D3F66"/>
    <w:rsid w:val="2A0D5052"/>
    <w:rsid w:val="2A154BFF"/>
    <w:rsid w:val="2A163F15"/>
    <w:rsid w:val="2A1F5793"/>
    <w:rsid w:val="2A2056A1"/>
    <w:rsid w:val="2A262D88"/>
    <w:rsid w:val="2A273A2F"/>
    <w:rsid w:val="2A27786F"/>
    <w:rsid w:val="2A2A3EF0"/>
    <w:rsid w:val="2A452503"/>
    <w:rsid w:val="2A544953"/>
    <w:rsid w:val="2A55304A"/>
    <w:rsid w:val="2A5A3F70"/>
    <w:rsid w:val="2A676563"/>
    <w:rsid w:val="2A754104"/>
    <w:rsid w:val="2A846041"/>
    <w:rsid w:val="2A945F42"/>
    <w:rsid w:val="2A970AE4"/>
    <w:rsid w:val="2A9E3BE0"/>
    <w:rsid w:val="2AA210F0"/>
    <w:rsid w:val="2AA36C0C"/>
    <w:rsid w:val="2AA900C4"/>
    <w:rsid w:val="2AA967C8"/>
    <w:rsid w:val="2AAC4C65"/>
    <w:rsid w:val="2AAD558D"/>
    <w:rsid w:val="2AAE2406"/>
    <w:rsid w:val="2AAF3415"/>
    <w:rsid w:val="2AB001E6"/>
    <w:rsid w:val="2AB44761"/>
    <w:rsid w:val="2AB972ED"/>
    <w:rsid w:val="2AC01D81"/>
    <w:rsid w:val="2ACB26A2"/>
    <w:rsid w:val="2AD42741"/>
    <w:rsid w:val="2ADC03D1"/>
    <w:rsid w:val="2ADE388A"/>
    <w:rsid w:val="2ADF5470"/>
    <w:rsid w:val="2AE01F34"/>
    <w:rsid w:val="2AE31AAE"/>
    <w:rsid w:val="2AEA2DB3"/>
    <w:rsid w:val="2AED3531"/>
    <w:rsid w:val="2AED4C13"/>
    <w:rsid w:val="2AF555AC"/>
    <w:rsid w:val="2AFA4787"/>
    <w:rsid w:val="2B003628"/>
    <w:rsid w:val="2B0072A3"/>
    <w:rsid w:val="2B104C45"/>
    <w:rsid w:val="2B1716CE"/>
    <w:rsid w:val="2B1A0603"/>
    <w:rsid w:val="2B1C58B3"/>
    <w:rsid w:val="2B20072F"/>
    <w:rsid w:val="2B232F6E"/>
    <w:rsid w:val="2B287D41"/>
    <w:rsid w:val="2B295089"/>
    <w:rsid w:val="2B2B7A8C"/>
    <w:rsid w:val="2B2C0872"/>
    <w:rsid w:val="2B3560CB"/>
    <w:rsid w:val="2B427967"/>
    <w:rsid w:val="2B4624B3"/>
    <w:rsid w:val="2B4A7447"/>
    <w:rsid w:val="2B501978"/>
    <w:rsid w:val="2B572C99"/>
    <w:rsid w:val="2B5A0337"/>
    <w:rsid w:val="2B7144A1"/>
    <w:rsid w:val="2B755AC2"/>
    <w:rsid w:val="2B763C33"/>
    <w:rsid w:val="2B803E71"/>
    <w:rsid w:val="2B8C3E6A"/>
    <w:rsid w:val="2B8E3C3B"/>
    <w:rsid w:val="2B911481"/>
    <w:rsid w:val="2B9841DA"/>
    <w:rsid w:val="2B9B0039"/>
    <w:rsid w:val="2BA303CC"/>
    <w:rsid w:val="2BA63E6C"/>
    <w:rsid w:val="2BA936A8"/>
    <w:rsid w:val="2BAC6E20"/>
    <w:rsid w:val="2BB45AED"/>
    <w:rsid w:val="2BB758CC"/>
    <w:rsid w:val="2BB90EC9"/>
    <w:rsid w:val="2BC14D91"/>
    <w:rsid w:val="2BC431B5"/>
    <w:rsid w:val="2BC449C8"/>
    <w:rsid w:val="2BC63F02"/>
    <w:rsid w:val="2BC6785D"/>
    <w:rsid w:val="2BC730F4"/>
    <w:rsid w:val="2BCB41BD"/>
    <w:rsid w:val="2BCF7429"/>
    <w:rsid w:val="2BD17CAA"/>
    <w:rsid w:val="2BD80E5D"/>
    <w:rsid w:val="2BD974B1"/>
    <w:rsid w:val="2BE5357A"/>
    <w:rsid w:val="2BEA0167"/>
    <w:rsid w:val="2BEA19D3"/>
    <w:rsid w:val="2BF54AEA"/>
    <w:rsid w:val="2BFA2420"/>
    <w:rsid w:val="2BFE082E"/>
    <w:rsid w:val="2BFF384D"/>
    <w:rsid w:val="2C0436EF"/>
    <w:rsid w:val="2C065F1E"/>
    <w:rsid w:val="2C0A730B"/>
    <w:rsid w:val="2C0B1892"/>
    <w:rsid w:val="2C0C5767"/>
    <w:rsid w:val="2C0E41F0"/>
    <w:rsid w:val="2C113C8B"/>
    <w:rsid w:val="2C261D46"/>
    <w:rsid w:val="2C30119E"/>
    <w:rsid w:val="2C31247C"/>
    <w:rsid w:val="2C315A5A"/>
    <w:rsid w:val="2C32345F"/>
    <w:rsid w:val="2C371CEC"/>
    <w:rsid w:val="2C3E3ACD"/>
    <w:rsid w:val="2C491C32"/>
    <w:rsid w:val="2C4B1C25"/>
    <w:rsid w:val="2C53093E"/>
    <w:rsid w:val="2C5F31FE"/>
    <w:rsid w:val="2C67202D"/>
    <w:rsid w:val="2C6E0E0C"/>
    <w:rsid w:val="2C701096"/>
    <w:rsid w:val="2C7014EB"/>
    <w:rsid w:val="2C75170D"/>
    <w:rsid w:val="2C7A6B1E"/>
    <w:rsid w:val="2C81734C"/>
    <w:rsid w:val="2C8D5CE4"/>
    <w:rsid w:val="2C96365D"/>
    <w:rsid w:val="2C9B79F4"/>
    <w:rsid w:val="2C9C5759"/>
    <w:rsid w:val="2CB528D4"/>
    <w:rsid w:val="2CB86CFE"/>
    <w:rsid w:val="2CBF4BC6"/>
    <w:rsid w:val="2CC11B9C"/>
    <w:rsid w:val="2CC3599C"/>
    <w:rsid w:val="2CC43CA2"/>
    <w:rsid w:val="2CC81876"/>
    <w:rsid w:val="2CDE4DCA"/>
    <w:rsid w:val="2CE16698"/>
    <w:rsid w:val="2CEE1201"/>
    <w:rsid w:val="2CF2795B"/>
    <w:rsid w:val="2CF622F5"/>
    <w:rsid w:val="2CF77A09"/>
    <w:rsid w:val="2CFA56A4"/>
    <w:rsid w:val="2CFB3C58"/>
    <w:rsid w:val="2D0F7E79"/>
    <w:rsid w:val="2D137C3A"/>
    <w:rsid w:val="2D1F21D2"/>
    <w:rsid w:val="2D205D6C"/>
    <w:rsid w:val="2D2B3FD0"/>
    <w:rsid w:val="2D2F5A24"/>
    <w:rsid w:val="2D33001B"/>
    <w:rsid w:val="2D337859"/>
    <w:rsid w:val="2D377038"/>
    <w:rsid w:val="2D412B3A"/>
    <w:rsid w:val="2D4311CA"/>
    <w:rsid w:val="2D4531E4"/>
    <w:rsid w:val="2D490204"/>
    <w:rsid w:val="2D4C5B4C"/>
    <w:rsid w:val="2D63274E"/>
    <w:rsid w:val="2D6B0A85"/>
    <w:rsid w:val="2D6D5F3C"/>
    <w:rsid w:val="2D6E0601"/>
    <w:rsid w:val="2D7011EC"/>
    <w:rsid w:val="2D716E07"/>
    <w:rsid w:val="2D73223F"/>
    <w:rsid w:val="2D746197"/>
    <w:rsid w:val="2D792007"/>
    <w:rsid w:val="2D7E2379"/>
    <w:rsid w:val="2D8017AD"/>
    <w:rsid w:val="2D8429AE"/>
    <w:rsid w:val="2D895B0B"/>
    <w:rsid w:val="2D914F95"/>
    <w:rsid w:val="2D937732"/>
    <w:rsid w:val="2D956717"/>
    <w:rsid w:val="2D9A45E7"/>
    <w:rsid w:val="2D9E56F5"/>
    <w:rsid w:val="2DAF45C3"/>
    <w:rsid w:val="2DB2443F"/>
    <w:rsid w:val="2DB65269"/>
    <w:rsid w:val="2DBD030B"/>
    <w:rsid w:val="2DBD18AB"/>
    <w:rsid w:val="2DBE64E5"/>
    <w:rsid w:val="2DC54C9D"/>
    <w:rsid w:val="2DCE7916"/>
    <w:rsid w:val="2DD04040"/>
    <w:rsid w:val="2DD735EE"/>
    <w:rsid w:val="2DE2273E"/>
    <w:rsid w:val="2DE660CC"/>
    <w:rsid w:val="2DE73772"/>
    <w:rsid w:val="2DE92732"/>
    <w:rsid w:val="2DEA15C9"/>
    <w:rsid w:val="2DFD156A"/>
    <w:rsid w:val="2E040608"/>
    <w:rsid w:val="2E0C3040"/>
    <w:rsid w:val="2E0E1862"/>
    <w:rsid w:val="2E100D83"/>
    <w:rsid w:val="2E161358"/>
    <w:rsid w:val="2E162A6B"/>
    <w:rsid w:val="2E1E0778"/>
    <w:rsid w:val="2E300410"/>
    <w:rsid w:val="2E3E48D7"/>
    <w:rsid w:val="2E3F083B"/>
    <w:rsid w:val="2E492327"/>
    <w:rsid w:val="2E4A2E2A"/>
    <w:rsid w:val="2E4A4A7F"/>
    <w:rsid w:val="2E4F23C9"/>
    <w:rsid w:val="2E56753C"/>
    <w:rsid w:val="2E63269F"/>
    <w:rsid w:val="2E64236A"/>
    <w:rsid w:val="2E6555B7"/>
    <w:rsid w:val="2E666BF4"/>
    <w:rsid w:val="2E667F96"/>
    <w:rsid w:val="2E6A3E61"/>
    <w:rsid w:val="2E7763D7"/>
    <w:rsid w:val="2E7D208A"/>
    <w:rsid w:val="2E8226AB"/>
    <w:rsid w:val="2E8C2504"/>
    <w:rsid w:val="2E90180C"/>
    <w:rsid w:val="2E9D2CFF"/>
    <w:rsid w:val="2EA50E7F"/>
    <w:rsid w:val="2EB84A52"/>
    <w:rsid w:val="2EC56594"/>
    <w:rsid w:val="2ECB0654"/>
    <w:rsid w:val="2ECC2930"/>
    <w:rsid w:val="2ECD0CB8"/>
    <w:rsid w:val="2ECF4D2E"/>
    <w:rsid w:val="2ED32FCD"/>
    <w:rsid w:val="2ED558D3"/>
    <w:rsid w:val="2EDF0755"/>
    <w:rsid w:val="2EDF478C"/>
    <w:rsid w:val="2EEB5B58"/>
    <w:rsid w:val="2EF03BFD"/>
    <w:rsid w:val="2EF44C76"/>
    <w:rsid w:val="2EF835C5"/>
    <w:rsid w:val="2EFB6404"/>
    <w:rsid w:val="2F055DFB"/>
    <w:rsid w:val="2F0A773A"/>
    <w:rsid w:val="2F0F108B"/>
    <w:rsid w:val="2F0F43EF"/>
    <w:rsid w:val="2F117067"/>
    <w:rsid w:val="2F1A6F26"/>
    <w:rsid w:val="2F1F11F9"/>
    <w:rsid w:val="2F2443BA"/>
    <w:rsid w:val="2F287611"/>
    <w:rsid w:val="2F2D760C"/>
    <w:rsid w:val="2F3711E4"/>
    <w:rsid w:val="2F506877"/>
    <w:rsid w:val="2F582CFA"/>
    <w:rsid w:val="2F5C1FBB"/>
    <w:rsid w:val="2F60573B"/>
    <w:rsid w:val="2F6501D9"/>
    <w:rsid w:val="2F70144E"/>
    <w:rsid w:val="2F70685E"/>
    <w:rsid w:val="2F711A06"/>
    <w:rsid w:val="2F766437"/>
    <w:rsid w:val="2F882B9B"/>
    <w:rsid w:val="2F945ECA"/>
    <w:rsid w:val="2F9D5F6D"/>
    <w:rsid w:val="2FA774C5"/>
    <w:rsid w:val="2FA953FC"/>
    <w:rsid w:val="2FAD43AF"/>
    <w:rsid w:val="2FB174E2"/>
    <w:rsid w:val="2FB86C08"/>
    <w:rsid w:val="2FBB6ACC"/>
    <w:rsid w:val="2FC647F3"/>
    <w:rsid w:val="2FCB047D"/>
    <w:rsid w:val="2FCB250E"/>
    <w:rsid w:val="2FCD4BFC"/>
    <w:rsid w:val="2FCD54A3"/>
    <w:rsid w:val="2FCE437C"/>
    <w:rsid w:val="2FD065E6"/>
    <w:rsid w:val="2FD215D3"/>
    <w:rsid w:val="2FD96870"/>
    <w:rsid w:val="2FDA5E08"/>
    <w:rsid w:val="2FE27E64"/>
    <w:rsid w:val="2FE57FED"/>
    <w:rsid w:val="2FE9188B"/>
    <w:rsid w:val="2FFB2217"/>
    <w:rsid w:val="2FFF0722"/>
    <w:rsid w:val="300343D5"/>
    <w:rsid w:val="30056FA3"/>
    <w:rsid w:val="3006765E"/>
    <w:rsid w:val="300C4CC9"/>
    <w:rsid w:val="30123BCD"/>
    <w:rsid w:val="30180DCD"/>
    <w:rsid w:val="301C1422"/>
    <w:rsid w:val="3020182C"/>
    <w:rsid w:val="30202DD3"/>
    <w:rsid w:val="30295295"/>
    <w:rsid w:val="303218B3"/>
    <w:rsid w:val="30350DD5"/>
    <w:rsid w:val="303F7E6E"/>
    <w:rsid w:val="30451E9F"/>
    <w:rsid w:val="304E0BCF"/>
    <w:rsid w:val="305337C9"/>
    <w:rsid w:val="305455C5"/>
    <w:rsid w:val="30580BC9"/>
    <w:rsid w:val="30623E1F"/>
    <w:rsid w:val="30684341"/>
    <w:rsid w:val="306B069A"/>
    <w:rsid w:val="306D0659"/>
    <w:rsid w:val="30791A63"/>
    <w:rsid w:val="30832419"/>
    <w:rsid w:val="30856BF0"/>
    <w:rsid w:val="308860CC"/>
    <w:rsid w:val="3089668A"/>
    <w:rsid w:val="308E41E1"/>
    <w:rsid w:val="3090726B"/>
    <w:rsid w:val="30952A4A"/>
    <w:rsid w:val="309744FC"/>
    <w:rsid w:val="309C70C9"/>
    <w:rsid w:val="309F1F4A"/>
    <w:rsid w:val="30A4205C"/>
    <w:rsid w:val="30A51BB7"/>
    <w:rsid w:val="30A626AA"/>
    <w:rsid w:val="30A91555"/>
    <w:rsid w:val="30B031CE"/>
    <w:rsid w:val="30B77CFF"/>
    <w:rsid w:val="30C22F83"/>
    <w:rsid w:val="30C37E76"/>
    <w:rsid w:val="30C65668"/>
    <w:rsid w:val="30C72BCD"/>
    <w:rsid w:val="30C85ACD"/>
    <w:rsid w:val="30CA69F4"/>
    <w:rsid w:val="30CF2FC8"/>
    <w:rsid w:val="30D20B40"/>
    <w:rsid w:val="30D53BBD"/>
    <w:rsid w:val="30D9641C"/>
    <w:rsid w:val="30DC4C18"/>
    <w:rsid w:val="30DE47B5"/>
    <w:rsid w:val="30E22D97"/>
    <w:rsid w:val="30E2500D"/>
    <w:rsid w:val="30E91095"/>
    <w:rsid w:val="30EC1914"/>
    <w:rsid w:val="30F65DB6"/>
    <w:rsid w:val="31055D30"/>
    <w:rsid w:val="310821E5"/>
    <w:rsid w:val="3108611B"/>
    <w:rsid w:val="3109366F"/>
    <w:rsid w:val="310D11AC"/>
    <w:rsid w:val="310E7A1B"/>
    <w:rsid w:val="31143E17"/>
    <w:rsid w:val="3117737A"/>
    <w:rsid w:val="3119602A"/>
    <w:rsid w:val="311D6046"/>
    <w:rsid w:val="311E2ED7"/>
    <w:rsid w:val="3127685A"/>
    <w:rsid w:val="31276DDF"/>
    <w:rsid w:val="312B6F6A"/>
    <w:rsid w:val="313A7EC4"/>
    <w:rsid w:val="31465C15"/>
    <w:rsid w:val="314C6D0E"/>
    <w:rsid w:val="3153299B"/>
    <w:rsid w:val="315619EE"/>
    <w:rsid w:val="31594DEB"/>
    <w:rsid w:val="315C449C"/>
    <w:rsid w:val="315E2D65"/>
    <w:rsid w:val="31637619"/>
    <w:rsid w:val="3167636F"/>
    <w:rsid w:val="316945DF"/>
    <w:rsid w:val="316A40A7"/>
    <w:rsid w:val="316C2909"/>
    <w:rsid w:val="3179422E"/>
    <w:rsid w:val="318444C8"/>
    <w:rsid w:val="31891515"/>
    <w:rsid w:val="318B2C98"/>
    <w:rsid w:val="318D6246"/>
    <w:rsid w:val="318F1FBE"/>
    <w:rsid w:val="31967522"/>
    <w:rsid w:val="319A4BC0"/>
    <w:rsid w:val="319B4849"/>
    <w:rsid w:val="319E5668"/>
    <w:rsid w:val="319F5F79"/>
    <w:rsid w:val="31A91AEC"/>
    <w:rsid w:val="31A935BB"/>
    <w:rsid w:val="31B366FF"/>
    <w:rsid w:val="31B61C41"/>
    <w:rsid w:val="31B82709"/>
    <w:rsid w:val="31BE1DEF"/>
    <w:rsid w:val="31C53C32"/>
    <w:rsid w:val="31C66387"/>
    <w:rsid w:val="31CA7C8B"/>
    <w:rsid w:val="31D05482"/>
    <w:rsid w:val="31D976DD"/>
    <w:rsid w:val="31DB327A"/>
    <w:rsid w:val="31DB5F19"/>
    <w:rsid w:val="31DE7618"/>
    <w:rsid w:val="31DF15CB"/>
    <w:rsid w:val="31E069BB"/>
    <w:rsid w:val="31E87583"/>
    <w:rsid w:val="31EA74EB"/>
    <w:rsid w:val="31EF6C90"/>
    <w:rsid w:val="31F6028F"/>
    <w:rsid w:val="31F6271E"/>
    <w:rsid w:val="31F8652A"/>
    <w:rsid w:val="31F92D57"/>
    <w:rsid w:val="31FB21E9"/>
    <w:rsid w:val="31FF3718"/>
    <w:rsid w:val="32002E21"/>
    <w:rsid w:val="32036508"/>
    <w:rsid w:val="320F212A"/>
    <w:rsid w:val="3210019B"/>
    <w:rsid w:val="321150C9"/>
    <w:rsid w:val="32116E77"/>
    <w:rsid w:val="321511DE"/>
    <w:rsid w:val="32157C62"/>
    <w:rsid w:val="321F61F4"/>
    <w:rsid w:val="322037E0"/>
    <w:rsid w:val="3229054A"/>
    <w:rsid w:val="32315176"/>
    <w:rsid w:val="32370842"/>
    <w:rsid w:val="32400B34"/>
    <w:rsid w:val="32415DB5"/>
    <w:rsid w:val="32421659"/>
    <w:rsid w:val="324F4C9B"/>
    <w:rsid w:val="32694FCA"/>
    <w:rsid w:val="326F1DF0"/>
    <w:rsid w:val="32755BEE"/>
    <w:rsid w:val="327A7E08"/>
    <w:rsid w:val="32801A55"/>
    <w:rsid w:val="32807B59"/>
    <w:rsid w:val="328E27D6"/>
    <w:rsid w:val="32922B5C"/>
    <w:rsid w:val="329D4549"/>
    <w:rsid w:val="329E6876"/>
    <w:rsid w:val="32A0644D"/>
    <w:rsid w:val="32A23F73"/>
    <w:rsid w:val="32A34E49"/>
    <w:rsid w:val="32AA7EDC"/>
    <w:rsid w:val="32B272CD"/>
    <w:rsid w:val="32BB4CDF"/>
    <w:rsid w:val="32BF667D"/>
    <w:rsid w:val="32C97217"/>
    <w:rsid w:val="32CB5278"/>
    <w:rsid w:val="32D40EB7"/>
    <w:rsid w:val="32D940AE"/>
    <w:rsid w:val="32DA3FCF"/>
    <w:rsid w:val="32DD2345"/>
    <w:rsid w:val="32EC37CF"/>
    <w:rsid w:val="33016C78"/>
    <w:rsid w:val="330669FA"/>
    <w:rsid w:val="330F7364"/>
    <w:rsid w:val="3310254A"/>
    <w:rsid w:val="333015F2"/>
    <w:rsid w:val="3331753C"/>
    <w:rsid w:val="33330BA6"/>
    <w:rsid w:val="333365A1"/>
    <w:rsid w:val="333A29E6"/>
    <w:rsid w:val="333D5A4A"/>
    <w:rsid w:val="3340292E"/>
    <w:rsid w:val="334B6320"/>
    <w:rsid w:val="334B63B9"/>
    <w:rsid w:val="334F4B90"/>
    <w:rsid w:val="335A19DD"/>
    <w:rsid w:val="335D0938"/>
    <w:rsid w:val="3361798A"/>
    <w:rsid w:val="336B3923"/>
    <w:rsid w:val="336D4581"/>
    <w:rsid w:val="3373295C"/>
    <w:rsid w:val="337C15C0"/>
    <w:rsid w:val="338235C5"/>
    <w:rsid w:val="33867361"/>
    <w:rsid w:val="33867AAC"/>
    <w:rsid w:val="33893BDD"/>
    <w:rsid w:val="33902D50"/>
    <w:rsid w:val="3393236F"/>
    <w:rsid w:val="33967158"/>
    <w:rsid w:val="339E5EFD"/>
    <w:rsid w:val="33A8719F"/>
    <w:rsid w:val="33B93FFF"/>
    <w:rsid w:val="33BC6F07"/>
    <w:rsid w:val="33BD7484"/>
    <w:rsid w:val="33C94889"/>
    <w:rsid w:val="33CD6DCE"/>
    <w:rsid w:val="33D30516"/>
    <w:rsid w:val="33D33F7B"/>
    <w:rsid w:val="33D934D4"/>
    <w:rsid w:val="33DE22A9"/>
    <w:rsid w:val="33E365F1"/>
    <w:rsid w:val="33E675EC"/>
    <w:rsid w:val="33E800AC"/>
    <w:rsid w:val="33EE7D32"/>
    <w:rsid w:val="33FD3B57"/>
    <w:rsid w:val="33FE2F6A"/>
    <w:rsid w:val="33FF44C9"/>
    <w:rsid w:val="34091ACA"/>
    <w:rsid w:val="340D1142"/>
    <w:rsid w:val="340E07E5"/>
    <w:rsid w:val="341E5DB6"/>
    <w:rsid w:val="34235BF7"/>
    <w:rsid w:val="342D5583"/>
    <w:rsid w:val="342F7A89"/>
    <w:rsid w:val="343230D5"/>
    <w:rsid w:val="34345395"/>
    <w:rsid w:val="343D7A5A"/>
    <w:rsid w:val="344A52E6"/>
    <w:rsid w:val="345141D4"/>
    <w:rsid w:val="3451531A"/>
    <w:rsid w:val="345E2581"/>
    <w:rsid w:val="345F6AD2"/>
    <w:rsid w:val="34693182"/>
    <w:rsid w:val="3482508F"/>
    <w:rsid w:val="34860C86"/>
    <w:rsid w:val="3486431B"/>
    <w:rsid w:val="34867CA2"/>
    <w:rsid w:val="34886AB4"/>
    <w:rsid w:val="348D7EBE"/>
    <w:rsid w:val="34903082"/>
    <w:rsid w:val="349124F1"/>
    <w:rsid w:val="34936BFD"/>
    <w:rsid w:val="349A2272"/>
    <w:rsid w:val="349A5F6F"/>
    <w:rsid w:val="349B3370"/>
    <w:rsid w:val="34A345D5"/>
    <w:rsid w:val="34A64E7C"/>
    <w:rsid w:val="34A91F44"/>
    <w:rsid w:val="34AF4725"/>
    <w:rsid w:val="34B260E0"/>
    <w:rsid w:val="34B61F1F"/>
    <w:rsid w:val="34BA5BE6"/>
    <w:rsid w:val="34C47AD7"/>
    <w:rsid w:val="34C71A6F"/>
    <w:rsid w:val="34CC1363"/>
    <w:rsid w:val="34CC177B"/>
    <w:rsid w:val="34D11AC4"/>
    <w:rsid w:val="34D214BB"/>
    <w:rsid w:val="34D43412"/>
    <w:rsid w:val="34D50630"/>
    <w:rsid w:val="34D612C3"/>
    <w:rsid w:val="34D81ECE"/>
    <w:rsid w:val="34DF500B"/>
    <w:rsid w:val="34E8118B"/>
    <w:rsid w:val="34EC1638"/>
    <w:rsid w:val="34ED5335"/>
    <w:rsid w:val="34F06D86"/>
    <w:rsid w:val="34F73D01"/>
    <w:rsid w:val="34F97F2C"/>
    <w:rsid w:val="34FE60BA"/>
    <w:rsid w:val="350927CF"/>
    <w:rsid w:val="350B4052"/>
    <w:rsid w:val="350F288A"/>
    <w:rsid w:val="35153D68"/>
    <w:rsid w:val="352E4546"/>
    <w:rsid w:val="3532263D"/>
    <w:rsid w:val="35323492"/>
    <w:rsid w:val="35405C1B"/>
    <w:rsid w:val="35487054"/>
    <w:rsid w:val="354C2848"/>
    <w:rsid w:val="35544181"/>
    <w:rsid w:val="35545EA6"/>
    <w:rsid w:val="35563E2F"/>
    <w:rsid w:val="35584DBD"/>
    <w:rsid w:val="356928F3"/>
    <w:rsid w:val="35702926"/>
    <w:rsid w:val="357309AB"/>
    <w:rsid w:val="357563ED"/>
    <w:rsid w:val="357F65E0"/>
    <w:rsid w:val="358C5FA8"/>
    <w:rsid w:val="35964DAC"/>
    <w:rsid w:val="35991EF9"/>
    <w:rsid w:val="359A28A4"/>
    <w:rsid w:val="35A70F03"/>
    <w:rsid w:val="35AF579B"/>
    <w:rsid w:val="35B354F8"/>
    <w:rsid w:val="35B856C6"/>
    <w:rsid w:val="35BC534C"/>
    <w:rsid w:val="35C11A55"/>
    <w:rsid w:val="35C15DF1"/>
    <w:rsid w:val="35CB624E"/>
    <w:rsid w:val="35CD5924"/>
    <w:rsid w:val="35CE6E2D"/>
    <w:rsid w:val="35EF585C"/>
    <w:rsid w:val="35F72828"/>
    <w:rsid w:val="35FC1C24"/>
    <w:rsid w:val="3600792F"/>
    <w:rsid w:val="36064819"/>
    <w:rsid w:val="36074A7F"/>
    <w:rsid w:val="360A6A49"/>
    <w:rsid w:val="36161226"/>
    <w:rsid w:val="36167037"/>
    <w:rsid w:val="361A259D"/>
    <w:rsid w:val="361C4462"/>
    <w:rsid w:val="361E2D54"/>
    <w:rsid w:val="361F6DFA"/>
    <w:rsid w:val="3620159F"/>
    <w:rsid w:val="36260A17"/>
    <w:rsid w:val="3634651F"/>
    <w:rsid w:val="36347502"/>
    <w:rsid w:val="363819F3"/>
    <w:rsid w:val="363F2D7A"/>
    <w:rsid w:val="364225EE"/>
    <w:rsid w:val="36431A71"/>
    <w:rsid w:val="36457B93"/>
    <w:rsid w:val="364937E6"/>
    <w:rsid w:val="364F0EF2"/>
    <w:rsid w:val="36507122"/>
    <w:rsid w:val="36536BFD"/>
    <w:rsid w:val="365437D6"/>
    <w:rsid w:val="366249EF"/>
    <w:rsid w:val="36657BB2"/>
    <w:rsid w:val="366914FC"/>
    <w:rsid w:val="366B44BF"/>
    <w:rsid w:val="366B4890"/>
    <w:rsid w:val="36712004"/>
    <w:rsid w:val="367601B8"/>
    <w:rsid w:val="367C6E3F"/>
    <w:rsid w:val="36804685"/>
    <w:rsid w:val="36841290"/>
    <w:rsid w:val="36923549"/>
    <w:rsid w:val="36972D94"/>
    <w:rsid w:val="369E3650"/>
    <w:rsid w:val="369F4154"/>
    <w:rsid w:val="36A055F4"/>
    <w:rsid w:val="36A36628"/>
    <w:rsid w:val="36A5767B"/>
    <w:rsid w:val="36A67EDF"/>
    <w:rsid w:val="36A90CB6"/>
    <w:rsid w:val="36B219CF"/>
    <w:rsid w:val="36B75FBF"/>
    <w:rsid w:val="36BB5809"/>
    <w:rsid w:val="36BD0C45"/>
    <w:rsid w:val="36C73FA8"/>
    <w:rsid w:val="36C77881"/>
    <w:rsid w:val="36CD69D9"/>
    <w:rsid w:val="36CF1B3C"/>
    <w:rsid w:val="36D74D18"/>
    <w:rsid w:val="36DC0F75"/>
    <w:rsid w:val="36E00777"/>
    <w:rsid w:val="36E42408"/>
    <w:rsid w:val="36E73A94"/>
    <w:rsid w:val="36ED4652"/>
    <w:rsid w:val="36F01959"/>
    <w:rsid w:val="36F35220"/>
    <w:rsid w:val="36F413F0"/>
    <w:rsid w:val="36FC0039"/>
    <w:rsid w:val="370E0522"/>
    <w:rsid w:val="370E4CE9"/>
    <w:rsid w:val="37192788"/>
    <w:rsid w:val="37274EF6"/>
    <w:rsid w:val="37306549"/>
    <w:rsid w:val="374B3C73"/>
    <w:rsid w:val="375F1344"/>
    <w:rsid w:val="376502E1"/>
    <w:rsid w:val="376A3902"/>
    <w:rsid w:val="377515CD"/>
    <w:rsid w:val="378D23B8"/>
    <w:rsid w:val="379153C1"/>
    <w:rsid w:val="379971C1"/>
    <w:rsid w:val="37AA0D59"/>
    <w:rsid w:val="37AE67D0"/>
    <w:rsid w:val="37B34B85"/>
    <w:rsid w:val="37B42BF4"/>
    <w:rsid w:val="37C062F3"/>
    <w:rsid w:val="37C2272F"/>
    <w:rsid w:val="37C54721"/>
    <w:rsid w:val="37C655E5"/>
    <w:rsid w:val="37C678D9"/>
    <w:rsid w:val="37C8238F"/>
    <w:rsid w:val="37C87B91"/>
    <w:rsid w:val="37CA6820"/>
    <w:rsid w:val="37D02DB3"/>
    <w:rsid w:val="37D2266D"/>
    <w:rsid w:val="37D70C17"/>
    <w:rsid w:val="37DC7287"/>
    <w:rsid w:val="37DD2611"/>
    <w:rsid w:val="37E00298"/>
    <w:rsid w:val="37E02D91"/>
    <w:rsid w:val="37ED2A0A"/>
    <w:rsid w:val="37FA215C"/>
    <w:rsid w:val="380675FB"/>
    <w:rsid w:val="38067B89"/>
    <w:rsid w:val="380C2FC4"/>
    <w:rsid w:val="38123949"/>
    <w:rsid w:val="381312DA"/>
    <w:rsid w:val="381C32CA"/>
    <w:rsid w:val="381C47C8"/>
    <w:rsid w:val="381C7082"/>
    <w:rsid w:val="38225562"/>
    <w:rsid w:val="3825367C"/>
    <w:rsid w:val="38261EE9"/>
    <w:rsid w:val="38266FDD"/>
    <w:rsid w:val="382827AD"/>
    <w:rsid w:val="382E3A24"/>
    <w:rsid w:val="38376F0C"/>
    <w:rsid w:val="3839263F"/>
    <w:rsid w:val="383F538D"/>
    <w:rsid w:val="384034C2"/>
    <w:rsid w:val="384039C5"/>
    <w:rsid w:val="384310C9"/>
    <w:rsid w:val="38462AF2"/>
    <w:rsid w:val="3848736B"/>
    <w:rsid w:val="38504FDB"/>
    <w:rsid w:val="38585425"/>
    <w:rsid w:val="38594E66"/>
    <w:rsid w:val="385C20E4"/>
    <w:rsid w:val="3861343E"/>
    <w:rsid w:val="386730D2"/>
    <w:rsid w:val="386D3BC4"/>
    <w:rsid w:val="38702A6C"/>
    <w:rsid w:val="387C0DC3"/>
    <w:rsid w:val="387D5266"/>
    <w:rsid w:val="387E4B3B"/>
    <w:rsid w:val="38867A26"/>
    <w:rsid w:val="38904A98"/>
    <w:rsid w:val="38934A8A"/>
    <w:rsid w:val="38950DCD"/>
    <w:rsid w:val="38954CD5"/>
    <w:rsid w:val="389F4EF0"/>
    <w:rsid w:val="38B302F9"/>
    <w:rsid w:val="38B608DC"/>
    <w:rsid w:val="38B63172"/>
    <w:rsid w:val="38B82B90"/>
    <w:rsid w:val="38B851A5"/>
    <w:rsid w:val="38C05153"/>
    <w:rsid w:val="38C509BB"/>
    <w:rsid w:val="38C904AC"/>
    <w:rsid w:val="38CC0B1A"/>
    <w:rsid w:val="38D32767"/>
    <w:rsid w:val="38DB0ABB"/>
    <w:rsid w:val="38EA0422"/>
    <w:rsid w:val="38F12CD3"/>
    <w:rsid w:val="38F372D7"/>
    <w:rsid w:val="38F94775"/>
    <w:rsid w:val="39070D3F"/>
    <w:rsid w:val="390B66DA"/>
    <w:rsid w:val="390D579E"/>
    <w:rsid w:val="3914014A"/>
    <w:rsid w:val="39200767"/>
    <w:rsid w:val="3923302A"/>
    <w:rsid w:val="392971ED"/>
    <w:rsid w:val="392A3DB9"/>
    <w:rsid w:val="39325651"/>
    <w:rsid w:val="393F3D68"/>
    <w:rsid w:val="39451548"/>
    <w:rsid w:val="39477622"/>
    <w:rsid w:val="394864B7"/>
    <w:rsid w:val="3949339B"/>
    <w:rsid w:val="39497E1B"/>
    <w:rsid w:val="394D7498"/>
    <w:rsid w:val="39534219"/>
    <w:rsid w:val="3954036C"/>
    <w:rsid w:val="3954497C"/>
    <w:rsid w:val="396F075F"/>
    <w:rsid w:val="39806D8E"/>
    <w:rsid w:val="39820717"/>
    <w:rsid w:val="39896FFF"/>
    <w:rsid w:val="39960387"/>
    <w:rsid w:val="39992BC2"/>
    <w:rsid w:val="399A2E61"/>
    <w:rsid w:val="399C79B4"/>
    <w:rsid w:val="39A33401"/>
    <w:rsid w:val="39A56485"/>
    <w:rsid w:val="39B37651"/>
    <w:rsid w:val="39B424F9"/>
    <w:rsid w:val="39B47550"/>
    <w:rsid w:val="39C653FB"/>
    <w:rsid w:val="39C7151B"/>
    <w:rsid w:val="39C910D8"/>
    <w:rsid w:val="39C944DB"/>
    <w:rsid w:val="39D90B70"/>
    <w:rsid w:val="39E3559D"/>
    <w:rsid w:val="39E87AB7"/>
    <w:rsid w:val="39EA6DC7"/>
    <w:rsid w:val="39F3645B"/>
    <w:rsid w:val="39F73C1D"/>
    <w:rsid w:val="39FC7A06"/>
    <w:rsid w:val="39FE14A8"/>
    <w:rsid w:val="3A08364A"/>
    <w:rsid w:val="3A091890"/>
    <w:rsid w:val="3A0D6114"/>
    <w:rsid w:val="3A0E1F84"/>
    <w:rsid w:val="3A1970E6"/>
    <w:rsid w:val="3A210B2C"/>
    <w:rsid w:val="3A216C1F"/>
    <w:rsid w:val="3A2B2D56"/>
    <w:rsid w:val="3A30549F"/>
    <w:rsid w:val="3A330423"/>
    <w:rsid w:val="3A37014F"/>
    <w:rsid w:val="3A527429"/>
    <w:rsid w:val="3A5577A3"/>
    <w:rsid w:val="3A5B3385"/>
    <w:rsid w:val="3A67327F"/>
    <w:rsid w:val="3A685AA2"/>
    <w:rsid w:val="3A6D2D59"/>
    <w:rsid w:val="3A7018ED"/>
    <w:rsid w:val="3A8002DD"/>
    <w:rsid w:val="3A810912"/>
    <w:rsid w:val="3A84182A"/>
    <w:rsid w:val="3A872856"/>
    <w:rsid w:val="3A8C5872"/>
    <w:rsid w:val="3A8D7CB4"/>
    <w:rsid w:val="3A94168B"/>
    <w:rsid w:val="3A966806"/>
    <w:rsid w:val="3A9851F4"/>
    <w:rsid w:val="3A9C73DC"/>
    <w:rsid w:val="3A9F5A5D"/>
    <w:rsid w:val="3AA15732"/>
    <w:rsid w:val="3AAC0614"/>
    <w:rsid w:val="3AB90B0E"/>
    <w:rsid w:val="3AC33564"/>
    <w:rsid w:val="3AC81D9A"/>
    <w:rsid w:val="3AC90090"/>
    <w:rsid w:val="3ACE1E4C"/>
    <w:rsid w:val="3AE43883"/>
    <w:rsid w:val="3AE66A84"/>
    <w:rsid w:val="3AE85519"/>
    <w:rsid w:val="3AFB61DC"/>
    <w:rsid w:val="3AFC0DFA"/>
    <w:rsid w:val="3AFD1DE2"/>
    <w:rsid w:val="3B0350F9"/>
    <w:rsid w:val="3B0B051A"/>
    <w:rsid w:val="3B0C3FC3"/>
    <w:rsid w:val="3B113B28"/>
    <w:rsid w:val="3B1536A3"/>
    <w:rsid w:val="3B1B2837"/>
    <w:rsid w:val="3B1C5CA0"/>
    <w:rsid w:val="3B221A24"/>
    <w:rsid w:val="3B22216F"/>
    <w:rsid w:val="3B2319C9"/>
    <w:rsid w:val="3B2F65C0"/>
    <w:rsid w:val="3B306141"/>
    <w:rsid w:val="3B365BA1"/>
    <w:rsid w:val="3B3763D1"/>
    <w:rsid w:val="3B3C0654"/>
    <w:rsid w:val="3B4019B7"/>
    <w:rsid w:val="3B450FA6"/>
    <w:rsid w:val="3B545160"/>
    <w:rsid w:val="3B587B12"/>
    <w:rsid w:val="3B6863A8"/>
    <w:rsid w:val="3B6E0E96"/>
    <w:rsid w:val="3B70173A"/>
    <w:rsid w:val="3B892165"/>
    <w:rsid w:val="3B9A7EDD"/>
    <w:rsid w:val="3B9D5F1E"/>
    <w:rsid w:val="3BA72E09"/>
    <w:rsid w:val="3BAB39D2"/>
    <w:rsid w:val="3BB22DDF"/>
    <w:rsid w:val="3BB37E87"/>
    <w:rsid w:val="3BB537BD"/>
    <w:rsid w:val="3BBA63D1"/>
    <w:rsid w:val="3BBE25B7"/>
    <w:rsid w:val="3BC40920"/>
    <w:rsid w:val="3BCA5C37"/>
    <w:rsid w:val="3BD4140B"/>
    <w:rsid w:val="3BD5157B"/>
    <w:rsid w:val="3BDA4AFF"/>
    <w:rsid w:val="3BE473AB"/>
    <w:rsid w:val="3BEF6D08"/>
    <w:rsid w:val="3BF82E56"/>
    <w:rsid w:val="3BFD672A"/>
    <w:rsid w:val="3C095063"/>
    <w:rsid w:val="3C0B2E8E"/>
    <w:rsid w:val="3C0B53D0"/>
    <w:rsid w:val="3C0D225A"/>
    <w:rsid w:val="3C132B37"/>
    <w:rsid w:val="3C171C60"/>
    <w:rsid w:val="3C2B639F"/>
    <w:rsid w:val="3C2B6D87"/>
    <w:rsid w:val="3C2E68B4"/>
    <w:rsid w:val="3C2F6E1E"/>
    <w:rsid w:val="3C3818B3"/>
    <w:rsid w:val="3C386C0A"/>
    <w:rsid w:val="3C3A2263"/>
    <w:rsid w:val="3C3B7CF6"/>
    <w:rsid w:val="3C3F16BF"/>
    <w:rsid w:val="3C411007"/>
    <w:rsid w:val="3C433145"/>
    <w:rsid w:val="3C4A6DD1"/>
    <w:rsid w:val="3C4F64BA"/>
    <w:rsid w:val="3C51537B"/>
    <w:rsid w:val="3C535CBB"/>
    <w:rsid w:val="3C5C1637"/>
    <w:rsid w:val="3C5E6408"/>
    <w:rsid w:val="3C5E74FA"/>
    <w:rsid w:val="3C6133AE"/>
    <w:rsid w:val="3C6E4ABA"/>
    <w:rsid w:val="3C724D9A"/>
    <w:rsid w:val="3C7573BD"/>
    <w:rsid w:val="3C7A30C1"/>
    <w:rsid w:val="3C7E77FF"/>
    <w:rsid w:val="3C801604"/>
    <w:rsid w:val="3C932383"/>
    <w:rsid w:val="3C9B433E"/>
    <w:rsid w:val="3CA56B3A"/>
    <w:rsid w:val="3CAC2107"/>
    <w:rsid w:val="3CAE5F7C"/>
    <w:rsid w:val="3CB9392F"/>
    <w:rsid w:val="3CBA123C"/>
    <w:rsid w:val="3CBB1C4D"/>
    <w:rsid w:val="3CCD2F2F"/>
    <w:rsid w:val="3CDA245A"/>
    <w:rsid w:val="3CDB40F8"/>
    <w:rsid w:val="3CDF3468"/>
    <w:rsid w:val="3CE61374"/>
    <w:rsid w:val="3CED744C"/>
    <w:rsid w:val="3CEE7746"/>
    <w:rsid w:val="3CF132C2"/>
    <w:rsid w:val="3D0020EB"/>
    <w:rsid w:val="3D055587"/>
    <w:rsid w:val="3D070FEC"/>
    <w:rsid w:val="3D0C5229"/>
    <w:rsid w:val="3D146CD2"/>
    <w:rsid w:val="3D1509F6"/>
    <w:rsid w:val="3D1B1DCB"/>
    <w:rsid w:val="3D1E06B7"/>
    <w:rsid w:val="3D1F4162"/>
    <w:rsid w:val="3D2B2205"/>
    <w:rsid w:val="3D2E4D81"/>
    <w:rsid w:val="3D3040CB"/>
    <w:rsid w:val="3D371873"/>
    <w:rsid w:val="3D420661"/>
    <w:rsid w:val="3D4511D9"/>
    <w:rsid w:val="3D4C6810"/>
    <w:rsid w:val="3D4C7132"/>
    <w:rsid w:val="3D591F0B"/>
    <w:rsid w:val="3D5D18E2"/>
    <w:rsid w:val="3D5E04DA"/>
    <w:rsid w:val="3D6C25C8"/>
    <w:rsid w:val="3D6F1D21"/>
    <w:rsid w:val="3D7B741A"/>
    <w:rsid w:val="3D7E152A"/>
    <w:rsid w:val="3D7F2809"/>
    <w:rsid w:val="3D837E1B"/>
    <w:rsid w:val="3D850719"/>
    <w:rsid w:val="3D8B68ED"/>
    <w:rsid w:val="3D8E52CD"/>
    <w:rsid w:val="3D8F3067"/>
    <w:rsid w:val="3D935587"/>
    <w:rsid w:val="3D954E8F"/>
    <w:rsid w:val="3D993B42"/>
    <w:rsid w:val="3D9D0949"/>
    <w:rsid w:val="3DAE20B3"/>
    <w:rsid w:val="3DAF70DE"/>
    <w:rsid w:val="3DB84E4A"/>
    <w:rsid w:val="3DBE515F"/>
    <w:rsid w:val="3DC80AA2"/>
    <w:rsid w:val="3DD24190"/>
    <w:rsid w:val="3DD27C30"/>
    <w:rsid w:val="3DDB7866"/>
    <w:rsid w:val="3DDD1725"/>
    <w:rsid w:val="3DE32AFD"/>
    <w:rsid w:val="3DE66963"/>
    <w:rsid w:val="3DEC5575"/>
    <w:rsid w:val="3DF32FC8"/>
    <w:rsid w:val="3DF8662E"/>
    <w:rsid w:val="3DFA1AEB"/>
    <w:rsid w:val="3DFD77D9"/>
    <w:rsid w:val="3E113227"/>
    <w:rsid w:val="3E13605A"/>
    <w:rsid w:val="3E136EB8"/>
    <w:rsid w:val="3E18489C"/>
    <w:rsid w:val="3E1B6DCF"/>
    <w:rsid w:val="3E2758FC"/>
    <w:rsid w:val="3E462022"/>
    <w:rsid w:val="3E474BB3"/>
    <w:rsid w:val="3E48757C"/>
    <w:rsid w:val="3E4A7C02"/>
    <w:rsid w:val="3E506F79"/>
    <w:rsid w:val="3E5A7DF8"/>
    <w:rsid w:val="3E651EE6"/>
    <w:rsid w:val="3E6E0C8F"/>
    <w:rsid w:val="3E6F1513"/>
    <w:rsid w:val="3E71394A"/>
    <w:rsid w:val="3E7657F3"/>
    <w:rsid w:val="3E79647F"/>
    <w:rsid w:val="3E7B6A37"/>
    <w:rsid w:val="3E803CE8"/>
    <w:rsid w:val="3E8074EF"/>
    <w:rsid w:val="3E8157BE"/>
    <w:rsid w:val="3E8C5872"/>
    <w:rsid w:val="3EA012E3"/>
    <w:rsid w:val="3EA31C52"/>
    <w:rsid w:val="3EA6288D"/>
    <w:rsid w:val="3EA75819"/>
    <w:rsid w:val="3EA87603"/>
    <w:rsid w:val="3EA876F8"/>
    <w:rsid w:val="3EA91BC6"/>
    <w:rsid w:val="3EA9656F"/>
    <w:rsid w:val="3EAA48DB"/>
    <w:rsid w:val="3EAE6F48"/>
    <w:rsid w:val="3EAF04AD"/>
    <w:rsid w:val="3EC043D8"/>
    <w:rsid w:val="3EC66625"/>
    <w:rsid w:val="3EDA0523"/>
    <w:rsid w:val="3EDF59FD"/>
    <w:rsid w:val="3EE06142"/>
    <w:rsid w:val="3EEE4365"/>
    <w:rsid w:val="3EF331E8"/>
    <w:rsid w:val="3EF66EA0"/>
    <w:rsid w:val="3EFE4E0F"/>
    <w:rsid w:val="3F006352"/>
    <w:rsid w:val="3F013713"/>
    <w:rsid w:val="3F0C10F2"/>
    <w:rsid w:val="3F161DB5"/>
    <w:rsid w:val="3F2451E8"/>
    <w:rsid w:val="3F25295E"/>
    <w:rsid w:val="3F301335"/>
    <w:rsid w:val="3F354F68"/>
    <w:rsid w:val="3F365520"/>
    <w:rsid w:val="3F3A6F0A"/>
    <w:rsid w:val="3F3B697A"/>
    <w:rsid w:val="3F44202F"/>
    <w:rsid w:val="3F461E9C"/>
    <w:rsid w:val="3F4630A6"/>
    <w:rsid w:val="3F496818"/>
    <w:rsid w:val="3F4C4CEC"/>
    <w:rsid w:val="3F4D6224"/>
    <w:rsid w:val="3F4E7815"/>
    <w:rsid w:val="3F512FA9"/>
    <w:rsid w:val="3F5A5D12"/>
    <w:rsid w:val="3F6D54EC"/>
    <w:rsid w:val="3F724CCD"/>
    <w:rsid w:val="3F7A1D31"/>
    <w:rsid w:val="3F7E70CD"/>
    <w:rsid w:val="3F7F0ECA"/>
    <w:rsid w:val="3F842A47"/>
    <w:rsid w:val="3F85143B"/>
    <w:rsid w:val="3F89585D"/>
    <w:rsid w:val="3F8F2FB1"/>
    <w:rsid w:val="3F99655C"/>
    <w:rsid w:val="3FAA495A"/>
    <w:rsid w:val="3FB27582"/>
    <w:rsid w:val="3FB45515"/>
    <w:rsid w:val="3FB509C8"/>
    <w:rsid w:val="3FC138C0"/>
    <w:rsid w:val="3FC37BBC"/>
    <w:rsid w:val="3FCA2D74"/>
    <w:rsid w:val="3FCB78C2"/>
    <w:rsid w:val="3FCE7242"/>
    <w:rsid w:val="3FD170DC"/>
    <w:rsid w:val="3FD304EA"/>
    <w:rsid w:val="3FE05126"/>
    <w:rsid w:val="3FE058B4"/>
    <w:rsid w:val="3FE12AED"/>
    <w:rsid w:val="3FE8319B"/>
    <w:rsid w:val="3FEE78D2"/>
    <w:rsid w:val="3FF102E8"/>
    <w:rsid w:val="3FF97CCA"/>
    <w:rsid w:val="3FFF3F9F"/>
    <w:rsid w:val="4001677D"/>
    <w:rsid w:val="40084455"/>
    <w:rsid w:val="400D22D2"/>
    <w:rsid w:val="40172284"/>
    <w:rsid w:val="401E4120"/>
    <w:rsid w:val="401F34D4"/>
    <w:rsid w:val="40201C7C"/>
    <w:rsid w:val="40206070"/>
    <w:rsid w:val="402472F4"/>
    <w:rsid w:val="40324B88"/>
    <w:rsid w:val="403A1444"/>
    <w:rsid w:val="403F518C"/>
    <w:rsid w:val="40405AC9"/>
    <w:rsid w:val="40434BFE"/>
    <w:rsid w:val="40445CF4"/>
    <w:rsid w:val="404C3770"/>
    <w:rsid w:val="404C551E"/>
    <w:rsid w:val="404E0E6F"/>
    <w:rsid w:val="40560E8F"/>
    <w:rsid w:val="405A21E1"/>
    <w:rsid w:val="405B7B5F"/>
    <w:rsid w:val="40636BEB"/>
    <w:rsid w:val="406F267C"/>
    <w:rsid w:val="40712D81"/>
    <w:rsid w:val="407A1C85"/>
    <w:rsid w:val="407A208B"/>
    <w:rsid w:val="407A6407"/>
    <w:rsid w:val="407F6810"/>
    <w:rsid w:val="40820C38"/>
    <w:rsid w:val="408D61A6"/>
    <w:rsid w:val="408F6A49"/>
    <w:rsid w:val="4090602B"/>
    <w:rsid w:val="40923879"/>
    <w:rsid w:val="409B6073"/>
    <w:rsid w:val="409D3120"/>
    <w:rsid w:val="40A73B0D"/>
    <w:rsid w:val="40A73E59"/>
    <w:rsid w:val="40AB493B"/>
    <w:rsid w:val="40AD267B"/>
    <w:rsid w:val="40AE2BD8"/>
    <w:rsid w:val="40B318D6"/>
    <w:rsid w:val="40BC03B9"/>
    <w:rsid w:val="40BF2194"/>
    <w:rsid w:val="40C560F8"/>
    <w:rsid w:val="40C64185"/>
    <w:rsid w:val="40D00B94"/>
    <w:rsid w:val="40D12A39"/>
    <w:rsid w:val="40DA0344"/>
    <w:rsid w:val="40E52A65"/>
    <w:rsid w:val="40F72897"/>
    <w:rsid w:val="40F72F1F"/>
    <w:rsid w:val="40FA1543"/>
    <w:rsid w:val="4117552E"/>
    <w:rsid w:val="411E4B0F"/>
    <w:rsid w:val="41214C00"/>
    <w:rsid w:val="41276B7E"/>
    <w:rsid w:val="41335825"/>
    <w:rsid w:val="41340B82"/>
    <w:rsid w:val="41360F61"/>
    <w:rsid w:val="41394905"/>
    <w:rsid w:val="413C06CD"/>
    <w:rsid w:val="41406E31"/>
    <w:rsid w:val="414260FE"/>
    <w:rsid w:val="41443031"/>
    <w:rsid w:val="41483668"/>
    <w:rsid w:val="414A2D3D"/>
    <w:rsid w:val="414C1623"/>
    <w:rsid w:val="414C1C7A"/>
    <w:rsid w:val="414D3AB6"/>
    <w:rsid w:val="4150363D"/>
    <w:rsid w:val="41506989"/>
    <w:rsid w:val="415658FD"/>
    <w:rsid w:val="4171468D"/>
    <w:rsid w:val="417D567E"/>
    <w:rsid w:val="41810E55"/>
    <w:rsid w:val="41872CD4"/>
    <w:rsid w:val="418F325F"/>
    <w:rsid w:val="41942824"/>
    <w:rsid w:val="41955D1B"/>
    <w:rsid w:val="41AC402E"/>
    <w:rsid w:val="41BE538B"/>
    <w:rsid w:val="41C2780B"/>
    <w:rsid w:val="41CC4B69"/>
    <w:rsid w:val="41D45583"/>
    <w:rsid w:val="41DC704B"/>
    <w:rsid w:val="41EE3A17"/>
    <w:rsid w:val="41EE7727"/>
    <w:rsid w:val="41F24527"/>
    <w:rsid w:val="41F439ED"/>
    <w:rsid w:val="4200449D"/>
    <w:rsid w:val="42076F38"/>
    <w:rsid w:val="420F2CA7"/>
    <w:rsid w:val="421502BE"/>
    <w:rsid w:val="4217665D"/>
    <w:rsid w:val="421A7459"/>
    <w:rsid w:val="421D4FF2"/>
    <w:rsid w:val="4220714C"/>
    <w:rsid w:val="422C574F"/>
    <w:rsid w:val="42314F87"/>
    <w:rsid w:val="42324D54"/>
    <w:rsid w:val="423A3BCC"/>
    <w:rsid w:val="424066B8"/>
    <w:rsid w:val="424B02C8"/>
    <w:rsid w:val="424E57D2"/>
    <w:rsid w:val="42531D3E"/>
    <w:rsid w:val="425653A6"/>
    <w:rsid w:val="425E272C"/>
    <w:rsid w:val="426D61F9"/>
    <w:rsid w:val="42700434"/>
    <w:rsid w:val="4280233C"/>
    <w:rsid w:val="42812B49"/>
    <w:rsid w:val="42862A56"/>
    <w:rsid w:val="428B6678"/>
    <w:rsid w:val="428D1C66"/>
    <w:rsid w:val="4290271E"/>
    <w:rsid w:val="42957CAD"/>
    <w:rsid w:val="429B1A4E"/>
    <w:rsid w:val="42A513F0"/>
    <w:rsid w:val="42B26C49"/>
    <w:rsid w:val="42B60588"/>
    <w:rsid w:val="42B9054B"/>
    <w:rsid w:val="42BF647C"/>
    <w:rsid w:val="42BF7498"/>
    <w:rsid w:val="42C6301C"/>
    <w:rsid w:val="42CB3072"/>
    <w:rsid w:val="42D14031"/>
    <w:rsid w:val="42E5365A"/>
    <w:rsid w:val="42EF5A6B"/>
    <w:rsid w:val="42F33F8F"/>
    <w:rsid w:val="42FC3D2D"/>
    <w:rsid w:val="431607FB"/>
    <w:rsid w:val="431A0066"/>
    <w:rsid w:val="43227B5D"/>
    <w:rsid w:val="43244232"/>
    <w:rsid w:val="432B081F"/>
    <w:rsid w:val="432D1E9B"/>
    <w:rsid w:val="43346E69"/>
    <w:rsid w:val="43377D10"/>
    <w:rsid w:val="4339622E"/>
    <w:rsid w:val="433A6FE6"/>
    <w:rsid w:val="433B1FA6"/>
    <w:rsid w:val="43405D6B"/>
    <w:rsid w:val="43480868"/>
    <w:rsid w:val="434A053E"/>
    <w:rsid w:val="4350713C"/>
    <w:rsid w:val="4352794F"/>
    <w:rsid w:val="43543C82"/>
    <w:rsid w:val="43563266"/>
    <w:rsid w:val="435A58DB"/>
    <w:rsid w:val="435E7267"/>
    <w:rsid w:val="43604CDE"/>
    <w:rsid w:val="436653E0"/>
    <w:rsid w:val="436B3E47"/>
    <w:rsid w:val="437807DC"/>
    <w:rsid w:val="437F1450"/>
    <w:rsid w:val="43852C24"/>
    <w:rsid w:val="438F59A1"/>
    <w:rsid w:val="439C05C5"/>
    <w:rsid w:val="43AC367B"/>
    <w:rsid w:val="43B52080"/>
    <w:rsid w:val="43B65AD0"/>
    <w:rsid w:val="43BA127A"/>
    <w:rsid w:val="43BD3832"/>
    <w:rsid w:val="43BF6DCD"/>
    <w:rsid w:val="43C249BF"/>
    <w:rsid w:val="43C25107"/>
    <w:rsid w:val="43C4431A"/>
    <w:rsid w:val="43C74980"/>
    <w:rsid w:val="43D265B1"/>
    <w:rsid w:val="43D57DEF"/>
    <w:rsid w:val="43E07A95"/>
    <w:rsid w:val="43E20674"/>
    <w:rsid w:val="43EC2FD6"/>
    <w:rsid w:val="43F5039A"/>
    <w:rsid w:val="43FD5C85"/>
    <w:rsid w:val="44022AC4"/>
    <w:rsid w:val="44051573"/>
    <w:rsid w:val="440C4BC0"/>
    <w:rsid w:val="440C6951"/>
    <w:rsid w:val="441314FC"/>
    <w:rsid w:val="4417494E"/>
    <w:rsid w:val="441B2734"/>
    <w:rsid w:val="442615A6"/>
    <w:rsid w:val="442E38B9"/>
    <w:rsid w:val="44343088"/>
    <w:rsid w:val="443A17DE"/>
    <w:rsid w:val="444035EC"/>
    <w:rsid w:val="444104BA"/>
    <w:rsid w:val="44456C9D"/>
    <w:rsid w:val="44472BCC"/>
    <w:rsid w:val="44476729"/>
    <w:rsid w:val="444A0944"/>
    <w:rsid w:val="444B7E4F"/>
    <w:rsid w:val="4452238C"/>
    <w:rsid w:val="44546F66"/>
    <w:rsid w:val="445869E0"/>
    <w:rsid w:val="44593EC8"/>
    <w:rsid w:val="445E163D"/>
    <w:rsid w:val="4464056A"/>
    <w:rsid w:val="446858A7"/>
    <w:rsid w:val="446F24E6"/>
    <w:rsid w:val="44755F0F"/>
    <w:rsid w:val="447909DB"/>
    <w:rsid w:val="448B5E47"/>
    <w:rsid w:val="44972671"/>
    <w:rsid w:val="449954F1"/>
    <w:rsid w:val="449E4296"/>
    <w:rsid w:val="44A23A2A"/>
    <w:rsid w:val="44A26055"/>
    <w:rsid w:val="44AD6935"/>
    <w:rsid w:val="44AD7F03"/>
    <w:rsid w:val="44B9080B"/>
    <w:rsid w:val="44B951CC"/>
    <w:rsid w:val="44BD0FEB"/>
    <w:rsid w:val="44BE607C"/>
    <w:rsid w:val="44C6502C"/>
    <w:rsid w:val="44CD14E0"/>
    <w:rsid w:val="44CD30D2"/>
    <w:rsid w:val="44CF31EE"/>
    <w:rsid w:val="44DA7DD6"/>
    <w:rsid w:val="44DB325F"/>
    <w:rsid w:val="44DC14D7"/>
    <w:rsid w:val="44E126D9"/>
    <w:rsid w:val="44E26451"/>
    <w:rsid w:val="44E5431A"/>
    <w:rsid w:val="44F12C03"/>
    <w:rsid w:val="44F20B0B"/>
    <w:rsid w:val="44F40B3F"/>
    <w:rsid w:val="44F55E30"/>
    <w:rsid w:val="44F83801"/>
    <w:rsid w:val="44FB56EA"/>
    <w:rsid w:val="45022ED0"/>
    <w:rsid w:val="4504122F"/>
    <w:rsid w:val="450A6F8E"/>
    <w:rsid w:val="450F75BF"/>
    <w:rsid w:val="451201AC"/>
    <w:rsid w:val="45196800"/>
    <w:rsid w:val="451E535F"/>
    <w:rsid w:val="45246F33"/>
    <w:rsid w:val="452627E2"/>
    <w:rsid w:val="452678DD"/>
    <w:rsid w:val="452A76A6"/>
    <w:rsid w:val="452E5F4C"/>
    <w:rsid w:val="45307BB6"/>
    <w:rsid w:val="45333478"/>
    <w:rsid w:val="45336235"/>
    <w:rsid w:val="453B0376"/>
    <w:rsid w:val="453C3C57"/>
    <w:rsid w:val="454B5F67"/>
    <w:rsid w:val="454E0DF1"/>
    <w:rsid w:val="45500586"/>
    <w:rsid w:val="45594575"/>
    <w:rsid w:val="45612018"/>
    <w:rsid w:val="45646C6E"/>
    <w:rsid w:val="456F3069"/>
    <w:rsid w:val="45794ADD"/>
    <w:rsid w:val="458946E9"/>
    <w:rsid w:val="458B6B9B"/>
    <w:rsid w:val="458F3466"/>
    <w:rsid w:val="458F3906"/>
    <w:rsid w:val="45934D8D"/>
    <w:rsid w:val="4597548E"/>
    <w:rsid w:val="45A47C0E"/>
    <w:rsid w:val="45B13A42"/>
    <w:rsid w:val="45B25351"/>
    <w:rsid w:val="45B846D6"/>
    <w:rsid w:val="45B91DA6"/>
    <w:rsid w:val="45C054EB"/>
    <w:rsid w:val="45C1231A"/>
    <w:rsid w:val="45C142B9"/>
    <w:rsid w:val="45C361A1"/>
    <w:rsid w:val="45CE7F2C"/>
    <w:rsid w:val="45D14064"/>
    <w:rsid w:val="45D6379D"/>
    <w:rsid w:val="45D84018"/>
    <w:rsid w:val="45DA79B2"/>
    <w:rsid w:val="45E47625"/>
    <w:rsid w:val="45E5380F"/>
    <w:rsid w:val="45E70CB8"/>
    <w:rsid w:val="45EA380F"/>
    <w:rsid w:val="45ED3C56"/>
    <w:rsid w:val="45F87292"/>
    <w:rsid w:val="45FA2395"/>
    <w:rsid w:val="46010731"/>
    <w:rsid w:val="46060B05"/>
    <w:rsid w:val="460F2026"/>
    <w:rsid w:val="46113D93"/>
    <w:rsid w:val="46195EA3"/>
    <w:rsid w:val="46261996"/>
    <w:rsid w:val="46287375"/>
    <w:rsid w:val="462A30A8"/>
    <w:rsid w:val="462B58F5"/>
    <w:rsid w:val="462B618A"/>
    <w:rsid w:val="462F1B6A"/>
    <w:rsid w:val="464062C4"/>
    <w:rsid w:val="46454EEA"/>
    <w:rsid w:val="464E3931"/>
    <w:rsid w:val="465225ED"/>
    <w:rsid w:val="46552F9B"/>
    <w:rsid w:val="46554E77"/>
    <w:rsid w:val="46577FD6"/>
    <w:rsid w:val="465A0BD9"/>
    <w:rsid w:val="465E4975"/>
    <w:rsid w:val="46640947"/>
    <w:rsid w:val="46697367"/>
    <w:rsid w:val="46704B5A"/>
    <w:rsid w:val="46795D28"/>
    <w:rsid w:val="467C3913"/>
    <w:rsid w:val="467F1F88"/>
    <w:rsid w:val="46846EC5"/>
    <w:rsid w:val="468D14EC"/>
    <w:rsid w:val="46947C43"/>
    <w:rsid w:val="469822FF"/>
    <w:rsid w:val="46A00E26"/>
    <w:rsid w:val="46A14816"/>
    <w:rsid w:val="46A165C4"/>
    <w:rsid w:val="46A816AC"/>
    <w:rsid w:val="46AA67A9"/>
    <w:rsid w:val="46B20630"/>
    <w:rsid w:val="46BF293F"/>
    <w:rsid w:val="46C24FA0"/>
    <w:rsid w:val="46C422B2"/>
    <w:rsid w:val="46C6509C"/>
    <w:rsid w:val="46CD4716"/>
    <w:rsid w:val="46D85D5E"/>
    <w:rsid w:val="46D91697"/>
    <w:rsid w:val="46D955A7"/>
    <w:rsid w:val="46DE6E52"/>
    <w:rsid w:val="46E323EA"/>
    <w:rsid w:val="46E70056"/>
    <w:rsid w:val="46F370EF"/>
    <w:rsid w:val="46F427AA"/>
    <w:rsid w:val="46F52955"/>
    <w:rsid w:val="46F907D7"/>
    <w:rsid w:val="46FC5E13"/>
    <w:rsid w:val="470923BB"/>
    <w:rsid w:val="470A18F2"/>
    <w:rsid w:val="47104646"/>
    <w:rsid w:val="47133957"/>
    <w:rsid w:val="47154D8B"/>
    <w:rsid w:val="471B2DD0"/>
    <w:rsid w:val="472153E5"/>
    <w:rsid w:val="47226FD9"/>
    <w:rsid w:val="47287D94"/>
    <w:rsid w:val="47376C27"/>
    <w:rsid w:val="473E1D4E"/>
    <w:rsid w:val="47403A7D"/>
    <w:rsid w:val="47453678"/>
    <w:rsid w:val="47486C8D"/>
    <w:rsid w:val="4752087D"/>
    <w:rsid w:val="4754367F"/>
    <w:rsid w:val="47626CC5"/>
    <w:rsid w:val="476C528A"/>
    <w:rsid w:val="476F7D75"/>
    <w:rsid w:val="47793B98"/>
    <w:rsid w:val="477A0D74"/>
    <w:rsid w:val="477A5944"/>
    <w:rsid w:val="477D1BC2"/>
    <w:rsid w:val="478140C5"/>
    <w:rsid w:val="47815DFB"/>
    <w:rsid w:val="47843018"/>
    <w:rsid w:val="478955AC"/>
    <w:rsid w:val="478D08F6"/>
    <w:rsid w:val="478D47F0"/>
    <w:rsid w:val="479D08D5"/>
    <w:rsid w:val="47A039ED"/>
    <w:rsid w:val="47A07E0C"/>
    <w:rsid w:val="47A7430E"/>
    <w:rsid w:val="47B95B8F"/>
    <w:rsid w:val="47BC35E8"/>
    <w:rsid w:val="47BE31A6"/>
    <w:rsid w:val="47C43ECA"/>
    <w:rsid w:val="47CF3A8A"/>
    <w:rsid w:val="47D15E5A"/>
    <w:rsid w:val="47D95284"/>
    <w:rsid w:val="47DA2E2B"/>
    <w:rsid w:val="47DB358A"/>
    <w:rsid w:val="47E0136E"/>
    <w:rsid w:val="47EA03B1"/>
    <w:rsid w:val="47F61CB0"/>
    <w:rsid w:val="48042A8A"/>
    <w:rsid w:val="480A4FF4"/>
    <w:rsid w:val="48147089"/>
    <w:rsid w:val="481D611E"/>
    <w:rsid w:val="48223734"/>
    <w:rsid w:val="482B64C5"/>
    <w:rsid w:val="483D14D4"/>
    <w:rsid w:val="483D32FF"/>
    <w:rsid w:val="483E1D79"/>
    <w:rsid w:val="484473C9"/>
    <w:rsid w:val="48466B80"/>
    <w:rsid w:val="48483FF3"/>
    <w:rsid w:val="484C7FFB"/>
    <w:rsid w:val="48531812"/>
    <w:rsid w:val="485935EA"/>
    <w:rsid w:val="485B58A5"/>
    <w:rsid w:val="485B65DE"/>
    <w:rsid w:val="485B6C46"/>
    <w:rsid w:val="485C25AA"/>
    <w:rsid w:val="486C0E54"/>
    <w:rsid w:val="4870272E"/>
    <w:rsid w:val="48703717"/>
    <w:rsid w:val="48720FF4"/>
    <w:rsid w:val="48734029"/>
    <w:rsid w:val="487424F3"/>
    <w:rsid w:val="48757D08"/>
    <w:rsid w:val="48812E9A"/>
    <w:rsid w:val="4886017E"/>
    <w:rsid w:val="4886598F"/>
    <w:rsid w:val="4887688E"/>
    <w:rsid w:val="488C1B17"/>
    <w:rsid w:val="48903808"/>
    <w:rsid w:val="48922C23"/>
    <w:rsid w:val="489A50AA"/>
    <w:rsid w:val="48A04659"/>
    <w:rsid w:val="48A21155"/>
    <w:rsid w:val="48A9539F"/>
    <w:rsid w:val="48AD09B5"/>
    <w:rsid w:val="48B71104"/>
    <w:rsid w:val="48BE16D0"/>
    <w:rsid w:val="48C04BA2"/>
    <w:rsid w:val="48C2404C"/>
    <w:rsid w:val="48C93600"/>
    <w:rsid w:val="48CE11C6"/>
    <w:rsid w:val="48D80297"/>
    <w:rsid w:val="48D93007"/>
    <w:rsid w:val="48DA3815"/>
    <w:rsid w:val="48E37D53"/>
    <w:rsid w:val="48E85A1C"/>
    <w:rsid w:val="48F47FB6"/>
    <w:rsid w:val="48F70036"/>
    <w:rsid w:val="48FB2621"/>
    <w:rsid w:val="49041711"/>
    <w:rsid w:val="49052E99"/>
    <w:rsid w:val="490757E0"/>
    <w:rsid w:val="49090450"/>
    <w:rsid w:val="49090958"/>
    <w:rsid w:val="490B5854"/>
    <w:rsid w:val="491D3086"/>
    <w:rsid w:val="491F588D"/>
    <w:rsid w:val="49204441"/>
    <w:rsid w:val="492A3F77"/>
    <w:rsid w:val="492C5AD1"/>
    <w:rsid w:val="492F4AD0"/>
    <w:rsid w:val="493F2815"/>
    <w:rsid w:val="49421B4F"/>
    <w:rsid w:val="49437E06"/>
    <w:rsid w:val="49496F6E"/>
    <w:rsid w:val="4951365C"/>
    <w:rsid w:val="49521DF7"/>
    <w:rsid w:val="49540A10"/>
    <w:rsid w:val="4956348F"/>
    <w:rsid w:val="495D7C8D"/>
    <w:rsid w:val="4964271B"/>
    <w:rsid w:val="49671430"/>
    <w:rsid w:val="49722EF1"/>
    <w:rsid w:val="49740D11"/>
    <w:rsid w:val="49746F8E"/>
    <w:rsid w:val="49792C2F"/>
    <w:rsid w:val="497F197F"/>
    <w:rsid w:val="49933C1E"/>
    <w:rsid w:val="49955532"/>
    <w:rsid w:val="499D6C11"/>
    <w:rsid w:val="49A96ABA"/>
    <w:rsid w:val="49B163A2"/>
    <w:rsid w:val="49B37F46"/>
    <w:rsid w:val="49B9110C"/>
    <w:rsid w:val="49C32EDB"/>
    <w:rsid w:val="49C85E8D"/>
    <w:rsid w:val="49D05C36"/>
    <w:rsid w:val="49D379CB"/>
    <w:rsid w:val="49DC7715"/>
    <w:rsid w:val="49E3350C"/>
    <w:rsid w:val="49F02CC8"/>
    <w:rsid w:val="49FC1D63"/>
    <w:rsid w:val="49FD03C8"/>
    <w:rsid w:val="4A023139"/>
    <w:rsid w:val="4A0C644A"/>
    <w:rsid w:val="4A1157E9"/>
    <w:rsid w:val="4A261D03"/>
    <w:rsid w:val="4A273284"/>
    <w:rsid w:val="4A2A7770"/>
    <w:rsid w:val="4A3459A1"/>
    <w:rsid w:val="4A374645"/>
    <w:rsid w:val="4A3A2B0A"/>
    <w:rsid w:val="4A42507A"/>
    <w:rsid w:val="4A4356F7"/>
    <w:rsid w:val="4A445DB6"/>
    <w:rsid w:val="4A5E2A1E"/>
    <w:rsid w:val="4A630034"/>
    <w:rsid w:val="4A655F26"/>
    <w:rsid w:val="4A727B54"/>
    <w:rsid w:val="4A73725F"/>
    <w:rsid w:val="4A78769A"/>
    <w:rsid w:val="4A7B576F"/>
    <w:rsid w:val="4A804D66"/>
    <w:rsid w:val="4A82269A"/>
    <w:rsid w:val="4A82670C"/>
    <w:rsid w:val="4A8809CA"/>
    <w:rsid w:val="4A920A04"/>
    <w:rsid w:val="4A9621B8"/>
    <w:rsid w:val="4A9805C7"/>
    <w:rsid w:val="4AA80D26"/>
    <w:rsid w:val="4AA95B5C"/>
    <w:rsid w:val="4AAA0DB3"/>
    <w:rsid w:val="4AAA4EF1"/>
    <w:rsid w:val="4AB56B6B"/>
    <w:rsid w:val="4AB66AD1"/>
    <w:rsid w:val="4ABA1A7F"/>
    <w:rsid w:val="4ABE6962"/>
    <w:rsid w:val="4AC91857"/>
    <w:rsid w:val="4AE254C6"/>
    <w:rsid w:val="4AE747C1"/>
    <w:rsid w:val="4AF24BFF"/>
    <w:rsid w:val="4AF561A9"/>
    <w:rsid w:val="4AF56795"/>
    <w:rsid w:val="4AF76279"/>
    <w:rsid w:val="4AF80665"/>
    <w:rsid w:val="4AF843F7"/>
    <w:rsid w:val="4AF85B39"/>
    <w:rsid w:val="4AF962F4"/>
    <w:rsid w:val="4AFD2237"/>
    <w:rsid w:val="4AFF7D5D"/>
    <w:rsid w:val="4B107DE6"/>
    <w:rsid w:val="4B11183E"/>
    <w:rsid w:val="4B164FCA"/>
    <w:rsid w:val="4B2652EA"/>
    <w:rsid w:val="4B324922"/>
    <w:rsid w:val="4B332BBA"/>
    <w:rsid w:val="4B347DB3"/>
    <w:rsid w:val="4B366EF8"/>
    <w:rsid w:val="4B3D0AC6"/>
    <w:rsid w:val="4B3E36B9"/>
    <w:rsid w:val="4B407B0E"/>
    <w:rsid w:val="4B424130"/>
    <w:rsid w:val="4B45016D"/>
    <w:rsid w:val="4B4D039C"/>
    <w:rsid w:val="4B4D6544"/>
    <w:rsid w:val="4B4E17B3"/>
    <w:rsid w:val="4B5E229D"/>
    <w:rsid w:val="4B5F778B"/>
    <w:rsid w:val="4B675656"/>
    <w:rsid w:val="4B690BDA"/>
    <w:rsid w:val="4B6C03B6"/>
    <w:rsid w:val="4B6E006D"/>
    <w:rsid w:val="4B6E1409"/>
    <w:rsid w:val="4B6F036B"/>
    <w:rsid w:val="4B702A09"/>
    <w:rsid w:val="4B7031DF"/>
    <w:rsid w:val="4B7C0018"/>
    <w:rsid w:val="4B83098E"/>
    <w:rsid w:val="4B856D2A"/>
    <w:rsid w:val="4B8A5387"/>
    <w:rsid w:val="4B8F11B7"/>
    <w:rsid w:val="4B91202C"/>
    <w:rsid w:val="4B935C01"/>
    <w:rsid w:val="4BB173AB"/>
    <w:rsid w:val="4BB36391"/>
    <w:rsid w:val="4BBC1DAA"/>
    <w:rsid w:val="4BBD3CB6"/>
    <w:rsid w:val="4BBF3A2D"/>
    <w:rsid w:val="4BC16080"/>
    <w:rsid w:val="4BC52D55"/>
    <w:rsid w:val="4BC544DC"/>
    <w:rsid w:val="4BC915E4"/>
    <w:rsid w:val="4BD0391B"/>
    <w:rsid w:val="4BD90276"/>
    <w:rsid w:val="4BDB0057"/>
    <w:rsid w:val="4BDB6029"/>
    <w:rsid w:val="4BE6092A"/>
    <w:rsid w:val="4BE75A20"/>
    <w:rsid w:val="4BE917AA"/>
    <w:rsid w:val="4BEA7C50"/>
    <w:rsid w:val="4BED2098"/>
    <w:rsid w:val="4BEE6223"/>
    <w:rsid w:val="4BF12E75"/>
    <w:rsid w:val="4BF749EC"/>
    <w:rsid w:val="4BF929FE"/>
    <w:rsid w:val="4C04714C"/>
    <w:rsid w:val="4C167B43"/>
    <w:rsid w:val="4C22386C"/>
    <w:rsid w:val="4C2D5752"/>
    <w:rsid w:val="4C3457E4"/>
    <w:rsid w:val="4C461115"/>
    <w:rsid w:val="4C4A0649"/>
    <w:rsid w:val="4C4C6E9E"/>
    <w:rsid w:val="4C5207A4"/>
    <w:rsid w:val="4C556BA2"/>
    <w:rsid w:val="4C586464"/>
    <w:rsid w:val="4C5C5BB0"/>
    <w:rsid w:val="4C5F1CCA"/>
    <w:rsid w:val="4C6360CA"/>
    <w:rsid w:val="4C675291"/>
    <w:rsid w:val="4C677503"/>
    <w:rsid w:val="4C7161F6"/>
    <w:rsid w:val="4C784BE3"/>
    <w:rsid w:val="4C7E3C6D"/>
    <w:rsid w:val="4C7E5ECA"/>
    <w:rsid w:val="4C8018A4"/>
    <w:rsid w:val="4C870A72"/>
    <w:rsid w:val="4C876AA5"/>
    <w:rsid w:val="4C883F58"/>
    <w:rsid w:val="4C8B180D"/>
    <w:rsid w:val="4C906653"/>
    <w:rsid w:val="4C992D96"/>
    <w:rsid w:val="4CA45969"/>
    <w:rsid w:val="4CA54934"/>
    <w:rsid w:val="4CB93F3C"/>
    <w:rsid w:val="4CC0351C"/>
    <w:rsid w:val="4CC30EC3"/>
    <w:rsid w:val="4CD470CD"/>
    <w:rsid w:val="4CD51475"/>
    <w:rsid w:val="4CD61F5B"/>
    <w:rsid w:val="4CDC2CE3"/>
    <w:rsid w:val="4CDC7AE4"/>
    <w:rsid w:val="4CE45E63"/>
    <w:rsid w:val="4CE81134"/>
    <w:rsid w:val="4CEB6A0D"/>
    <w:rsid w:val="4CF02AF2"/>
    <w:rsid w:val="4CF63551"/>
    <w:rsid w:val="4CFA1A38"/>
    <w:rsid w:val="4D010A6C"/>
    <w:rsid w:val="4D0133B7"/>
    <w:rsid w:val="4D0254BA"/>
    <w:rsid w:val="4D0528D8"/>
    <w:rsid w:val="4D077F72"/>
    <w:rsid w:val="4D0E00FB"/>
    <w:rsid w:val="4D176606"/>
    <w:rsid w:val="4D1F2E8C"/>
    <w:rsid w:val="4D230464"/>
    <w:rsid w:val="4D23469F"/>
    <w:rsid w:val="4D242311"/>
    <w:rsid w:val="4D3327C5"/>
    <w:rsid w:val="4D334D60"/>
    <w:rsid w:val="4D360ABE"/>
    <w:rsid w:val="4D3B48A1"/>
    <w:rsid w:val="4D3B6E6D"/>
    <w:rsid w:val="4D4A6CA3"/>
    <w:rsid w:val="4D560463"/>
    <w:rsid w:val="4D5B6465"/>
    <w:rsid w:val="4D5D6FBD"/>
    <w:rsid w:val="4D722A68"/>
    <w:rsid w:val="4D724F08"/>
    <w:rsid w:val="4D78714F"/>
    <w:rsid w:val="4D8424BC"/>
    <w:rsid w:val="4D896C00"/>
    <w:rsid w:val="4D8A0897"/>
    <w:rsid w:val="4D8C1EC6"/>
    <w:rsid w:val="4D8E7176"/>
    <w:rsid w:val="4D8F6032"/>
    <w:rsid w:val="4D973688"/>
    <w:rsid w:val="4D9C50E8"/>
    <w:rsid w:val="4DA718E4"/>
    <w:rsid w:val="4DBC1F35"/>
    <w:rsid w:val="4DBE01BA"/>
    <w:rsid w:val="4DC45D61"/>
    <w:rsid w:val="4DC52A3F"/>
    <w:rsid w:val="4DCA4ACA"/>
    <w:rsid w:val="4DD2174E"/>
    <w:rsid w:val="4DD266CC"/>
    <w:rsid w:val="4DDA6BF5"/>
    <w:rsid w:val="4DE81EAA"/>
    <w:rsid w:val="4DE855B4"/>
    <w:rsid w:val="4DEC3A14"/>
    <w:rsid w:val="4DEC4FB0"/>
    <w:rsid w:val="4DEF0579"/>
    <w:rsid w:val="4DF73B53"/>
    <w:rsid w:val="4DFD0BBC"/>
    <w:rsid w:val="4E075D8A"/>
    <w:rsid w:val="4E0A0EF3"/>
    <w:rsid w:val="4E0B2A9E"/>
    <w:rsid w:val="4E107CFC"/>
    <w:rsid w:val="4E1976CC"/>
    <w:rsid w:val="4E1B7B71"/>
    <w:rsid w:val="4E2472AB"/>
    <w:rsid w:val="4E2D177F"/>
    <w:rsid w:val="4E2D4423"/>
    <w:rsid w:val="4E307DFB"/>
    <w:rsid w:val="4E37400E"/>
    <w:rsid w:val="4E3A3F1A"/>
    <w:rsid w:val="4E3D54AD"/>
    <w:rsid w:val="4E4149FC"/>
    <w:rsid w:val="4E473EF5"/>
    <w:rsid w:val="4E4B7A4A"/>
    <w:rsid w:val="4E4C00AB"/>
    <w:rsid w:val="4E5008D0"/>
    <w:rsid w:val="4E50229D"/>
    <w:rsid w:val="4E543F09"/>
    <w:rsid w:val="4E59496C"/>
    <w:rsid w:val="4E5D3917"/>
    <w:rsid w:val="4E600B13"/>
    <w:rsid w:val="4E600D19"/>
    <w:rsid w:val="4E661A8D"/>
    <w:rsid w:val="4E6A373F"/>
    <w:rsid w:val="4E6A5381"/>
    <w:rsid w:val="4E6B34D3"/>
    <w:rsid w:val="4E797E26"/>
    <w:rsid w:val="4E7A68D7"/>
    <w:rsid w:val="4E7E5976"/>
    <w:rsid w:val="4E831E70"/>
    <w:rsid w:val="4E863C6F"/>
    <w:rsid w:val="4E8E2792"/>
    <w:rsid w:val="4E921FA3"/>
    <w:rsid w:val="4E944C60"/>
    <w:rsid w:val="4E99761F"/>
    <w:rsid w:val="4EA6582A"/>
    <w:rsid w:val="4EB47373"/>
    <w:rsid w:val="4EB6535C"/>
    <w:rsid w:val="4EBD6324"/>
    <w:rsid w:val="4EBE3584"/>
    <w:rsid w:val="4EC00FAD"/>
    <w:rsid w:val="4EC82C54"/>
    <w:rsid w:val="4ECD7E72"/>
    <w:rsid w:val="4ECF13C9"/>
    <w:rsid w:val="4EEE5381"/>
    <w:rsid w:val="4EF249C9"/>
    <w:rsid w:val="4EF60CC1"/>
    <w:rsid w:val="4EFA709E"/>
    <w:rsid w:val="4F03473D"/>
    <w:rsid w:val="4F18319B"/>
    <w:rsid w:val="4F1B593F"/>
    <w:rsid w:val="4F2002A2"/>
    <w:rsid w:val="4F297DF2"/>
    <w:rsid w:val="4F2B1E28"/>
    <w:rsid w:val="4F2E0A82"/>
    <w:rsid w:val="4F3B7A62"/>
    <w:rsid w:val="4F415681"/>
    <w:rsid w:val="4F497A53"/>
    <w:rsid w:val="4F50502B"/>
    <w:rsid w:val="4F580818"/>
    <w:rsid w:val="4F5B56B4"/>
    <w:rsid w:val="4F653432"/>
    <w:rsid w:val="4F69144D"/>
    <w:rsid w:val="4F6B59C1"/>
    <w:rsid w:val="4F6B7EF5"/>
    <w:rsid w:val="4F6D7524"/>
    <w:rsid w:val="4F716D4F"/>
    <w:rsid w:val="4F732AC8"/>
    <w:rsid w:val="4F7547BB"/>
    <w:rsid w:val="4F7800DE"/>
    <w:rsid w:val="4F7E1A91"/>
    <w:rsid w:val="4F802892"/>
    <w:rsid w:val="4F8151E4"/>
    <w:rsid w:val="4F88794E"/>
    <w:rsid w:val="4F8B2709"/>
    <w:rsid w:val="4F8C4B70"/>
    <w:rsid w:val="4F900127"/>
    <w:rsid w:val="4F9043B9"/>
    <w:rsid w:val="4F9348BC"/>
    <w:rsid w:val="4F960502"/>
    <w:rsid w:val="4F9843DC"/>
    <w:rsid w:val="4FA11F95"/>
    <w:rsid w:val="4FB45191"/>
    <w:rsid w:val="4FB7547B"/>
    <w:rsid w:val="4FC6107D"/>
    <w:rsid w:val="4FC62A8C"/>
    <w:rsid w:val="4FC85B3B"/>
    <w:rsid w:val="4FCC6966"/>
    <w:rsid w:val="4FD91402"/>
    <w:rsid w:val="4FD91480"/>
    <w:rsid w:val="4FE20F0D"/>
    <w:rsid w:val="4FE3188E"/>
    <w:rsid w:val="4FE51552"/>
    <w:rsid w:val="4FE52211"/>
    <w:rsid w:val="4FF11AB7"/>
    <w:rsid w:val="4FF763BA"/>
    <w:rsid w:val="50021FF7"/>
    <w:rsid w:val="501817E6"/>
    <w:rsid w:val="50207450"/>
    <w:rsid w:val="502135A5"/>
    <w:rsid w:val="502618E8"/>
    <w:rsid w:val="50307EE1"/>
    <w:rsid w:val="5031145A"/>
    <w:rsid w:val="503C110B"/>
    <w:rsid w:val="504D67D1"/>
    <w:rsid w:val="50504C4B"/>
    <w:rsid w:val="50504DDE"/>
    <w:rsid w:val="50607FA3"/>
    <w:rsid w:val="506423DD"/>
    <w:rsid w:val="5069668C"/>
    <w:rsid w:val="506E5715"/>
    <w:rsid w:val="50721B21"/>
    <w:rsid w:val="50795EBC"/>
    <w:rsid w:val="507A4E59"/>
    <w:rsid w:val="507C7CB2"/>
    <w:rsid w:val="50912FBB"/>
    <w:rsid w:val="50991B4C"/>
    <w:rsid w:val="509926B0"/>
    <w:rsid w:val="509C6E7C"/>
    <w:rsid w:val="50A55CD8"/>
    <w:rsid w:val="50A71006"/>
    <w:rsid w:val="50AE5ACB"/>
    <w:rsid w:val="50B154B0"/>
    <w:rsid w:val="50B35F14"/>
    <w:rsid w:val="50B929A4"/>
    <w:rsid w:val="50BB4726"/>
    <w:rsid w:val="50BF44F2"/>
    <w:rsid w:val="50C57353"/>
    <w:rsid w:val="50D12F61"/>
    <w:rsid w:val="50D47596"/>
    <w:rsid w:val="50D554C5"/>
    <w:rsid w:val="50D648F3"/>
    <w:rsid w:val="50DC335D"/>
    <w:rsid w:val="50DD1C88"/>
    <w:rsid w:val="50DF61DF"/>
    <w:rsid w:val="50E33C7D"/>
    <w:rsid w:val="50E77FAB"/>
    <w:rsid w:val="50EC3E2B"/>
    <w:rsid w:val="50F26C76"/>
    <w:rsid w:val="50F72DBD"/>
    <w:rsid w:val="50FD4EC5"/>
    <w:rsid w:val="510042CE"/>
    <w:rsid w:val="51020547"/>
    <w:rsid w:val="51025A8B"/>
    <w:rsid w:val="51037E7B"/>
    <w:rsid w:val="51064B70"/>
    <w:rsid w:val="510E7D0C"/>
    <w:rsid w:val="51164BF2"/>
    <w:rsid w:val="511B6B2E"/>
    <w:rsid w:val="512810D7"/>
    <w:rsid w:val="512E314A"/>
    <w:rsid w:val="512E4EF8"/>
    <w:rsid w:val="51310276"/>
    <w:rsid w:val="513A3523"/>
    <w:rsid w:val="514917A9"/>
    <w:rsid w:val="514F5065"/>
    <w:rsid w:val="51542485"/>
    <w:rsid w:val="515C7CC4"/>
    <w:rsid w:val="51600E2A"/>
    <w:rsid w:val="5162104E"/>
    <w:rsid w:val="51637851"/>
    <w:rsid w:val="516E1AB0"/>
    <w:rsid w:val="517320EB"/>
    <w:rsid w:val="51747080"/>
    <w:rsid w:val="51753CCE"/>
    <w:rsid w:val="51760A3E"/>
    <w:rsid w:val="51765D63"/>
    <w:rsid w:val="51780EAC"/>
    <w:rsid w:val="51797257"/>
    <w:rsid w:val="517E1A59"/>
    <w:rsid w:val="51820558"/>
    <w:rsid w:val="518301EA"/>
    <w:rsid w:val="51840CFB"/>
    <w:rsid w:val="519136D9"/>
    <w:rsid w:val="51AA3067"/>
    <w:rsid w:val="51AE6403"/>
    <w:rsid w:val="51AE6DE6"/>
    <w:rsid w:val="51B525E9"/>
    <w:rsid w:val="51BA4D13"/>
    <w:rsid w:val="51BC7750"/>
    <w:rsid w:val="51C02CE7"/>
    <w:rsid w:val="51D11EF1"/>
    <w:rsid w:val="51D23796"/>
    <w:rsid w:val="51DC62CF"/>
    <w:rsid w:val="51E258E4"/>
    <w:rsid w:val="51E718BF"/>
    <w:rsid w:val="51EB04E7"/>
    <w:rsid w:val="51EC678D"/>
    <w:rsid w:val="51EF1009"/>
    <w:rsid w:val="51F7568B"/>
    <w:rsid w:val="51FA702F"/>
    <w:rsid w:val="520039D2"/>
    <w:rsid w:val="52086989"/>
    <w:rsid w:val="520F3B2E"/>
    <w:rsid w:val="52107BF7"/>
    <w:rsid w:val="521B6BB2"/>
    <w:rsid w:val="522C5AF4"/>
    <w:rsid w:val="522D0A30"/>
    <w:rsid w:val="522E6EA9"/>
    <w:rsid w:val="523461D2"/>
    <w:rsid w:val="52381CDA"/>
    <w:rsid w:val="524528DF"/>
    <w:rsid w:val="5247293A"/>
    <w:rsid w:val="525E35BB"/>
    <w:rsid w:val="52633D92"/>
    <w:rsid w:val="52656F18"/>
    <w:rsid w:val="52657C81"/>
    <w:rsid w:val="52783EFD"/>
    <w:rsid w:val="5281773C"/>
    <w:rsid w:val="52873B67"/>
    <w:rsid w:val="528818DA"/>
    <w:rsid w:val="528D5783"/>
    <w:rsid w:val="528F1596"/>
    <w:rsid w:val="529B58A8"/>
    <w:rsid w:val="52A7373D"/>
    <w:rsid w:val="52A80CDA"/>
    <w:rsid w:val="52B82617"/>
    <w:rsid w:val="52C35562"/>
    <w:rsid w:val="52C36938"/>
    <w:rsid w:val="52CD4B95"/>
    <w:rsid w:val="52D47E40"/>
    <w:rsid w:val="52DB029D"/>
    <w:rsid w:val="52DC2732"/>
    <w:rsid w:val="52DE5CDC"/>
    <w:rsid w:val="52E068AC"/>
    <w:rsid w:val="52E43FBB"/>
    <w:rsid w:val="52E751CD"/>
    <w:rsid w:val="52F15371"/>
    <w:rsid w:val="52F2108C"/>
    <w:rsid w:val="52F41218"/>
    <w:rsid w:val="52FB5B64"/>
    <w:rsid w:val="5300377D"/>
    <w:rsid w:val="530202BD"/>
    <w:rsid w:val="5302663C"/>
    <w:rsid w:val="53033BD7"/>
    <w:rsid w:val="53034958"/>
    <w:rsid w:val="53037164"/>
    <w:rsid w:val="53060057"/>
    <w:rsid w:val="53081DBB"/>
    <w:rsid w:val="530B0488"/>
    <w:rsid w:val="530B54EB"/>
    <w:rsid w:val="530D6076"/>
    <w:rsid w:val="530D6461"/>
    <w:rsid w:val="531E48AC"/>
    <w:rsid w:val="53275AA6"/>
    <w:rsid w:val="53335B78"/>
    <w:rsid w:val="53393A4B"/>
    <w:rsid w:val="53397B84"/>
    <w:rsid w:val="533F5293"/>
    <w:rsid w:val="53412B9F"/>
    <w:rsid w:val="534406D8"/>
    <w:rsid w:val="53492ACE"/>
    <w:rsid w:val="53557584"/>
    <w:rsid w:val="5356144D"/>
    <w:rsid w:val="53570A9F"/>
    <w:rsid w:val="53572D68"/>
    <w:rsid w:val="535C7979"/>
    <w:rsid w:val="536501E9"/>
    <w:rsid w:val="53654E1D"/>
    <w:rsid w:val="536C0F21"/>
    <w:rsid w:val="53736CEF"/>
    <w:rsid w:val="5374721F"/>
    <w:rsid w:val="53831A46"/>
    <w:rsid w:val="538C4403"/>
    <w:rsid w:val="5394400C"/>
    <w:rsid w:val="539574B0"/>
    <w:rsid w:val="53963389"/>
    <w:rsid w:val="539B29CB"/>
    <w:rsid w:val="53A039CC"/>
    <w:rsid w:val="53A1505A"/>
    <w:rsid w:val="53A72AF6"/>
    <w:rsid w:val="53A90AD4"/>
    <w:rsid w:val="53A94D0A"/>
    <w:rsid w:val="53AC4E97"/>
    <w:rsid w:val="53B26B3E"/>
    <w:rsid w:val="53C1292C"/>
    <w:rsid w:val="53C2343A"/>
    <w:rsid w:val="53CA3BB4"/>
    <w:rsid w:val="53CE3A28"/>
    <w:rsid w:val="53D0378F"/>
    <w:rsid w:val="53D03EB4"/>
    <w:rsid w:val="53D53406"/>
    <w:rsid w:val="53D63B20"/>
    <w:rsid w:val="53D641DC"/>
    <w:rsid w:val="53E50706"/>
    <w:rsid w:val="53F455C3"/>
    <w:rsid w:val="53F60254"/>
    <w:rsid w:val="53F671DC"/>
    <w:rsid w:val="53F72CDC"/>
    <w:rsid w:val="53F9607E"/>
    <w:rsid w:val="54015914"/>
    <w:rsid w:val="54046603"/>
    <w:rsid w:val="54047867"/>
    <w:rsid w:val="54063E08"/>
    <w:rsid w:val="54191FE1"/>
    <w:rsid w:val="541B0803"/>
    <w:rsid w:val="54212D26"/>
    <w:rsid w:val="54244ADC"/>
    <w:rsid w:val="5429169F"/>
    <w:rsid w:val="542F5173"/>
    <w:rsid w:val="542F72A2"/>
    <w:rsid w:val="543228EA"/>
    <w:rsid w:val="543437E8"/>
    <w:rsid w:val="54384C6F"/>
    <w:rsid w:val="54386DE9"/>
    <w:rsid w:val="543B6B3E"/>
    <w:rsid w:val="54493DF7"/>
    <w:rsid w:val="544F3647"/>
    <w:rsid w:val="54574C26"/>
    <w:rsid w:val="545A6F1D"/>
    <w:rsid w:val="545E09D9"/>
    <w:rsid w:val="54625FA3"/>
    <w:rsid w:val="54672346"/>
    <w:rsid w:val="546D00CA"/>
    <w:rsid w:val="5476490D"/>
    <w:rsid w:val="547A1EA5"/>
    <w:rsid w:val="547C4DDF"/>
    <w:rsid w:val="54841ABB"/>
    <w:rsid w:val="5485333D"/>
    <w:rsid w:val="54854902"/>
    <w:rsid w:val="548B182B"/>
    <w:rsid w:val="5495703C"/>
    <w:rsid w:val="54992926"/>
    <w:rsid w:val="549F08B9"/>
    <w:rsid w:val="54AF0A8B"/>
    <w:rsid w:val="54B0696A"/>
    <w:rsid w:val="54BA1D6D"/>
    <w:rsid w:val="54BB2CD4"/>
    <w:rsid w:val="54BE45A5"/>
    <w:rsid w:val="54C95E27"/>
    <w:rsid w:val="54D338D9"/>
    <w:rsid w:val="54D65EAC"/>
    <w:rsid w:val="54D835BD"/>
    <w:rsid w:val="54DE60BC"/>
    <w:rsid w:val="54E01B06"/>
    <w:rsid w:val="54E26406"/>
    <w:rsid w:val="54EE1700"/>
    <w:rsid w:val="54F004F0"/>
    <w:rsid w:val="54F458C9"/>
    <w:rsid w:val="54F52107"/>
    <w:rsid w:val="54F56098"/>
    <w:rsid w:val="54F73313"/>
    <w:rsid w:val="54F80955"/>
    <w:rsid w:val="550334E7"/>
    <w:rsid w:val="55072053"/>
    <w:rsid w:val="550F3292"/>
    <w:rsid w:val="551D656B"/>
    <w:rsid w:val="551F1061"/>
    <w:rsid w:val="55255918"/>
    <w:rsid w:val="552B1274"/>
    <w:rsid w:val="553C2582"/>
    <w:rsid w:val="55405C0B"/>
    <w:rsid w:val="55482D3A"/>
    <w:rsid w:val="55486565"/>
    <w:rsid w:val="554B4B35"/>
    <w:rsid w:val="555170A7"/>
    <w:rsid w:val="55535E25"/>
    <w:rsid w:val="5563032C"/>
    <w:rsid w:val="556C6498"/>
    <w:rsid w:val="55757A63"/>
    <w:rsid w:val="557630BE"/>
    <w:rsid w:val="5576446A"/>
    <w:rsid w:val="557E6CDB"/>
    <w:rsid w:val="557E7FCB"/>
    <w:rsid w:val="5587536D"/>
    <w:rsid w:val="558B15C0"/>
    <w:rsid w:val="55905884"/>
    <w:rsid w:val="5591749D"/>
    <w:rsid w:val="55976276"/>
    <w:rsid w:val="55993422"/>
    <w:rsid w:val="55994570"/>
    <w:rsid w:val="559A7EC5"/>
    <w:rsid w:val="559B174B"/>
    <w:rsid w:val="559D1B85"/>
    <w:rsid w:val="559F06FA"/>
    <w:rsid w:val="55A16F6D"/>
    <w:rsid w:val="55A44331"/>
    <w:rsid w:val="55A65478"/>
    <w:rsid w:val="55A940FF"/>
    <w:rsid w:val="55AA2FBB"/>
    <w:rsid w:val="55AF2DD5"/>
    <w:rsid w:val="55B200A2"/>
    <w:rsid w:val="55BC51BC"/>
    <w:rsid w:val="55C4168B"/>
    <w:rsid w:val="55C5704D"/>
    <w:rsid w:val="55C73D40"/>
    <w:rsid w:val="55C76881"/>
    <w:rsid w:val="55CB46F5"/>
    <w:rsid w:val="55CE0CF4"/>
    <w:rsid w:val="55D77EBD"/>
    <w:rsid w:val="55D82A28"/>
    <w:rsid w:val="55E0575B"/>
    <w:rsid w:val="55E942E3"/>
    <w:rsid w:val="55EE249A"/>
    <w:rsid w:val="55F25B5A"/>
    <w:rsid w:val="560146BF"/>
    <w:rsid w:val="560270B4"/>
    <w:rsid w:val="56067EE3"/>
    <w:rsid w:val="56082D21"/>
    <w:rsid w:val="56116D00"/>
    <w:rsid w:val="56123106"/>
    <w:rsid w:val="5617260B"/>
    <w:rsid w:val="561843C9"/>
    <w:rsid w:val="561B10A7"/>
    <w:rsid w:val="56287FB7"/>
    <w:rsid w:val="5629020C"/>
    <w:rsid w:val="562B1477"/>
    <w:rsid w:val="562E053B"/>
    <w:rsid w:val="562E17FA"/>
    <w:rsid w:val="563078DB"/>
    <w:rsid w:val="563B3C13"/>
    <w:rsid w:val="56440C52"/>
    <w:rsid w:val="564939BD"/>
    <w:rsid w:val="564C1F0C"/>
    <w:rsid w:val="564F078E"/>
    <w:rsid w:val="56502649"/>
    <w:rsid w:val="565322E8"/>
    <w:rsid w:val="565353DA"/>
    <w:rsid w:val="5663270A"/>
    <w:rsid w:val="566444DD"/>
    <w:rsid w:val="5675690E"/>
    <w:rsid w:val="567C04B4"/>
    <w:rsid w:val="567C537C"/>
    <w:rsid w:val="567F473B"/>
    <w:rsid w:val="56803504"/>
    <w:rsid w:val="568C261C"/>
    <w:rsid w:val="56981066"/>
    <w:rsid w:val="569D31A7"/>
    <w:rsid w:val="56B22A9C"/>
    <w:rsid w:val="56B96143"/>
    <w:rsid w:val="56D938C8"/>
    <w:rsid w:val="56E045AB"/>
    <w:rsid w:val="56E07CFF"/>
    <w:rsid w:val="56E11CEC"/>
    <w:rsid w:val="56E542AB"/>
    <w:rsid w:val="56E65D93"/>
    <w:rsid w:val="56F17534"/>
    <w:rsid w:val="56FA762A"/>
    <w:rsid w:val="57015E67"/>
    <w:rsid w:val="57092F9E"/>
    <w:rsid w:val="570C4291"/>
    <w:rsid w:val="57271E39"/>
    <w:rsid w:val="57315742"/>
    <w:rsid w:val="5739099E"/>
    <w:rsid w:val="573F5D25"/>
    <w:rsid w:val="5740685D"/>
    <w:rsid w:val="574308F6"/>
    <w:rsid w:val="574A7696"/>
    <w:rsid w:val="574B3FE5"/>
    <w:rsid w:val="574F25B9"/>
    <w:rsid w:val="57524FB6"/>
    <w:rsid w:val="575A4010"/>
    <w:rsid w:val="5760151B"/>
    <w:rsid w:val="57764A9E"/>
    <w:rsid w:val="57794EA8"/>
    <w:rsid w:val="57825F9E"/>
    <w:rsid w:val="5786186A"/>
    <w:rsid w:val="578A35B4"/>
    <w:rsid w:val="57900305"/>
    <w:rsid w:val="579D5353"/>
    <w:rsid w:val="579D6B73"/>
    <w:rsid w:val="579E2C3C"/>
    <w:rsid w:val="57A67CB8"/>
    <w:rsid w:val="57A852D8"/>
    <w:rsid w:val="57AA783B"/>
    <w:rsid w:val="57B4420A"/>
    <w:rsid w:val="57B71CE0"/>
    <w:rsid w:val="57B72A76"/>
    <w:rsid w:val="57B82A73"/>
    <w:rsid w:val="57B850D7"/>
    <w:rsid w:val="57B92AC3"/>
    <w:rsid w:val="57BC17AA"/>
    <w:rsid w:val="57C2305F"/>
    <w:rsid w:val="57C3426C"/>
    <w:rsid w:val="57C40A2E"/>
    <w:rsid w:val="57CA20C0"/>
    <w:rsid w:val="57CE1F93"/>
    <w:rsid w:val="57D308A5"/>
    <w:rsid w:val="57D46487"/>
    <w:rsid w:val="57D62CCA"/>
    <w:rsid w:val="57DC4CF0"/>
    <w:rsid w:val="57DF3921"/>
    <w:rsid w:val="57E74683"/>
    <w:rsid w:val="57E84E2E"/>
    <w:rsid w:val="57EB4C75"/>
    <w:rsid w:val="57F15F73"/>
    <w:rsid w:val="57F24F4C"/>
    <w:rsid w:val="57F95B34"/>
    <w:rsid w:val="57FB7AFE"/>
    <w:rsid w:val="57FF013F"/>
    <w:rsid w:val="58022AE3"/>
    <w:rsid w:val="58041EEB"/>
    <w:rsid w:val="580809AA"/>
    <w:rsid w:val="580836FB"/>
    <w:rsid w:val="58096601"/>
    <w:rsid w:val="581B5832"/>
    <w:rsid w:val="582E1E3F"/>
    <w:rsid w:val="583167CA"/>
    <w:rsid w:val="58354144"/>
    <w:rsid w:val="58361B57"/>
    <w:rsid w:val="58376452"/>
    <w:rsid w:val="58377678"/>
    <w:rsid w:val="58491E4B"/>
    <w:rsid w:val="584B451D"/>
    <w:rsid w:val="58551814"/>
    <w:rsid w:val="58562F86"/>
    <w:rsid w:val="58595DFF"/>
    <w:rsid w:val="585970CA"/>
    <w:rsid w:val="585A7AFE"/>
    <w:rsid w:val="586771A3"/>
    <w:rsid w:val="586926FE"/>
    <w:rsid w:val="58717FB5"/>
    <w:rsid w:val="587401D8"/>
    <w:rsid w:val="5874061C"/>
    <w:rsid w:val="588534DD"/>
    <w:rsid w:val="58856C81"/>
    <w:rsid w:val="58860F35"/>
    <w:rsid w:val="588743D1"/>
    <w:rsid w:val="5887701A"/>
    <w:rsid w:val="58885C04"/>
    <w:rsid w:val="58907C05"/>
    <w:rsid w:val="5899075A"/>
    <w:rsid w:val="589E3564"/>
    <w:rsid w:val="58AB0B61"/>
    <w:rsid w:val="58AE4CDB"/>
    <w:rsid w:val="58B33F35"/>
    <w:rsid w:val="58B77A05"/>
    <w:rsid w:val="58B77A1A"/>
    <w:rsid w:val="58C25268"/>
    <w:rsid w:val="58C75A8B"/>
    <w:rsid w:val="58DE602C"/>
    <w:rsid w:val="58DE7D41"/>
    <w:rsid w:val="58E61420"/>
    <w:rsid w:val="58E72953"/>
    <w:rsid w:val="58EA5152"/>
    <w:rsid w:val="58EA5C7A"/>
    <w:rsid w:val="58EC660C"/>
    <w:rsid w:val="58F0392D"/>
    <w:rsid w:val="58F07115"/>
    <w:rsid w:val="58FA71B6"/>
    <w:rsid w:val="590400DF"/>
    <w:rsid w:val="590C185F"/>
    <w:rsid w:val="59123351"/>
    <w:rsid w:val="591C6342"/>
    <w:rsid w:val="591E5826"/>
    <w:rsid w:val="591F3BD0"/>
    <w:rsid w:val="592A069B"/>
    <w:rsid w:val="592A5B74"/>
    <w:rsid w:val="592C2E0C"/>
    <w:rsid w:val="59381F19"/>
    <w:rsid w:val="593C1E02"/>
    <w:rsid w:val="59401C6C"/>
    <w:rsid w:val="5946727A"/>
    <w:rsid w:val="59542FC4"/>
    <w:rsid w:val="59566F4D"/>
    <w:rsid w:val="59576FB6"/>
    <w:rsid w:val="59590597"/>
    <w:rsid w:val="59647FB5"/>
    <w:rsid w:val="596671F9"/>
    <w:rsid w:val="59737C6E"/>
    <w:rsid w:val="59850F96"/>
    <w:rsid w:val="598F1997"/>
    <w:rsid w:val="599C4460"/>
    <w:rsid w:val="59A14063"/>
    <w:rsid w:val="59A31EB1"/>
    <w:rsid w:val="59B148CF"/>
    <w:rsid w:val="59B32243"/>
    <w:rsid w:val="59C0439F"/>
    <w:rsid w:val="59CB641A"/>
    <w:rsid w:val="59D10D64"/>
    <w:rsid w:val="59D5087A"/>
    <w:rsid w:val="59DA27E4"/>
    <w:rsid w:val="59F926D1"/>
    <w:rsid w:val="59FA2BEE"/>
    <w:rsid w:val="5A030117"/>
    <w:rsid w:val="5A0A5F42"/>
    <w:rsid w:val="5A1A28AD"/>
    <w:rsid w:val="5A1D361C"/>
    <w:rsid w:val="5A2275C4"/>
    <w:rsid w:val="5A23321D"/>
    <w:rsid w:val="5A252C10"/>
    <w:rsid w:val="5A2C30A6"/>
    <w:rsid w:val="5A3D09A9"/>
    <w:rsid w:val="5A4E2167"/>
    <w:rsid w:val="5A553A36"/>
    <w:rsid w:val="5A600C10"/>
    <w:rsid w:val="5A640667"/>
    <w:rsid w:val="5A6621BA"/>
    <w:rsid w:val="5A667DDB"/>
    <w:rsid w:val="5A694867"/>
    <w:rsid w:val="5A6C6231"/>
    <w:rsid w:val="5A6D5BE1"/>
    <w:rsid w:val="5A720FEE"/>
    <w:rsid w:val="5A745419"/>
    <w:rsid w:val="5A75527E"/>
    <w:rsid w:val="5A7A2F5C"/>
    <w:rsid w:val="5A802498"/>
    <w:rsid w:val="5A820063"/>
    <w:rsid w:val="5A8C0EE1"/>
    <w:rsid w:val="5A8C29AB"/>
    <w:rsid w:val="5A9D2AC0"/>
    <w:rsid w:val="5AB67D0C"/>
    <w:rsid w:val="5ABB05D6"/>
    <w:rsid w:val="5ABE2233"/>
    <w:rsid w:val="5ABF21E2"/>
    <w:rsid w:val="5AC1313E"/>
    <w:rsid w:val="5AC817B9"/>
    <w:rsid w:val="5ACD5105"/>
    <w:rsid w:val="5ACD7945"/>
    <w:rsid w:val="5AD66A5E"/>
    <w:rsid w:val="5AD70DA5"/>
    <w:rsid w:val="5AD73A13"/>
    <w:rsid w:val="5ADF54B5"/>
    <w:rsid w:val="5AE50051"/>
    <w:rsid w:val="5AEA3ED3"/>
    <w:rsid w:val="5AED1980"/>
    <w:rsid w:val="5AED25B8"/>
    <w:rsid w:val="5AF0457E"/>
    <w:rsid w:val="5AFA409D"/>
    <w:rsid w:val="5B0337E4"/>
    <w:rsid w:val="5B0D7FE1"/>
    <w:rsid w:val="5B115639"/>
    <w:rsid w:val="5B121D43"/>
    <w:rsid w:val="5B125F22"/>
    <w:rsid w:val="5B1A64EA"/>
    <w:rsid w:val="5B232B09"/>
    <w:rsid w:val="5B2603B8"/>
    <w:rsid w:val="5B2C3339"/>
    <w:rsid w:val="5B2E30F2"/>
    <w:rsid w:val="5B3A3B54"/>
    <w:rsid w:val="5B3E4DBE"/>
    <w:rsid w:val="5B403654"/>
    <w:rsid w:val="5B4208F8"/>
    <w:rsid w:val="5B4216A0"/>
    <w:rsid w:val="5B446C8E"/>
    <w:rsid w:val="5B4A013A"/>
    <w:rsid w:val="5B4B14E4"/>
    <w:rsid w:val="5B4C73B6"/>
    <w:rsid w:val="5B5443AE"/>
    <w:rsid w:val="5B547F25"/>
    <w:rsid w:val="5B57111D"/>
    <w:rsid w:val="5B58089C"/>
    <w:rsid w:val="5B586D9E"/>
    <w:rsid w:val="5B5A3297"/>
    <w:rsid w:val="5B5F7C07"/>
    <w:rsid w:val="5B646FE3"/>
    <w:rsid w:val="5B6B496F"/>
    <w:rsid w:val="5B706BB5"/>
    <w:rsid w:val="5B73085C"/>
    <w:rsid w:val="5B7826D5"/>
    <w:rsid w:val="5B891734"/>
    <w:rsid w:val="5B8A6765"/>
    <w:rsid w:val="5B8E07ED"/>
    <w:rsid w:val="5B93248C"/>
    <w:rsid w:val="5BBA0E31"/>
    <w:rsid w:val="5BBC25EB"/>
    <w:rsid w:val="5BBD5402"/>
    <w:rsid w:val="5BC53F6F"/>
    <w:rsid w:val="5BCA3E3D"/>
    <w:rsid w:val="5BD13050"/>
    <w:rsid w:val="5BD2403C"/>
    <w:rsid w:val="5BD8166E"/>
    <w:rsid w:val="5BD95B9B"/>
    <w:rsid w:val="5BDE751B"/>
    <w:rsid w:val="5BDF5D95"/>
    <w:rsid w:val="5BE74162"/>
    <w:rsid w:val="5BF34EC9"/>
    <w:rsid w:val="5BF42A03"/>
    <w:rsid w:val="5BF97491"/>
    <w:rsid w:val="5BFE73EA"/>
    <w:rsid w:val="5BFE7528"/>
    <w:rsid w:val="5C030B48"/>
    <w:rsid w:val="5C0A0196"/>
    <w:rsid w:val="5C136C22"/>
    <w:rsid w:val="5C165181"/>
    <w:rsid w:val="5C190553"/>
    <w:rsid w:val="5C1E4DCD"/>
    <w:rsid w:val="5C220149"/>
    <w:rsid w:val="5C370527"/>
    <w:rsid w:val="5C405563"/>
    <w:rsid w:val="5C444C61"/>
    <w:rsid w:val="5C4D32C9"/>
    <w:rsid w:val="5C50666A"/>
    <w:rsid w:val="5C5305C6"/>
    <w:rsid w:val="5C564FB8"/>
    <w:rsid w:val="5C58146E"/>
    <w:rsid w:val="5C5F0596"/>
    <w:rsid w:val="5C642CF0"/>
    <w:rsid w:val="5C642E45"/>
    <w:rsid w:val="5C643EC4"/>
    <w:rsid w:val="5C68224C"/>
    <w:rsid w:val="5C7145DC"/>
    <w:rsid w:val="5C7B25A9"/>
    <w:rsid w:val="5C7C320E"/>
    <w:rsid w:val="5C875FAD"/>
    <w:rsid w:val="5C8B5798"/>
    <w:rsid w:val="5C8D3E67"/>
    <w:rsid w:val="5C922E5E"/>
    <w:rsid w:val="5C9D26FF"/>
    <w:rsid w:val="5CA26790"/>
    <w:rsid w:val="5CA51C02"/>
    <w:rsid w:val="5CAA386D"/>
    <w:rsid w:val="5CB169DD"/>
    <w:rsid w:val="5CBF5BC5"/>
    <w:rsid w:val="5CC10D0D"/>
    <w:rsid w:val="5CC60F7E"/>
    <w:rsid w:val="5CC901CB"/>
    <w:rsid w:val="5CC93458"/>
    <w:rsid w:val="5CCF2EB2"/>
    <w:rsid w:val="5CD23113"/>
    <w:rsid w:val="5CD32EEC"/>
    <w:rsid w:val="5CD46A20"/>
    <w:rsid w:val="5CD7567B"/>
    <w:rsid w:val="5CE2457B"/>
    <w:rsid w:val="5CEC3E0B"/>
    <w:rsid w:val="5CEF7F6C"/>
    <w:rsid w:val="5CF403F3"/>
    <w:rsid w:val="5CF53A3B"/>
    <w:rsid w:val="5CFA2408"/>
    <w:rsid w:val="5CFD7794"/>
    <w:rsid w:val="5CFD7F2E"/>
    <w:rsid w:val="5D0127C9"/>
    <w:rsid w:val="5D02548B"/>
    <w:rsid w:val="5D135A32"/>
    <w:rsid w:val="5D1D48DA"/>
    <w:rsid w:val="5D211A7E"/>
    <w:rsid w:val="5D261B58"/>
    <w:rsid w:val="5D3071C9"/>
    <w:rsid w:val="5D333A77"/>
    <w:rsid w:val="5D4548CC"/>
    <w:rsid w:val="5D483B0C"/>
    <w:rsid w:val="5D594B6B"/>
    <w:rsid w:val="5D597FD2"/>
    <w:rsid w:val="5D5D1E93"/>
    <w:rsid w:val="5D643C55"/>
    <w:rsid w:val="5D6B2420"/>
    <w:rsid w:val="5D6B3434"/>
    <w:rsid w:val="5D6D49F6"/>
    <w:rsid w:val="5D87213E"/>
    <w:rsid w:val="5D97046F"/>
    <w:rsid w:val="5D9D77B0"/>
    <w:rsid w:val="5DAB30CE"/>
    <w:rsid w:val="5DB83F83"/>
    <w:rsid w:val="5DB8772E"/>
    <w:rsid w:val="5DBA3645"/>
    <w:rsid w:val="5DD32A34"/>
    <w:rsid w:val="5DD4037D"/>
    <w:rsid w:val="5DD94665"/>
    <w:rsid w:val="5DDA69E0"/>
    <w:rsid w:val="5DDC5CDC"/>
    <w:rsid w:val="5DE35DB7"/>
    <w:rsid w:val="5DE86843"/>
    <w:rsid w:val="5DF42C27"/>
    <w:rsid w:val="5DFA50BB"/>
    <w:rsid w:val="5DFF02A4"/>
    <w:rsid w:val="5DFF1D51"/>
    <w:rsid w:val="5DFF2F69"/>
    <w:rsid w:val="5E016BF4"/>
    <w:rsid w:val="5E04433E"/>
    <w:rsid w:val="5E0813C5"/>
    <w:rsid w:val="5E0C1B5C"/>
    <w:rsid w:val="5E0C46E1"/>
    <w:rsid w:val="5E0D32AF"/>
    <w:rsid w:val="5E111149"/>
    <w:rsid w:val="5E166B4C"/>
    <w:rsid w:val="5E2467F1"/>
    <w:rsid w:val="5E276A34"/>
    <w:rsid w:val="5E2B3EB6"/>
    <w:rsid w:val="5E340570"/>
    <w:rsid w:val="5E3D0DFE"/>
    <w:rsid w:val="5E3D2503"/>
    <w:rsid w:val="5E456D39"/>
    <w:rsid w:val="5E502124"/>
    <w:rsid w:val="5E542D30"/>
    <w:rsid w:val="5E5D4C34"/>
    <w:rsid w:val="5E6066A8"/>
    <w:rsid w:val="5E6A2CCF"/>
    <w:rsid w:val="5E7153EF"/>
    <w:rsid w:val="5E7533E7"/>
    <w:rsid w:val="5E756369"/>
    <w:rsid w:val="5E7716BE"/>
    <w:rsid w:val="5E815009"/>
    <w:rsid w:val="5E826A9F"/>
    <w:rsid w:val="5E8343A9"/>
    <w:rsid w:val="5E87550F"/>
    <w:rsid w:val="5E905889"/>
    <w:rsid w:val="5E98278B"/>
    <w:rsid w:val="5EA52572"/>
    <w:rsid w:val="5EAF5FE7"/>
    <w:rsid w:val="5EB24A46"/>
    <w:rsid w:val="5EB4425D"/>
    <w:rsid w:val="5EC532F6"/>
    <w:rsid w:val="5ECC7A1C"/>
    <w:rsid w:val="5ECF4FA0"/>
    <w:rsid w:val="5ED04E45"/>
    <w:rsid w:val="5ED17C64"/>
    <w:rsid w:val="5ED257AE"/>
    <w:rsid w:val="5ED55AE9"/>
    <w:rsid w:val="5EE362A7"/>
    <w:rsid w:val="5EF01369"/>
    <w:rsid w:val="5EF21E15"/>
    <w:rsid w:val="5EF377A9"/>
    <w:rsid w:val="5EF552A7"/>
    <w:rsid w:val="5F04373C"/>
    <w:rsid w:val="5F0C439F"/>
    <w:rsid w:val="5F0D3EE6"/>
    <w:rsid w:val="5F177FFF"/>
    <w:rsid w:val="5F1A2B43"/>
    <w:rsid w:val="5F1A5C78"/>
    <w:rsid w:val="5F2256BF"/>
    <w:rsid w:val="5F2707DC"/>
    <w:rsid w:val="5F3859B0"/>
    <w:rsid w:val="5F443784"/>
    <w:rsid w:val="5F447603"/>
    <w:rsid w:val="5F5B29EB"/>
    <w:rsid w:val="5F611AA5"/>
    <w:rsid w:val="5F6368E3"/>
    <w:rsid w:val="5F685C44"/>
    <w:rsid w:val="5F6A0E80"/>
    <w:rsid w:val="5F6E116C"/>
    <w:rsid w:val="5F71408F"/>
    <w:rsid w:val="5F750196"/>
    <w:rsid w:val="5F7B6901"/>
    <w:rsid w:val="5F814D8D"/>
    <w:rsid w:val="5F832C86"/>
    <w:rsid w:val="5F87318A"/>
    <w:rsid w:val="5F884B5A"/>
    <w:rsid w:val="5F8A1E93"/>
    <w:rsid w:val="5F8C35DD"/>
    <w:rsid w:val="5F965203"/>
    <w:rsid w:val="5F9F1A14"/>
    <w:rsid w:val="5FA64912"/>
    <w:rsid w:val="5FA909F9"/>
    <w:rsid w:val="5FAA3286"/>
    <w:rsid w:val="5FB66B9E"/>
    <w:rsid w:val="5FB837BB"/>
    <w:rsid w:val="5FC12B2D"/>
    <w:rsid w:val="5FC13AE7"/>
    <w:rsid w:val="5FC30F01"/>
    <w:rsid w:val="5FC60912"/>
    <w:rsid w:val="5FC907CD"/>
    <w:rsid w:val="5FCB317A"/>
    <w:rsid w:val="5FDB2C4A"/>
    <w:rsid w:val="5FDB5288"/>
    <w:rsid w:val="5FED6CE7"/>
    <w:rsid w:val="5FEF1498"/>
    <w:rsid w:val="5FFB1C40"/>
    <w:rsid w:val="5FFB2CBC"/>
    <w:rsid w:val="60016463"/>
    <w:rsid w:val="60145596"/>
    <w:rsid w:val="601856F1"/>
    <w:rsid w:val="601943AC"/>
    <w:rsid w:val="60227E60"/>
    <w:rsid w:val="602E55A0"/>
    <w:rsid w:val="60341DFF"/>
    <w:rsid w:val="60346C0C"/>
    <w:rsid w:val="6036096D"/>
    <w:rsid w:val="60395692"/>
    <w:rsid w:val="604257B4"/>
    <w:rsid w:val="60477E12"/>
    <w:rsid w:val="604D0AB9"/>
    <w:rsid w:val="604F35E3"/>
    <w:rsid w:val="60535991"/>
    <w:rsid w:val="60535C0C"/>
    <w:rsid w:val="6057198F"/>
    <w:rsid w:val="60673A46"/>
    <w:rsid w:val="60794CA6"/>
    <w:rsid w:val="607B3BB7"/>
    <w:rsid w:val="607C6BE6"/>
    <w:rsid w:val="607D77EB"/>
    <w:rsid w:val="607E01D0"/>
    <w:rsid w:val="608539DA"/>
    <w:rsid w:val="60897E4C"/>
    <w:rsid w:val="608E6C59"/>
    <w:rsid w:val="6093657B"/>
    <w:rsid w:val="60936B26"/>
    <w:rsid w:val="6096333C"/>
    <w:rsid w:val="60964187"/>
    <w:rsid w:val="60B70192"/>
    <w:rsid w:val="60BA391F"/>
    <w:rsid w:val="60BE4EEE"/>
    <w:rsid w:val="60C7100F"/>
    <w:rsid w:val="60CC405A"/>
    <w:rsid w:val="60CF02DD"/>
    <w:rsid w:val="60E0309F"/>
    <w:rsid w:val="60E2792D"/>
    <w:rsid w:val="60E3465E"/>
    <w:rsid w:val="60E90E3C"/>
    <w:rsid w:val="60E97FCD"/>
    <w:rsid w:val="60EC7B20"/>
    <w:rsid w:val="60EE2E61"/>
    <w:rsid w:val="60F06D17"/>
    <w:rsid w:val="60F5326C"/>
    <w:rsid w:val="610B5133"/>
    <w:rsid w:val="611A176F"/>
    <w:rsid w:val="612F3BEF"/>
    <w:rsid w:val="613418A8"/>
    <w:rsid w:val="61363955"/>
    <w:rsid w:val="61390342"/>
    <w:rsid w:val="613D66FF"/>
    <w:rsid w:val="61406582"/>
    <w:rsid w:val="61410E47"/>
    <w:rsid w:val="61416D25"/>
    <w:rsid w:val="61547CF9"/>
    <w:rsid w:val="6158096A"/>
    <w:rsid w:val="61617823"/>
    <w:rsid w:val="616D0E9D"/>
    <w:rsid w:val="61706A1E"/>
    <w:rsid w:val="61800366"/>
    <w:rsid w:val="61833FBC"/>
    <w:rsid w:val="618738F6"/>
    <w:rsid w:val="618A7690"/>
    <w:rsid w:val="61911EB1"/>
    <w:rsid w:val="6192405C"/>
    <w:rsid w:val="61972A84"/>
    <w:rsid w:val="619A1C88"/>
    <w:rsid w:val="619B17BD"/>
    <w:rsid w:val="61A4683F"/>
    <w:rsid w:val="61AD0412"/>
    <w:rsid w:val="61B37352"/>
    <w:rsid w:val="61BB4F49"/>
    <w:rsid w:val="61C251E9"/>
    <w:rsid w:val="61C353DF"/>
    <w:rsid w:val="61C359D6"/>
    <w:rsid w:val="61CB3BDC"/>
    <w:rsid w:val="61D03DA9"/>
    <w:rsid w:val="61DD1340"/>
    <w:rsid w:val="61E215D8"/>
    <w:rsid w:val="61F12FED"/>
    <w:rsid w:val="61F25ADA"/>
    <w:rsid w:val="61F41453"/>
    <w:rsid w:val="62003AFA"/>
    <w:rsid w:val="62030E44"/>
    <w:rsid w:val="62062A9A"/>
    <w:rsid w:val="62097BF3"/>
    <w:rsid w:val="620F6B22"/>
    <w:rsid w:val="62173745"/>
    <w:rsid w:val="62175175"/>
    <w:rsid w:val="621B1E8B"/>
    <w:rsid w:val="621B3775"/>
    <w:rsid w:val="621D2588"/>
    <w:rsid w:val="621E4141"/>
    <w:rsid w:val="6236244C"/>
    <w:rsid w:val="62364782"/>
    <w:rsid w:val="62377595"/>
    <w:rsid w:val="624251A1"/>
    <w:rsid w:val="62466558"/>
    <w:rsid w:val="62475B7E"/>
    <w:rsid w:val="624D0F56"/>
    <w:rsid w:val="62676BD1"/>
    <w:rsid w:val="62682234"/>
    <w:rsid w:val="62760A02"/>
    <w:rsid w:val="627B4E66"/>
    <w:rsid w:val="62835046"/>
    <w:rsid w:val="628B473A"/>
    <w:rsid w:val="628F5897"/>
    <w:rsid w:val="62912F34"/>
    <w:rsid w:val="629C6E78"/>
    <w:rsid w:val="629D1EDE"/>
    <w:rsid w:val="62A51347"/>
    <w:rsid w:val="62A6052E"/>
    <w:rsid w:val="62A96B26"/>
    <w:rsid w:val="62B01484"/>
    <w:rsid w:val="62BF63DA"/>
    <w:rsid w:val="62CA570B"/>
    <w:rsid w:val="62CD303A"/>
    <w:rsid w:val="62CF270E"/>
    <w:rsid w:val="62D064B0"/>
    <w:rsid w:val="62DC3850"/>
    <w:rsid w:val="62DD22DA"/>
    <w:rsid w:val="62DF5186"/>
    <w:rsid w:val="62E01743"/>
    <w:rsid w:val="62E5081C"/>
    <w:rsid w:val="62E52705"/>
    <w:rsid w:val="62F33A4F"/>
    <w:rsid w:val="62F47889"/>
    <w:rsid w:val="62FB0709"/>
    <w:rsid w:val="62FC3643"/>
    <w:rsid w:val="62FC6BB9"/>
    <w:rsid w:val="63043D0B"/>
    <w:rsid w:val="630913E5"/>
    <w:rsid w:val="630B7C80"/>
    <w:rsid w:val="63163A3E"/>
    <w:rsid w:val="631A077F"/>
    <w:rsid w:val="631B0249"/>
    <w:rsid w:val="63247F09"/>
    <w:rsid w:val="63253C81"/>
    <w:rsid w:val="633408DC"/>
    <w:rsid w:val="633B2C98"/>
    <w:rsid w:val="633F4D43"/>
    <w:rsid w:val="634C3904"/>
    <w:rsid w:val="63512CC8"/>
    <w:rsid w:val="635553CF"/>
    <w:rsid w:val="635A4ECB"/>
    <w:rsid w:val="635F44E5"/>
    <w:rsid w:val="636C5AFE"/>
    <w:rsid w:val="636F204A"/>
    <w:rsid w:val="63720CF4"/>
    <w:rsid w:val="63724123"/>
    <w:rsid w:val="637A767D"/>
    <w:rsid w:val="63894210"/>
    <w:rsid w:val="63927568"/>
    <w:rsid w:val="6394356A"/>
    <w:rsid w:val="63946AC8"/>
    <w:rsid w:val="639C5602"/>
    <w:rsid w:val="63A87904"/>
    <w:rsid w:val="63A94EB4"/>
    <w:rsid w:val="63B427F0"/>
    <w:rsid w:val="63B8410E"/>
    <w:rsid w:val="63B91831"/>
    <w:rsid w:val="63C4349A"/>
    <w:rsid w:val="63C61B2C"/>
    <w:rsid w:val="63CE795E"/>
    <w:rsid w:val="63CF256B"/>
    <w:rsid w:val="63D23E00"/>
    <w:rsid w:val="63D40BE9"/>
    <w:rsid w:val="63D71001"/>
    <w:rsid w:val="63D96B56"/>
    <w:rsid w:val="63E2095F"/>
    <w:rsid w:val="63E821A1"/>
    <w:rsid w:val="63EA7014"/>
    <w:rsid w:val="63F2423A"/>
    <w:rsid w:val="63F33ECC"/>
    <w:rsid w:val="63FC70D8"/>
    <w:rsid w:val="640429AC"/>
    <w:rsid w:val="64045705"/>
    <w:rsid w:val="640E5837"/>
    <w:rsid w:val="64102431"/>
    <w:rsid w:val="641066DF"/>
    <w:rsid w:val="64141D17"/>
    <w:rsid w:val="64151D68"/>
    <w:rsid w:val="64174C6F"/>
    <w:rsid w:val="6418628B"/>
    <w:rsid w:val="641C6E32"/>
    <w:rsid w:val="64236413"/>
    <w:rsid w:val="6424127A"/>
    <w:rsid w:val="64250F8F"/>
    <w:rsid w:val="64252666"/>
    <w:rsid w:val="642E76C5"/>
    <w:rsid w:val="642F56C9"/>
    <w:rsid w:val="643259B3"/>
    <w:rsid w:val="643423CE"/>
    <w:rsid w:val="64354398"/>
    <w:rsid w:val="643C5246"/>
    <w:rsid w:val="643E6FD2"/>
    <w:rsid w:val="643F1B8B"/>
    <w:rsid w:val="644D2CAC"/>
    <w:rsid w:val="644F75B8"/>
    <w:rsid w:val="645C294D"/>
    <w:rsid w:val="646312E2"/>
    <w:rsid w:val="6467125F"/>
    <w:rsid w:val="64694017"/>
    <w:rsid w:val="646C2874"/>
    <w:rsid w:val="646E5A69"/>
    <w:rsid w:val="647B7AA4"/>
    <w:rsid w:val="64826B27"/>
    <w:rsid w:val="64870017"/>
    <w:rsid w:val="648C00C9"/>
    <w:rsid w:val="6497083D"/>
    <w:rsid w:val="64981F7B"/>
    <w:rsid w:val="649875E4"/>
    <w:rsid w:val="64A5243A"/>
    <w:rsid w:val="64A80C3F"/>
    <w:rsid w:val="64BA69E2"/>
    <w:rsid w:val="64C45DDD"/>
    <w:rsid w:val="64CC609E"/>
    <w:rsid w:val="64CC7469"/>
    <w:rsid w:val="64D544D5"/>
    <w:rsid w:val="64D968C1"/>
    <w:rsid w:val="64DA1240"/>
    <w:rsid w:val="64DC71AB"/>
    <w:rsid w:val="64DD41BA"/>
    <w:rsid w:val="64E21E2A"/>
    <w:rsid w:val="64E76E8A"/>
    <w:rsid w:val="64EA6F30"/>
    <w:rsid w:val="64EE23E0"/>
    <w:rsid w:val="64F531DE"/>
    <w:rsid w:val="64F91A01"/>
    <w:rsid w:val="64FA1F03"/>
    <w:rsid w:val="64FC7458"/>
    <w:rsid w:val="65011B5C"/>
    <w:rsid w:val="650976F3"/>
    <w:rsid w:val="6517762A"/>
    <w:rsid w:val="651C06C5"/>
    <w:rsid w:val="652117EF"/>
    <w:rsid w:val="6525440C"/>
    <w:rsid w:val="652C26BF"/>
    <w:rsid w:val="65336861"/>
    <w:rsid w:val="6536220B"/>
    <w:rsid w:val="65373578"/>
    <w:rsid w:val="65377508"/>
    <w:rsid w:val="653D091F"/>
    <w:rsid w:val="654725D5"/>
    <w:rsid w:val="654A5BC0"/>
    <w:rsid w:val="654C3961"/>
    <w:rsid w:val="654E4FD6"/>
    <w:rsid w:val="65515201"/>
    <w:rsid w:val="655D63CF"/>
    <w:rsid w:val="656B0D91"/>
    <w:rsid w:val="656C5B97"/>
    <w:rsid w:val="656C745D"/>
    <w:rsid w:val="657C37E3"/>
    <w:rsid w:val="657D1D81"/>
    <w:rsid w:val="657D5FF6"/>
    <w:rsid w:val="65802FBB"/>
    <w:rsid w:val="65813F18"/>
    <w:rsid w:val="65857B28"/>
    <w:rsid w:val="658837CD"/>
    <w:rsid w:val="658B4D7F"/>
    <w:rsid w:val="658E5169"/>
    <w:rsid w:val="658E6ABE"/>
    <w:rsid w:val="658F6743"/>
    <w:rsid w:val="65995BFC"/>
    <w:rsid w:val="659A4903"/>
    <w:rsid w:val="659B7441"/>
    <w:rsid w:val="65A90B99"/>
    <w:rsid w:val="65A94123"/>
    <w:rsid w:val="65B239E3"/>
    <w:rsid w:val="65B57E30"/>
    <w:rsid w:val="65B72C1F"/>
    <w:rsid w:val="65CB0A0B"/>
    <w:rsid w:val="65CE70EA"/>
    <w:rsid w:val="65D25024"/>
    <w:rsid w:val="65D84AE9"/>
    <w:rsid w:val="65DA67C6"/>
    <w:rsid w:val="65DB305E"/>
    <w:rsid w:val="65DC663B"/>
    <w:rsid w:val="65E81AE8"/>
    <w:rsid w:val="65E925F1"/>
    <w:rsid w:val="65ED31D2"/>
    <w:rsid w:val="65EE2A50"/>
    <w:rsid w:val="65EF58F5"/>
    <w:rsid w:val="65F712EC"/>
    <w:rsid w:val="66042274"/>
    <w:rsid w:val="660A376D"/>
    <w:rsid w:val="660C4D63"/>
    <w:rsid w:val="66174A0D"/>
    <w:rsid w:val="66217C42"/>
    <w:rsid w:val="663740A8"/>
    <w:rsid w:val="663C1A0D"/>
    <w:rsid w:val="66447588"/>
    <w:rsid w:val="66585336"/>
    <w:rsid w:val="6659497C"/>
    <w:rsid w:val="665A078F"/>
    <w:rsid w:val="66751025"/>
    <w:rsid w:val="6676663B"/>
    <w:rsid w:val="66781596"/>
    <w:rsid w:val="668A09CB"/>
    <w:rsid w:val="668A19AF"/>
    <w:rsid w:val="668A74A8"/>
    <w:rsid w:val="668C57B0"/>
    <w:rsid w:val="668D6370"/>
    <w:rsid w:val="668F69C2"/>
    <w:rsid w:val="669D2B57"/>
    <w:rsid w:val="669F3827"/>
    <w:rsid w:val="66AC5040"/>
    <w:rsid w:val="66BC413E"/>
    <w:rsid w:val="66BC4B2A"/>
    <w:rsid w:val="66C7749E"/>
    <w:rsid w:val="66CC54E0"/>
    <w:rsid w:val="66CF0357"/>
    <w:rsid w:val="66D67D9D"/>
    <w:rsid w:val="66F26D0A"/>
    <w:rsid w:val="66FA46C6"/>
    <w:rsid w:val="67017645"/>
    <w:rsid w:val="670C71FD"/>
    <w:rsid w:val="670D5DB4"/>
    <w:rsid w:val="671A577C"/>
    <w:rsid w:val="671F124A"/>
    <w:rsid w:val="672D2226"/>
    <w:rsid w:val="673A14E3"/>
    <w:rsid w:val="673A5F49"/>
    <w:rsid w:val="674C1A45"/>
    <w:rsid w:val="674C5C80"/>
    <w:rsid w:val="674E19F8"/>
    <w:rsid w:val="674E6C15"/>
    <w:rsid w:val="6754208A"/>
    <w:rsid w:val="675B1ACF"/>
    <w:rsid w:val="675D00B6"/>
    <w:rsid w:val="676246AE"/>
    <w:rsid w:val="67634D4B"/>
    <w:rsid w:val="67676593"/>
    <w:rsid w:val="67724BDF"/>
    <w:rsid w:val="677A33C6"/>
    <w:rsid w:val="677B0314"/>
    <w:rsid w:val="677C48F4"/>
    <w:rsid w:val="67843B07"/>
    <w:rsid w:val="678E2A48"/>
    <w:rsid w:val="67992964"/>
    <w:rsid w:val="67B51A77"/>
    <w:rsid w:val="67BE2FE4"/>
    <w:rsid w:val="67C27CF0"/>
    <w:rsid w:val="67CA3409"/>
    <w:rsid w:val="67CB157C"/>
    <w:rsid w:val="67CF45E9"/>
    <w:rsid w:val="67D1154A"/>
    <w:rsid w:val="67D26E93"/>
    <w:rsid w:val="67D50F67"/>
    <w:rsid w:val="67D70575"/>
    <w:rsid w:val="67D92BC6"/>
    <w:rsid w:val="67DA0E8E"/>
    <w:rsid w:val="67DF1992"/>
    <w:rsid w:val="67E704B4"/>
    <w:rsid w:val="67F02C8E"/>
    <w:rsid w:val="67F0755C"/>
    <w:rsid w:val="67F51A64"/>
    <w:rsid w:val="67F66A9F"/>
    <w:rsid w:val="67FE10BC"/>
    <w:rsid w:val="680A7F2A"/>
    <w:rsid w:val="680C7548"/>
    <w:rsid w:val="680E1188"/>
    <w:rsid w:val="680E41E5"/>
    <w:rsid w:val="68121C71"/>
    <w:rsid w:val="681F6961"/>
    <w:rsid w:val="68200DCB"/>
    <w:rsid w:val="68205AFC"/>
    <w:rsid w:val="6822377C"/>
    <w:rsid w:val="682F7254"/>
    <w:rsid w:val="68430A6E"/>
    <w:rsid w:val="684520F7"/>
    <w:rsid w:val="68464DC5"/>
    <w:rsid w:val="68484D1D"/>
    <w:rsid w:val="68580655"/>
    <w:rsid w:val="68610A2F"/>
    <w:rsid w:val="68633281"/>
    <w:rsid w:val="686A565D"/>
    <w:rsid w:val="68711094"/>
    <w:rsid w:val="68753131"/>
    <w:rsid w:val="68772958"/>
    <w:rsid w:val="68781FDE"/>
    <w:rsid w:val="68805514"/>
    <w:rsid w:val="688746A7"/>
    <w:rsid w:val="688A26EF"/>
    <w:rsid w:val="688A6E31"/>
    <w:rsid w:val="688E6DD1"/>
    <w:rsid w:val="688F1EF2"/>
    <w:rsid w:val="68934FFB"/>
    <w:rsid w:val="6899658E"/>
    <w:rsid w:val="689C536A"/>
    <w:rsid w:val="689D1CD3"/>
    <w:rsid w:val="68A31244"/>
    <w:rsid w:val="68AE5BC0"/>
    <w:rsid w:val="68AF79BA"/>
    <w:rsid w:val="68B23032"/>
    <w:rsid w:val="68B7181F"/>
    <w:rsid w:val="68BF3BE6"/>
    <w:rsid w:val="68C115DC"/>
    <w:rsid w:val="68CB3DA3"/>
    <w:rsid w:val="68D317F3"/>
    <w:rsid w:val="68D35902"/>
    <w:rsid w:val="68D60063"/>
    <w:rsid w:val="68D847A2"/>
    <w:rsid w:val="68DD1DB8"/>
    <w:rsid w:val="68E84E97"/>
    <w:rsid w:val="68EE0100"/>
    <w:rsid w:val="68F864AB"/>
    <w:rsid w:val="68F908A3"/>
    <w:rsid w:val="68F96EBD"/>
    <w:rsid w:val="69012A9A"/>
    <w:rsid w:val="690347A6"/>
    <w:rsid w:val="690610B6"/>
    <w:rsid w:val="690E482D"/>
    <w:rsid w:val="69104359"/>
    <w:rsid w:val="69104B5A"/>
    <w:rsid w:val="691E22E1"/>
    <w:rsid w:val="692207BE"/>
    <w:rsid w:val="69261942"/>
    <w:rsid w:val="69272501"/>
    <w:rsid w:val="692A33A3"/>
    <w:rsid w:val="692A3EFF"/>
    <w:rsid w:val="69316E2F"/>
    <w:rsid w:val="6934031A"/>
    <w:rsid w:val="69360DC7"/>
    <w:rsid w:val="693669C7"/>
    <w:rsid w:val="693F30F5"/>
    <w:rsid w:val="69472321"/>
    <w:rsid w:val="694E2071"/>
    <w:rsid w:val="694E356F"/>
    <w:rsid w:val="69556727"/>
    <w:rsid w:val="695D5978"/>
    <w:rsid w:val="695E4984"/>
    <w:rsid w:val="69622D82"/>
    <w:rsid w:val="69675CC8"/>
    <w:rsid w:val="69707435"/>
    <w:rsid w:val="6975046B"/>
    <w:rsid w:val="69766163"/>
    <w:rsid w:val="697A3B33"/>
    <w:rsid w:val="698735C3"/>
    <w:rsid w:val="698C2F29"/>
    <w:rsid w:val="69922EC4"/>
    <w:rsid w:val="69923800"/>
    <w:rsid w:val="69965002"/>
    <w:rsid w:val="69992CD3"/>
    <w:rsid w:val="699A07CD"/>
    <w:rsid w:val="699B4AC3"/>
    <w:rsid w:val="69A15116"/>
    <w:rsid w:val="69A36A1D"/>
    <w:rsid w:val="69A5394E"/>
    <w:rsid w:val="69A66AAD"/>
    <w:rsid w:val="69AB5062"/>
    <w:rsid w:val="69AF16C0"/>
    <w:rsid w:val="69B63489"/>
    <w:rsid w:val="69C3383D"/>
    <w:rsid w:val="69C34C88"/>
    <w:rsid w:val="69C41193"/>
    <w:rsid w:val="69C66342"/>
    <w:rsid w:val="69CD6ECC"/>
    <w:rsid w:val="69D1108A"/>
    <w:rsid w:val="69D44760"/>
    <w:rsid w:val="69D831FE"/>
    <w:rsid w:val="69DB4A3D"/>
    <w:rsid w:val="69DC1A5C"/>
    <w:rsid w:val="69DC60C1"/>
    <w:rsid w:val="69EC4CAB"/>
    <w:rsid w:val="69EE7A6D"/>
    <w:rsid w:val="69F128DB"/>
    <w:rsid w:val="6A0A0D00"/>
    <w:rsid w:val="6A137F53"/>
    <w:rsid w:val="6A193EAF"/>
    <w:rsid w:val="6A1D04A6"/>
    <w:rsid w:val="6A1D4FA7"/>
    <w:rsid w:val="6A2276DF"/>
    <w:rsid w:val="6A2674F0"/>
    <w:rsid w:val="6A3738C6"/>
    <w:rsid w:val="6A3E0FA0"/>
    <w:rsid w:val="6A4C5184"/>
    <w:rsid w:val="6A4C5F97"/>
    <w:rsid w:val="6A4F6698"/>
    <w:rsid w:val="6A520EC7"/>
    <w:rsid w:val="6A535DFC"/>
    <w:rsid w:val="6A725E38"/>
    <w:rsid w:val="6A755B2C"/>
    <w:rsid w:val="6A774CED"/>
    <w:rsid w:val="6A9760A8"/>
    <w:rsid w:val="6A9D187A"/>
    <w:rsid w:val="6A9F3684"/>
    <w:rsid w:val="6A9F4E4B"/>
    <w:rsid w:val="6AB9362D"/>
    <w:rsid w:val="6AB97AD1"/>
    <w:rsid w:val="6AC3761A"/>
    <w:rsid w:val="6AC8086B"/>
    <w:rsid w:val="6ACC03FA"/>
    <w:rsid w:val="6AD04EEF"/>
    <w:rsid w:val="6AD4151B"/>
    <w:rsid w:val="6AE22119"/>
    <w:rsid w:val="6AE26224"/>
    <w:rsid w:val="6AF34A52"/>
    <w:rsid w:val="6AF6421C"/>
    <w:rsid w:val="6AF87E20"/>
    <w:rsid w:val="6AFC7B7C"/>
    <w:rsid w:val="6AFF7A71"/>
    <w:rsid w:val="6B012E05"/>
    <w:rsid w:val="6B014699"/>
    <w:rsid w:val="6B03029C"/>
    <w:rsid w:val="6B0F5E7B"/>
    <w:rsid w:val="6B140163"/>
    <w:rsid w:val="6B1B05AC"/>
    <w:rsid w:val="6B2129B0"/>
    <w:rsid w:val="6B245AEC"/>
    <w:rsid w:val="6B296AAC"/>
    <w:rsid w:val="6B2974EE"/>
    <w:rsid w:val="6B2B1010"/>
    <w:rsid w:val="6B2D2F19"/>
    <w:rsid w:val="6B322639"/>
    <w:rsid w:val="6B332CDE"/>
    <w:rsid w:val="6B3378BD"/>
    <w:rsid w:val="6B391268"/>
    <w:rsid w:val="6B3C2A97"/>
    <w:rsid w:val="6B3D4958"/>
    <w:rsid w:val="6B4C7E72"/>
    <w:rsid w:val="6B5B14B6"/>
    <w:rsid w:val="6B5C63FE"/>
    <w:rsid w:val="6B686A8A"/>
    <w:rsid w:val="6B6B03EA"/>
    <w:rsid w:val="6B6C4B43"/>
    <w:rsid w:val="6B6D1E0F"/>
    <w:rsid w:val="6B6F018F"/>
    <w:rsid w:val="6B6F4E82"/>
    <w:rsid w:val="6B6F78E7"/>
    <w:rsid w:val="6B703BBE"/>
    <w:rsid w:val="6B7834E8"/>
    <w:rsid w:val="6B7A2906"/>
    <w:rsid w:val="6B7F12F7"/>
    <w:rsid w:val="6B8137BE"/>
    <w:rsid w:val="6B8D2C19"/>
    <w:rsid w:val="6B8F2421"/>
    <w:rsid w:val="6B9B4DED"/>
    <w:rsid w:val="6B9C3CB7"/>
    <w:rsid w:val="6BA85024"/>
    <w:rsid w:val="6BAB49B0"/>
    <w:rsid w:val="6BAC0503"/>
    <w:rsid w:val="6BB17A6D"/>
    <w:rsid w:val="6BB21F42"/>
    <w:rsid w:val="6BB96542"/>
    <w:rsid w:val="6BBC7719"/>
    <w:rsid w:val="6BC874AA"/>
    <w:rsid w:val="6BD21AF4"/>
    <w:rsid w:val="6BDA1B01"/>
    <w:rsid w:val="6BDB3A77"/>
    <w:rsid w:val="6BF14D2F"/>
    <w:rsid w:val="6BF5703C"/>
    <w:rsid w:val="6BF659A0"/>
    <w:rsid w:val="6BF81768"/>
    <w:rsid w:val="6BFB5E4D"/>
    <w:rsid w:val="6BFD01B4"/>
    <w:rsid w:val="6BFE2634"/>
    <w:rsid w:val="6C150D37"/>
    <w:rsid w:val="6C16087A"/>
    <w:rsid w:val="6C240F7A"/>
    <w:rsid w:val="6C385ECE"/>
    <w:rsid w:val="6C3F5D14"/>
    <w:rsid w:val="6C4E4660"/>
    <w:rsid w:val="6C520D5F"/>
    <w:rsid w:val="6C636C38"/>
    <w:rsid w:val="6C657ECA"/>
    <w:rsid w:val="6C727C55"/>
    <w:rsid w:val="6C7C1950"/>
    <w:rsid w:val="6C891725"/>
    <w:rsid w:val="6C931419"/>
    <w:rsid w:val="6C936749"/>
    <w:rsid w:val="6C9472C6"/>
    <w:rsid w:val="6C9C582F"/>
    <w:rsid w:val="6C9C7E18"/>
    <w:rsid w:val="6C9D3C7E"/>
    <w:rsid w:val="6C9F1FDB"/>
    <w:rsid w:val="6CAA0E04"/>
    <w:rsid w:val="6CBF2F18"/>
    <w:rsid w:val="6CC32850"/>
    <w:rsid w:val="6CC6105A"/>
    <w:rsid w:val="6CD10828"/>
    <w:rsid w:val="6CD24E7A"/>
    <w:rsid w:val="6CD836FA"/>
    <w:rsid w:val="6CDA2519"/>
    <w:rsid w:val="6CE63AB3"/>
    <w:rsid w:val="6CEB5B2B"/>
    <w:rsid w:val="6CF30226"/>
    <w:rsid w:val="6CF87FC7"/>
    <w:rsid w:val="6CFD6537"/>
    <w:rsid w:val="6CFE3BFF"/>
    <w:rsid w:val="6D062D75"/>
    <w:rsid w:val="6D19179A"/>
    <w:rsid w:val="6D1B78FA"/>
    <w:rsid w:val="6D1E1E6D"/>
    <w:rsid w:val="6D34562C"/>
    <w:rsid w:val="6D415642"/>
    <w:rsid w:val="6D501887"/>
    <w:rsid w:val="6D511D23"/>
    <w:rsid w:val="6D516FDE"/>
    <w:rsid w:val="6D533DAC"/>
    <w:rsid w:val="6D5B2C8B"/>
    <w:rsid w:val="6D5E5F2E"/>
    <w:rsid w:val="6D607A53"/>
    <w:rsid w:val="6D6A50B2"/>
    <w:rsid w:val="6D6F6CDC"/>
    <w:rsid w:val="6D710D68"/>
    <w:rsid w:val="6D7F195D"/>
    <w:rsid w:val="6D837F22"/>
    <w:rsid w:val="6D847184"/>
    <w:rsid w:val="6D85704D"/>
    <w:rsid w:val="6D90257B"/>
    <w:rsid w:val="6D964D60"/>
    <w:rsid w:val="6D9E494A"/>
    <w:rsid w:val="6D9F097F"/>
    <w:rsid w:val="6DA110F6"/>
    <w:rsid w:val="6DA85BDA"/>
    <w:rsid w:val="6DA91CD1"/>
    <w:rsid w:val="6DAC56CB"/>
    <w:rsid w:val="6DAD4F9F"/>
    <w:rsid w:val="6DAF0D17"/>
    <w:rsid w:val="6DB34098"/>
    <w:rsid w:val="6DB3420C"/>
    <w:rsid w:val="6DB545B6"/>
    <w:rsid w:val="6DB80747"/>
    <w:rsid w:val="6DBC15EC"/>
    <w:rsid w:val="6DBD4837"/>
    <w:rsid w:val="6DC560A7"/>
    <w:rsid w:val="6DC5688E"/>
    <w:rsid w:val="6DC82C9A"/>
    <w:rsid w:val="6DCA3DA3"/>
    <w:rsid w:val="6DCD6957"/>
    <w:rsid w:val="6DD7001C"/>
    <w:rsid w:val="6DE02FB4"/>
    <w:rsid w:val="6DE5110F"/>
    <w:rsid w:val="6DF350A8"/>
    <w:rsid w:val="6DF7610D"/>
    <w:rsid w:val="6DF8648C"/>
    <w:rsid w:val="6DFB7A58"/>
    <w:rsid w:val="6DFF7A3B"/>
    <w:rsid w:val="6E0752F8"/>
    <w:rsid w:val="6E0A7CD3"/>
    <w:rsid w:val="6E0B2D4F"/>
    <w:rsid w:val="6E1A0D08"/>
    <w:rsid w:val="6E1A742F"/>
    <w:rsid w:val="6E1C19DD"/>
    <w:rsid w:val="6E3360AE"/>
    <w:rsid w:val="6E386584"/>
    <w:rsid w:val="6E3B22FD"/>
    <w:rsid w:val="6E4071AA"/>
    <w:rsid w:val="6E4841D6"/>
    <w:rsid w:val="6E514CED"/>
    <w:rsid w:val="6E521D99"/>
    <w:rsid w:val="6E607C9C"/>
    <w:rsid w:val="6E646100"/>
    <w:rsid w:val="6E66630F"/>
    <w:rsid w:val="6E696A0C"/>
    <w:rsid w:val="6E6F23C3"/>
    <w:rsid w:val="6E7F15F4"/>
    <w:rsid w:val="6E852A31"/>
    <w:rsid w:val="6E9A1F97"/>
    <w:rsid w:val="6E9B6DA2"/>
    <w:rsid w:val="6EA24066"/>
    <w:rsid w:val="6EA360BD"/>
    <w:rsid w:val="6EA81932"/>
    <w:rsid w:val="6EB563D5"/>
    <w:rsid w:val="6EBB6DEB"/>
    <w:rsid w:val="6EBD2E38"/>
    <w:rsid w:val="6EC12710"/>
    <w:rsid w:val="6EC41F7C"/>
    <w:rsid w:val="6ECA06FE"/>
    <w:rsid w:val="6ED22295"/>
    <w:rsid w:val="6ED53DD8"/>
    <w:rsid w:val="6ED80552"/>
    <w:rsid w:val="6ED917C9"/>
    <w:rsid w:val="6ED92677"/>
    <w:rsid w:val="6EE36E94"/>
    <w:rsid w:val="6EE40E94"/>
    <w:rsid w:val="6EE60984"/>
    <w:rsid w:val="6EEC2F2D"/>
    <w:rsid w:val="6EF56BFD"/>
    <w:rsid w:val="6F010714"/>
    <w:rsid w:val="6F053711"/>
    <w:rsid w:val="6F103CF4"/>
    <w:rsid w:val="6F166CB7"/>
    <w:rsid w:val="6F1A349B"/>
    <w:rsid w:val="6F2029FB"/>
    <w:rsid w:val="6F211BCA"/>
    <w:rsid w:val="6F225983"/>
    <w:rsid w:val="6F2718E5"/>
    <w:rsid w:val="6F335E1D"/>
    <w:rsid w:val="6F3374F5"/>
    <w:rsid w:val="6F344886"/>
    <w:rsid w:val="6F3B1A8C"/>
    <w:rsid w:val="6F3C41C4"/>
    <w:rsid w:val="6F3E3021"/>
    <w:rsid w:val="6F3F5896"/>
    <w:rsid w:val="6F412BEE"/>
    <w:rsid w:val="6F445455"/>
    <w:rsid w:val="6F4850A6"/>
    <w:rsid w:val="6F496C8C"/>
    <w:rsid w:val="6F4D014A"/>
    <w:rsid w:val="6F516A80"/>
    <w:rsid w:val="6F534FBD"/>
    <w:rsid w:val="6F6A5E00"/>
    <w:rsid w:val="6F721A26"/>
    <w:rsid w:val="6F7306EB"/>
    <w:rsid w:val="6F7C5154"/>
    <w:rsid w:val="6F854425"/>
    <w:rsid w:val="6F871F4B"/>
    <w:rsid w:val="6F987AD2"/>
    <w:rsid w:val="6F9925FC"/>
    <w:rsid w:val="6F997ED1"/>
    <w:rsid w:val="6FA36815"/>
    <w:rsid w:val="6FA40B19"/>
    <w:rsid w:val="6FB351B7"/>
    <w:rsid w:val="6FB50F22"/>
    <w:rsid w:val="6FB63547"/>
    <w:rsid w:val="6FBC6B1C"/>
    <w:rsid w:val="6FD05919"/>
    <w:rsid w:val="6FD10B45"/>
    <w:rsid w:val="6FD9207B"/>
    <w:rsid w:val="6FE01DB0"/>
    <w:rsid w:val="6FED06BB"/>
    <w:rsid w:val="6FF63FFF"/>
    <w:rsid w:val="6FF90BB3"/>
    <w:rsid w:val="6FFC5590"/>
    <w:rsid w:val="6FFF580B"/>
    <w:rsid w:val="70021484"/>
    <w:rsid w:val="700657CD"/>
    <w:rsid w:val="70071300"/>
    <w:rsid w:val="70111B76"/>
    <w:rsid w:val="701676F6"/>
    <w:rsid w:val="701B0935"/>
    <w:rsid w:val="701B1C74"/>
    <w:rsid w:val="701C7BA1"/>
    <w:rsid w:val="701D01BA"/>
    <w:rsid w:val="702227CB"/>
    <w:rsid w:val="702B7BA0"/>
    <w:rsid w:val="702D1108"/>
    <w:rsid w:val="70313C65"/>
    <w:rsid w:val="703A3B2D"/>
    <w:rsid w:val="70457711"/>
    <w:rsid w:val="704901F5"/>
    <w:rsid w:val="704A4E5E"/>
    <w:rsid w:val="70587444"/>
    <w:rsid w:val="705A3B96"/>
    <w:rsid w:val="705A5E13"/>
    <w:rsid w:val="705B6ACD"/>
    <w:rsid w:val="706B427C"/>
    <w:rsid w:val="706D1DD0"/>
    <w:rsid w:val="707372A5"/>
    <w:rsid w:val="707E0599"/>
    <w:rsid w:val="70836361"/>
    <w:rsid w:val="70852757"/>
    <w:rsid w:val="70856B87"/>
    <w:rsid w:val="7085717D"/>
    <w:rsid w:val="70862203"/>
    <w:rsid w:val="708B79A9"/>
    <w:rsid w:val="708D5FE4"/>
    <w:rsid w:val="708F5292"/>
    <w:rsid w:val="709A3F00"/>
    <w:rsid w:val="709B1BB4"/>
    <w:rsid w:val="709B585E"/>
    <w:rsid w:val="70A02AD4"/>
    <w:rsid w:val="70A22CEB"/>
    <w:rsid w:val="70A26911"/>
    <w:rsid w:val="70A43A3C"/>
    <w:rsid w:val="70A57637"/>
    <w:rsid w:val="70A628A5"/>
    <w:rsid w:val="70A97C9F"/>
    <w:rsid w:val="70AD4428"/>
    <w:rsid w:val="70BF5715"/>
    <w:rsid w:val="70C476B5"/>
    <w:rsid w:val="70C72DED"/>
    <w:rsid w:val="70CB76D8"/>
    <w:rsid w:val="70D07922"/>
    <w:rsid w:val="70D527EE"/>
    <w:rsid w:val="70E06D52"/>
    <w:rsid w:val="70EE5FFA"/>
    <w:rsid w:val="70FB773A"/>
    <w:rsid w:val="70FF1A7E"/>
    <w:rsid w:val="70FF1B95"/>
    <w:rsid w:val="7108530A"/>
    <w:rsid w:val="7109146B"/>
    <w:rsid w:val="710A2D65"/>
    <w:rsid w:val="710B2212"/>
    <w:rsid w:val="71117357"/>
    <w:rsid w:val="711A6BA7"/>
    <w:rsid w:val="711F63F1"/>
    <w:rsid w:val="71235526"/>
    <w:rsid w:val="71253DAD"/>
    <w:rsid w:val="7126612A"/>
    <w:rsid w:val="713003C1"/>
    <w:rsid w:val="71343C3C"/>
    <w:rsid w:val="71362370"/>
    <w:rsid w:val="713B2B0B"/>
    <w:rsid w:val="71424DDB"/>
    <w:rsid w:val="7151759A"/>
    <w:rsid w:val="71557E27"/>
    <w:rsid w:val="715B1366"/>
    <w:rsid w:val="715B5300"/>
    <w:rsid w:val="71651FCA"/>
    <w:rsid w:val="71656E59"/>
    <w:rsid w:val="71705464"/>
    <w:rsid w:val="71717835"/>
    <w:rsid w:val="71725481"/>
    <w:rsid w:val="717958C4"/>
    <w:rsid w:val="717A2F46"/>
    <w:rsid w:val="717D3483"/>
    <w:rsid w:val="717E112C"/>
    <w:rsid w:val="71866233"/>
    <w:rsid w:val="718801FD"/>
    <w:rsid w:val="71884DC5"/>
    <w:rsid w:val="718857DC"/>
    <w:rsid w:val="719171AE"/>
    <w:rsid w:val="719C1D81"/>
    <w:rsid w:val="71A8258A"/>
    <w:rsid w:val="71AB3F8D"/>
    <w:rsid w:val="71AF62A4"/>
    <w:rsid w:val="71B11502"/>
    <w:rsid w:val="71B247A1"/>
    <w:rsid w:val="71B44E0F"/>
    <w:rsid w:val="71B45DC9"/>
    <w:rsid w:val="71B92946"/>
    <w:rsid w:val="71C34C94"/>
    <w:rsid w:val="71C446AB"/>
    <w:rsid w:val="71CD0A4E"/>
    <w:rsid w:val="71CF2F56"/>
    <w:rsid w:val="71D27F8A"/>
    <w:rsid w:val="71D9528A"/>
    <w:rsid w:val="71D97C23"/>
    <w:rsid w:val="71E23D6F"/>
    <w:rsid w:val="71E64D59"/>
    <w:rsid w:val="71E731EF"/>
    <w:rsid w:val="71E8306A"/>
    <w:rsid w:val="71F13FFC"/>
    <w:rsid w:val="71F90B94"/>
    <w:rsid w:val="71F919B0"/>
    <w:rsid w:val="71FD64F5"/>
    <w:rsid w:val="71FE4472"/>
    <w:rsid w:val="7205184D"/>
    <w:rsid w:val="72052295"/>
    <w:rsid w:val="7205464F"/>
    <w:rsid w:val="72070CBC"/>
    <w:rsid w:val="72111FA0"/>
    <w:rsid w:val="72135FFD"/>
    <w:rsid w:val="7214383E"/>
    <w:rsid w:val="721B0970"/>
    <w:rsid w:val="72201112"/>
    <w:rsid w:val="72221DAC"/>
    <w:rsid w:val="72227A0E"/>
    <w:rsid w:val="722D2DBD"/>
    <w:rsid w:val="722D7BF3"/>
    <w:rsid w:val="7231763A"/>
    <w:rsid w:val="72353457"/>
    <w:rsid w:val="723622BA"/>
    <w:rsid w:val="723C3945"/>
    <w:rsid w:val="724103AC"/>
    <w:rsid w:val="724D788B"/>
    <w:rsid w:val="72504EAF"/>
    <w:rsid w:val="72553024"/>
    <w:rsid w:val="72563E89"/>
    <w:rsid w:val="725670AA"/>
    <w:rsid w:val="725A2630"/>
    <w:rsid w:val="72655D53"/>
    <w:rsid w:val="72684572"/>
    <w:rsid w:val="727302B3"/>
    <w:rsid w:val="72791969"/>
    <w:rsid w:val="727C14DD"/>
    <w:rsid w:val="727D63D7"/>
    <w:rsid w:val="727D66B0"/>
    <w:rsid w:val="727F53C5"/>
    <w:rsid w:val="728308F0"/>
    <w:rsid w:val="7285634C"/>
    <w:rsid w:val="72866EC3"/>
    <w:rsid w:val="72897D89"/>
    <w:rsid w:val="728D3997"/>
    <w:rsid w:val="72957659"/>
    <w:rsid w:val="72967519"/>
    <w:rsid w:val="729A2E19"/>
    <w:rsid w:val="729D0D9E"/>
    <w:rsid w:val="72A97D1E"/>
    <w:rsid w:val="72AC4572"/>
    <w:rsid w:val="72B27BD3"/>
    <w:rsid w:val="72C9287B"/>
    <w:rsid w:val="72D07765"/>
    <w:rsid w:val="72DA1696"/>
    <w:rsid w:val="72DA6670"/>
    <w:rsid w:val="72DF3D15"/>
    <w:rsid w:val="72E207A3"/>
    <w:rsid w:val="72E2083D"/>
    <w:rsid w:val="72E63993"/>
    <w:rsid w:val="72F07E08"/>
    <w:rsid w:val="72F83963"/>
    <w:rsid w:val="72FB64EF"/>
    <w:rsid w:val="73040A5D"/>
    <w:rsid w:val="730930F4"/>
    <w:rsid w:val="730F7253"/>
    <w:rsid w:val="73122968"/>
    <w:rsid w:val="7313085E"/>
    <w:rsid w:val="7317482E"/>
    <w:rsid w:val="731B453E"/>
    <w:rsid w:val="731F5D5E"/>
    <w:rsid w:val="73313266"/>
    <w:rsid w:val="733927C4"/>
    <w:rsid w:val="733B4E26"/>
    <w:rsid w:val="73413BFB"/>
    <w:rsid w:val="7343454A"/>
    <w:rsid w:val="73534F02"/>
    <w:rsid w:val="735B4137"/>
    <w:rsid w:val="737511F7"/>
    <w:rsid w:val="73756ED0"/>
    <w:rsid w:val="7376262B"/>
    <w:rsid w:val="737771CA"/>
    <w:rsid w:val="738A1868"/>
    <w:rsid w:val="738C33D8"/>
    <w:rsid w:val="739850DC"/>
    <w:rsid w:val="739A7D73"/>
    <w:rsid w:val="73A54D19"/>
    <w:rsid w:val="73A65EFF"/>
    <w:rsid w:val="73AF7CC3"/>
    <w:rsid w:val="73B01CAE"/>
    <w:rsid w:val="73B161DC"/>
    <w:rsid w:val="73B41CF1"/>
    <w:rsid w:val="73BA2B42"/>
    <w:rsid w:val="73C51AD5"/>
    <w:rsid w:val="73CF58CD"/>
    <w:rsid w:val="73D35069"/>
    <w:rsid w:val="73D57CFC"/>
    <w:rsid w:val="73D72D76"/>
    <w:rsid w:val="73ED2641"/>
    <w:rsid w:val="73EE3F0D"/>
    <w:rsid w:val="73F10723"/>
    <w:rsid w:val="73F34460"/>
    <w:rsid w:val="73F51C56"/>
    <w:rsid w:val="73F62A2B"/>
    <w:rsid w:val="73FB184A"/>
    <w:rsid w:val="740C047A"/>
    <w:rsid w:val="7411148D"/>
    <w:rsid w:val="741226CF"/>
    <w:rsid w:val="741E793C"/>
    <w:rsid w:val="7427013C"/>
    <w:rsid w:val="74282D51"/>
    <w:rsid w:val="7436691B"/>
    <w:rsid w:val="743871BE"/>
    <w:rsid w:val="74393A30"/>
    <w:rsid w:val="743D083D"/>
    <w:rsid w:val="743D7636"/>
    <w:rsid w:val="74453473"/>
    <w:rsid w:val="74473B38"/>
    <w:rsid w:val="74473FDF"/>
    <w:rsid w:val="745632A4"/>
    <w:rsid w:val="745D58F6"/>
    <w:rsid w:val="745E3944"/>
    <w:rsid w:val="745F3381"/>
    <w:rsid w:val="746A6679"/>
    <w:rsid w:val="746F1200"/>
    <w:rsid w:val="7473021E"/>
    <w:rsid w:val="74743EBF"/>
    <w:rsid w:val="748372AA"/>
    <w:rsid w:val="74856C7E"/>
    <w:rsid w:val="7489630E"/>
    <w:rsid w:val="748A38D2"/>
    <w:rsid w:val="74A52D9C"/>
    <w:rsid w:val="74AA652C"/>
    <w:rsid w:val="74AB5120"/>
    <w:rsid w:val="74AE0AF1"/>
    <w:rsid w:val="74B87071"/>
    <w:rsid w:val="74BE7A92"/>
    <w:rsid w:val="74BF5F91"/>
    <w:rsid w:val="74C46857"/>
    <w:rsid w:val="74CA71C4"/>
    <w:rsid w:val="74CD76CB"/>
    <w:rsid w:val="74CF2C89"/>
    <w:rsid w:val="74D23A3D"/>
    <w:rsid w:val="74D742B5"/>
    <w:rsid w:val="74D80E48"/>
    <w:rsid w:val="74D81C35"/>
    <w:rsid w:val="74DC1C5D"/>
    <w:rsid w:val="74E25A80"/>
    <w:rsid w:val="74E83952"/>
    <w:rsid w:val="74EB4D2A"/>
    <w:rsid w:val="74EB770E"/>
    <w:rsid w:val="75003B16"/>
    <w:rsid w:val="75047C78"/>
    <w:rsid w:val="750A2243"/>
    <w:rsid w:val="750B356A"/>
    <w:rsid w:val="75155AED"/>
    <w:rsid w:val="751677C9"/>
    <w:rsid w:val="751A5610"/>
    <w:rsid w:val="751D2A0A"/>
    <w:rsid w:val="751E18C2"/>
    <w:rsid w:val="7525340F"/>
    <w:rsid w:val="7527027F"/>
    <w:rsid w:val="752B1BC9"/>
    <w:rsid w:val="753007A1"/>
    <w:rsid w:val="75302F4B"/>
    <w:rsid w:val="75307441"/>
    <w:rsid w:val="75316F6C"/>
    <w:rsid w:val="7538187E"/>
    <w:rsid w:val="753F5A3F"/>
    <w:rsid w:val="75412B9C"/>
    <w:rsid w:val="7545498E"/>
    <w:rsid w:val="754A358C"/>
    <w:rsid w:val="75502DDF"/>
    <w:rsid w:val="7556268A"/>
    <w:rsid w:val="7556674B"/>
    <w:rsid w:val="75575EA9"/>
    <w:rsid w:val="75601ABE"/>
    <w:rsid w:val="756D78A3"/>
    <w:rsid w:val="756E7CFF"/>
    <w:rsid w:val="75753F23"/>
    <w:rsid w:val="75867D7A"/>
    <w:rsid w:val="758D12CA"/>
    <w:rsid w:val="758D236E"/>
    <w:rsid w:val="75950C00"/>
    <w:rsid w:val="759A5AAD"/>
    <w:rsid w:val="75A3341B"/>
    <w:rsid w:val="75AA37F8"/>
    <w:rsid w:val="75B3511C"/>
    <w:rsid w:val="75B85F9E"/>
    <w:rsid w:val="75BA174B"/>
    <w:rsid w:val="75C15A7B"/>
    <w:rsid w:val="75C45CA4"/>
    <w:rsid w:val="75C66E24"/>
    <w:rsid w:val="75CB2294"/>
    <w:rsid w:val="75D02172"/>
    <w:rsid w:val="75D7077A"/>
    <w:rsid w:val="75E001C1"/>
    <w:rsid w:val="75EC2630"/>
    <w:rsid w:val="75ED6E1C"/>
    <w:rsid w:val="75EF0B52"/>
    <w:rsid w:val="75F61D2B"/>
    <w:rsid w:val="75FB1725"/>
    <w:rsid w:val="75FD30C7"/>
    <w:rsid w:val="760D0743"/>
    <w:rsid w:val="760D0CD1"/>
    <w:rsid w:val="761262E7"/>
    <w:rsid w:val="76135BC0"/>
    <w:rsid w:val="761A505C"/>
    <w:rsid w:val="761B0BB5"/>
    <w:rsid w:val="76204468"/>
    <w:rsid w:val="7623602F"/>
    <w:rsid w:val="7626696C"/>
    <w:rsid w:val="762A7AD4"/>
    <w:rsid w:val="7635099D"/>
    <w:rsid w:val="76360C22"/>
    <w:rsid w:val="763A6AA8"/>
    <w:rsid w:val="764511FA"/>
    <w:rsid w:val="76477CD9"/>
    <w:rsid w:val="764B3ED2"/>
    <w:rsid w:val="764D0FCD"/>
    <w:rsid w:val="764F5C46"/>
    <w:rsid w:val="76516632"/>
    <w:rsid w:val="765A299C"/>
    <w:rsid w:val="765A58EC"/>
    <w:rsid w:val="765B4ACC"/>
    <w:rsid w:val="76626E86"/>
    <w:rsid w:val="76665172"/>
    <w:rsid w:val="766F7EA3"/>
    <w:rsid w:val="76735D63"/>
    <w:rsid w:val="767C63C4"/>
    <w:rsid w:val="768472BE"/>
    <w:rsid w:val="76864D65"/>
    <w:rsid w:val="768F076C"/>
    <w:rsid w:val="76960FC2"/>
    <w:rsid w:val="769928BD"/>
    <w:rsid w:val="76A4069C"/>
    <w:rsid w:val="76A9678F"/>
    <w:rsid w:val="76AC2297"/>
    <w:rsid w:val="76AD5DE9"/>
    <w:rsid w:val="76AD7DBE"/>
    <w:rsid w:val="76AF1D88"/>
    <w:rsid w:val="76BB42F1"/>
    <w:rsid w:val="76C53359"/>
    <w:rsid w:val="76C549B0"/>
    <w:rsid w:val="76CC0B8C"/>
    <w:rsid w:val="76CC59D4"/>
    <w:rsid w:val="76E76A54"/>
    <w:rsid w:val="76EB225E"/>
    <w:rsid w:val="76F45218"/>
    <w:rsid w:val="76F66AE0"/>
    <w:rsid w:val="77001842"/>
    <w:rsid w:val="77030C6D"/>
    <w:rsid w:val="770E2F82"/>
    <w:rsid w:val="771B4211"/>
    <w:rsid w:val="7722255A"/>
    <w:rsid w:val="772A20B9"/>
    <w:rsid w:val="772B75BB"/>
    <w:rsid w:val="772F1896"/>
    <w:rsid w:val="773043A3"/>
    <w:rsid w:val="774146B3"/>
    <w:rsid w:val="77440722"/>
    <w:rsid w:val="77441568"/>
    <w:rsid w:val="77495D38"/>
    <w:rsid w:val="774A7579"/>
    <w:rsid w:val="774B712C"/>
    <w:rsid w:val="774E1E46"/>
    <w:rsid w:val="775112F6"/>
    <w:rsid w:val="775A1CF3"/>
    <w:rsid w:val="775E05FF"/>
    <w:rsid w:val="7762175A"/>
    <w:rsid w:val="77662B24"/>
    <w:rsid w:val="776A2099"/>
    <w:rsid w:val="776A4C8A"/>
    <w:rsid w:val="77717622"/>
    <w:rsid w:val="777237D6"/>
    <w:rsid w:val="77762421"/>
    <w:rsid w:val="777C7CC6"/>
    <w:rsid w:val="7786380C"/>
    <w:rsid w:val="7789082B"/>
    <w:rsid w:val="77924572"/>
    <w:rsid w:val="77926EB3"/>
    <w:rsid w:val="77996CC0"/>
    <w:rsid w:val="779F004E"/>
    <w:rsid w:val="77A73029"/>
    <w:rsid w:val="77B0155E"/>
    <w:rsid w:val="77B04EF1"/>
    <w:rsid w:val="77B56B1F"/>
    <w:rsid w:val="77B91110"/>
    <w:rsid w:val="77BF21AC"/>
    <w:rsid w:val="77CB2AB1"/>
    <w:rsid w:val="77D862E9"/>
    <w:rsid w:val="77DF43F1"/>
    <w:rsid w:val="77E11D85"/>
    <w:rsid w:val="77E8241F"/>
    <w:rsid w:val="77EA706C"/>
    <w:rsid w:val="77EB1902"/>
    <w:rsid w:val="77F25A8D"/>
    <w:rsid w:val="77F80566"/>
    <w:rsid w:val="78033707"/>
    <w:rsid w:val="78061E7B"/>
    <w:rsid w:val="780F09F4"/>
    <w:rsid w:val="782011DD"/>
    <w:rsid w:val="78206753"/>
    <w:rsid w:val="782F1236"/>
    <w:rsid w:val="783079EA"/>
    <w:rsid w:val="78492CD8"/>
    <w:rsid w:val="784C70E5"/>
    <w:rsid w:val="78547E94"/>
    <w:rsid w:val="78557495"/>
    <w:rsid w:val="78627E7E"/>
    <w:rsid w:val="7864230C"/>
    <w:rsid w:val="78643267"/>
    <w:rsid w:val="786B7DDD"/>
    <w:rsid w:val="78722A4B"/>
    <w:rsid w:val="78760DAF"/>
    <w:rsid w:val="78785F07"/>
    <w:rsid w:val="7883527A"/>
    <w:rsid w:val="788B412F"/>
    <w:rsid w:val="788D3CEF"/>
    <w:rsid w:val="78923639"/>
    <w:rsid w:val="789A1558"/>
    <w:rsid w:val="789D0B21"/>
    <w:rsid w:val="789F50B4"/>
    <w:rsid w:val="78A61C2A"/>
    <w:rsid w:val="78A90480"/>
    <w:rsid w:val="78AA236D"/>
    <w:rsid w:val="78AC5D7D"/>
    <w:rsid w:val="78B22A99"/>
    <w:rsid w:val="78B81D53"/>
    <w:rsid w:val="78BC495C"/>
    <w:rsid w:val="78BD5519"/>
    <w:rsid w:val="78C402FF"/>
    <w:rsid w:val="78C61E81"/>
    <w:rsid w:val="78CB653B"/>
    <w:rsid w:val="78CC78FE"/>
    <w:rsid w:val="78D035B3"/>
    <w:rsid w:val="78D17B4F"/>
    <w:rsid w:val="78D45AB3"/>
    <w:rsid w:val="78DA5468"/>
    <w:rsid w:val="78E45B7E"/>
    <w:rsid w:val="78E74D69"/>
    <w:rsid w:val="78E81931"/>
    <w:rsid w:val="78EA08DD"/>
    <w:rsid w:val="78ED1590"/>
    <w:rsid w:val="78F9378E"/>
    <w:rsid w:val="78F94596"/>
    <w:rsid w:val="79027336"/>
    <w:rsid w:val="79062AD2"/>
    <w:rsid w:val="7910674B"/>
    <w:rsid w:val="79140F58"/>
    <w:rsid w:val="79196BEE"/>
    <w:rsid w:val="791C789A"/>
    <w:rsid w:val="791F1630"/>
    <w:rsid w:val="79203652"/>
    <w:rsid w:val="79264D45"/>
    <w:rsid w:val="79294430"/>
    <w:rsid w:val="79334EF2"/>
    <w:rsid w:val="793653EA"/>
    <w:rsid w:val="793E4C56"/>
    <w:rsid w:val="79406CEE"/>
    <w:rsid w:val="794269D6"/>
    <w:rsid w:val="79492E4B"/>
    <w:rsid w:val="79541325"/>
    <w:rsid w:val="79567458"/>
    <w:rsid w:val="7958391A"/>
    <w:rsid w:val="79764F8A"/>
    <w:rsid w:val="797C31E3"/>
    <w:rsid w:val="797D7B0B"/>
    <w:rsid w:val="79875754"/>
    <w:rsid w:val="798A7D7B"/>
    <w:rsid w:val="798F5503"/>
    <w:rsid w:val="799C74A2"/>
    <w:rsid w:val="799D3D25"/>
    <w:rsid w:val="79A90AA0"/>
    <w:rsid w:val="79B239EF"/>
    <w:rsid w:val="79B646C7"/>
    <w:rsid w:val="79BC5696"/>
    <w:rsid w:val="79BD202F"/>
    <w:rsid w:val="79C21DD2"/>
    <w:rsid w:val="79CA59E3"/>
    <w:rsid w:val="79CA70DC"/>
    <w:rsid w:val="79CE0777"/>
    <w:rsid w:val="79D53BD9"/>
    <w:rsid w:val="79DD34CD"/>
    <w:rsid w:val="79E87868"/>
    <w:rsid w:val="79EA4615"/>
    <w:rsid w:val="79F203B1"/>
    <w:rsid w:val="79F24A8A"/>
    <w:rsid w:val="7A0000E7"/>
    <w:rsid w:val="7A081EDB"/>
    <w:rsid w:val="7A123BF5"/>
    <w:rsid w:val="7A190B2D"/>
    <w:rsid w:val="7A193EA1"/>
    <w:rsid w:val="7A24005F"/>
    <w:rsid w:val="7A297269"/>
    <w:rsid w:val="7A326F2F"/>
    <w:rsid w:val="7A326F58"/>
    <w:rsid w:val="7A364017"/>
    <w:rsid w:val="7A36650C"/>
    <w:rsid w:val="7A396538"/>
    <w:rsid w:val="7A4221DD"/>
    <w:rsid w:val="7A425463"/>
    <w:rsid w:val="7A44011F"/>
    <w:rsid w:val="7A47670A"/>
    <w:rsid w:val="7A482F82"/>
    <w:rsid w:val="7A5166B0"/>
    <w:rsid w:val="7A524368"/>
    <w:rsid w:val="7A55689A"/>
    <w:rsid w:val="7A557F98"/>
    <w:rsid w:val="7A565AB3"/>
    <w:rsid w:val="7A613399"/>
    <w:rsid w:val="7A673CC3"/>
    <w:rsid w:val="7A704E5C"/>
    <w:rsid w:val="7A7843C6"/>
    <w:rsid w:val="7A7943A4"/>
    <w:rsid w:val="7A7D276E"/>
    <w:rsid w:val="7A814AAE"/>
    <w:rsid w:val="7A8265E1"/>
    <w:rsid w:val="7A8D27AF"/>
    <w:rsid w:val="7A8D316E"/>
    <w:rsid w:val="7A8F3624"/>
    <w:rsid w:val="7A927A45"/>
    <w:rsid w:val="7AA02113"/>
    <w:rsid w:val="7AA46304"/>
    <w:rsid w:val="7AA7655F"/>
    <w:rsid w:val="7AAA4D40"/>
    <w:rsid w:val="7ABA08CA"/>
    <w:rsid w:val="7ABD6615"/>
    <w:rsid w:val="7AD22151"/>
    <w:rsid w:val="7AD65D12"/>
    <w:rsid w:val="7AE37D23"/>
    <w:rsid w:val="7AE7516E"/>
    <w:rsid w:val="7AFE6DAB"/>
    <w:rsid w:val="7B012E3C"/>
    <w:rsid w:val="7B036D6A"/>
    <w:rsid w:val="7B0614CE"/>
    <w:rsid w:val="7B061D0F"/>
    <w:rsid w:val="7B092108"/>
    <w:rsid w:val="7B1279B8"/>
    <w:rsid w:val="7B147B99"/>
    <w:rsid w:val="7B1E325F"/>
    <w:rsid w:val="7B266DCC"/>
    <w:rsid w:val="7B373019"/>
    <w:rsid w:val="7B38059E"/>
    <w:rsid w:val="7B38234C"/>
    <w:rsid w:val="7B39121D"/>
    <w:rsid w:val="7B395C50"/>
    <w:rsid w:val="7B577A63"/>
    <w:rsid w:val="7B5B0730"/>
    <w:rsid w:val="7B5B72B3"/>
    <w:rsid w:val="7B6002A8"/>
    <w:rsid w:val="7B637A5A"/>
    <w:rsid w:val="7B670568"/>
    <w:rsid w:val="7B674C6D"/>
    <w:rsid w:val="7B686D42"/>
    <w:rsid w:val="7B6969A9"/>
    <w:rsid w:val="7B7035F4"/>
    <w:rsid w:val="7B7512CC"/>
    <w:rsid w:val="7B76665B"/>
    <w:rsid w:val="7B7B340C"/>
    <w:rsid w:val="7B814977"/>
    <w:rsid w:val="7B841746"/>
    <w:rsid w:val="7B8537C4"/>
    <w:rsid w:val="7B85590D"/>
    <w:rsid w:val="7B8E6A1D"/>
    <w:rsid w:val="7B931C78"/>
    <w:rsid w:val="7B986324"/>
    <w:rsid w:val="7B996BFF"/>
    <w:rsid w:val="7BA153D2"/>
    <w:rsid w:val="7BAD120F"/>
    <w:rsid w:val="7BB8348D"/>
    <w:rsid w:val="7BC22883"/>
    <w:rsid w:val="7BC462D5"/>
    <w:rsid w:val="7BCB0265"/>
    <w:rsid w:val="7BCC6F48"/>
    <w:rsid w:val="7BCE0E0C"/>
    <w:rsid w:val="7BD156AE"/>
    <w:rsid w:val="7BD25554"/>
    <w:rsid w:val="7BD81C8B"/>
    <w:rsid w:val="7BE14743"/>
    <w:rsid w:val="7BE44EE7"/>
    <w:rsid w:val="7BE60210"/>
    <w:rsid w:val="7BEB0D80"/>
    <w:rsid w:val="7BF23019"/>
    <w:rsid w:val="7BF32080"/>
    <w:rsid w:val="7BF556AB"/>
    <w:rsid w:val="7BFA0EC6"/>
    <w:rsid w:val="7BFD32C5"/>
    <w:rsid w:val="7C0B3F04"/>
    <w:rsid w:val="7C113AD3"/>
    <w:rsid w:val="7C122A2A"/>
    <w:rsid w:val="7C156B31"/>
    <w:rsid w:val="7C175EA5"/>
    <w:rsid w:val="7C1A07C3"/>
    <w:rsid w:val="7C1A5B06"/>
    <w:rsid w:val="7C1E76BB"/>
    <w:rsid w:val="7C304935"/>
    <w:rsid w:val="7C321491"/>
    <w:rsid w:val="7C402716"/>
    <w:rsid w:val="7C451665"/>
    <w:rsid w:val="7C4A52B4"/>
    <w:rsid w:val="7C4B6094"/>
    <w:rsid w:val="7C4D11B0"/>
    <w:rsid w:val="7C4F5489"/>
    <w:rsid w:val="7C603E81"/>
    <w:rsid w:val="7C617A4A"/>
    <w:rsid w:val="7C633215"/>
    <w:rsid w:val="7C6C5AC7"/>
    <w:rsid w:val="7C705B15"/>
    <w:rsid w:val="7C706090"/>
    <w:rsid w:val="7C770050"/>
    <w:rsid w:val="7C772FFC"/>
    <w:rsid w:val="7C790A10"/>
    <w:rsid w:val="7C7A2A5E"/>
    <w:rsid w:val="7C7C095E"/>
    <w:rsid w:val="7C7F7EE5"/>
    <w:rsid w:val="7C831CEC"/>
    <w:rsid w:val="7C8617DD"/>
    <w:rsid w:val="7C865339"/>
    <w:rsid w:val="7C896BD7"/>
    <w:rsid w:val="7C8C791E"/>
    <w:rsid w:val="7C90214B"/>
    <w:rsid w:val="7C944C83"/>
    <w:rsid w:val="7C9B3BCB"/>
    <w:rsid w:val="7C9D7BBA"/>
    <w:rsid w:val="7CA0464C"/>
    <w:rsid w:val="7CAD0EFD"/>
    <w:rsid w:val="7CB13FFA"/>
    <w:rsid w:val="7CB678E1"/>
    <w:rsid w:val="7CB96C8C"/>
    <w:rsid w:val="7CBA46C4"/>
    <w:rsid w:val="7CBC4BF7"/>
    <w:rsid w:val="7CBE4AA9"/>
    <w:rsid w:val="7CC33824"/>
    <w:rsid w:val="7CC43CCB"/>
    <w:rsid w:val="7CC625CD"/>
    <w:rsid w:val="7CC6544B"/>
    <w:rsid w:val="7CC705E2"/>
    <w:rsid w:val="7CCB2B20"/>
    <w:rsid w:val="7CCD11BA"/>
    <w:rsid w:val="7CD07196"/>
    <w:rsid w:val="7CD32684"/>
    <w:rsid w:val="7CD326DC"/>
    <w:rsid w:val="7CD43CCD"/>
    <w:rsid w:val="7CD442F6"/>
    <w:rsid w:val="7CE84588"/>
    <w:rsid w:val="7CF44998"/>
    <w:rsid w:val="7D0239FF"/>
    <w:rsid w:val="7D0632A5"/>
    <w:rsid w:val="7D0815C4"/>
    <w:rsid w:val="7D142945"/>
    <w:rsid w:val="7D142ABD"/>
    <w:rsid w:val="7D2C4FAA"/>
    <w:rsid w:val="7D2F777E"/>
    <w:rsid w:val="7D361267"/>
    <w:rsid w:val="7D4B7198"/>
    <w:rsid w:val="7D4E03CE"/>
    <w:rsid w:val="7D54498A"/>
    <w:rsid w:val="7D5E40CD"/>
    <w:rsid w:val="7D5F219D"/>
    <w:rsid w:val="7D6116ED"/>
    <w:rsid w:val="7D632CB1"/>
    <w:rsid w:val="7D6650C7"/>
    <w:rsid w:val="7D690EE2"/>
    <w:rsid w:val="7D74353F"/>
    <w:rsid w:val="7D753697"/>
    <w:rsid w:val="7D7B08FC"/>
    <w:rsid w:val="7D8732A6"/>
    <w:rsid w:val="7D8D3800"/>
    <w:rsid w:val="7D976E56"/>
    <w:rsid w:val="7D9934F6"/>
    <w:rsid w:val="7D996C29"/>
    <w:rsid w:val="7D997F53"/>
    <w:rsid w:val="7DA32736"/>
    <w:rsid w:val="7DA67ECA"/>
    <w:rsid w:val="7DA718CC"/>
    <w:rsid w:val="7DAE0A83"/>
    <w:rsid w:val="7DB30FFB"/>
    <w:rsid w:val="7DB67963"/>
    <w:rsid w:val="7DB82004"/>
    <w:rsid w:val="7DBB094B"/>
    <w:rsid w:val="7DBB1B92"/>
    <w:rsid w:val="7DC9372F"/>
    <w:rsid w:val="7DCD56F2"/>
    <w:rsid w:val="7DE23342"/>
    <w:rsid w:val="7DE24B5B"/>
    <w:rsid w:val="7DE35FE6"/>
    <w:rsid w:val="7DE50259"/>
    <w:rsid w:val="7DE557D7"/>
    <w:rsid w:val="7DE64869"/>
    <w:rsid w:val="7DE723EE"/>
    <w:rsid w:val="7DE768D6"/>
    <w:rsid w:val="7DEB3F9D"/>
    <w:rsid w:val="7DF04B20"/>
    <w:rsid w:val="7DF64DA9"/>
    <w:rsid w:val="7DF966CD"/>
    <w:rsid w:val="7E06528E"/>
    <w:rsid w:val="7E0C7ABE"/>
    <w:rsid w:val="7E156C67"/>
    <w:rsid w:val="7E1C0BDB"/>
    <w:rsid w:val="7E1E2CE0"/>
    <w:rsid w:val="7E203D3E"/>
    <w:rsid w:val="7E4B10FE"/>
    <w:rsid w:val="7E506012"/>
    <w:rsid w:val="7E613EDB"/>
    <w:rsid w:val="7E674B1D"/>
    <w:rsid w:val="7E6C693B"/>
    <w:rsid w:val="7E7244A8"/>
    <w:rsid w:val="7E7D1743"/>
    <w:rsid w:val="7E806CF0"/>
    <w:rsid w:val="7E847391"/>
    <w:rsid w:val="7E863920"/>
    <w:rsid w:val="7E8B290D"/>
    <w:rsid w:val="7E8B30DA"/>
    <w:rsid w:val="7E9D2239"/>
    <w:rsid w:val="7E9F1C23"/>
    <w:rsid w:val="7EA86647"/>
    <w:rsid w:val="7EA97DA7"/>
    <w:rsid w:val="7EAA213D"/>
    <w:rsid w:val="7EB250A1"/>
    <w:rsid w:val="7EB331E1"/>
    <w:rsid w:val="7EB760B7"/>
    <w:rsid w:val="7EC3114D"/>
    <w:rsid w:val="7EC9371F"/>
    <w:rsid w:val="7ED700CE"/>
    <w:rsid w:val="7EDA0154"/>
    <w:rsid w:val="7EDA5A97"/>
    <w:rsid w:val="7EDD6145"/>
    <w:rsid w:val="7EE12CFA"/>
    <w:rsid w:val="7EE32BA8"/>
    <w:rsid w:val="7EF600A3"/>
    <w:rsid w:val="7EFF71F9"/>
    <w:rsid w:val="7F001CE7"/>
    <w:rsid w:val="7F066613"/>
    <w:rsid w:val="7F0F7867"/>
    <w:rsid w:val="7F1020C1"/>
    <w:rsid w:val="7F1822C4"/>
    <w:rsid w:val="7F1E1C16"/>
    <w:rsid w:val="7F202214"/>
    <w:rsid w:val="7F2647AC"/>
    <w:rsid w:val="7F313C82"/>
    <w:rsid w:val="7F385010"/>
    <w:rsid w:val="7F455E66"/>
    <w:rsid w:val="7F4B2F7C"/>
    <w:rsid w:val="7F4F5177"/>
    <w:rsid w:val="7F517E80"/>
    <w:rsid w:val="7F5434CC"/>
    <w:rsid w:val="7F567BAB"/>
    <w:rsid w:val="7F615B41"/>
    <w:rsid w:val="7F62208D"/>
    <w:rsid w:val="7F721F61"/>
    <w:rsid w:val="7F7508B8"/>
    <w:rsid w:val="7F7F026A"/>
    <w:rsid w:val="7F800382"/>
    <w:rsid w:val="7F81146D"/>
    <w:rsid w:val="7F834DE4"/>
    <w:rsid w:val="7F896D24"/>
    <w:rsid w:val="7F8B4B42"/>
    <w:rsid w:val="7F903433"/>
    <w:rsid w:val="7F9164CE"/>
    <w:rsid w:val="7F9437E5"/>
    <w:rsid w:val="7FA523E6"/>
    <w:rsid w:val="7FA83D61"/>
    <w:rsid w:val="7FAA3174"/>
    <w:rsid w:val="7FAB5D5E"/>
    <w:rsid w:val="7FAC067A"/>
    <w:rsid w:val="7FAD13DE"/>
    <w:rsid w:val="7FAE2A36"/>
    <w:rsid w:val="7FB11E49"/>
    <w:rsid w:val="7FBC20DC"/>
    <w:rsid w:val="7FD41824"/>
    <w:rsid w:val="7FDB520A"/>
    <w:rsid w:val="7FDF726A"/>
    <w:rsid w:val="7FE43A58"/>
    <w:rsid w:val="7FE47E50"/>
    <w:rsid w:val="7FE726DE"/>
    <w:rsid w:val="7FE72ABB"/>
    <w:rsid w:val="7FEC0DC4"/>
    <w:rsid w:val="7FEF3421"/>
    <w:rsid w:val="7FF46957"/>
    <w:rsid w:val="7FF57B3B"/>
    <w:rsid w:val="7FF70663"/>
    <w:rsid w:val="7FF7633F"/>
    <w:rsid w:val="7FF806CF"/>
    <w:rsid w:val="7FFD15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qFormat="1" w:uiPriority="39"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iPriority="99"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8"/>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qFormat/>
    <w:locked/>
    <w:uiPriority w:val="1"/>
    <w:pPr>
      <w:spacing w:beforeLines="0" w:afterLines="0"/>
      <w:ind w:left="700"/>
      <w:outlineLvl w:val="1"/>
    </w:pPr>
    <w:rPr>
      <w:rFonts w:hint="eastAsia"/>
      <w:b/>
      <w:sz w:val="24"/>
      <w:szCs w:val="24"/>
    </w:rPr>
  </w:style>
  <w:style w:type="paragraph" w:styleId="5">
    <w:name w:val="heading 3"/>
    <w:basedOn w:val="1"/>
    <w:next w:val="1"/>
    <w:qFormat/>
    <w:locked/>
    <w:uiPriority w:val="0"/>
    <w:pPr>
      <w:keepNext/>
      <w:keepLines/>
      <w:numPr>
        <w:ilvl w:val="2"/>
        <w:numId w:val="1"/>
      </w:numPr>
      <w:spacing w:before="20" w:after="20" w:line="360" w:lineRule="auto"/>
      <w:ind w:left="0" w:firstLine="0" w:firstLineChars="0"/>
      <w:jc w:val="left"/>
      <w:outlineLvl w:val="2"/>
    </w:pPr>
    <w:rPr>
      <w:rFonts w:ascii="Times New Roman" w:hAnsi="Times New Roman" w:eastAsia="宋体" w:cs="Times New Roman"/>
      <w:b/>
      <w:bCs/>
      <w:kern w:val="2"/>
      <w:sz w:val="32"/>
      <w:szCs w:val="32"/>
    </w:rPr>
  </w:style>
  <w:style w:type="character" w:default="1" w:styleId="28">
    <w:name w:val="Default Paragraph Font"/>
    <w:semiHidden/>
    <w:qFormat/>
    <w:uiPriority w:val="0"/>
  </w:style>
  <w:style w:type="table" w:default="1" w:styleId="2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header"/>
    <w:basedOn w:val="1"/>
    <w:next w:val="1"/>
    <w:link w:val="46"/>
    <w:qFormat/>
    <w:uiPriority w:val="0"/>
    <w:pPr>
      <w:pBdr>
        <w:bottom w:val="single" w:color="auto" w:sz="6" w:space="1"/>
      </w:pBdr>
      <w:tabs>
        <w:tab w:val="center" w:pos="4153"/>
        <w:tab w:val="right" w:pos="8306"/>
      </w:tabs>
      <w:snapToGrid w:val="0"/>
      <w:jc w:val="center"/>
    </w:pPr>
    <w:rPr>
      <w:kern w:val="0"/>
      <w:sz w:val="18"/>
      <w:szCs w:val="20"/>
    </w:rPr>
  </w:style>
  <w:style w:type="paragraph" w:styleId="6">
    <w:name w:val="Normal Indent"/>
    <w:basedOn w:val="1"/>
    <w:qFormat/>
    <w:locked/>
    <w:uiPriority w:val="0"/>
    <w:pPr>
      <w:adjustRightInd w:val="0"/>
      <w:spacing w:line="312" w:lineRule="atLeast"/>
      <w:ind w:firstLine="420"/>
      <w:textAlignment w:val="baseline"/>
    </w:pPr>
    <w:rPr>
      <w:kern w:val="0"/>
      <w:szCs w:val="20"/>
    </w:rPr>
  </w:style>
  <w:style w:type="paragraph" w:styleId="7">
    <w:name w:val="caption"/>
    <w:basedOn w:val="1"/>
    <w:next w:val="1"/>
    <w:qFormat/>
    <w:locked/>
    <w:uiPriority w:val="0"/>
    <w:pPr>
      <w:widowControl/>
      <w:jc w:val="left"/>
    </w:pPr>
    <w:rPr>
      <w:rFonts w:ascii="Arial" w:hAnsi="Arial" w:eastAsia="黑体" w:cs="Arial"/>
      <w:sz w:val="20"/>
      <w:szCs w:val="20"/>
    </w:rPr>
  </w:style>
  <w:style w:type="paragraph" w:styleId="8">
    <w:name w:val="annotation text"/>
    <w:basedOn w:val="1"/>
    <w:link w:val="39"/>
    <w:semiHidden/>
    <w:qFormat/>
    <w:uiPriority w:val="0"/>
    <w:pPr>
      <w:jc w:val="left"/>
    </w:pPr>
    <w:rPr>
      <w:kern w:val="0"/>
      <w:sz w:val="24"/>
      <w:szCs w:val="20"/>
    </w:rPr>
  </w:style>
  <w:style w:type="paragraph" w:styleId="9">
    <w:name w:val="Body Text"/>
    <w:basedOn w:val="1"/>
    <w:next w:val="10"/>
    <w:link w:val="37"/>
    <w:qFormat/>
    <w:uiPriority w:val="0"/>
    <w:pPr>
      <w:widowControl/>
      <w:snapToGrid w:val="0"/>
      <w:spacing w:before="60" w:after="160" w:line="259" w:lineRule="auto"/>
      <w:ind w:right="113"/>
    </w:pPr>
    <w:rPr>
      <w:szCs w:val="24"/>
    </w:rPr>
  </w:style>
  <w:style w:type="paragraph" w:customStyle="1" w:styleId="10">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11">
    <w:name w:val="Body Text Indent"/>
    <w:basedOn w:val="1"/>
    <w:link w:val="40"/>
    <w:qFormat/>
    <w:uiPriority w:val="0"/>
    <w:pPr>
      <w:spacing w:after="120"/>
      <w:ind w:left="420" w:leftChars="200"/>
    </w:pPr>
    <w:rPr>
      <w:kern w:val="0"/>
      <w:sz w:val="24"/>
      <w:szCs w:val="20"/>
    </w:rPr>
  </w:style>
  <w:style w:type="paragraph" w:styleId="12">
    <w:name w:val="toc 5"/>
    <w:basedOn w:val="1"/>
    <w:next w:val="1"/>
    <w:unhideWhenUsed/>
    <w:qFormat/>
    <w:locked/>
    <w:uiPriority w:val="39"/>
    <w:pPr>
      <w:spacing w:line="264" w:lineRule="auto"/>
      <w:ind w:left="400" w:leftChars="400"/>
    </w:pPr>
  </w:style>
  <w:style w:type="paragraph" w:styleId="13">
    <w:name w:val="Plain Text"/>
    <w:basedOn w:val="1"/>
    <w:next w:val="14"/>
    <w:link w:val="41"/>
    <w:qFormat/>
    <w:locked/>
    <w:uiPriority w:val="0"/>
    <w:pPr>
      <w:spacing w:line="240" w:lineRule="atLeast"/>
    </w:pPr>
    <w:rPr>
      <w:rFonts w:hint="eastAsia" w:ascii="宋体" w:hAnsi="Courier New"/>
    </w:rPr>
  </w:style>
  <w:style w:type="paragraph" w:styleId="14">
    <w:name w:val="toc 1"/>
    <w:basedOn w:val="1"/>
    <w:next w:val="1"/>
    <w:qFormat/>
    <w:locked/>
    <w:uiPriority w:val="0"/>
  </w:style>
  <w:style w:type="paragraph" w:styleId="15">
    <w:name w:val="Date"/>
    <w:basedOn w:val="1"/>
    <w:next w:val="1"/>
    <w:link w:val="42"/>
    <w:qFormat/>
    <w:uiPriority w:val="0"/>
    <w:pPr>
      <w:ind w:left="100" w:leftChars="2500"/>
    </w:pPr>
    <w:rPr>
      <w:kern w:val="0"/>
      <w:sz w:val="24"/>
      <w:szCs w:val="20"/>
    </w:rPr>
  </w:style>
  <w:style w:type="paragraph" w:styleId="16">
    <w:name w:val="Body Text Indent 2"/>
    <w:basedOn w:val="1"/>
    <w:link w:val="43"/>
    <w:qFormat/>
    <w:locked/>
    <w:uiPriority w:val="0"/>
    <w:pPr>
      <w:spacing w:after="120" w:line="480" w:lineRule="auto"/>
      <w:ind w:left="420" w:leftChars="200"/>
    </w:pPr>
  </w:style>
  <w:style w:type="paragraph" w:styleId="17">
    <w:name w:val="Balloon Text"/>
    <w:basedOn w:val="1"/>
    <w:link w:val="44"/>
    <w:semiHidden/>
    <w:qFormat/>
    <w:uiPriority w:val="0"/>
    <w:rPr>
      <w:kern w:val="0"/>
      <w:sz w:val="18"/>
      <w:szCs w:val="20"/>
    </w:rPr>
  </w:style>
  <w:style w:type="paragraph" w:styleId="18">
    <w:name w:val="footer"/>
    <w:basedOn w:val="1"/>
    <w:link w:val="45"/>
    <w:qFormat/>
    <w:uiPriority w:val="99"/>
    <w:pPr>
      <w:tabs>
        <w:tab w:val="center" w:pos="4153"/>
        <w:tab w:val="right" w:pos="8306"/>
      </w:tabs>
      <w:snapToGrid w:val="0"/>
      <w:jc w:val="left"/>
    </w:pPr>
    <w:rPr>
      <w:kern w:val="0"/>
      <w:sz w:val="18"/>
      <w:szCs w:val="20"/>
    </w:rPr>
  </w:style>
  <w:style w:type="paragraph" w:styleId="19">
    <w:name w:val="List"/>
    <w:basedOn w:val="1"/>
    <w:qFormat/>
    <w:locked/>
    <w:uiPriority w:val="0"/>
    <w:pPr>
      <w:ind w:left="200" w:hanging="200" w:hangingChars="200"/>
      <w:contextualSpacing/>
    </w:pPr>
  </w:style>
  <w:style w:type="paragraph" w:styleId="20">
    <w:name w:val="Body Text Indent 3"/>
    <w:basedOn w:val="1"/>
    <w:qFormat/>
    <w:locked/>
    <w:uiPriority w:val="0"/>
    <w:pPr>
      <w:spacing w:after="120"/>
      <w:ind w:left="420" w:leftChars="200"/>
    </w:pPr>
    <w:rPr>
      <w:sz w:val="16"/>
      <w:szCs w:val="16"/>
    </w:rPr>
  </w:style>
  <w:style w:type="paragraph" w:styleId="21">
    <w:name w:val="Body Text 2"/>
    <w:basedOn w:val="1"/>
    <w:next w:val="1"/>
    <w:link w:val="47"/>
    <w:qFormat/>
    <w:locked/>
    <w:uiPriority w:val="0"/>
    <w:pPr>
      <w:widowControl w:val="0"/>
      <w:spacing w:before="0" w:after="120" w:line="480" w:lineRule="auto"/>
      <w:ind w:left="0" w:right="0"/>
      <w:jc w:val="both"/>
    </w:pPr>
    <w:rPr>
      <w:szCs w:val="24"/>
    </w:rPr>
  </w:style>
  <w:style w:type="paragraph" w:styleId="22">
    <w:name w:val="Normal (Web)"/>
    <w:basedOn w:val="1"/>
    <w:link w:val="48"/>
    <w:qFormat/>
    <w:uiPriority w:val="0"/>
    <w:pPr>
      <w:widowControl/>
      <w:spacing w:before="100" w:beforeAutospacing="1" w:after="100" w:afterAutospacing="1"/>
      <w:jc w:val="left"/>
    </w:pPr>
    <w:rPr>
      <w:rFonts w:ascii="宋体" w:hAnsi="宋体"/>
      <w:kern w:val="0"/>
      <w:sz w:val="24"/>
      <w:szCs w:val="20"/>
    </w:rPr>
  </w:style>
  <w:style w:type="paragraph" w:styleId="23">
    <w:name w:val="annotation subject"/>
    <w:basedOn w:val="8"/>
    <w:next w:val="8"/>
    <w:link w:val="49"/>
    <w:semiHidden/>
    <w:qFormat/>
    <w:uiPriority w:val="0"/>
    <w:rPr>
      <w:b/>
      <w:kern w:val="2"/>
    </w:rPr>
  </w:style>
  <w:style w:type="paragraph" w:styleId="24">
    <w:name w:val="Body Text First Indent"/>
    <w:basedOn w:val="9"/>
    <w:next w:val="1"/>
    <w:unhideWhenUsed/>
    <w:qFormat/>
    <w:locked/>
    <w:uiPriority w:val="99"/>
    <w:pPr>
      <w:ind w:firstLine="420" w:firstLineChars="100"/>
    </w:pPr>
  </w:style>
  <w:style w:type="paragraph" w:styleId="25">
    <w:name w:val="Body Text First Indent 2"/>
    <w:basedOn w:val="11"/>
    <w:next w:val="24"/>
    <w:qFormat/>
    <w:locked/>
    <w:uiPriority w:val="0"/>
    <w:pPr>
      <w:ind w:firstLine="420" w:firstLineChars="200"/>
    </w:pPr>
  </w:style>
  <w:style w:type="table" w:styleId="27">
    <w:name w:val="Table Grid"/>
    <w:basedOn w:val="26"/>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locked/>
    <w:uiPriority w:val="0"/>
    <w:rPr>
      <w:b/>
    </w:rPr>
  </w:style>
  <w:style w:type="character" w:styleId="30">
    <w:name w:val="page number"/>
    <w:qFormat/>
    <w:locked/>
    <w:uiPriority w:val="0"/>
  </w:style>
  <w:style w:type="character" w:styleId="31">
    <w:name w:val="Emphasis"/>
    <w:qFormat/>
    <w:locked/>
    <w:uiPriority w:val="0"/>
    <w:rPr>
      <w:i/>
    </w:rPr>
  </w:style>
  <w:style w:type="character" w:styleId="32">
    <w:name w:val="Hyperlink"/>
    <w:qFormat/>
    <w:locked/>
    <w:uiPriority w:val="0"/>
    <w:rPr>
      <w:color w:val="0000FF"/>
      <w:u w:val="single"/>
    </w:rPr>
  </w:style>
  <w:style w:type="character" w:styleId="33">
    <w:name w:val="annotation reference"/>
    <w:semiHidden/>
    <w:qFormat/>
    <w:uiPriority w:val="0"/>
    <w:rPr>
      <w:sz w:val="21"/>
    </w:rPr>
  </w:style>
  <w:style w:type="paragraph" w:customStyle="1" w:styleId="34">
    <w:name w:val="样式 标题 1 + 四号 段前: 0 磅 段后: 0 磅 行距: 1.5 倍行距"/>
    <w:basedOn w:val="35"/>
    <w:next w:val="36"/>
    <w:qFormat/>
    <w:uiPriority w:val="0"/>
    <w:pPr>
      <w:spacing w:line="360" w:lineRule="auto"/>
      <w:jc w:val="center"/>
    </w:pPr>
    <w:rPr>
      <w:rFonts w:hAnsi="黑体" w:eastAsia="宋体"/>
      <w:sz w:val="21"/>
    </w:rPr>
  </w:style>
  <w:style w:type="paragraph" w:customStyle="1" w:styleId="35">
    <w:name w:val="1正文"/>
    <w:basedOn w:val="1"/>
    <w:qFormat/>
    <w:uiPriority w:val="0"/>
    <w:pPr>
      <w:spacing w:line="500" w:lineRule="exact"/>
      <w:ind w:firstLine="588" w:firstLineChars="196"/>
    </w:pPr>
    <w:rPr>
      <w:rFonts w:eastAsia="楷体_GB2312"/>
      <w:sz w:val="30"/>
      <w:szCs w:val="30"/>
    </w:rPr>
  </w:style>
  <w:style w:type="paragraph" w:customStyle="1" w:styleId="36">
    <w:name w:val="文本正文"/>
    <w:basedOn w:val="1"/>
    <w:qFormat/>
    <w:uiPriority w:val="0"/>
    <w:pPr>
      <w:snapToGrid w:val="0"/>
      <w:spacing w:line="360" w:lineRule="auto"/>
      <w:ind w:firstLine="510"/>
      <w:jc w:val="left"/>
    </w:pPr>
    <w:rPr>
      <w:spacing w:val="4"/>
      <w:kern w:val="24"/>
      <w:szCs w:val="24"/>
      <w:lang w:val="zh-CN"/>
    </w:rPr>
  </w:style>
  <w:style w:type="character" w:customStyle="1" w:styleId="37">
    <w:name w:val="正文文本 Char1"/>
    <w:link w:val="9"/>
    <w:qFormat/>
    <w:uiPriority w:val="0"/>
    <w:rPr>
      <w:kern w:val="2"/>
      <w:sz w:val="21"/>
      <w:szCs w:val="24"/>
    </w:rPr>
  </w:style>
  <w:style w:type="character" w:customStyle="1" w:styleId="38">
    <w:name w:val="标题 1 Char"/>
    <w:link w:val="3"/>
    <w:qFormat/>
    <w:uiPriority w:val="99"/>
    <w:rPr>
      <w:rFonts w:eastAsia="黑体"/>
      <w:b/>
      <w:bCs/>
      <w:color w:val="000000"/>
      <w:kern w:val="44"/>
      <w:sz w:val="30"/>
      <w:szCs w:val="30"/>
    </w:rPr>
  </w:style>
  <w:style w:type="character" w:customStyle="1" w:styleId="39">
    <w:name w:val="批注文字 Char"/>
    <w:link w:val="8"/>
    <w:qFormat/>
    <w:locked/>
    <w:uiPriority w:val="0"/>
    <w:rPr>
      <w:rFonts w:ascii="Times New Roman" w:hAnsi="Times New Roman" w:eastAsia="宋体"/>
      <w:sz w:val="24"/>
    </w:rPr>
  </w:style>
  <w:style w:type="character" w:customStyle="1" w:styleId="40">
    <w:name w:val="正文文本缩进 Char"/>
    <w:link w:val="11"/>
    <w:semiHidden/>
    <w:qFormat/>
    <w:locked/>
    <w:uiPriority w:val="0"/>
    <w:rPr>
      <w:rFonts w:ascii="Times New Roman" w:hAnsi="Times New Roman" w:eastAsia="宋体"/>
      <w:sz w:val="24"/>
    </w:rPr>
  </w:style>
  <w:style w:type="character" w:customStyle="1" w:styleId="41">
    <w:name w:val="纯文本 Char"/>
    <w:link w:val="13"/>
    <w:qFormat/>
    <w:uiPriority w:val="0"/>
    <w:rPr>
      <w:rFonts w:hint="eastAsia" w:ascii="宋体" w:hAnsi="Courier New" w:eastAsia="宋体" w:cs="Courier New"/>
      <w:kern w:val="2"/>
      <w:sz w:val="21"/>
      <w:szCs w:val="21"/>
    </w:rPr>
  </w:style>
  <w:style w:type="character" w:customStyle="1" w:styleId="42">
    <w:name w:val="日期 Char"/>
    <w:link w:val="15"/>
    <w:qFormat/>
    <w:locked/>
    <w:uiPriority w:val="0"/>
    <w:rPr>
      <w:rFonts w:ascii="Times New Roman" w:hAnsi="Times New Roman" w:eastAsia="宋体"/>
      <w:sz w:val="24"/>
    </w:rPr>
  </w:style>
  <w:style w:type="character" w:customStyle="1" w:styleId="43">
    <w:name w:val="正文文本缩进 2 Char"/>
    <w:link w:val="16"/>
    <w:qFormat/>
    <w:uiPriority w:val="0"/>
    <w:rPr>
      <w:kern w:val="2"/>
      <w:sz w:val="21"/>
      <w:szCs w:val="21"/>
    </w:rPr>
  </w:style>
  <w:style w:type="character" w:customStyle="1" w:styleId="44">
    <w:name w:val="批注框文本 Char"/>
    <w:link w:val="17"/>
    <w:semiHidden/>
    <w:qFormat/>
    <w:locked/>
    <w:uiPriority w:val="0"/>
    <w:rPr>
      <w:rFonts w:ascii="Times New Roman" w:hAnsi="Times New Roman" w:eastAsia="宋体"/>
      <w:sz w:val="18"/>
    </w:rPr>
  </w:style>
  <w:style w:type="character" w:customStyle="1" w:styleId="45">
    <w:name w:val="页脚 Char"/>
    <w:link w:val="18"/>
    <w:qFormat/>
    <w:locked/>
    <w:uiPriority w:val="99"/>
    <w:rPr>
      <w:sz w:val="18"/>
    </w:rPr>
  </w:style>
  <w:style w:type="character" w:customStyle="1" w:styleId="46">
    <w:name w:val="页眉 Char"/>
    <w:link w:val="2"/>
    <w:qFormat/>
    <w:locked/>
    <w:uiPriority w:val="0"/>
    <w:rPr>
      <w:sz w:val="18"/>
    </w:rPr>
  </w:style>
  <w:style w:type="character" w:customStyle="1" w:styleId="47">
    <w:name w:val="正文文本 2 Char"/>
    <w:link w:val="21"/>
    <w:qFormat/>
    <w:uiPriority w:val="0"/>
    <w:rPr>
      <w:kern w:val="2"/>
      <w:sz w:val="21"/>
      <w:szCs w:val="24"/>
    </w:rPr>
  </w:style>
  <w:style w:type="character" w:customStyle="1" w:styleId="48">
    <w:name w:val="普通(网站) Char"/>
    <w:link w:val="22"/>
    <w:qFormat/>
    <w:locked/>
    <w:uiPriority w:val="0"/>
    <w:rPr>
      <w:rFonts w:ascii="宋体" w:hAnsi="宋体" w:eastAsia="宋体"/>
      <w:sz w:val="24"/>
    </w:rPr>
  </w:style>
  <w:style w:type="character" w:customStyle="1" w:styleId="49">
    <w:name w:val="批注主题 Char"/>
    <w:link w:val="23"/>
    <w:semiHidden/>
    <w:qFormat/>
    <w:locked/>
    <w:uiPriority w:val="0"/>
    <w:rPr>
      <w:rFonts w:ascii="Times New Roman" w:hAnsi="Times New Roman" w:eastAsia="宋体"/>
      <w:b/>
      <w:kern w:val="2"/>
      <w:sz w:val="24"/>
    </w:rPr>
  </w:style>
  <w:style w:type="paragraph" w:customStyle="1" w:styleId="50">
    <w:name w:val=" Char"/>
    <w:basedOn w:val="1"/>
    <w:qFormat/>
    <w:uiPriority w:val="0"/>
  </w:style>
  <w:style w:type="character" w:customStyle="1" w:styleId="51">
    <w:name w:val="页脚 字符"/>
    <w:qFormat/>
    <w:uiPriority w:val="99"/>
  </w:style>
  <w:style w:type="character" w:customStyle="1" w:styleId="52">
    <w:name w:val="正文文本 字符1"/>
    <w:semiHidden/>
    <w:qFormat/>
    <w:uiPriority w:val="0"/>
    <w:rPr>
      <w:rFonts w:ascii="Times New Roman" w:hAnsi="Times New Roman" w:eastAsia="宋体"/>
      <w:sz w:val="24"/>
    </w:rPr>
  </w:style>
  <w:style w:type="character" w:customStyle="1" w:styleId="53">
    <w:name w:val="表格 Char"/>
    <w:link w:val="54"/>
    <w:qFormat/>
    <w:locked/>
    <w:uiPriority w:val="0"/>
    <w:rPr>
      <w:rFonts w:ascii="宋体"/>
      <w:sz w:val="21"/>
    </w:rPr>
  </w:style>
  <w:style w:type="paragraph" w:customStyle="1" w:styleId="54">
    <w:name w:val="表格"/>
    <w:basedOn w:val="1"/>
    <w:next w:val="1"/>
    <w:link w:val="53"/>
    <w:qFormat/>
    <w:uiPriority w:val="0"/>
    <w:pPr>
      <w:adjustRightInd w:val="0"/>
      <w:snapToGrid w:val="0"/>
      <w:spacing w:beforeLines="10" w:afterLines="10" w:line="259" w:lineRule="auto"/>
      <w:jc w:val="center"/>
    </w:pPr>
    <w:rPr>
      <w:rFonts w:ascii="宋体"/>
      <w:kern w:val="0"/>
      <w:szCs w:val="20"/>
    </w:rPr>
  </w:style>
  <w:style w:type="character" w:customStyle="1" w:styleId="55">
    <w:name w:val="日期 字符"/>
    <w:semiHidden/>
    <w:qFormat/>
    <w:uiPriority w:val="0"/>
    <w:rPr>
      <w:rFonts w:ascii="Times New Roman" w:hAnsi="Times New Roman" w:eastAsia="宋体"/>
      <w:sz w:val="24"/>
    </w:rPr>
  </w:style>
  <w:style w:type="character" w:customStyle="1" w:styleId="56">
    <w:name w:val="批注文字 字符1"/>
    <w:semiHidden/>
    <w:qFormat/>
    <w:uiPriority w:val="0"/>
    <w:rPr>
      <w:rFonts w:ascii="Times New Roman" w:hAnsi="Times New Roman" w:eastAsia="宋体"/>
      <w:sz w:val="24"/>
    </w:rPr>
  </w:style>
  <w:style w:type="character" w:customStyle="1" w:styleId="57">
    <w:name w:val="正文文本 Char"/>
    <w:qFormat/>
    <w:locked/>
    <w:uiPriority w:val="0"/>
    <w:rPr>
      <w:sz w:val="18"/>
    </w:rPr>
  </w:style>
  <w:style w:type="paragraph" w:customStyle="1" w:styleId="58">
    <w:name w:val="样式 样式 小四 段前: 7.8 磅 段后: 7.8 磅 行距: 1.5 倍行距 + 首行缩进:  2 字符"/>
    <w:basedOn w:val="59"/>
    <w:qFormat/>
    <w:uiPriority w:val="0"/>
    <w:pPr>
      <w:spacing w:before="156" w:beforeLines="50" w:after="156" w:afterLines="50" w:line="240" w:lineRule="auto"/>
      <w:ind w:firstLine="0" w:firstLineChars="0"/>
      <w:jc w:val="center"/>
    </w:pPr>
    <w:rPr>
      <w:rFonts w:ascii="Times New Roman" w:hAnsi="Times New Roman" w:eastAsia="宋体" w:cs="Times New Roman"/>
      <w:b/>
    </w:rPr>
  </w:style>
  <w:style w:type="paragraph" w:customStyle="1" w:styleId="59">
    <w:name w:val="样式 小四 段前: 7.8 磅 段后: 7.8 磅 行距: 1.5 倍行距"/>
    <w:basedOn w:val="1"/>
    <w:qFormat/>
    <w:uiPriority w:val="0"/>
    <w:pPr>
      <w:spacing w:line="360" w:lineRule="auto"/>
      <w:ind w:firstLine="480" w:firstLineChars="200"/>
    </w:pPr>
    <w:rPr>
      <w:rFonts w:ascii="Times New Roman" w:hAnsi="Times New Roman" w:eastAsia="宋体" w:cs="Times New Roman"/>
      <w:sz w:val="24"/>
    </w:rPr>
  </w:style>
  <w:style w:type="paragraph" w:customStyle="1" w:styleId="60">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61">
    <w:name w:val="表体"/>
    <w:basedOn w:val="1"/>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bCs/>
      <w:snapToGrid w:val="0"/>
      <w:color w:val="000000"/>
      <w:kern w:val="32"/>
      <w:sz w:val="21"/>
      <w:lang w:val="zh-CN"/>
    </w:rPr>
  </w:style>
  <w:style w:type="paragraph" w:customStyle="1" w:styleId="62">
    <w:name w:val="魏秀珍   正文"/>
    <w:basedOn w:val="6"/>
    <w:qFormat/>
    <w:uiPriority w:val="0"/>
    <w:rPr>
      <w:rFonts w:cs="宋体"/>
      <w:snapToGrid/>
      <w:color w:val="auto"/>
      <w:kern w:val="0"/>
      <w:szCs w:val="20"/>
    </w:rPr>
  </w:style>
  <w:style w:type="paragraph" w:customStyle="1" w:styleId="63">
    <w:name w:val="表格式"/>
    <w:basedOn w:val="19"/>
    <w:qFormat/>
    <w:uiPriority w:val="0"/>
    <w:pPr>
      <w:spacing w:line="400" w:lineRule="exact"/>
      <w:ind w:left="0" w:firstLine="0" w:firstLineChars="0"/>
      <w:jc w:val="center"/>
    </w:pPr>
    <w:rPr>
      <w:rFonts w:ascii="宋体"/>
      <w:szCs w:val="20"/>
    </w:rPr>
  </w:style>
  <w:style w:type="paragraph" w:customStyle="1" w:styleId="64">
    <w:name w:val="标书正文"/>
    <w:basedOn w:val="1"/>
    <w:qFormat/>
    <w:uiPriority w:val="0"/>
    <w:pPr>
      <w:adjustRightInd w:val="0"/>
      <w:snapToGrid w:val="0"/>
      <w:spacing w:line="300" w:lineRule="auto"/>
      <w:ind w:firstLine="200" w:firstLineChars="200"/>
    </w:pPr>
    <w:rPr>
      <w:rFonts w:eastAsia="仿宋_GB2312" w:cs="Times New Roman"/>
      <w:kern w:val="0"/>
      <w:sz w:val="28"/>
      <w:szCs w:val="24"/>
    </w:rPr>
  </w:style>
  <w:style w:type="paragraph" w:customStyle="1" w:styleId="65">
    <w:name w:val="缩进"/>
    <w:basedOn w:val="1"/>
    <w:qFormat/>
    <w:uiPriority w:val="0"/>
    <w:pPr>
      <w:autoSpaceDE w:val="0"/>
      <w:autoSpaceDN w:val="0"/>
      <w:adjustRightInd w:val="0"/>
      <w:spacing w:line="400" w:lineRule="atLeast"/>
      <w:ind w:firstLine="200" w:firstLineChars="200"/>
      <w:textAlignment w:val="baseline"/>
    </w:pPr>
    <w:rPr>
      <w:rFonts w:ascii="Times New Roman" w:hAnsi="Times New Roman"/>
      <w:kern w:val="0"/>
      <w:sz w:val="24"/>
      <w:szCs w:val="20"/>
    </w:rPr>
  </w:style>
  <w:style w:type="paragraph" w:customStyle="1" w:styleId="66">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67">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68">
    <w:name w:val="0"/>
    <w:basedOn w:val="1"/>
    <w:qFormat/>
    <w:uiPriority w:val="0"/>
    <w:pPr>
      <w:widowControl/>
      <w:snapToGrid w:val="0"/>
    </w:pPr>
    <w:rPr>
      <w:kern w:val="0"/>
      <w:szCs w:val="21"/>
    </w:rPr>
  </w:style>
  <w:style w:type="paragraph" w:customStyle="1" w:styleId="69">
    <w:name w:val="Normal_6"/>
    <w:qFormat/>
    <w:uiPriority w:val="0"/>
    <w:pPr>
      <w:spacing w:before="120" w:after="240"/>
      <w:jc w:val="both"/>
    </w:pPr>
    <w:rPr>
      <w:rFonts w:ascii="Calibri" w:hAnsi="Calibri" w:eastAsia="Calibri" w:cs="Times New Roman"/>
      <w:sz w:val="22"/>
      <w:szCs w:val="22"/>
      <w:lang w:val="ru-RU" w:eastAsia="en-US" w:bidi="ar-SA"/>
    </w:rPr>
  </w:style>
  <w:style w:type="paragraph" w:customStyle="1" w:styleId="70">
    <w:name w:val="表格文字"/>
    <w:basedOn w:val="1"/>
    <w:qFormat/>
    <w:uiPriority w:val="0"/>
    <w:pPr>
      <w:spacing w:line="280" w:lineRule="exact"/>
      <w:jc w:val="center"/>
    </w:pPr>
  </w:style>
  <w:style w:type="paragraph" w:customStyle="1" w:styleId="71">
    <w:name w:val="样式 中文报告书 + 两端对齐 段前: 7.8 磅 段后: 0 磅 行距: 1.5 倍行距"/>
    <w:basedOn w:val="72"/>
    <w:qFormat/>
    <w:uiPriority w:val="0"/>
    <w:pPr>
      <w:spacing w:after="0" w:afterLines="0" w:line="360" w:lineRule="auto"/>
      <w:jc w:val="both"/>
    </w:pPr>
    <w:rPr>
      <w:rFonts w:cs="宋体"/>
    </w:rPr>
  </w:style>
  <w:style w:type="paragraph" w:customStyle="1" w:styleId="72">
    <w:name w:val="中文报告书"/>
    <w:basedOn w:val="1"/>
    <w:qFormat/>
    <w:uiPriority w:val="0"/>
    <w:pPr>
      <w:adjustRightInd w:val="0"/>
      <w:spacing w:after="80" w:afterLines="0" w:line="420" w:lineRule="atLeast"/>
      <w:jc w:val="left"/>
      <w:textAlignment w:val="baseline"/>
    </w:pPr>
    <w:rPr>
      <w:sz w:val="24"/>
    </w:rPr>
  </w:style>
  <w:style w:type="paragraph" w:customStyle="1" w:styleId="73">
    <w:name w:val="表名"/>
    <w:basedOn w:val="1"/>
    <w:qFormat/>
    <w:uiPriority w:val="0"/>
    <w:pPr>
      <w:widowControl/>
      <w:spacing w:before="240" w:after="240"/>
      <w:jc w:val="center"/>
    </w:pPr>
    <w:rPr>
      <w:rFonts w:ascii="黑体" w:eastAsia="黑体"/>
      <w:sz w:val="24"/>
      <w:lang w:eastAsia="en-US"/>
    </w:rPr>
  </w:style>
  <w:style w:type="paragraph" w:customStyle="1" w:styleId="74">
    <w:name w:val="【表头】"/>
    <w:basedOn w:val="1"/>
    <w:qFormat/>
    <w:uiPriority w:val="0"/>
    <w:pPr>
      <w:spacing w:before="120" w:line="312" w:lineRule="auto"/>
      <w:jc w:val="center"/>
    </w:pPr>
    <w:rPr>
      <w:b/>
      <w:szCs w:val="24"/>
    </w:rPr>
  </w:style>
  <w:style w:type="paragraph" w:customStyle="1" w:styleId="75">
    <w:name w:val="样式 黑色 首行缩进:  2 字符"/>
    <w:basedOn w:val="1"/>
    <w:qFormat/>
    <w:uiPriority w:val="0"/>
    <w:pPr>
      <w:adjustRightInd w:val="0"/>
      <w:snapToGrid w:val="0"/>
      <w:spacing w:line="360" w:lineRule="auto"/>
      <w:ind w:firstLine="200" w:firstLineChars="200"/>
    </w:pPr>
    <w:rPr>
      <w:rFonts w:cs="宋体"/>
      <w:color w:val="000000"/>
      <w:sz w:val="24"/>
      <w:szCs w:val="20"/>
    </w:rPr>
  </w:style>
  <w:style w:type="paragraph" w:customStyle="1" w:styleId="76">
    <w:name w:val="Normal_0"/>
    <w:qFormat/>
    <w:uiPriority w:val="0"/>
    <w:rPr>
      <w:rFonts w:ascii="Times New Roman" w:hAnsi="Times New Roman" w:eastAsia="Times New Roman" w:cs="Times New Roman"/>
      <w:color w:val="000000"/>
      <w:lang w:val="en-US" w:eastAsia="zh-CN" w:bidi="ar-SA"/>
    </w:rPr>
  </w:style>
  <w:style w:type="paragraph" w:customStyle="1" w:styleId="77">
    <w:name w:val="A-文本格式"/>
    <w:qFormat/>
    <w:uiPriority w:val="0"/>
    <w:pPr>
      <w:widowControl w:val="0"/>
      <w:spacing w:line="360"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78">
    <w:name w:val="p0"/>
    <w:basedOn w:val="1"/>
    <w:qFormat/>
    <w:uiPriority w:val="0"/>
    <w:pPr>
      <w:widowControl/>
    </w:pPr>
    <w:rPr>
      <w:rFonts w:ascii="Times New Roman" w:hAnsi="Times New Roman"/>
      <w:kern w:val="0"/>
      <w:szCs w:val="21"/>
    </w:rPr>
  </w:style>
  <w:style w:type="paragraph" w:customStyle="1" w:styleId="79">
    <w:name w:val="正文缩进1"/>
    <w:basedOn w:val="1"/>
    <w:qFormat/>
    <w:uiPriority w:val="0"/>
    <w:pPr>
      <w:ind w:firstLine="420"/>
    </w:pPr>
    <w:rPr>
      <w:rFonts w:ascii="宋体" w:hAnsi="宋体"/>
      <w:szCs w:val="21"/>
    </w:rPr>
  </w:style>
  <w:style w:type="paragraph" w:customStyle="1" w:styleId="80">
    <w:name w:val="11"/>
    <w:basedOn w:val="9"/>
    <w:qFormat/>
    <w:uiPriority w:val="0"/>
    <w:pPr>
      <w:autoSpaceDE w:val="0"/>
      <w:autoSpaceDN w:val="0"/>
      <w:adjustRightInd w:val="0"/>
      <w:spacing w:after="0" w:line="360" w:lineRule="auto"/>
      <w:ind w:firstLine="1320" w:firstLineChars="550"/>
      <w:textAlignment w:val="baseline"/>
    </w:pPr>
    <w:rPr>
      <w:sz w:val="24"/>
      <w:szCs w:val="24"/>
    </w:rPr>
  </w:style>
  <w:style w:type="paragraph" w:customStyle="1" w:styleId="81">
    <w:name w:val="无间隔1"/>
    <w:basedOn w:val="1"/>
    <w:qFormat/>
    <w:uiPriority w:val="1"/>
    <w:pPr>
      <w:widowControl/>
      <w:spacing w:line="360" w:lineRule="auto"/>
      <w:ind w:firstLine="200" w:firstLineChars="200"/>
      <w:jc w:val="left"/>
    </w:pPr>
    <w:rPr>
      <w:rFonts w:eastAsia="仿宋_GB2312"/>
      <w:kern w:val="0"/>
      <w:sz w:val="24"/>
      <w:szCs w:val="32"/>
      <w:lang w:eastAsia="en-US" w:bidi="en-US"/>
    </w:rPr>
  </w:style>
  <w:style w:type="paragraph" w:customStyle="1" w:styleId="82">
    <w:name w:val="Table Paragraph"/>
    <w:basedOn w:val="1"/>
    <w:unhideWhenUsed/>
    <w:qFormat/>
    <w:uiPriority w:val="1"/>
    <w:pPr>
      <w:spacing w:beforeLines="0" w:afterLines="0"/>
    </w:pPr>
    <w:rPr>
      <w:rFonts w:hint="eastAsia"/>
      <w:sz w:val="22"/>
      <w:szCs w:val="22"/>
    </w:rPr>
  </w:style>
  <w:style w:type="paragraph" w:customStyle="1" w:styleId="83">
    <w:name w:val="p19"/>
    <w:basedOn w:val="1"/>
    <w:qFormat/>
    <w:uiPriority w:val="99"/>
    <w:pPr>
      <w:widowControl/>
      <w:jc w:val="left"/>
    </w:pPr>
    <w:rPr>
      <w:rFonts w:ascii="Arial Unicode MS" w:hAnsi="Arial Unicode MS" w:eastAsia="Arial Unicode MS" w:cs="Arial Unicode MS"/>
      <w:kern w:val="0"/>
      <w:sz w:val="24"/>
    </w:rPr>
  </w:style>
  <w:style w:type="paragraph" w:customStyle="1" w:styleId="84">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5">
    <w:name w:val="表头"/>
    <w:basedOn w:val="1"/>
    <w:qFormat/>
    <w:uiPriority w:val="0"/>
    <w:pPr>
      <w:adjustRightInd w:val="0"/>
      <w:snapToGrid w:val="0"/>
      <w:jc w:val="center"/>
      <w:textAlignment w:val="baseline"/>
    </w:pPr>
    <w:rPr>
      <w:b/>
      <w:kern w:val="0"/>
    </w:rPr>
  </w:style>
  <w:style w:type="paragraph" w:customStyle="1" w:styleId="86">
    <w:name w:val="简单回函地址"/>
    <w:basedOn w:val="1"/>
    <w:qFormat/>
    <w:uiPriority w:val="0"/>
  </w:style>
  <w:style w:type="paragraph" w:customStyle="1" w:styleId="87">
    <w:name w:val="正文2"/>
    <w:basedOn w:val="1"/>
    <w:next w:val="1"/>
    <w:qFormat/>
    <w:uiPriority w:val="0"/>
    <w:pPr>
      <w:adjustRightInd w:val="0"/>
      <w:snapToGrid w:val="0"/>
      <w:spacing w:line="360" w:lineRule="auto"/>
      <w:ind w:firstLine="200" w:firstLineChars="200"/>
    </w:pPr>
    <w:rPr>
      <w:rFonts w:cs="宋体"/>
      <w:sz w:val="28"/>
      <w:szCs w:val="28"/>
    </w:rPr>
  </w:style>
  <w:style w:type="paragraph" w:customStyle="1" w:styleId="88">
    <w:name w:val="标题4"/>
    <w:basedOn w:val="1"/>
    <w:qFormat/>
    <w:uiPriority w:val="0"/>
    <w:pPr>
      <w:snapToGrid w:val="0"/>
      <w:spacing w:line="480" w:lineRule="atLeast"/>
      <w:jc w:val="center"/>
    </w:pPr>
    <w:rPr>
      <w:b/>
      <w:color w:val="000000"/>
      <w:sz w:val="24"/>
      <w:szCs w:val="20"/>
    </w:rPr>
  </w:style>
  <w:style w:type="paragraph" w:customStyle="1" w:styleId="89">
    <w:name w:val="报告表正文"/>
    <w:basedOn w:val="1"/>
    <w:qFormat/>
    <w:uiPriority w:val="0"/>
    <w:pPr>
      <w:adjustRightInd w:val="0"/>
      <w:spacing w:line="312" w:lineRule="auto"/>
      <w:ind w:left="113" w:right="113" w:firstLine="482"/>
      <w:jc w:val="left"/>
      <w:textAlignment w:val="baseline"/>
    </w:pPr>
    <w:rPr>
      <w:kern w:val="0"/>
      <w:sz w:val="24"/>
    </w:rPr>
  </w:style>
  <w:style w:type="paragraph" w:customStyle="1" w:styleId="90">
    <w:name w:val="居中表格"/>
    <w:basedOn w:val="1"/>
    <w:qFormat/>
    <w:uiPriority w:val="0"/>
    <w:pPr>
      <w:ind w:firstLine="0" w:firstLineChars="0"/>
      <w:jc w:val="center"/>
    </w:pPr>
    <w:rPr>
      <w:rFonts w:ascii="Times New Roman" w:hAnsi="Times New Roman" w:eastAsia="宋体" w:cs="Times New Roman"/>
      <w:snapToGrid w:val="0"/>
      <w:kern w:val="0"/>
      <w:sz w:val="20"/>
      <w:szCs w:val="21"/>
    </w:rPr>
  </w:style>
  <w:style w:type="paragraph" w:customStyle="1" w:styleId="91">
    <w:name w:val="正文样式1"/>
    <w:basedOn w:val="1"/>
    <w:qFormat/>
    <w:uiPriority w:val="0"/>
    <w:pPr>
      <w:spacing w:line="360" w:lineRule="auto"/>
      <w:ind w:firstLine="480" w:firstLineChars="200"/>
    </w:pPr>
    <w:rPr>
      <w:rFonts w:ascii="Times New Roman" w:hAnsi="Times New Roman" w:eastAsia="宋体" w:cs="宋体"/>
      <w:sz w:val="24"/>
      <w:szCs w:val="20"/>
    </w:rPr>
  </w:style>
  <w:style w:type="paragraph" w:customStyle="1" w:styleId="92">
    <w:name w:val="标题 #1"/>
    <w:basedOn w:val="76"/>
    <w:qFormat/>
    <w:uiPriority w:val="0"/>
    <w:pPr>
      <w:shd w:val="clear" w:color="auto" w:fill="FFFFFF"/>
      <w:spacing w:after="280"/>
      <w:jc w:val="center"/>
      <w:outlineLvl w:val="0"/>
    </w:pPr>
    <w:rPr>
      <w:rFonts w:ascii="MingLiU" w:hAnsi="MingLiU" w:eastAsia="MingLiU" w:cs="MingLiU"/>
      <w:sz w:val="46"/>
      <w:szCs w:val="46"/>
      <w:lang w:val="zh-CN" w:eastAsia="zh-CN" w:bidi="zh-CN"/>
    </w:rPr>
  </w:style>
  <w:style w:type="paragraph" w:customStyle="1" w:styleId="93">
    <w:name w:val="其他"/>
    <w:basedOn w:val="76"/>
    <w:qFormat/>
    <w:uiPriority w:val="0"/>
    <w:pPr>
      <w:shd w:val="clear" w:color="auto" w:fill="FFFFFF"/>
    </w:pPr>
    <w:rPr>
      <w:rFonts w:ascii="MingLiU" w:hAnsi="MingLiU" w:eastAsia="MingLiU" w:cs="MingLiU"/>
      <w:sz w:val="30"/>
      <w:szCs w:val="30"/>
      <w:lang w:val="zh-CN" w:eastAsia="zh-CN" w:bidi="zh-CN"/>
    </w:rPr>
  </w:style>
  <w:style w:type="paragraph" w:customStyle="1" w:styleId="94">
    <w:name w:val="Other|1"/>
    <w:basedOn w:val="1"/>
    <w:qFormat/>
    <w:uiPriority w:val="0"/>
    <w:pPr>
      <w:widowControl w:val="0"/>
      <w:shd w:val="clear" w:color="auto" w:fill="auto"/>
      <w:spacing w:line="386" w:lineRule="auto"/>
      <w:ind w:firstLine="400"/>
    </w:pPr>
    <w:rPr>
      <w:rFonts w:ascii="宋体" w:hAnsi="宋体" w:eastAsia="宋体" w:cs="宋体"/>
      <w:u w:val="none"/>
      <w:shd w:val="clear" w:color="auto" w:fill="auto"/>
      <w:lang w:val="zh-TW" w:eastAsia="zh-TW" w:bidi="zh-TW"/>
    </w:rPr>
  </w:style>
  <w:style w:type="paragraph" w:styleId="95">
    <w:name w:val="List Paragraph"/>
    <w:basedOn w:val="1"/>
    <w:qFormat/>
    <w:uiPriority w:val="1"/>
    <w:pPr>
      <w:spacing w:beforeLines="0" w:afterLines="0"/>
      <w:ind w:left="1301" w:hanging="601"/>
    </w:pPr>
    <w:rPr>
      <w:rFonts w:hint="eastAsia"/>
      <w:sz w:val="22"/>
      <w:szCs w:val="22"/>
    </w:rPr>
  </w:style>
  <w:style w:type="paragraph" w:customStyle="1" w:styleId="96">
    <w:name w:val="5 Char"/>
    <w:basedOn w:val="1"/>
    <w:qFormat/>
    <w:uiPriority w:val="0"/>
    <w:rPr>
      <w:sz w:val="24"/>
    </w:rPr>
  </w:style>
  <w:style w:type="paragraph" w:customStyle="1" w:styleId="97">
    <w:name w:val="BS 正文"/>
    <w:basedOn w:val="1"/>
    <w:qFormat/>
    <w:uiPriority w:val="0"/>
    <w:pPr>
      <w:wordWrap w:val="0"/>
      <w:spacing w:line="360" w:lineRule="auto"/>
      <w:ind w:firstLine="200" w:firstLineChars="200"/>
    </w:pPr>
  </w:style>
  <w:style w:type="paragraph" w:customStyle="1" w:styleId="98">
    <w:name w:val="BS 图表标题"/>
    <w:qFormat/>
    <w:uiPriority w:val="0"/>
    <w:pPr>
      <w:widowControl w:val="0"/>
      <w:autoSpaceDE w:val="0"/>
      <w:autoSpaceDN w:val="0"/>
      <w:adjustRightInd w:val="0"/>
      <w:jc w:val="center"/>
      <w:textAlignment w:val="baseline"/>
    </w:pPr>
    <w:rPr>
      <w:rFonts w:ascii="Times New Roman" w:hAnsi="Times New Roman" w:eastAsia="宋体" w:cs="Times New Roman"/>
      <w:b/>
      <w:kern w:val="2"/>
      <w:sz w:val="18"/>
      <w:szCs w:val="18"/>
      <w:lang w:val="en-US" w:eastAsia="zh-CN" w:bidi="ar-SA"/>
    </w:rPr>
  </w:style>
  <w:style w:type="paragraph" w:customStyle="1" w:styleId="99">
    <w:name w:val="报告表格"/>
    <w:basedOn w:val="1"/>
    <w:qFormat/>
    <w:uiPriority w:val="0"/>
    <w:pPr>
      <w:kinsoku w:val="0"/>
      <w:wordWrap w:val="0"/>
      <w:overflowPunct w:val="0"/>
      <w:autoSpaceDE w:val="0"/>
      <w:autoSpaceDN w:val="0"/>
      <w:adjustRightInd w:val="0"/>
      <w:jc w:val="center"/>
      <w:textAlignment w:val="baseline"/>
    </w:pPr>
    <w:rPr>
      <w:rFonts w:eastAsia="Traditional Arabic"/>
      <w:kern w:val="0"/>
      <w:sz w:val="18"/>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5.png"/><Relationship Id="rId3" Type="http://schemas.openxmlformats.org/officeDocument/2006/relationships/footer" Target="footer1.xml"/><Relationship Id="rId29" Type="http://schemas.openxmlformats.org/officeDocument/2006/relationships/image" Target="media/image14.emf"/><Relationship Id="rId28" Type="http://schemas.openxmlformats.org/officeDocument/2006/relationships/oleObject" Target="embeddings/oleObject7.bin"/><Relationship Id="rId27" Type="http://schemas.openxmlformats.org/officeDocument/2006/relationships/oleObject" Target="embeddings/oleObject6.bin"/><Relationship Id="rId26" Type="http://schemas.openxmlformats.org/officeDocument/2006/relationships/image" Target="media/image13.emf"/><Relationship Id="rId25" Type="http://schemas.openxmlformats.org/officeDocument/2006/relationships/oleObject" Target="embeddings/oleObject5.bin"/><Relationship Id="rId24" Type="http://schemas.openxmlformats.org/officeDocument/2006/relationships/image" Target="media/image12.emf"/><Relationship Id="rId23" Type="http://schemas.openxmlformats.org/officeDocument/2006/relationships/oleObject" Target="embeddings/oleObject4.bin"/><Relationship Id="rId22" Type="http://schemas.openxmlformats.org/officeDocument/2006/relationships/image" Target="media/image11.emf"/><Relationship Id="rId21" Type="http://schemas.openxmlformats.org/officeDocument/2006/relationships/oleObject" Target="embeddings/oleObject3.bin"/><Relationship Id="rId20" Type="http://schemas.openxmlformats.org/officeDocument/2006/relationships/image" Target="media/image10.e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9.emf"/><Relationship Id="rId17" Type="http://schemas.openxmlformats.org/officeDocument/2006/relationships/oleObject" Target="embeddings/oleObject1.bin"/><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43605</Words>
  <Characters>48024</Characters>
  <Lines>371</Lines>
  <Paragraphs>104</Paragraphs>
  <TotalTime>10</TotalTime>
  <ScaleCrop>false</ScaleCrop>
  <LinksUpToDate>false</LinksUpToDate>
  <CharactersWithSpaces>52879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2023-07-03T02:06:00Z</dcterms:created>
  <dc:creator>lhj</dc:creator>
  <cp:lastModifiedBy>周律</cp:lastModifiedBy>
  <cp:lastPrinted>2023-09-10T10:49:00Z</cp:lastPrinted>
  <dcterms:modified xsi:type="dcterms:W3CDTF">2023-12-27T07:17:59Z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D3CDA24ABF094A38AA1F3A2501E644A1</vt:lpwstr>
  </property>
</Properties>
</file>