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80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小标宋_GBK"/>
          <w:color w:val="000000"/>
          <w:sz w:val="40"/>
          <w:szCs w:val="40"/>
        </w:rPr>
        <w:t>行政许可事项实施规范</w:t>
      </w:r>
    </w:p>
    <w:p>
      <w:pPr>
        <w:spacing w:after="156" w:afterLines="50"/>
        <w:ind w:firstLine="640"/>
        <w:jc w:val="center"/>
        <w:outlineLvl w:val="0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（基本要素）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一、行政许可事项名称：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博物馆处理不够入藏标准、无保存价值的文物或标本审批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二、主管部门：</w:t>
      </w:r>
    </w:p>
    <w:p>
      <w:pPr>
        <w:ind w:firstLine="560"/>
        <w:outlineLvl w:val="1"/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省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  <w:t>文化和旅游厅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三、实施机关：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省文化和旅游厅、设区的市级、县级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  <w:t>文化和旅游</w:t>
      </w:r>
      <w:r>
        <w:rPr>
          <w:rFonts w:ascii="Times New Roman" w:hAnsi="Times New Roman" w:eastAsia="方正仿宋_GBK"/>
          <w:color w:val="000000"/>
          <w:sz w:val="28"/>
          <w:szCs w:val="28"/>
        </w:rPr>
        <w:t>部门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四、设定和实施依据：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《国务院对确需保留的行政审批项目设定行政许可的决定》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五、子项：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1.省级文物部门主管的博物馆处理不够入藏标准、无保存价值的文物或标本审批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2.设区的市级文物部门主管的博物馆处理不够入藏标准、无保存价值的文物或标本审批</w:t>
      </w:r>
    </w:p>
    <w:p>
      <w:pPr>
        <w:ind w:firstLine="560"/>
        <w:outlineLvl w:val="1"/>
        <w:rPr>
          <w:rFonts w:hint="eastAsia"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3.县级文物部门主管的博物馆处理不够入藏标准、无保存价值的文物或标本审批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F7A28D1"/>
    <w:rsid w:val="F4BF1AFC"/>
    <w:rsid w:val="FFCFB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未定义</cp:lastModifiedBy>
  <dcterms:modified xsi:type="dcterms:W3CDTF">2023-12-26T07:33:54Z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