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ind w:firstLine="800"/>
        <w:jc w:val="center"/>
        <w:outlineLvl w:val="0"/>
        <w:rPr>
          <w:rFonts w:ascii="Times New Roman" w:hAnsi="Times New Roman"/>
          <w:color w:val="000000"/>
          <w:sz w:val="28"/>
          <w:szCs w:val="28"/>
        </w:rPr>
      </w:pPr>
      <w:bookmarkStart w:id="0" w:name="_GoBack"/>
      <w:bookmarkEnd w:id="0"/>
      <w:r>
        <w:rPr>
          <w:rFonts w:ascii="Times New Roman" w:hAnsi="Times New Roman" w:eastAsia="方正小标宋_GBK"/>
          <w:color w:val="000000"/>
          <w:sz w:val="40"/>
          <w:szCs w:val="40"/>
        </w:rPr>
        <w:t>行政许可事项实施规范</w:t>
      </w:r>
    </w:p>
    <w:p>
      <w:pPr>
        <w:spacing w:after="156" w:afterLines="50"/>
        <w:ind w:firstLine="640"/>
        <w:jc w:val="center"/>
        <w:outlineLvl w:val="0"/>
        <w:rPr>
          <w:rFonts w:hint="eastAsia" w:ascii="Times New Roman" w:hAnsi="Times New Roman"/>
          <w:color w:val="000000"/>
          <w:sz w:val="28"/>
          <w:szCs w:val="28"/>
        </w:rPr>
      </w:pPr>
      <w:r>
        <w:rPr>
          <w:rFonts w:ascii="Times New Roman" w:hAnsi="Times New Roman" w:eastAsia="方正楷体_GBK"/>
          <w:color w:val="000000"/>
          <w:sz w:val="32"/>
          <w:szCs w:val="32"/>
        </w:rPr>
        <w:t>（基本要素）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一、行政许可事项名称：</w:t>
      </w:r>
    </w:p>
    <w:p>
      <w:pPr>
        <w:ind w:firstLine="560"/>
        <w:outlineLvl w:val="1"/>
        <w:rPr>
          <w:rFonts w:ascii="Times New Roman" w:hAnsi="Times New Roman" w:eastAsia="方正仿宋_GBK"/>
          <w:color w:val="000000"/>
          <w:sz w:val="28"/>
          <w:szCs w:val="28"/>
        </w:rPr>
      </w:pPr>
      <w:r>
        <w:rPr>
          <w:rFonts w:ascii="Times New Roman" w:hAnsi="Times New Roman" w:eastAsia="方正仿宋_GBK"/>
          <w:color w:val="000000"/>
          <w:sz w:val="28"/>
          <w:szCs w:val="28"/>
        </w:rPr>
        <w:t>非国有文物收藏单位和其他单位借用国有馆藏文物审批</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二、主管部门：</w:t>
      </w:r>
    </w:p>
    <w:p>
      <w:pPr>
        <w:ind w:firstLine="560"/>
        <w:outlineLvl w:val="1"/>
        <w:rPr>
          <w:rFonts w:hint="eastAsia" w:ascii="Times New Roman" w:hAnsi="Times New Roman" w:eastAsia="方正仿宋_GBK"/>
          <w:color w:val="000000"/>
          <w:sz w:val="28"/>
          <w:szCs w:val="28"/>
          <w:lang w:eastAsia="zh-CN"/>
        </w:rPr>
      </w:pPr>
      <w:r>
        <w:rPr>
          <w:rFonts w:ascii="Times New Roman" w:hAnsi="Times New Roman" w:eastAsia="方正仿宋_GBK"/>
          <w:color w:val="000000"/>
          <w:sz w:val="28"/>
          <w:szCs w:val="28"/>
        </w:rPr>
        <w:t>省</w:t>
      </w:r>
      <w:r>
        <w:rPr>
          <w:rFonts w:hint="eastAsia" w:ascii="Times New Roman" w:hAnsi="Times New Roman" w:eastAsia="方正仿宋_GBK"/>
          <w:color w:val="000000"/>
          <w:sz w:val="28"/>
          <w:szCs w:val="28"/>
          <w:lang w:eastAsia="zh-CN"/>
        </w:rPr>
        <w:t>文化和旅游厅</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三、实施机关：</w:t>
      </w:r>
    </w:p>
    <w:p>
      <w:pPr>
        <w:ind w:firstLine="560"/>
        <w:outlineLvl w:val="1"/>
        <w:rPr>
          <w:rFonts w:ascii="Times New Roman" w:hAnsi="Times New Roman" w:eastAsia="方正仿宋_GBK"/>
          <w:color w:val="000000"/>
          <w:sz w:val="28"/>
          <w:szCs w:val="28"/>
        </w:rPr>
      </w:pPr>
      <w:r>
        <w:rPr>
          <w:rFonts w:ascii="Times New Roman" w:hAnsi="Times New Roman" w:eastAsia="方正仿宋_GBK"/>
          <w:color w:val="000000"/>
          <w:sz w:val="28"/>
          <w:szCs w:val="28"/>
        </w:rPr>
        <w:t>省文化和旅游厅；设区的市级、县级文化和旅游部门</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四、设定和实施依据：</w:t>
      </w:r>
    </w:p>
    <w:p>
      <w:pPr>
        <w:ind w:firstLine="560"/>
        <w:outlineLvl w:val="1"/>
        <w:rPr>
          <w:rFonts w:ascii="Times New Roman" w:hAnsi="Times New Roman" w:eastAsia="方正仿宋_GBK"/>
          <w:color w:val="000000"/>
          <w:sz w:val="28"/>
          <w:szCs w:val="28"/>
        </w:rPr>
      </w:pPr>
      <w:r>
        <w:rPr>
          <w:rFonts w:ascii="Times New Roman" w:hAnsi="Times New Roman" w:eastAsia="方正仿宋_GBK"/>
          <w:color w:val="000000"/>
          <w:sz w:val="28"/>
          <w:szCs w:val="28"/>
        </w:rPr>
        <w:t>《中华人民共和国文物保护法》</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五、子项：</w:t>
      </w:r>
    </w:p>
    <w:p>
      <w:pPr>
        <w:ind w:firstLine="560"/>
        <w:outlineLvl w:val="1"/>
        <w:rPr>
          <w:rFonts w:ascii="Times New Roman" w:hAnsi="Times New Roman" w:eastAsia="方正仿宋_GBK"/>
          <w:color w:val="000000"/>
          <w:sz w:val="28"/>
          <w:szCs w:val="28"/>
        </w:rPr>
      </w:pPr>
      <w:r>
        <w:rPr>
          <w:rFonts w:ascii="Times New Roman" w:hAnsi="Times New Roman" w:eastAsia="方正仿宋_GBK"/>
          <w:color w:val="000000"/>
          <w:sz w:val="28"/>
          <w:szCs w:val="28"/>
        </w:rPr>
        <w:t>2.非国有文物收藏单位和其他单位借用省级文物部门主管的国有馆藏二级及以下文物审批</w:t>
      </w:r>
    </w:p>
    <w:p>
      <w:pPr>
        <w:ind w:firstLine="560"/>
        <w:outlineLvl w:val="1"/>
        <w:rPr>
          <w:rFonts w:ascii="Times New Roman" w:hAnsi="Times New Roman" w:eastAsia="方正仿宋_GBK"/>
          <w:color w:val="000000"/>
          <w:sz w:val="28"/>
          <w:szCs w:val="28"/>
        </w:rPr>
      </w:pPr>
      <w:r>
        <w:rPr>
          <w:rFonts w:ascii="Times New Roman" w:hAnsi="Times New Roman" w:eastAsia="方正仿宋_GBK"/>
          <w:color w:val="000000"/>
          <w:sz w:val="28"/>
          <w:szCs w:val="28"/>
        </w:rPr>
        <w:t>3.非国有文物收藏单位和其他单位借用设区的市级文物部门主管的国有馆藏二级及以下文物审批</w:t>
      </w:r>
    </w:p>
    <w:p>
      <w:pPr>
        <w:ind w:firstLine="560"/>
        <w:outlineLvl w:val="1"/>
        <w:rPr>
          <w:rFonts w:ascii="Times New Roman" w:hAnsi="Times New Roman" w:eastAsia="方正仿宋_GBK"/>
          <w:color w:val="000000"/>
          <w:sz w:val="28"/>
          <w:szCs w:val="28"/>
        </w:rPr>
      </w:pPr>
      <w:r>
        <w:rPr>
          <w:rFonts w:ascii="Times New Roman" w:hAnsi="Times New Roman" w:eastAsia="方正仿宋_GBK"/>
          <w:color w:val="000000"/>
          <w:sz w:val="28"/>
          <w:szCs w:val="28"/>
        </w:rPr>
        <w:t>4.非国有文物收藏单位和其他单位借用县级文物部门主管的国有馆藏二级及以下文物审批</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auto"/>
    <w:pitch w:val="default"/>
    <w:sig w:usb0="00000001" w:usb1="08000000" w:usb2="00000000" w:usb3="00000000" w:csb0="00040000" w:csb1="00000000"/>
  </w:font>
  <w:font w:name="方正楷体_GBK">
    <w:altName w:val="微软雅黑"/>
    <w:panose1 w:val="02000000000000000000"/>
    <w:charset w:val="86"/>
    <w:family w:val="auto"/>
    <w:pitch w:val="default"/>
    <w:sig w:usb0="00000001" w:usb1="08000000" w:usb2="00000000" w:usb3="00000000" w:csb0="00040000" w:csb1="00000000"/>
  </w:font>
  <w:font w:name="方正仿宋_GBK">
    <w:altName w:val="微软雅黑"/>
    <w:panose1 w:val="02000000000000000000"/>
    <w:charset w:val="86"/>
    <w:family w:val="script"/>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C66D5F"/>
    <w:rsid w:val="3EAB0813"/>
    <w:rsid w:val="6FAF4E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customStyle="1" w:styleId="2">
    <w:name w:val="正文2"/>
    <w:basedOn w:val="1"/>
    <w:next w:val="1"/>
    <w:qFormat/>
    <w:uiPriority w:val="0"/>
    <w:rPr>
      <w:rFonts w:ascii="仿宋_GB2312" w:eastAsia="仿宋_GB2312"/>
      <w:sz w:val="32"/>
      <w:szCs w:val="2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未定义</cp:lastModifiedBy>
  <dcterms:modified xsi:type="dcterms:W3CDTF">2023-12-26T07:32:20Z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