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县级文物保护单位修缮审批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【000168105004】</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不可移动文物修缮审批【00016810500Y】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县级文物保护单位修缮审批【000168105004】</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1.县级文物保护单位修缮审批(00016810500401)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（1）《中华人民共和国文物保护法》第八条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（2）《中华人民共和国文物保护法》第六十六条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（3）《文物保护工程管理办法》（文化部令第26号）第十条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县级文物保护单位及未核定为文物保护单位的不可移动文物修缮审批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文物保护工程必须遵守不改变文物原状的原则;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全面地保存、延续文物的真实历史信息和价值;</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按照国际、国内公认的准则，保护文物本体及与之相关的历史、人文和自然环境。</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（1）《中华人民共和国文物保护法》第二十一条第四款……对不可移动文物进行修缮、保养、迁移，必须遵守不改变文物原状的原则……。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三条文物保护工程必须遵守不改变文物原状的原则，全面地保存、延续文物的真实历史信息和价值;按照国际、国内公认的准则，保护文物本体及与之相关的历史、人文和自然环境。</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自然人,企业法人,事业单位法人,社会组织法人,非法人企业,行政机关,其他组织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1.加强对县级文物保护单位的巡查和日常监督管理，针对发现的普遍性和突出问题开展专项检查。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2.核查被许可人从事行政许可事项活动情况的有关材料及实施情况。</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3.依法及时处理投诉举报.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4.针对存在的问题，完善管理制度。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符合文物保护工程相关技术标准规范的修缮方案和工程设计资料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现场勘验（部分情况下开展）；</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专家评审；</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作出许可决定。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依法进行委托评估、专家评审另需时间不计算在该时限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ind w:firstLine="560"/>
        <w:outlineLvl w:val="1"/>
        <w:rPr>
          <w:rFonts w:hint="eastAsia" w:ascii="Times New Roman" w:hAnsi="Times New Roman" w:eastAsia="黑体"/>
          <w:color w:val="000000"/>
          <w:sz w:val="28"/>
          <w:szCs w:val="28"/>
        </w:rPr>
      </w:pPr>
      <w:r>
        <w:rPr>
          <w:rFonts w:ascii="Times New Roman" w:hAnsi="Times New Roman" w:eastAsia="黑体"/>
          <w:color w:val="000000"/>
          <w:sz w:val="28"/>
          <w:szCs w:val="28"/>
        </w:rPr>
        <w:t>十五、备注</w:t>
      </w:r>
    </w:p>
    <w:p>
      <w:pPr>
        <w:ind w:firstLine="420"/>
        <w:rPr>
          <w:rFonts w:ascii="Times New Roman" w:hAnsi="Times New Roman"/>
          <w:color w:val="000000"/>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3EAB0813"/>
    <w:rsid w:val="4B77ABA4"/>
    <w:rsid w:val="51AD7D58"/>
    <w:rsid w:val="5A3D3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983A1E1F08B74A6CB9FA506DE141D95A_12</vt:lpwstr>
  </property>
</Properties>
</file>