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80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小标宋_GBK"/>
          <w:color w:val="000000"/>
          <w:sz w:val="40"/>
          <w:szCs w:val="40"/>
        </w:rPr>
        <w:t>行政许可事项实施规范</w:t>
      </w:r>
    </w:p>
    <w:p>
      <w:pPr>
        <w:spacing w:after="156" w:afterLines="50"/>
        <w:ind w:firstLine="640"/>
        <w:jc w:val="center"/>
        <w:outlineLvl w:val="0"/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（基本要素）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一、行政许可事项名称：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互联网上网服务经营活动审批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二、主管部门：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省文化和旅游厅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三、实施机关：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县级文化和旅游部门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四、设定和实施依据：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《互联网上网服务营业场所管理条例》</w:t>
      </w:r>
    </w:p>
    <w:p>
      <w:pPr>
        <w:pStyle w:val="2"/>
        <w:ind w:firstLine="560" w:firstLineChars="200"/>
        <w:rPr>
          <w:rFonts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-SA"/>
        </w:rPr>
        <w:t>《云南省人民政府关于调整482项涉及省级行政权力事项的决定》（云政发〔2020〕16号）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五、子项：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1.内资从事互联网上网服务经营活动审批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2.外商、港澳台商从事互联网上网服务经营活动审批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D84DF"/>
    <w:rsid w:val="21954E69"/>
    <w:rsid w:val="3EAB0813"/>
    <w:rsid w:val="FFB933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未定义</cp:lastModifiedBy>
  <dcterms:modified xsi:type="dcterms:W3CDTF">2023-12-26T07:27:18Z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