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80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小标宋_GBK"/>
          <w:color w:val="000000"/>
          <w:sz w:val="40"/>
          <w:szCs w:val="40"/>
        </w:rPr>
        <w:t>行政许可事项实施规范</w:t>
      </w:r>
    </w:p>
    <w:p>
      <w:pPr>
        <w:spacing w:after="156" w:afterLines="50"/>
        <w:ind w:firstLine="640"/>
        <w:jc w:val="center"/>
        <w:outlineLvl w:val="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（基本要素）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一、行政许可事项名称：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营业性演出审批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二、主管部门：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省文化和旅游厅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三、实施机关：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省文化和旅游厅；县级文化和旅游部门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四、设定和实施依据：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《营业性演出管理条例》《营业性演出管理条例实施细则》（文化部令第47号公布，文化部令第57号修正）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五、子项：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1.举办内地营业性演出审批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2.举办涉外营业性演出审批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3.举办涉港澳营业性演出审批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4.举办涉台营业性演出审批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AB4670E"/>
    <w:rsid w:val="777F9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未定义</cp:lastModifiedBy>
  <dcterms:modified xsi:type="dcterms:W3CDTF">2023-12-26T07:19:16Z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