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sz w:val="44"/>
        </w:rPr>
      </w:pPr>
      <w:bookmarkStart w:id="16" w:name="_GoBack"/>
      <w:bookmarkEnd w:id="16"/>
      <w:bookmarkStart w:id="0" w:name="_Toc422302930"/>
      <w:bookmarkStart w:id="1" w:name="_Toc430182957"/>
    </w:p>
    <w:p>
      <w:pPr>
        <w:pStyle w:val="20"/>
        <w:rPr>
          <w:rFonts w:hint="eastAsia"/>
          <w:sz w:val="44"/>
        </w:rPr>
      </w:pPr>
    </w:p>
    <w:p>
      <w:pPr>
        <w:pStyle w:val="20"/>
        <w:spacing w:before="0" w:after="0" w:line="360" w:lineRule="auto"/>
        <w:rPr>
          <w:rFonts w:hint="eastAsia"/>
          <w:sz w:val="52"/>
        </w:rPr>
      </w:pPr>
      <w:r>
        <w:rPr>
          <w:rFonts w:hint="eastAsia"/>
          <w:sz w:val="52"/>
        </w:rPr>
        <w:t>建设项目环境影响报告表</w:t>
      </w:r>
    </w:p>
    <w:p>
      <w:pPr>
        <w:pStyle w:val="20"/>
        <w:spacing w:before="0" w:after="0" w:line="360" w:lineRule="auto"/>
        <w:rPr>
          <w:rFonts w:hint="eastAsia"/>
          <w:sz w:val="44"/>
        </w:rPr>
      </w:pPr>
      <w:r>
        <w:rPr>
          <w:rFonts w:hint="eastAsia"/>
          <w:sz w:val="44"/>
        </w:rPr>
        <w:t>（污染影响类）</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项目名称：</w:t>
      </w:r>
      <w:r>
        <w:rPr>
          <w:rFonts w:ascii="黑体" w:hAnsi="黑体" w:eastAsia="黑体"/>
          <w:color w:val="000000"/>
          <w:sz w:val="32"/>
          <w:u w:val="single"/>
        </w:rPr>
        <w:t>昆明合旺有色金属有限公司固体废物综合</w:t>
      </w:r>
      <w:r>
        <w:rPr>
          <w:rFonts w:hint="eastAsia" w:ascii="黑体" w:hAnsi="黑体" w:eastAsia="黑体"/>
          <w:color w:val="000000"/>
          <w:sz w:val="32"/>
          <w:u w:val="single"/>
        </w:rPr>
        <w:t xml:space="preserve"> </w:t>
      </w:r>
    </w:p>
    <w:p>
      <w:pPr>
        <w:spacing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w:t>
      </w:r>
      <w:r>
        <w:rPr>
          <w:rFonts w:ascii="黑体" w:hAnsi="黑体" w:eastAsia="黑体"/>
          <w:color w:val="000000"/>
          <w:sz w:val="32"/>
          <w:u w:val="single"/>
        </w:rPr>
        <w:t>利用项目</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建设单位：</w:t>
      </w:r>
      <w:r>
        <w:rPr>
          <w:rFonts w:ascii="黑体" w:hAnsi="黑体" w:eastAsia="黑体"/>
          <w:color w:val="000000"/>
          <w:sz w:val="32"/>
          <w:u w:val="single"/>
        </w:rPr>
        <w:t>昆明合旺有色金属有限公司</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rPr>
      </w:pPr>
      <w:r>
        <w:rPr>
          <w:rFonts w:hint="eastAsia" w:ascii="黑体" w:hAnsi="黑体" w:eastAsia="黑体"/>
          <w:color w:val="000000"/>
          <w:sz w:val="32"/>
        </w:rPr>
        <w:t xml:space="preserve">     编制日期：</w:t>
      </w:r>
      <w:r>
        <w:rPr>
          <w:rFonts w:hint="eastAsia" w:ascii="黑体" w:hAnsi="黑体" w:eastAsia="黑体"/>
          <w:color w:val="000000"/>
          <w:sz w:val="32"/>
          <w:u w:val="single"/>
        </w:rPr>
        <w:t xml:space="preserve">2023年12月                          </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pStyle w:val="20"/>
        <w:spacing w:before="0" w:after="0" w:line="360" w:lineRule="auto"/>
        <w:rPr>
          <w:rFonts w:hint="eastAsia"/>
          <w:sz w:val="28"/>
        </w:rPr>
      </w:pPr>
      <w:r>
        <w:rPr>
          <w:rFonts w:hint="eastAsia"/>
          <w:sz w:val="28"/>
        </w:rPr>
        <w:t>中华人民共和国生态环境部制</w:t>
      </w:r>
    </w:p>
    <w:p>
      <w:pPr>
        <w:rPr>
          <w:rFonts w:ascii="Times New Roman" w:hAnsi="Times New Roman" w:cs="Times New Roman"/>
          <w:b/>
          <w:color w:val="000000" w:themeColor="text1"/>
          <w:sz w:val="24"/>
        </w:rPr>
      </w:pPr>
    </w:p>
    <w:p>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目 录</w:t>
      </w:r>
    </w:p>
    <w:p>
      <w:pPr>
        <w:pStyle w:val="15"/>
        <w:tabs>
          <w:tab w:val="right" w:leader="dot" w:pos="8302"/>
        </w:tabs>
        <w:spacing w:line="360" w:lineRule="auto"/>
        <w:rPr>
          <w:rFonts w:ascii="Times New Roman" w:hAnsi="Times New Roman"/>
          <w:color w:val="000000" w:themeColor="text1"/>
          <w:kern w:val="2"/>
          <w:sz w:val="21"/>
          <w:szCs w:val="21"/>
        </w:rPr>
      </w:pPr>
      <w:r>
        <w:rPr>
          <w:rFonts w:ascii="Times New Roman" w:hAnsi="Times New Roman"/>
          <w:bCs/>
          <w:caps/>
          <w:color w:val="000000" w:themeColor="text1"/>
          <w:sz w:val="21"/>
          <w:szCs w:val="21"/>
        </w:rPr>
        <w:fldChar w:fldCharType="begin"/>
      </w:r>
      <w:r>
        <w:rPr>
          <w:rFonts w:ascii="Times New Roman" w:hAnsi="Times New Roman"/>
          <w:color w:val="000000" w:themeColor="text1"/>
          <w:sz w:val="21"/>
          <w:szCs w:val="21"/>
        </w:rPr>
        <w:instrText xml:space="preserve"> TOC \o "1-2" \h \z \u </w:instrText>
      </w:r>
      <w:r>
        <w:rPr>
          <w:rFonts w:ascii="Times New Roman" w:hAnsi="Times New Roman"/>
          <w:bCs/>
          <w:caps/>
          <w:color w:val="000000" w:themeColor="text1"/>
          <w:sz w:val="21"/>
          <w:szCs w:val="21"/>
        </w:rPr>
        <w:fldChar w:fldCharType="separate"/>
      </w:r>
      <w:r>
        <w:fldChar w:fldCharType="begin"/>
      </w:r>
      <w:r>
        <w:instrText xml:space="preserve"> HYPERLINK \l "_Toc151133518" </w:instrText>
      </w:r>
      <w:r>
        <w:fldChar w:fldCharType="separate"/>
      </w:r>
      <w:r>
        <w:rPr>
          <w:rStyle w:val="27"/>
          <w:rFonts w:ascii="Times New Roman" w:hAnsiTheme="minorEastAsia"/>
          <w:color w:val="000000" w:themeColor="text1"/>
          <w:sz w:val="21"/>
          <w:szCs w:val="21"/>
        </w:rPr>
        <w:t>一、建设项目基本情况</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_Toc151133518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3</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"_Toc151133519" </w:instrText>
      </w:r>
      <w:r>
        <w:fldChar w:fldCharType="separate"/>
      </w:r>
      <w:r>
        <w:rPr>
          <w:rStyle w:val="27"/>
          <w:rFonts w:ascii="Times New Roman" w:hAnsiTheme="minorEastAsia"/>
          <w:color w:val="000000" w:themeColor="text1"/>
          <w:sz w:val="21"/>
          <w:szCs w:val="21"/>
        </w:rPr>
        <w:t>二、建设项目工程分析</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_Toc151133519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30</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"_Toc151133520" </w:instrText>
      </w:r>
      <w:r>
        <w:fldChar w:fldCharType="separate"/>
      </w:r>
      <w:r>
        <w:rPr>
          <w:rStyle w:val="27"/>
          <w:rFonts w:ascii="Times New Roman" w:hAnsiTheme="minorEastAsia"/>
          <w:color w:val="000000" w:themeColor="text1"/>
          <w:sz w:val="21"/>
          <w:szCs w:val="21"/>
        </w:rPr>
        <w:t>三、区域环境质量现状、环境保护目标及评价标准</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_Toc151133520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69</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"_Toc151133521" </w:instrText>
      </w:r>
      <w:r>
        <w:fldChar w:fldCharType="separate"/>
      </w:r>
      <w:r>
        <w:rPr>
          <w:rStyle w:val="27"/>
          <w:rFonts w:ascii="Times New Roman" w:hAnsiTheme="minorEastAsia"/>
          <w:color w:val="000000" w:themeColor="text1"/>
          <w:sz w:val="21"/>
          <w:szCs w:val="21"/>
        </w:rPr>
        <w:t>四、主要环境影响和保护措施</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_Toc151133521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83</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"_Toc151133522" </w:instrText>
      </w:r>
      <w:r>
        <w:fldChar w:fldCharType="separate"/>
      </w:r>
      <w:r>
        <w:rPr>
          <w:rStyle w:val="27"/>
          <w:rFonts w:ascii="Times New Roman" w:hAnsiTheme="minorEastAsia"/>
          <w:color w:val="000000" w:themeColor="text1"/>
          <w:sz w:val="21"/>
          <w:szCs w:val="21"/>
        </w:rPr>
        <w:t>五、环境保护措施监督检查清单</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_Toc151133522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117</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"_Toc151133523" </w:instrText>
      </w:r>
      <w:r>
        <w:fldChar w:fldCharType="separate"/>
      </w:r>
      <w:r>
        <w:rPr>
          <w:rStyle w:val="27"/>
          <w:rFonts w:ascii="Times New Roman" w:hAnsiTheme="minorEastAsia"/>
          <w:color w:val="000000" w:themeColor="text1"/>
          <w:sz w:val="21"/>
          <w:szCs w:val="21"/>
        </w:rPr>
        <w:t>六、结论</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_Toc151133523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121</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"_Toc151133524" </w:instrText>
      </w:r>
      <w:r>
        <w:fldChar w:fldCharType="separate"/>
      </w:r>
      <w:r>
        <w:rPr>
          <w:rStyle w:val="27"/>
          <w:rFonts w:ascii="Times New Roman" w:hAnsiTheme="minorEastAsia"/>
          <w:color w:val="000000" w:themeColor="text1"/>
          <w:sz w:val="21"/>
          <w:szCs w:val="21"/>
        </w:rPr>
        <w:t>附表</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_Toc151133524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122</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Style w:val="27"/>
          <w:rFonts w:hAnsi="宋体" w:eastAsia="宋体"/>
          <w:color w:val="000000" w:themeColor="text1"/>
          <w:sz w:val="21"/>
          <w:szCs w:val="21"/>
        </w:rPr>
      </w:pPr>
      <w:r>
        <w:rPr>
          <w:rFonts w:ascii="Times New Roman" w:hAnsi="Times New Roman"/>
          <w:color w:val="000000" w:themeColor="text1"/>
          <w:sz w:val="21"/>
          <w:szCs w:val="21"/>
        </w:rPr>
        <w:fldChar w:fldCharType="end"/>
      </w:r>
      <w:bookmarkEnd w:id="0"/>
      <w:bookmarkEnd w:id="1"/>
    </w:p>
    <w:p>
      <w:pPr>
        <w:pStyle w:val="15"/>
        <w:tabs>
          <w:tab w:val="right" w:leader="dot" w:pos="8302"/>
        </w:tabs>
        <w:spacing w:after="0" w:line="360" w:lineRule="auto"/>
        <w:rPr>
          <w:rStyle w:val="27"/>
          <w:rFonts w:ascii="Times New Roman" w:hAnsi="Times New Roman" w:eastAsia="宋体"/>
          <w:b/>
          <w:color w:val="000000" w:themeColor="text1"/>
          <w:sz w:val="21"/>
          <w:szCs w:val="21"/>
          <w:u w:val="none"/>
        </w:rPr>
      </w:pPr>
      <w:r>
        <w:rPr>
          <w:rStyle w:val="27"/>
          <w:rFonts w:ascii="Times New Roman" w:hAnsi="Times New Roman" w:eastAsia="宋体"/>
          <w:b/>
          <w:color w:val="000000" w:themeColor="text1"/>
          <w:sz w:val="21"/>
          <w:szCs w:val="21"/>
          <w:u w:val="none"/>
        </w:rPr>
        <w:t>附图：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 xml:space="preserve">附图1 </w:t>
      </w:r>
      <w:r>
        <w:rPr>
          <w:rFonts w:hint="eastAsia" w:ascii="Times New Roman"/>
          <w:color w:val="000000" w:themeColor="text1"/>
          <w:kern w:val="2"/>
          <w:sz w:val="21"/>
        </w:rPr>
        <w:t xml:space="preserve"> </w:t>
      </w:r>
      <w:r>
        <w:rPr>
          <w:rFonts w:ascii="Times New Roman"/>
          <w:color w:val="000000" w:themeColor="text1"/>
          <w:kern w:val="2"/>
          <w:sz w:val="21"/>
        </w:rPr>
        <w:t>项目区地理位置图</w:t>
      </w:r>
    </w:p>
    <w:p>
      <w:pPr>
        <w:pStyle w:val="15"/>
        <w:tabs>
          <w:tab w:val="right" w:leader="dot" w:pos="8302"/>
        </w:tabs>
        <w:spacing w:after="0" w:line="360" w:lineRule="auto"/>
        <w:ind w:firstLine="210" w:firstLineChars="100"/>
        <w:jc w:val="both"/>
        <w:rPr>
          <w:rFonts w:hint="eastAsia" w:ascii="Times New Roman"/>
          <w:color w:val="000000" w:themeColor="text1"/>
          <w:kern w:val="2"/>
          <w:sz w:val="21"/>
        </w:rPr>
      </w:pPr>
      <w:r>
        <w:rPr>
          <w:rFonts w:hint="eastAsia" w:ascii="Times New Roman"/>
          <w:color w:val="000000" w:themeColor="text1"/>
          <w:kern w:val="2"/>
          <w:sz w:val="21"/>
        </w:rPr>
        <w:t>附图2  项目区总平面布置示意图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附图3  生产线区域平面布置示意图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附图4  项目环境保护目标分布图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附图5  项目区水文地质图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附图6  项目区域水系图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附图7  项目区监测点位示意图</w:t>
      </w:r>
    </w:p>
    <w:p>
      <w:pPr>
        <w:pStyle w:val="15"/>
        <w:tabs>
          <w:tab w:val="right" w:leader="dot" w:pos="8302"/>
        </w:tabs>
        <w:spacing w:after="0" w:line="360" w:lineRule="auto"/>
        <w:ind w:firstLine="210" w:firstLineChars="100"/>
        <w:jc w:val="both"/>
        <w:rPr>
          <w:rFonts w:hint="eastAsia" w:ascii="Times New Roman"/>
          <w:color w:val="000000" w:themeColor="text1"/>
          <w:kern w:val="2"/>
          <w:sz w:val="21"/>
        </w:rPr>
      </w:pPr>
      <w:r>
        <w:rPr>
          <w:rFonts w:hint="eastAsia" w:ascii="Times New Roman"/>
          <w:color w:val="000000" w:themeColor="text1"/>
          <w:kern w:val="2"/>
          <w:sz w:val="21"/>
        </w:rPr>
        <w:t>附图8  项目与园区规划位置关系示意图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附图9  项目土地利用规划图</w:t>
      </w:r>
    </w:p>
    <w:p>
      <w:pPr>
        <w:pStyle w:val="15"/>
        <w:tabs>
          <w:tab w:val="right" w:leader="dot" w:pos="8302"/>
        </w:tabs>
        <w:spacing w:after="0" w:line="360" w:lineRule="auto"/>
        <w:rPr>
          <w:rStyle w:val="27"/>
          <w:rFonts w:eastAsia="宋体"/>
          <w:b/>
          <w:color w:val="000000" w:themeColor="text1"/>
          <w:sz w:val="21"/>
          <w:szCs w:val="21"/>
          <w:u w:val="none"/>
        </w:rPr>
      </w:pPr>
      <w:r>
        <w:rPr>
          <w:rStyle w:val="27"/>
          <w:rFonts w:hint="eastAsia" w:eastAsia="宋体"/>
          <w:b/>
          <w:color w:val="000000" w:themeColor="text1"/>
          <w:sz w:val="21"/>
          <w:szCs w:val="21"/>
          <w:u w:val="none"/>
        </w:rPr>
        <w:t>附件：</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  委托书</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附件2 原环评批复</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附件3 投资备案证</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附件4 入园批复</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附件5 原料成分分析报告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附件6 次氧化锌生产线原料采购合同</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附件7 生物质燃料监测报告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附件8 现有次氧化锌生产线2023年自行检测报告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附件9 补充监测报告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附件10 营业执照</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附件11 规划审查意见</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附件12 全本信息公开表</w:t>
      </w: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pPr>
        <w:spacing w:line="360" w:lineRule="auto"/>
        <w:jc w:val="left"/>
        <w:outlineLvl w:val="0"/>
        <w:rPr>
          <w:rFonts w:ascii="Times New Roman" w:hAnsi="Times New Roman" w:cs="Times New Roman"/>
          <w:b/>
          <w:color w:val="000000" w:themeColor="text1"/>
          <w:sz w:val="28"/>
          <w:szCs w:val="20"/>
        </w:rPr>
      </w:pPr>
      <w:bookmarkStart w:id="2" w:name="_Toc151133518"/>
      <w:r>
        <w:rPr>
          <w:rFonts w:ascii="Times New Roman" w:hAnsi="Times New Roman" w:cs="Times New Roman"/>
          <w:b/>
          <w:color w:val="000000" w:themeColor="text1"/>
          <w:sz w:val="28"/>
          <w:szCs w:val="20"/>
        </w:rPr>
        <w:t>一、建设项目基本情况</w:t>
      </w:r>
      <w:bookmarkEnd w:id="2"/>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693"/>
        <w:gridCol w:w="2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昆明合旺有色金属有限公司固体废物综合利用项目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-89-01-</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刘</w:t>
            </w:r>
            <w:r>
              <w:rPr>
                <w:rFonts w:hint="eastAsia" w:ascii="Times New Roman" w:hAnsi="Times New Roman" w:cs="Times New Roman"/>
                <w:color w:val="000000" w:themeColor="text1"/>
                <w:sz w:val="24"/>
                <w:szCs w:val="24"/>
                <w:lang w:eastAsia="zh-CN"/>
              </w:rPr>
              <w:t>**</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2880" w:type="dxa"/>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136</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云南东川产业园区四方地片区昆明合旺有色金属有限公司厂区内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东经103°07'26.922"，北纬26°10'45.724"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7723 固体废物治理</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2880"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“四十七、生态保护和环境治理业”下“一般工业固体废物（含污水处理污泥）、建筑施工废弃物处置及综合利用”中“其他”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2880"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-89-01-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688.23</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20.024%</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w:t>
            </w:r>
            <w:r>
              <w:rPr>
                <w:rFonts w:hint="eastAsia" w:ascii="Times New Roman" w:hAnsi="Times New Roman" w:cs="Times New Roman"/>
                <w:color w:val="000000" w:themeColor="text1"/>
                <w:sz w:val="24"/>
                <w:szCs w:val="24"/>
              </w:rPr>
              <w:t>本项目属于重新环评项目，在本次评价前已</w:t>
            </w:r>
            <w:r>
              <w:rPr>
                <w:rFonts w:ascii="Times New Roman" w:hAnsi="Times New Roman" w:cs="Times New Roman"/>
                <w:color w:val="000000" w:themeColor="text1"/>
                <w:sz w:val="24"/>
                <w:szCs w:val="24"/>
              </w:rPr>
              <w:t>根据原环评及批复的内容建设了部分生产设施。</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15"/>
              <w:gridCol w:w="3743"/>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743"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本项目排放的大气污染物主要包括</w:t>
                  </w:r>
                  <w:r>
                    <w:rPr>
                      <w:rFonts w:hint="eastAsia"/>
                      <w:color w:val="000000" w:themeColor="text1"/>
                      <w:szCs w:val="21"/>
                    </w:rPr>
                    <w:t>烘干</w:t>
                  </w:r>
                  <w:r>
                    <w:rPr>
                      <w:color w:val="000000" w:themeColor="text1"/>
                      <w:szCs w:val="21"/>
                    </w:rPr>
                    <w:t>粉尘、</w:t>
                  </w:r>
                  <w:r>
                    <w:rPr>
                      <w:rFonts w:hint="eastAsia"/>
                      <w:color w:val="000000" w:themeColor="text1"/>
                      <w:szCs w:val="21"/>
                    </w:rPr>
                    <w:t>燃烧烟气（颗粒物、SO</w:t>
                  </w:r>
                  <w:r>
                    <w:rPr>
                      <w:rFonts w:hint="eastAsia"/>
                      <w:color w:val="000000" w:themeColor="text1"/>
                      <w:szCs w:val="21"/>
                      <w:vertAlign w:val="subscript"/>
                    </w:rPr>
                    <w:t>2</w:t>
                  </w:r>
                  <w:r>
                    <w:rPr>
                      <w:rFonts w:hint="eastAsia"/>
                      <w:color w:val="000000" w:themeColor="text1"/>
                      <w:szCs w:val="21"/>
                    </w:rPr>
                    <w:t>、NOx）</w:t>
                  </w:r>
                  <w:r>
                    <w:rPr>
                      <w:color w:val="000000" w:themeColor="text1"/>
                      <w:szCs w:val="21"/>
                    </w:rPr>
                    <w:t>；不含上述需设置大气专项评价的排放因子，因此不设置大气专项评价。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本项目产生的废水类型包括</w:t>
                  </w:r>
                  <w:r>
                    <w:rPr>
                      <w:rFonts w:hint="eastAsia"/>
                      <w:color w:val="000000" w:themeColor="text1"/>
                      <w:szCs w:val="21"/>
                    </w:rPr>
                    <w:t>生产废水、生活污水和初期雨水，生产废水处理后回用于生产，不外排，初期雨水收集后回用于洒水抑尘，不外排，生活污水经处理后</w:t>
                  </w:r>
                  <w:r>
                    <w:rPr>
                      <w:color w:val="000000" w:themeColor="text1"/>
                      <w:szCs w:val="21"/>
                    </w:rPr>
                    <w:t>通过园区污水管网进入四方地与碧谷园区污水处理厂处理。因此不设置地表水专项评价。</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本项目涉及的危险物质包括暂存的废机油，废机油最大储存量为0.08t（临界量为2500t）</w:t>
                  </w:r>
                  <w:r>
                    <w:rPr>
                      <w:rFonts w:hint="eastAsia"/>
                      <w:color w:val="000000" w:themeColor="text1"/>
                      <w:szCs w:val="21"/>
                    </w:rPr>
                    <w:t>，</w:t>
                  </w:r>
                  <w:r>
                    <w:rPr>
                      <w:color w:val="000000" w:themeColor="text1"/>
                      <w:szCs w:val="21"/>
                    </w:rPr>
                    <w:t>则未超过临界量，因此不需设置环境风险评价等级。</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743" w:type="dxa"/>
                  <w:vAlign w:val="center"/>
                </w:tcPr>
                <w:p>
                  <w:pPr>
                    <w:pStyle w:val="33"/>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15" w:type="dxa"/>
                  <w:vAlign w:val="center"/>
                </w:tcPr>
                <w:p>
                  <w:pPr>
                    <w:pStyle w:val="33"/>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w:t>
            </w:r>
            <w:r>
              <w:rPr>
                <w:rFonts w:hint="eastAsia" w:ascii="Times New Roman" w:hAnsi="Times New Roman" w:cs="Times New Roman"/>
                <w:color w:val="000000" w:themeColor="text1"/>
                <w:sz w:val="24"/>
                <w:szCs w:val="24"/>
              </w:rPr>
              <w:t>，2023年7月21日，昆明市人民政府下发了《关于云南东川产业园区总体规划修编（2021-2035年）的批复》（昆政复【2023】37号）</w:t>
            </w:r>
            <w:r>
              <w:rPr>
                <w:rFonts w:ascii="Times New Roman" w:hAnsi="Times New Roman" w:cs="Times New Roman"/>
                <w:color w:val="000000" w:themeColor="text1"/>
                <w:sz w:val="24"/>
                <w:szCs w:val="24"/>
              </w:rPr>
              <w:t>。根据《云南东川产业园区总体规划修编（2021-2035）》，园区空间布局为“一园三片区”， 规划总面积为1408.01hm²，其中项目所在的四方地片区面积为5.4699km²，四方地片区主导产业为：有色金属材料及稀贵金属材料、化工新材料、新型建材产业、新能源材料产业。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区管理委员会组织编制完成了《云南东川产业园区总体规划修编（2021-2035）环境影响报告书》；2022年10月19日，由昆明市生态环境局召集专家及有关部门代表对该规划环评进行审查，2023年5月4日，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hint="eastAsia" w:ascii="Times New Roman" w:hAnsi="宋体" w:eastAsia="宋体" w:cs="Times New Roman"/>
                <w:b/>
                <w:color w:val="000000" w:themeColor="text1"/>
                <w:sz w:val="24"/>
                <w:szCs w:val="24"/>
              </w:rPr>
              <w:t>园区</w:t>
            </w:r>
            <w:r>
              <w:rPr>
                <w:rFonts w:ascii="Times New Roman" w:hAnsi="Times New Roman" w:eastAsia="宋体" w:cs="Times New Roman"/>
                <w:b/>
                <w:color w:val="000000" w:themeColor="text1"/>
                <w:sz w:val="24"/>
                <w:szCs w:val="24"/>
              </w:rPr>
              <w:t>规划产业定位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项目拟选址区域属于云南东川产业园区四方地片区，根据《云南东川产业园区总体规划修编（2021-2035）》，四方地片区</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重点布局先进有色金属材料及稀贵金属材料、化工新材料产业。先进金属材料以铜基新材料为主，重点延伸有色金属冶炼及压延一体化产业链，发展电解铜等产品，拓展发展电线电缆、铜箔、铜带、专用铜材及铜基合金等加工</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稀贵金属材料以稀贵金属二次资源综合回收利用为重点，拓展发展电接触材料、键合材料、电子浆料、靶材等稀贵金属材料加工；化工新材料领域发展无机酸、无机盐制造为重点的磷化工、化工新材料产业；新能源材料。</w:t>
            </w:r>
            <w:r>
              <w:rPr>
                <w:rFonts w:hint="eastAsia" w:ascii="Times New Roman" w:hAnsi="Times New Roman" w:cs="Times New Roman"/>
                <w:color w:val="000000" w:themeColor="text1"/>
                <w:sz w:val="24"/>
                <w:szCs w:val="24"/>
              </w:rPr>
              <w:t>其</w:t>
            </w:r>
            <w:r>
              <w:rPr>
                <w:rFonts w:ascii="Times New Roman" w:hAnsi="Times New Roman" w:cs="Times New Roman"/>
                <w:color w:val="000000" w:themeColor="text1"/>
                <w:sz w:val="24"/>
                <w:szCs w:val="24"/>
              </w:rPr>
              <w:t>配套产业</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spacing w:line="360" w:lineRule="auto"/>
              <w:ind w:firstLine="482" w:firstLineChars="200"/>
              <w:rPr>
                <w:rFonts w:ascii="Times New Roman" w:hAnsi="宋体" w:eastAsia="宋体" w:cs="Times New Roman"/>
                <w:b/>
                <w:color w:val="000000" w:themeColor="text1"/>
                <w:sz w:val="24"/>
                <w:szCs w:val="24"/>
              </w:rPr>
            </w:pPr>
            <w:r>
              <w:rPr>
                <w:rFonts w:hint="eastAsia" w:ascii="Times New Roman" w:hAnsi="宋体" w:eastAsia="宋体" w:cs="Times New Roman"/>
                <w:b/>
                <w:color w:val="000000" w:themeColor="text1"/>
                <w:sz w:val="24"/>
                <w:szCs w:val="24"/>
              </w:rPr>
              <w:t>②规划环评审查意见的产业定位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规划环评审查意见的</w:t>
            </w:r>
            <w:r>
              <w:rPr>
                <w:rFonts w:ascii="Times New Roman" w:hAnsi="Times New Roman" w:cs="Times New Roman"/>
                <w:color w:val="000000" w:themeColor="text1"/>
                <w:sz w:val="24"/>
                <w:szCs w:val="24"/>
              </w:rPr>
              <w:t>园区产业定位</w:t>
            </w:r>
            <w:r>
              <w:rPr>
                <w:rFonts w:hint="eastAsia" w:ascii="Times New Roman" w:hAnsi="Times New Roman" w:cs="Times New Roman"/>
                <w:color w:val="000000" w:themeColor="text1"/>
                <w:sz w:val="24"/>
                <w:szCs w:val="24"/>
              </w:rPr>
              <w:t>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根据《云南东川产业园区总体规划修编（2021-2035）》</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4.8.</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现有企业与规划相符性</w:t>
            </w:r>
            <w:r>
              <w:rPr>
                <w:rFonts w:hint="eastAsia" w:ascii="Times New Roman" w:hAnsi="Times New Roman" w:cs="Times New Roman"/>
                <w:color w:val="000000" w:themeColor="text1"/>
                <w:sz w:val="24"/>
                <w:szCs w:val="24"/>
              </w:rPr>
              <w:t>分析”：建设单位所在的四方地片区</w:t>
            </w:r>
            <w:r>
              <w:rPr>
                <w:rFonts w:ascii="Times New Roman" w:hAnsi="Times New Roman" w:cs="Times New Roman"/>
                <w:color w:val="000000" w:themeColor="text1"/>
                <w:sz w:val="24"/>
                <w:szCs w:val="24"/>
              </w:rPr>
              <w:t>现状企业主要</w:t>
            </w:r>
            <w:r>
              <w:rPr>
                <w:rFonts w:hint="eastAsia" w:ascii="Times New Roman" w:hAnsi="Times New Roman" w:cs="Times New Roman"/>
                <w:color w:val="000000" w:themeColor="text1"/>
                <w:sz w:val="24"/>
                <w:szCs w:val="24"/>
              </w:rPr>
              <w:t>涉及行业</w:t>
            </w:r>
            <w:r>
              <w:rPr>
                <w:rFonts w:ascii="Times New Roman" w:hAnsi="Times New Roman" w:cs="Times New Roman"/>
                <w:color w:val="000000" w:themeColor="text1"/>
                <w:sz w:val="24"/>
                <w:szCs w:val="24"/>
              </w:rPr>
              <w:t>为</w:t>
            </w:r>
            <w:r>
              <w:rPr>
                <w:rFonts w:hint="eastAsia" w:ascii="Times New Roman" w:hAnsi="Times New Roman" w:cs="Times New Roman"/>
                <w:color w:val="000000" w:themeColor="text1"/>
                <w:sz w:val="24"/>
                <w:szCs w:val="24"/>
              </w:rPr>
              <w:t>有色金属冶炼和压延加工业、化学原料和化学制品制造业、非金属矿物制品业、食品制造业、废弃资源综合利用业、生态保护和环境治理业等6大行业，现有产业除一家食品制造企业以外，其他行业均与</w:t>
            </w:r>
            <w:r>
              <w:rPr>
                <w:rFonts w:ascii="Times New Roman" w:hAnsi="Times New Roman" w:cs="Times New Roman"/>
                <w:color w:val="000000" w:themeColor="text1"/>
                <w:sz w:val="24"/>
                <w:szCs w:val="24"/>
              </w:rPr>
              <w:t>本</w:t>
            </w:r>
            <w:r>
              <w:rPr>
                <w:rFonts w:hint="eastAsia" w:ascii="Times New Roman" w:hAnsi="Times New Roman" w:cs="Times New Roman"/>
                <w:color w:val="000000" w:themeColor="text1"/>
                <w:sz w:val="24"/>
                <w:szCs w:val="24"/>
              </w:rPr>
              <w:t>次总规的</w:t>
            </w:r>
            <w:r>
              <w:rPr>
                <w:rFonts w:ascii="Times New Roman" w:hAnsi="Times New Roman" w:cs="Times New Roman"/>
                <w:color w:val="000000" w:themeColor="text1"/>
                <w:sz w:val="24"/>
                <w:szCs w:val="24"/>
              </w:rPr>
              <w:t>规划产业布局</w:t>
            </w:r>
            <w:r>
              <w:rPr>
                <w:rFonts w:hint="eastAsia" w:ascii="Times New Roman" w:hAnsi="Times New Roman" w:cs="Times New Roman"/>
                <w:color w:val="000000" w:themeColor="text1"/>
                <w:sz w:val="24"/>
                <w:szCs w:val="24"/>
              </w:rPr>
              <w:t>中四方地片区</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。因此</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现有项目（</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次氧化锌生产线）符合园区规划</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，同时，该企业不在现有不合规企业退出园区名单内。</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根据项目建设由来可知，本项目主要对厂区次氧化锌生产线产生的水淬渣进行资源综合利用，是属于规划配套产业中的“</w:t>
            </w:r>
            <w:r>
              <w:rPr>
                <w:rFonts w:ascii="Times New Roman" w:hAnsi="Times New Roman" w:cs="Times New Roman"/>
                <w:color w:val="000000" w:themeColor="text1"/>
                <w:sz w:val="24"/>
                <w:szCs w:val="24"/>
              </w:rPr>
              <w:t>新型建材领域加大尾矿、冶炼渣、磷石膏等大宗固体废弃物资源综合利用（含再生纸回收利用）</w:t>
            </w:r>
            <w:r>
              <w:rPr>
                <w:rFonts w:hint="eastAsia" w:ascii="Times New Roman" w:hAnsi="Times New Roman" w:cs="Times New Roman"/>
                <w:color w:val="000000" w:themeColor="text1"/>
                <w:sz w:val="24"/>
                <w:szCs w:val="24"/>
              </w:rPr>
              <w:t>”范畴。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综上，本项目符合云南东川产业园区四方地片区的产业定位。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①与园区规划环境影响评价结论的符合性分析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，本项目与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 xml:space="preserve">1-2 </w:t>
            </w:r>
            <w:r>
              <w:rPr>
                <w:rFonts w:ascii="Times New Roman" w:cs="Times New Roman"/>
                <w:b/>
                <w:color w:val="000000" w:themeColor="text1"/>
              </w:rPr>
              <w:t>与园区规划环评结论符合性分析一览表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168"/>
              <w:gridCol w:w="3278"/>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要求</w:t>
                  </w:r>
                </w:p>
              </w:tc>
              <w:tc>
                <w:tcPr>
                  <w:tcW w:w="416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规划环评</w:t>
                  </w:r>
                  <w:r>
                    <w:rPr>
                      <w:rFonts w:hint="eastAsia" w:eastAsiaTheme="minorEastAsia"/>
                      <w:color w:val="000000" w:themeColor="text1"/>
                      <w:szCs w:val="21"/>
                    </w:rPr>
                    <w:t>结论</w:t>
                  </w:r>
                  <w:r>
                    <w:rPr>
                      <w:rFonts w:eastAsiaTheme="minorEastAsia"/>
                      <w:color w:val="000000" w:themeColor="text1"/>
                      <w:szCs w:val="21"/>
                    </w:rPr>
                    <w:t>要求</w:t>
                  </w:r>
                </w:p>
              </w:tc>
              <w:tc>
                <w:tcPr>
                  <w:tcW w:w="3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2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000000" w:themeColor="text1"/>
                      <w:szCs w:val="21"/>
                    </w:rPr>
                    <w:t>；</w:t>
                  </w:r>
                  <w:r>
                    <w:rPr>
                      <w:color w:val="000000" w:themeColor="text1"/>
                      <w:szCs w:val="21"/>
                    </w:rPr>
                    <w:t>涉重金属重点行业实行重金属污染物“减量削减”，削减比例不得低于1.2</w:t>
                  </w:r>
                  <w:r>
                    <w:rPr>
                      <w:rFonts w:hint="eastAsia"/>
                      <w:color w:val="000000" w:themeColor="text1"/>
                      <w:szCs w:val="21"/>
                    </w:rPr>
                    <w:t>：</w:t>
                  </w:r>
                  <w:r>
                    <w:rPr>
                      <w:color w:val="000000" w:themeColor="text1"/>
                      <w:szCs w:val="21"/>
                    </w:rPr>
                    <w:t>1，铅锌冶炼和铜冶炼企业须执行颗粒物和重点重金属污染物特别排放限值。</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本项目主要对厂区次氧化锌生产线产生的水淬渣进行资源综合利用，属于一般工业固体废物综合利用项目，不属于</w:t>
                  </w:r>
                  <w:r>
                    <w:rPr>
                      <w:color w:val="000000" w:themeColor="text1"/>
                      <w:szCs w:val="21"/>
                    </w:rPr>
                    <w:t>有色金属冶炼、化工、建材等“两高”行业</w:t>
                  </w:r>
                  <w:r>
                    <w:rPr>
                      <w:rFonts w:hint="eastAsia"/>
                      <w:color w:val="000000" w:themeColor="text1"/>
                      <w:szCs w:val="21"/>
                    </w:rPr>
                    <w:t>，因此不需要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；本项目主要污染物为颗粒物、SO</w:t>
                  </w:r>
                  <w:r>
                    <w:rPr>
                      <w:rFonts w:hint="eastAsia"/>
                      <w:color w:val="000000" w:themeColor="text1"/>
                      <w:szCs w:val="21"/>
                      <w:vertAlign w:val="subscript"/>
                    </w:rPr>
                    <w:t>2</w:t>
                  </w:r>
                  <w:r>
                    <w:rPr>
                      <w:rFonts w:hint="eastAsia"/>
                      <w:color w:val="000000" w:themeColor="text1"/>
                      <w:szCs w:val="21"/>
                    </w:rPr>
                    <w:t>、NOx，项目已取得总量控制指标。</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000000" w:themeColor="text1"/>
                      <w:szCs w:val="21"/>
                    </w:rPr>
                    <w:t>。</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Cs w:val="21"/>
                    </w:rPr>
                    <w:t>云南东川产业园区四方地片区昆明合旺有色金属有限公司厂区内</w:t>
                  </w:r>
                  <w:r>
                    <w:rPr>
                      <w:rFonts w:hint="eastAsia"/>
                      <w:color w:val="000000" w:themeColor="text1"/>
                      <w:szCs w:val="21"/>
                    </w:rPr>
                    <w:t>，不涉及</w:t>
                  </w:r>
                  <w:r>
                    <w:rPr>
                      <w:color w:val="000000" w:themeColor="text1"/>
                      <w:szCs w:val="21"/>
                    </w:rPr>
                    <w:t>碧谷片区</w:t>
                  </w:r>
                  <w:r>
                    <w:rPr>
                      <w:rFonts w:hint="eastAsia"/>
                      <w:color w:val="000000" w:themeColor="text1"/>
                      <w:szCs w:val="21"/>
                    </w:rPr>
                    <w:t>。</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本项目主要污染物为颗粒物、SO</w:t>
                  </w:r>
                  <w:r>
                    <w:rPr>
                      <w:rFonts w:hint="eastAsia"/>
                      <w:color w:val="000000" w:themeColor="text1"/>
                      <w:szCs w:val="21"/>
                      <w:vertAlign w:val="subscript"/>
                    </w:rPr>
                    <w:t>2</w:t>
                  </w:r>
                  <w:r>
                    <w:rPr>
                      <w:rFonts w:hint="eastAsia"/>
                      <w:color w:val="000000" w:themeColor="text1"/>
                      <w:szCs w:val="21"/>
                    </w:rPr>
                    <w:t>、NOx，项目已取得总量控制指标，符合</w:t>
                  </w:r>
                  <w:r>
                    <w:rPr>
                      <w:color w:val="000000" w:themeColor="text1"/>
                      <w:szCs w:val="21"/>
                    </w:rPr>
                    <w:t>《东川区主要污染物区域削减方案（2021~2025年）》</w:t>
                  </w:r>
                  <w:r>
                    <w:rPr>
                      <w:rFonts w:hint="eastAsia"/>
                      <w:color w:val="000000" w:themeColor="text1"/>
                      <w:szCs w:val="21"/>
                    </w:rPr>
                    <w:t>的要求。</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4168" w:type="dxa"/>
                  <w:vAlign w:val="center"/>
                </w:tcPr>
                <w:p>
                  <w:pPr>
                    <w:pStyle w:val="33"/>
                    <w:spacing w:line="360" w:lineRule="exact"/>
                    <w:ind w:firstLine="200" w:firstLineChars="100"/>
                    <w:jc w:val="both"/>
                    <w:rPr>
                      <w:color w:val="000000" w:themeColor="text1"/>
                      <w:sz w:val="20"/>
                      <w:szCs w:val="21"/>
                    </w:rPr>
                  </w:pPr>
                  <w:r>
                    <w:rPr>
                      <w:color w:val="000000" w:themeColor="text1"/>
                      <w:sz w:val="20"/>
                      <w:szCs w:val="21"/>
                    </w:rPr>
                    <w:t>将产业园区划分为重点保护区、重点控制区、其他区域三类，对其实施分级管控；</w:t>
                  </w:r>
                  <w:r>
                    <w:rPr>
                      <w:rFonts w:hint="eastAsia"/>
                      <w:color w:val="000000" w:themeColor="text1"/>
                      <w:sz w:val="20"/>
                      <w:szCs w:val="21"/>
                    </w:rPr>
                    <w:t>具体如下：</w:t>
                  </w:r>
                </w:p>
                <w:p>
                  <w:pPr>
                    <w:pStyle w:val="33"/>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在重点保护区内应严格管控项目的入驻，加强对洗马塘2#泉点、小新街1#泉点、小新街2#泉点、小龙潭村泉点、大龙潭村泉点等的保护。</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33"/>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在其他区域内可引导项目入驻，但入驻企业仍须做好厂区的污染防渗措施。</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根据对照规划环评分析，本项目位于</w:t>
                  </w:r>
                  <w:r>
                    <w:rPr>
                      <w:color w:val="000000" w:themeColor="text1"/>
                      <w:sz w:val="20"/>
                      <w:szCs w:val="21"/>
                    </w:rPr>
                    <w:t>云南东川产业园区四方地片区昆明合旺有色金属有限公司厂区内</w:t>
                  </w:r>
                  <w:r>
                    <w:rPr>
                      <w:rFonts w:hint="eastAsia"/>
                      <w:color w:val="000000" w:themeColor="text1"/>
                      <w:sz w:val="20"/>
                      <w:szCs w:val="21"/>
                    </w:rPr>
                    <w:t>，该区域属于重点控制区域，</w:t>
                  </w:r>
                  <w:r>
                    <w:rPr>
                      <w:rFonts w:hint="eastAsia"/>
                      <w:color w:val="000000" w:themeColor="text1"/>
                      <w:szCs w:val="21"/>
                    </w:rPr>
                    <w:t>项目不使用地下水，不涉及</w:t>
                  </w:r>
                  <w:r>
                    <w:rPr>
                      <w:color w:val="000000" w:themeColor="text1"/>
                      <w:szCs w:val="21"/>
                    </w:rPr>
                    <w:t>《地下水管理条例》（2021年）的相关规定要求</w:t>
                  </w:r>
                  <w:r>
                    <w:rPr>
                      <w:rFonts w:hint="eastAsia"/>
                      <w:color w:val="000000" w:themeColor="text1"/>
                      <w:szCs w:val="21"/>
                    </w:rPr>
                    <w:t>；</w:t>
                  </w:r>
                  <w:r>
                    <w:rPr>
                      <w:rFonts w:hint="eastAsia"/>
                      <w:color w:val="000000" w:themeColor="text1"/>
                      <w:sz w:val="20"/>
                      <w:szCs w:val="21"/>
                    </w:rPr>
                    <w:t>项目将严格</w:t>
                  </w:r>
                  <w:r>
                    <w:rPr>
                      <w:rFonts w:hint="eastAsia"/>
                      <w:color w:val="000000" w:themeColor="text1"/>
                      <w:szCs w:val="21"/>
                    </w:rPr>
                    <w:t>执行</w:t>
                  </w:r>
                  <w:r>
                    <w:rPr>
                      <w:color w:val="000000" w:themeColor="text1"/>
                      <w:sz w:val="20"/>
                      <w:szCs w:val="21"/>
                    </w:rPr>
                    <w:t>《危险废物贮存污染控制标准》（GB</w:t>
                  </w:r>
                  <w:r>
                    <w:rPr>
                      <w:rFonts w:hint="eastAsia"/>
                      <w:color w:val="000000" w:themeColor="text1"/>
                      <w:sz w:val="20"/>
                      <w:szCs w:val="21"/>
                      <w:lang w:eastAsia="zh-CN"/>
                    </w:rPr>
                    <w:t>*****</w:t>
                  </w:r>
                  <w:r>
                    <w:rPr>
                      <w:color w:val="000000" w:themeColor="text1"/>
                      <w:sz w:val="20"/>
                      <w:szCs w:val="21"/>
                    </w:rPr>
                    <w:t>-2023）</w:t>
                  </w:r>
                  <w:r>
                    <w:rPr>
                      <w:rFonts w:hint="eastAsia"/>
                      <w:color w:val="000000" w:themeColor="text1"/>
                      <w:sz w:val="20"/>
                      <w:szCs w:val="21"/>
                    </w:rPr>
                    <w:t>的要求，采取分区防渗措施。</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w:t>
                  </w:r>
                </w:p>
              </w:tc>
              <w:tc>
                <w:tcPr>
                  <w:tcW w:w="4168" w:type="dxa"/>
                  <w:vAlign w:val="center"/>
                </w:tcPr>
                <w:p>
                  <w:pPr>
                    <w:pStyle w:val="33"/>
                    <w:spacing w:line="360" w:lineRule="exact"/>
                    <w:ind w:firstLine="200" w:firstLineChars="100"/>
                    <w:jc w:val="both"/>
                    <w:rPr>
                      <w:color w:val="000000" w:themeColor="text1"/>
                      <w:szCs w:val="21"/>
                    </w:rPr>
                  </w:pPr>
                  <w:r>
                    <w:rPr>
                      <w:color w:val="000000" w:themeColor="text1"/>
                      <w:sz w:val="20"/>
                      <w:szCs w:val="21"/>
                    </w:rPr>
                    <w:t>建议园区入园项目避开河道管理范围，并根据河道管理的相关要求，开展涉河项目洪水影响评价，并征求水务部门的意见，满足《昆明市河道管理条例》的要求。</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 w:val="20"/>
                      <w:szCs w:val="21"/>
                    </w:rPr>
                    <w:t>云南东川产业园区四方地片区昆明合旺有色金属有限公司厂区内</w:t>
                  </w:r>
                  <w:r>
                    <w:rPr>
                      <w:rFonts w:hint="eastAsia"/>
                      <w:color w:val="000000" w:themeColor="text1"/>
                      <w:sz w:val="20"/>
                      <w:szCs w:val="21"/>
                    </w:rPr>
                    <w:t>，</w:t>
                  </w:r>
                  <w:r>
                    <w:rPr>
                      <w:rFonts w:hint="eastAsia"/>
                      <w:color w:val="000000" w:themeColor="text1"/>
                      <w:szCs w:val="21"/>
                    </w:rPr>
                    <w:t>不涉及</w:t>
                  </w:r>
                  <w:r>
                    <w:rPr>
                      <w:color w:val="000000" w:themeColor="text1"/>
                      <w:sz w:val="20"/>
                      <w:szCs w:val="21"/>
                    </w:rPr>
                    <w:t>河道管理范围</w:t>
                  </w:r>
                  <w:r>
                    <w:rPr>
                      <w:rFonts w:hint="eastAsia"/>
                      <w:color w:val="000000" w:themeColor="text1"/>
                      <w:sz w:val="20"/>
                      <w:szCs w:val="21"/>
                    </w:rPr>
                    <w:t>。</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由上表可知，本项目建设符合</w:t>
            </w:r>
            <w:r>
              <w:rPr>
                <w:color w:val="000000" w:themeColor="text1"/>
                <w:sz w:val="24"/>
              </w:rPr>
              <w:t>规划环评结论</w:t>
            </w:r>
            <w:r>
              <w:rPr>
                <w:rFonts w:hint="eastAsia"/>
                <w:color w:val="000000" w:themeColor="text1"/>
                <w:sz w:val="24"/>
              </w:rPr>
              <w:t>的相关要求。</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②</w:t>
            </w:r>
            <w:r>
              <w:rPr>
                <w:b/>
                <w:color w:val="000000" w:themeColor="text1"/>
                <w:sz w:val="24"/>
              </w:rPr>
              <w:t>入驻项目</w:t>
            </w:r>
            <w:r>
              <w:rPr>
                <w:rFonts w:ascii="Times New Roman" w:hAnsi="Times New Roman" w:cs="Times New Roman"/>
                <w:b/>
                <w:color w:val="000000" w:themeColor="text1"/>
                <w:sz w:val="24"/>
              </w:rPr>
              <w:t>与</w:t>
            </w:r>
            <w:r>
              <w:rPr>
                <w:rFonts w:hint="eastAsia"/>
                <w:b/>
                <w:color w:val="000000" w:themeColor="text1"/>
                <w:sz w:val="24"/>
              </w:rPr>
              <w:t>园区规划</w:t>
            </w:r>
            <w:r>
              <w:rPr>
                <w:b/>
                <w:color w:val="000000" w:themeColor="text1"/>
                <w:sz w:val="24"/>
              </w:rPr>
              <w:t>环境准入负面清单</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，本项目与</w:t>
            </w:r>
            <w:r>
              <w:rPr>
                <w:rFonts w:hint="eastAsia"/>
                <w:color w:val="000000" w:themeColor="text1"/>
                <w:sz w:val="24"/>
              </w:rPr>
              <w:t>园区规划</w:t>
            </w:r>
            <w:r>
              <w:rPr>
                <w:color w:val="000000" w:themeColor="text1"/>
                <w:sz w:val="24"/>
              </w:rPr>
              <w:t>环境准入负面清单</w:t>
            </w:r>
            <w:r>
              <w:rPr>
                <w:rFonts w:ascii="Times New Roman" w:hAnsi="Times New Roman" w:cs="Times New Roman"/>
                <w:color w:val="000000" w:themeColor="text1"/>
                <w:sz w:val="24"/>
              </w:rPr>
              <w:t>的符合性分析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w:t>
            </w:r>
            <w:r>
              <w:rPr>
                <w:rFonts w:hint="eastAsia"/>
                <w:b/>
                <w:color w:val="000000" w:themeColor="text1"/>
              </w:rPr>
              <w:t>园区规划</w:t>
            </w:r>
            <w:r>
              <w:rPr>
                <w:b/>
                <w:color w:val="000000" w:themeColor="text1"/>
              </w:rPr>
              <w:t>环境准入负面清单</w:t>
            </w:r>
            <w:r>
              <w:rPr>
                <w:rFonts w:ascii="Times New Roman" w:hAnsi="Times New Roman" w:cs="Times New Roman"/>
                <w:b/>
                <w:color w:val="000000" w:themeColor="text1"/>
              </w:rPr>
              <w:t>的符合性</w:t>
            </w:r>
            <w:r>
              <w:rPr>
                <w:rFonts w:ascii="Times New Roman" w:cs="Times New Roman"/>
                <w:b/>
                <w:color w:val="000000" w:themeColor="text1"/>
              </w:rPr>
              <w:t>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577"/>
              <w:gridCol w:w="3865"/>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要求</w:t>
                  </w:r>
                </w:p>
              </w:tc>
              <w:tc>
                <w:tcPr>
                  <w:tcW w:w="35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 w:val="20"/>
                      <w:szCs w:val="21"/>
                    </w:rPr>
                    <w:t>规划</w:t>
                  </w:r>
                  <w:r>
                    <w:rPr>
                      <w:rFonts w:eastAsiaTheme="minorEastAsia"/>
                      <w:color w:val="000000" w:themeColor="text1"/>
                      <w:sz w:val="20"/>
                      <w:szCs w:val="21"/>
                    </w:rPr>
                    <w:t>环境准入负面清单</w:t>
                  </w:r>
                </w:p>
              </w:tc>
              <w:tc>
                <w:tcPr>
                  <w:tcW w:w="38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1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不符合园区规划产业的项目</w:t>
                  </w:r>
                </w:p>
              </w:tc>
              <w:tc>
                <w:tcPr>
                  <w:tcW w:w="3826" w:type="dxa"/>
                  <w:vAlign w:val="center"/>
                </w:tcPr>
                <w:p>
                  <w:pPr>
                    <w:pStyle w:val="33"/>
                    <w:spacing w:line="360" w:lineRule="exact"/>
                    <w:ind w:firstLine="200" w:firstLineChars="100"/>
                    <w:jc w:val="both"/>
                    <w:rPr>
                      <w:color w:val="000000" w:themeColor="text1"/>
                      <w:szCs w:val="21"/>
                    </w:rPr>
                  </w:pPr>
                  <w:r>
                    <w:rPr>
                      <w:rFonts w:hint="eastAsia"/>
                      <w:color w:val="000000" w:themeColor="text1"/>
                      <w:sz w:val="20"/>
                      <w:szCs w:val="21"/>
                    </w:rPr>
                    <w:t>本项目主要对厂区次氧化锌生产线产生的水淬渣进行资源综合利用，是属于规划配套产业中的“</w:t>
                  </w:r>
                  <w:r>
                    <w:rPr>
                      <w:color w:val="000000" w:themeColor="text1"/>
                      <w:sz w:val="20"/>
                      <w:szCs w:val="21"/>
                    </w:rPr>
                    <w:t>新型建材领域加大尾矿、冶炼渣、磷石膏等大宗固体废弃物资源综合利用（含再生纸回收利用）</w:t>
                  </w:r>
                  <w:r>
                    <w:rPr>
                      <w:rFonts w:hint="eastAsia"/>
                      <w:color w:val="000000" w:themeColor="text1"/>
                      <w:sz w:val="20"/>
                      <w:szCs w:val="21"/>
                    </w:rPr>
                    <w:t>”范畴。</w:t>
                  </w:r>
                  <w:r>
                    <w:rPr>
                      <w:color w:val="000000" w:themeColor="text1"/>
                      <w:sz w:val="20"/>
                      <w:szCs w:val="21"/>
                    </w:rPr>
                    <w:t>符合云南东川产业园区四方地片区的产业定位。</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826"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本项目属于</w:t>
                  </w:r>
                  <w:r>
                    <w:rPr>
                      <w:color w:val="000000" w:themeColor="text1"/>
                      <w:szCs w:val="21"/>
                    </w:rPr>
                    <w:t>《产业结构调整指导目录（2019 年本）》</w:t>
                  </w:r>
                  <w:r>
                    <w:rPr>
                      <w:rFonts w:hint="eastAsia"/>
                      <w:color w:val="000000" w:themeColor="text1"/>
                      <w:szCs w:val="21"/>
                    </w:rPr>
                    <w:t>鼓励类项目，不属于</w:t>
                  </w:r>
                  <w:r>
                    <w:rPr>
                      <w:color w:val="000000" w:themeColor="text1"/>
                      <w:szCs w:val="21"/>
                    </w:rPr>
                    <w:t>《产业结构调整指导目录（2019 年本）》、《云南省工业产业结构调整指导目录（2006 年本）》、《外商投资产业指导目录（2015 修订）》、《产业转移指导目录（2012 年本）》等文件中淘汰类的项目</w:t>
                  </w:r>
                  <w:r>
                    <w:rPr>
                      <w:rFonts w:hint="eastAsia"/>
                      <w:color w:val="000000" w:themeColor="text1"/>
                      <w:szCs w:val="21"/>
                    </w:rPr>
                    <w:t>；不属于</w:t>
                  </w:r>
                  <w:r>
                    <w:rPr>
                      <w:color w:val="000000" w:themeColor="text1"/>
                      <w:szCs w:val="21"/>
                    </w:rPr>
                    <w:t>《环境保护综合名录（2021 年版）》中高风险高污染行业</w:t>
                  </w:r>
                  <w:r>
                    <w:rPr>
                      <w:rFonts w:hint="eastAsia"/>
                      <w:color w:val="000000" w:themeColor="text1"/>
                      <w:szCs w:val="21"/>
                    </w:rPr>
                    <w:t>；不属于</w:t>
                  </w:r>
                  <w:r>
                    <w:rPr>
                      <w:color w:val="000000" w:themeColor="text1"/>
                      <w:szCs w:val="21"/>
                    </w:rPr>
                    <w:t>《工商投资领域制止重复建设目录》、《禁止外商投资产业目录》、《严重污染环境的淘汰工艺与设备名录》</w:t>
                  </w:r>
                  <w:r>
                    <w:rPr>
                      <w:rFonts w:hint="eastAsia"/>
                      <w:color w:val="000000" w:themeColor="text1"/>
                      <w:szCs w:val="21"/>
                    </w:rPr>
                    <w:t>。</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单位产值水耗、能耗、污染物产生和排放量等清洁生产指标低于国内平均水平的产业（项目）</w:t>
                  </w:r>
                </w:p>
              </w:tc>
              <w:tc>
                <w:tcPr>
                  <w:tcW w:w="3826"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本项目使用生物质燃料，生产用水循环使用，其</w:t>
                  </w:r>
                  <w:r>
                    <w:rPr>
                      <w:color w:val="000000" w:themeColor="text1"/>
                      <w:szCs w:val="21"/>
                    </w:rPr>
                    <w:t>单位产值水耗、能耗、污染物产生和排放量等</w:t>
                  </w:r>
                  <w:r>
                    <w:rPr>
                      <w:rFonts w:hint="eastAsia"/>
                      <w:color w:val="000000" w:themeColor="text1"/>
                      <w:szCs w:val="21"/>
                    </w:rPr>
                    <w:t>均可达到国内先进水平。</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由上表可知，本项目不属于园区规划</w:t>
            </w:r>
            <w:r>
              <w:rPr>
                <w:color w:val="000000" w:themeColor="text1"/>
                <w:sz w:val="24"/>
              </w:rPr>
              <w:t>环境准入负面清单</w:t>
            </w:r>
            <w:r>
              <w:rPr>
                <w:rFonts w:hint="eastAsia"/>
                <w:color w:val="000000" w:themeColor="text1"/>
                <w:sz w:val="24"/>
              </w:rPr>
              <w:t>内项目。</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③</w:t>
            </w:r>
            <w:r>
              <w:rPr>
                <w:rFonts w:ascii="Times New Roman" w:hAnsi="Times New Roman" w:cs="Times New Roman"/>
                <w:b/>
                <w:color w:val="000000" w:themeColor="text1"/>
                <w:sz w:val="24"/>
              </w:rPr>
              <w:t>与</w:t>
            </w:r>
            <w:r>
              <w:rPr>
                <w:b/>
                <w:color w:val="000000" w:themeColor="text1"/>
                <w:sz w:val="24"/>
              </w:rPr>
              <w:t>园区规划环评审查意见</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w:t>
            </w:r>
            <w:r>
              <w:rPr>
                <w:rFonts w:hint="eastAsia"/>
                <w:color w:val="000000" w:themeColor="text1"/>
                <w:sz w:val="24"/>
              </w:rPr>
              <w:t>昆明市生态环境局关于</w:t>
            </w:r>
            <w:r>
              <w:rPr>
                <w:rFonts w:ascii="Times New Roman" w:hAnsi="Times New Roman" w:cs="Times New Roman"/>
                <w:color w:val="000000" w:themeColor="text1"/>
                <w:sz w:val="24"/>
                <w:szCs w:val="24"/>
              </w:rPr>
              <w:t>云南东川产业园区总体规划修编（2021-2035）环境影响报告书</w:t>
            </w:r>
            <w:r>
              <w:rPr>
                <w:rFonts w:hint="eastAsia"/>
                <w:color w:val="000000" w:themeColor="text1"/>
                <w:sz w:val="24"/>
              </w:rPr>
              <w:t>的审查意见</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，本项目与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 xml:space="preserve">4 </w:t>
            </w:r>
            <w:r>
              <w:rPr>
                <w:rFonts w:ascii="Times New Roman" w:cs="Times New Roman"/>
                <w:b/>
                <w:color w:val="000000" w:themeColor="text1"/>
              </w:rPr>
              <w:t>与园区规划环评结论符合性分析一览表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rFonts w:hAnsi="宋体"/>
                      <w:color w:val="000000" w:themeColor="text1"/>
                      <w:szCs w:val="21"/>
                    </w:rPr>
                    <w:t>要求</w:t>
                  </w:r>
                </w:p>
              </w:tc>
              <w:tc>
                <w:tcPr>
                  <w:tcW w:w="3983" w:type="dxa"/>
                  <w:vAlign w:val="center"/>
                </w:tcPr>
                <w:p>
                  <w:pPr>
                    <w:pStyle w:val="33"/>
                    <w:spacing w:line="360" w:lineRule="exact"/>
                    <w:rPr>
                      <w:color w:val="000000" w:themeColor="text1"/>
                      <w:szCs w:val="21"/>
                    </w:rPr>
                  </w:pPr>
                  <w:r>
                    <w:rPr>
                      <w:rFonts w:hAnsi="宋体"/>
                      <w:color w:val="000000" w:themeColor="text1"/>
                      <w:szCs w:val="21"/>
                    </w:rPr>
                    <w:t>审查意见要求</w:t>
                  </w:r>
                </w:p>
              </w:tc>
              <w:tc>
                <w:tcPr>
                  <w:tcW w:w="3384" w:type="dxa"/>
                  <w:vAlign w:val="center"/>
                </w:tcPr>
                <w:p>
                  <w:pPr>
                    <w:pStyle w:val="33"/>
                    <w:spacing w:line="360" w:lineRule="exact"/>
                    <w:rPr>
                      <w:color w:val="000000" w:themeColor="text1"/>
                      <w:szCs w:val="21"/>
                    </w:rPr>
                  </w:pPr>
                  <w:r>
                    <w:rPr>
                      <w:rFonts w:hAnsi="宋体"/>
                      <w:color w:val="000000" w:themeColor="text1"/>
                      <w:szCs w:val="21"/>
                    </w:rPr>
                    <w:t>项目实际情况</w:t>
                  </w:r>
                </w:p>
              </w:tc>
              <w:tc>
                <w:tcPr>
                  <w:tcW w:w="619" w:type="dxa"/>
                  <w:vAlign w:val="center"/>
                </w:tcPr>
                <w:p>
                  <w:pPr>
                    <w:pStyle w:val="33"/>
                    <w:spacing w:line="360" w:lineRule="exact"/>
                    <w:rPr>
                      <w:color w:val="000000" w:themeColor="text1"/>
                      <w:szCs w:val="21"/>
                    </w:rPr>
                  </w:pPr>
                  <w:r>
                    <w:rPr>
                      <w:rFonts w:hAnsi="宋体"/>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1</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w:t>
                  </w:r>
                  <w:r>
                    <w:rPr>
                      <w:color w:val="000000" w:themeColor="text1"/>
                      <w:szCs w:val="21"/>
                    </w:rPr>
                    <w:t>2018</w:t>
                  </w:r>
                  <w:r>
                    <w:rPr>
                      <w:rFonts w:hAnsi="宋体"/>
                      <w:color w:val="000000" w:themeColor="text1"/>
                      <w:szCs w:val="21"/>
                    </w:rPr>
                    <w:t>年）》中污染物的企业。</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本项目主要对厂区次氧化锌生产线产生的水淬渣进行资源综合利用，属于一般工业固体废物综合利用项目，不属于有色金属冶炼、化工、建材等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行业，因此不需要废气主要污染物区域</w:t>
                  </w:r>
                  <w:r>
                    <w:rPr>
                      <w:color w:val="000000" w:themeColor="text1"/>
                      <w:szCs w:val="21"/>
                    </w:rPr>
                    <w:t>“</w:t>
                  </w:r>
                  <w:r>
                    <w:rPr>
                      <w:rFonts w:hAnsi="宋体"/>
                      <w:color w:val="000000" w:themeColor="text1"/>
                      <w:szCs w:val="21"/>
                    </w:rPr>
                    <w:t>等量削减</w:t>
                  </w:r>
                  <w:r>
                    <w:rPr>
                      <w:color w:val="000000" w:themeColor="text1"/>
                      <w:szCs w:val="21"/>
                    </w:rPr>
                    <w:t>”</w:t>
                  </w:r>
                  <w:r>
                    <w:rPr>
                      <w:rFonts w:hAnsi="宋体"/>
                      <w:color w:val="000000" w:themeColor="text1"/>
                      <w:szCs w:val="21"/>
                    </w:rPr>
                    <w:t>；也不属于重金属重点行业，因此不需要进行重金属污染物</w:t>
                  </w:r>
                  <w:r>
                    <w:rPr>
                      <w:color w:val="000000" w:themeColor="text1"/>
                      <w:szCs w:val="21"/>
                    </w:rPr>
                    <w:t>“</w:t>
                  </w:r>
                  <w:r>
                    <w:rPr>
                      <w:rFonts w:hAnsi="宋体"/>
                      <w:color w:val="000000" w:themeColor="text1"/>
                      <w:szCs w:val="21"/>
                    </w:rPr>
                    <w:t>减量削减</w:t>
                  </w:r>
                  <w:r>
                    <w:rPr>
                      <w:color w:val="000000" w:themeColor="text1"/>
                      <w:szCs w:val="21"/>
                    </w:rPr>
                    <w:t>”</w:t>
                  </w:r>
                  <w:r>
                    <w:rPr>
                      <w:rFonts w:hAnsi="宋体"/>
                      <w:color w:val="000000" w:themeColor="text1"/>
                      <w:szCs w:val="21"/>
                    </w:rPr>
                    <w:t>；本项目主要污染物为颗粒物、</w:t>
                  </w:r>
                  <w:r>
                    <w:rPr>
                      <w:color w:val="000000" w:themeColor="text1"/>
                      <w:szCs w:val="21"/>
                    </w:rPr>
                    <w:t>SO</w:t>
                  </w:r>
                  <w:r>
                    <w:rPr>
                      <w:color w:val="000000" w:themeColor="text1"/>
                      <w:szCs w:val="21"/>
                      <w:vertAlign w:val="subscript"/>
                    </w:rPr>
                    <w:t>2</w:t>
                  </w:r>
                  <w:r>
                    <w:rPr>
                      <w:rFonts w:hAnsi="宋体"/>
                      <w:color w:val="000000" w:themeColor="text1"/>
                      <w:szCs w:val="21"/>
                    </w:rPr>
                    <w:t>、</w:t>
                  </w:r>
                  <w:r>
                    <w:rPr>
                      <w:color w:val="000000" w:themeColor="text1"/>
                      <w:szCs w:val="21"/>
                    </w:rPr>
                    <w:t>NOx</w:t>
                  </w:r>
                  <w:r>
                    <w:rPr>
                      <w:rFonts w:hAnsi="宋体"/>
                      <w:color w:val="000000" w:themeColor="text1"/>
                      <w:szCs w:val="21"/>
                    </w:rPr>
                    <w:t>，项目已取得总量控制指标。</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2</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《规划》产业布局、发展规模应严格执行《中华人民共和国长江保护法》、《长江经济带发展负面清单指南（试行，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根据分析，本项目不属于化工项目，项目建设符合《中华人民共和国长江保护法》、《长江经济带发展负面清单指南（试行，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3"/>
                    <w:spacing w:line="360" w:lineRule="exact"/>
                    <w:rPr>
                      <w:color w:val="000000" w:themeColor="text1"/>
                      <w:szCs w:val="21"/>
                    </w:rPr>
                  </w:pPr>
                  <w:r>
                    <w:rPr>
                      <w:color w:val="000000" w:themeColor="text1"/>
                      <w:szCs w:val="21"/>
                    </w:rPr>
                    <w:t>3</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根据国家、云南省和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有关大气污染防洽的相关要求，落实主要污染物区域削减方案，严格执行园区大气污染物管控要求，合理确定产业规模、布局、建设时序。有色金属冶炼、化工、建材等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行业应实行主要污染物区域等量削滅，重点行业重点重金属排放减量替代比例不得低于</w:t>
                  </w:r>
                  <w:r>
                    <w:rPr>
                      <w:color w:val="000000" w:themeColor="text1"/>
                      <w:szCs w:val="21"/>
                    </w:rPr>
                    <w:t>1.2</w:t>
                  </w:r>
                  <w:r>
                    <w:rPr>
                      <w:rFonts w:hAnsi="宋体"/>
                      <w:color w:val="000000" w:themeColor="text1"/>
                      <w:szCs w:val="21"/>
                    </w:rPr>
                    <w:t>：</w:t>
                  </w:r>
                  <w:r>
                    <w:rPr>
                      <w:color w:val="000000" w:themeColor="text1"/>
                      <w:szCs w:val="21"/>
                    </w:rPr>
                    <w:t>1</w:t>
                  </w:r>
                  <w:r>
                    <w:rPr>
                      <w:rFonts w:hAnsi="宋体"/>
                      <w:color w:val="000000" w:themeColor="text1"/>
                      <w:szCs w:val="21"/>
                    </w:rPr>
                    <w:t>，铅锌冶炼和铜治炼企业须执行颗粒物和重点重金属污染物特别排放限值。</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项目建设符合云南省和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有关大气污染防洽的相关要求，项目对厂区次氧化锌生产线产生的水淬渣进行资源综合利用，不属于有色金属冶炼、化工、建材等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行业，因此不需要废气主要污染物区域</w:t>
                  </w:r>
                  <w:r>
                    <w:rPr>
                      <w:color w:val="000000" w:themeColor="text1"/>
                      <w:szCs w:val="21"/>
                    </w:rPr>
                    <w:t>“</w:t>
                  </w:r>
                  <w:r>
                    <w:rPr>
                      <w:rFonts w:hAnsi="宋体"/>
                      <w:color w:val="000000" w:themeColor="text1"/>
                      <w:szCs w:val="21"/>
                    </w:rPr>
                    <w:t>等量削减</w:t>
                  </w:r>
                  <w:r>
                    <w:rPr>
                      <w:color w:val="000000" w:themeColor="text1"/>
                      <w:szCs w:val="21"/>
                    </w:rPr>
                    <w:t>”</w:t>
                  </w:r>
                  <w:r>
                    <w:rPr>
                      <w:rFonts w:hAnsi="宋体"/>
                      <w:color w:val="000000" w:themeColor="text1"/>
                      <w:szCs w:val="21"/>
                    </w:rPr>
                    <w:t>；也不属于重金属重点行业，因此不需要进行重金属污染物</w:t>
                  </w:r>
                  <w:r>
                    <w:rPr>
                      <w:color w:val="000000" w:themeColor="text1"/>
                      <w:szCs w:val="21"/>
                    </w:rPr>
                    <w:t>“</w:t>
                  </w:r>
                  <w:r>
                    <w:rPr>
                      <w:rFonts w:hAnsi="宋体"/>
                      <w:color w:val="000000" w:themeColor="text1"/>
                      <w:szCs w:val="21"/>
                    </w:rPr>
                    <w:t>减量削减</w:t>
                  </w:r>
                  <w:r>
                    <w:rPr>
                      <w:color w:val="000000" w:themeColor="text1"/>
                      <w:szCs w:val="21"/>
                    </w:rPr>
                    <w:t>”</w:t>
                  </w:r>
                  <w:r>
                    <w:rPr>
                      <w:rFonts w:hAnsi="宋体"/>
                      <w:color w:val="000000" w:themeColor="text1"/>
                      <w:szCs w:val="21"/>
                    </w:rPr>
                    <w:t>。</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4</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项目已采用先进的生产工艺、装备、清洁能源与原料，从源头控制了污染物的产生，针对烘干工序产生的烘干粉尘（颗粒物），通过旋风除尘</w:t>
                  </w:r>
                  <w:r>
                    <w:rPr>
                      <w:color w:val="000000" w:themeColor="text1"/>
                      <w:szCs w:val="21"/>
                    </w:rPr>
                    <w:t>+</w:t>
                  </w:r>
                  <w:r>
                    <w:rPr>
                      <w:rFonts w:hAnsi="宋体"/>
                      <w:color w:val="000000" w:themeColor="text1"/>
                      <w:szCs w:val="21"/>
                    </w:rPr>
                    <w:t>袋式除尘器处理，其中旋风除尘效率为</w:t>
                  </w:r>
                  <w:r>
                    <w:rPr>
                      <w:color w:val="000000" w:themeColor="text1"/>
                      <w:szCs w:val="21"/>
                    </w:rPr>
                    <w:t>70%</w:t>
                  </w:r>
                  <w:r>
                    <w:rPr>
                      <w:rFonts w:hAnsi="宋体"/>
                      <w:color w:val="000000" w:themeColor="text1"/>
                      <w:szCs w:val="21"/>
                    </w:rPr>
                    <w:t>，</w:t>
                  </w:r>
                  <w:r>
                    <w:rPr>
                      <w:rFonts w:hint="eastAsia" w:hAnsi="宋体"/>
                      <w:color w:val="000000" w:themeColor="text1"/>
                      <w:szCs w:val="21"/>
                    </w:rPr>
                    <w:t>2#</w:t>
                  </w:r>
                  <w:r>
                    <w:rPr>
                      <w:rFonts w:hAnsi="宋体"/>
                      <w:color w:val="000000" w:themeColor="text1"/>
                      <w:szCs w:val="21"/>
                    </w:rPr>
                    <w:t>布袋除尘除尘效率为</w:t>
                  </w:r>
                  <w:r>
                    <w:rPr>
                      <w:color w:val="000000" w:themeColor="text1"/>
                      <w:szCs w:val="21"/>
                    </w:rPr>
                    <w:t>98.4%</w:t>
                  </w:r>
                  <w:r>
                    <w:rPr>
                      <w:rFonts w:hAnsi="宋体"/>
                      <w:color w:val="000000" w:themeColor="text1"/>
                      <w:szCs w:val="21"/>
                    </w:rPr>
                    <w:t>，则综合除尘效率约为</w:t>
                  </w:r>
                  <w:r>
                    <w:rPr>
                      <w:color w:val="000000" w:themeColor="text1"/>
                      <w:szCs w:val="21"/>
                    </w:rPr>
                    <w:t>99.5%</w:t>
                  </w:r>
                  <w:r>
                    <w:rPr>
                      <w:rFonts w:hAnsi="宋体"/>
                      <w:color w:val="000000" w:themeColor="text1"/>
                      <w:szCs w:val="21"/>
                    </w:rPr>
                    <w:t>，烘干粉尘经处理后通过</w:t>
                  </w:r>
                  <w:r>
                    <w:rPr>
                      <w:color w:val="000000" w:themeColor="text1"/>
                      <w:szCs w:val="21"/>
                    </w:rPr>
                    <w:t>1</w:t>
                  </w:r>
                  <w:r>
                    <w:rPr>
                      <w:rFonts w:hAnsi="宋体"/>
                      <w:color w:val="000000" w:themeColor="text1"/>
                      <w:szCs w:val="21"/>
                    </w:rPr>
                    <w:t>根</w:t>
                  </w:r>
                  <w:r>
                    <w:rPr>
                      <w:color w:val="000000" w:themeColor="text1"/>
                      <w:szCs w:val="21"/>
                    </w:rPr>
                    <w:t>Φ0.5m</w:t>
                  </w:r>
                  <w:r>
                    <w:rPr>
                      <w:rFonts w:hAnsi="宋体"/>
                      <w:color w:val="000000" w:themeColor="text1"/>
                      <w:szCs w:val="21"/>
                    </w:rPr>
                    <w:t>、高</w:t>
                  </w:r>
                  <w:r>
                    <w:rPr>
                      <w:color w:val="000000" w:themeColor="text1"/>
                      <w:szCs w:val="21"/>
                    </w:rPr>
                    <w:t>15m</w:t>
                  </w:r>
                  <w:r>
                    <w:rPr>
                      <w:rFonts w:hAnsi="宋体"/>
                      <w:color w:val="000000" w:themeColor="text1"/>
                      <w:szCs w:val="21"/>
                    </w:rPr>
                    <w:t>的排气筒（</w:t>
                  </w:r>
                  <w:r>
                    <w:rPr>
                      <w:color w:val="000000" w:themeColor="text1"/>
                      <w:szCs w:val="21"/>
                    </w:rPr>
                    <w:t>DA004</w:t>
                  </w:r>
                  <w:r>
                    <w:rPr>
                      <w:rFonts w:hAnsi="宋体"/>
                      <w:color w:val="000000" w:themeColor="text1"/>
                      <w:szCs w:val="21"/>
                    </w:rPr>
                    <w:t>）外排；针对燃烧烟气，项目拟通过低氮燃烧</w:t>
                  </w:r>
                  <w:r>
                    <w:rPr>
                      <w:color w:val="000000" w:themeColor="text1"/>
                      <w:szCs w:val="21"/>
                    </w:rPr>
                    <w:t>+</w:t>
                  </w:r>
                  <w:r>
                    <w:rPr>
                      <w:rFonts w:hAnsi="宋体"/>
                      <w:color w:val="000000" w:themeColor="text1"/>
                      <w:szCs w:val="21"/>
                    </w:rPr>
                    <w:t>非催化还原（</w:t>
                  </w:r>
                  <w:r>
                    <w:rPr>
                      <w:color w:val="000000" w:themeColor="text1"/>
                      <w:szCs w:val="21"/>
                    </w:rPr>
                    <w:t>SNCR</w:t>
                  </w:r>
                  <w:r>
                    <w:rPr>
                      <w:rFonts w:hAnsi="宋体"/>
                      <w:color w:val="000000" w:themeColor="text1"/>
                      <w:szCs w:val="21"/>
                    </w:rPr>
                    <w:t>）脱硝技术</w:t>
                  </w:r>
                  <w:r>
                    <w:rPr>
                      <w:color w:val="000000" w:themeColor="text1"/>
                      <w:szCs w:val="21"/>
                    </w:rPr>
                    <w:t>+</w:t>
                  </w:r>
                  <w:r>
                    <w:rPr>
                      <w:rFonts w:hAnsi="宋体"/>
                      <w:color w:val="000000" w:themeColor="text1"/>
                      <w:szCs w:val="21"/>
                    </w:rPr>
                    <w:t>袋式除尘器处理，其中低氮燃烧</w:t>
                  </w:r>
                  <w:r>
                    <w:rPr>
                      <w:color w:val="000000" w:themeColor="text1"/>
                      <w:szCs w:val="21"/>
                    </w:rPr>
                    <w:t>+</w:t>
                  </w:r>
                  <w:r>
                    <w:rPr>
                      <w:rFonts w:hAnsi="宋体"/>
                      <w:color w:val="000000" w:themeColor="text1"/>
                      <w:szCs w:val="21"/>
                    </w:rPr>
                    <w:t>非催化还原（</w:t>
                  </w:r>
                  <w:r>
                    <w:rPr>
                      <w:color w:val="000000" w:themeColor="text1"/>
                      <w:szCs w:val="21"/>
                    </w:rPr>
                    <w:t>SNCR</w:t>
                  </w:r>
                  <w:r>
                    <w:rPr>
                      <w:rFonts w:hAnsi="宋体"/>
                      <w:color w:val="000000" w:themeColor="text1"/>
                      <w:szCs w:val="21"/>
                    </w:rPr>
                    <w:t>）脱硝的NOx去除效率为45.4%，1#布袋除尘除尘效率为99.7%，燃烧烟气经处理后通过</w:t>
                  </w:r>
                  <w:r>
                    <w:rPr>
                      <w:color w:val="000000" w:themeColor="text1"/>
                      <w:szCs w:val="21"/>
                    </w:rPr>
                    <w:t>1</w:t>
                  </w:r>
                  <w:r>
                    <w:rPr>
                      <w:rFonts w:hAnsi="宋体"/>
                      <w:color w:val="000000" w:themeColor="text1"/>
                      <w:szCs w:val="21"/>
                    </w:rPr>
                    <w:t>根</w:t>
                  </w:r>
                  <w:r>
                    <w:rPr>
                      <w:color w:val="000000" w:themeColor="text1"/>
                      <w:szCs w:val="21"/>
                    </w:rPr>
                    <w:t>Φ0.4m</w:t>
                  </w:r>
                  <w:r>
                    <w:rPr>
                      <w:rFonts w:hAnsi="宋体"/>
                      <w:color w:val="000000" w:themeColor="text1"/>
                      <w:szCs w:val="21"/>
                    </w:rPr>
                    <w:t>、高</w:t>
                  </w:r>
                  <w:r>
                    <w:rPr>
                      <w:rFonts w:hint="eastAsia"/>
                      <w:color w:val="000000" w:themeColor="text1"/>
                      <w:szCs w:val="21"/>
                    </w:rPr>
                    <w:t>20</w:t>
                  </w:r>
                  <w:r>
                    <w:rPr>
                      <w:color w:val="000000" w:themeColor="text1"/>
                      <w:szCs w:val="21"/>
                    </w:rPr>
                    <w:t>m</w:t>
                  </w:r>
                  <w:r>
                    <w:rPr>
                      <w:rFonts w:hAnsi="宋体"/>
                      <w:color w:val="000000" w:themeColor="text1"/>
                      <w:szCs w:val="21"/>
                    </w:rPr>
                    <w:t>的排气筒（</w:t>
                  </w:r>
                  <w:r>
                    <w:rPr>
                      <w:color w:val="000000" w:themeColor="text1"/>
                      <w:szCs w:val="21"/>
                    </w:rPr>
                    <w:t>DA003</w:t>
                  </w:r>
                  <w:r>
                    <w:rPr>
                      <w:rFonts w:hAnsi="宋体"/>
                      <w:color w:val="000000" w:themeColor="text1"/>
                      <w:szCs w:val="21"/>
                    </w:rPr>
                    <w:t>）外排。属于高效污染防治措施。</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5</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重视园区废水收集、处理、回用、排放的环境管理。全面实施</w:t>
                  </w:r>
                  <w:r>
                    <w:rPr>
                      <w:color w:val="000000" w:themeColor="text1"/>
                      <w:szCs w:val="21"/>
                    </w:rPr>
                    <w:t>“</w:t>
                  </w:r>
                  <w:r>
                    <w:rPr>
                      <w:rFonts w:hAnsi="宋体"/>
                      <w:color w:val="000000" w:themeColor="text1"/>
                      <w:szCs w:val="21"/>
                    </w:rPr>
                    <w:t>雨污分流</w:t>
                  </w:r>
                  <w:r>
                    <w:rPr>
                      <w:color w:val="000000" w:themeColor="text1"/>
                      <w:szCs w:val="21"/>
                    </w:rPr>
                    <w:t>”“</w:t>
                  </w:r>
                  <w:r>
                    <w:rPr>
                      <w:rFonts w:hAnsi="宋体"/>
                      <w:color w:val="000000" w:themeColor="text1"/>
                      <w:szCs w:val="21"/>
                    </w:rPr>
                    <w:t>清污分流</w:t>
                  </w:r>
                  <w:r>
                    <w:rPr>
                      <w:color w:val="000000" w:themeColor="text1"/>
                      <w:szCs w:val="21"/>
                    </w:rPr>
                    <w:t>”</w:t>
                  </w:r>
                  <w:r>
                    <w:rPr>
                      <w:rFonts w:hAnsi="宋体"/>
                      <w:color w:val="000000" w:themeColor="text1"/>
                      <w:szCs w:val="21"/>
                    </w:rPr>
                    <w:t>制度，提高入驻企业工业用水重复利用率和中水回用率。</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项目生产废水全部循环使用，不外排。</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6</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入驻企业按相关规范要求采取针对性防渗措施，确保区域地下水安全。</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项目将严格执行《危险废物贮存污染控制标准》（</w:t>
                  </w:r>
                  <w:r>
                    <w:rPr>
                      <w:color w:val="000000" w:themeColor="text1"/>
                      <w:szCs w:val="21"/>
                    </w:rPr>
                    <w:t>GB</w:t>
                  </w:r>
                  <w:r>
                    <w:rPr>
                      <w:rFonts w:hint="eastAsia"/>
                      <w:color w:val="000000" w:themeColor="text1"/>
                      <w:szCs w:val="21"/>
                      <w:lang w:eastAsia="zh-CN"/>
                    </w:rPr>
                    <w:t>*****</w:t>
                  </w:r>
                  <w:r>
                    <w:rPr>
                      <w:color w:val="000000" w:themeColor="text1"/>
                      <w:szCs w:val="21"/>
                    </w:rPr>
                    <w:t>-2023</w:t>
                  </w:r>
                  <w:r>
                    <w:rPr>
                      <w:rFonts w:hAnsi="宋体"/>
                      <w:color w:val="000000" w:themeColor="text1"/>
                      <w:szCs w:val="21"/>
                    </w:rPr>
                    <w:t>）的要求，采取分区防渗措施。</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7</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〔四）制定准入清单，严格入园项目生态环境准入管理。加强</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大气、水、土壤等重点管控单元要求。</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本项目使用生物质燃料，生产用水循环使用，其单位产值水耗、能耗、污染物产生和排放量等均可达到国内先进水平。项目符合国家产业政策、产业布局规划要求，符合</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大气、水、土壤等重点管控单元要求。</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由上表可知，本项目建设符合</w:t>
            </w:r>
            <w:r>
              <w:rPr>
                <w:color w:val="000000" w:themeColor="text1"/>
                <w:sz w:val="24"/>
              </w:rPr>
              <w:t>规划环评</w:t>
            </w:r>
            <w:r>
              <w:rPr>
                <w:rFonts w:hint="eastAsia"/>
                <w:color w:val="000000" w:themeColor="text1"/>
                <w:sz w:val="24"/>
              </w:rPr>
              <w:t>审查意见的相关要求。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w:t>
            </w:r>
            <w:r>
              <w:rPr>
                <w:rFonts w:hint="eastAsia" w:ascii="Times New Roman" w:hAnsi="Times New Roman" w:eastAsia="宋体" w:cs="Times New Roman"/>
                <w:color w:val="000000" w:themeColor="text1"/>
                <w:sz w:val="24"/>
                <w:szCs w:val="24"/>
              </w:rPr>
              <w:t>产业政策符合性、</w:t>
            </w:r>
            <w:r>
              <w:rPr>
                <w:rFonts w:ascii="Times New Roman" w:hAnsi="Times New Roman" w:eastAsia="宋体" w:cs="Times New Roman"/>
                <w:color w:val="000000" w:themeColor="text1"/>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bookmarkStart w:id="3" w:name="_Toc433545018"/>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产业政策符合性分析</w:t>
            </w:r>
            <w:bookmarkEnd w:id="3"/>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本项目对厂区次氧化锌生产线产生的水淬渣进行资源综合利用，</w:t>
            </w:r>
            <w:r>
              <w:rPr>
                <w:rFonts w:ascii="Times New Roman" w:hAnsi="Times New Roman" w:cs="Times New Roman"/>
                <w:color w:val="000000" w:themeColor="text1"/>
                <w:sz w:val="24"/>
              </w:rPr>
              <w:t>查阅中华人民共和国国家发展和改革委员会第21号令《产业结构调整指导目录（2019年本）》，</w:t>
            </w:r>
            <w:r>
              <w:rPr>
                <w:rFonts w:hint="eastAsia" w:ascii="Times New Roman" w:hAnsi="Times New Roman" w:cs="Times New Roman"/>
                <w:color w:val="000000" w:themeColor="text1"/>
                <w:sz w:val="24"/>
              </w:rPr>
              <w:t>本项目属于鼓励类“四十三、环境保护与资源节约综合利用”中“20、城镇垃圾、农村生活垃圾、农村生活污水、污泥及其他固体废弃物减量化、资源化、无害化处理和综合利用工程”，本项目</w:t>
            </w:r>
            <w:r>
              <w:rPr>
                <w:rFonts w:ascii="Times New Roman" w:hAnsi="Times New Roman" w:cs="Times New Roman"/>
                <w:color w:val="000000" w:themeColor="text1"/>
                <w:sz w:val="24"/>
              </w:rPr>
              <w:t>于202</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年</w:t>
            </w:r>
            <w:r>
              <w:rPr>
                <w:rFonts w:hint="eastAsia" w:ascii="Times New Roman" w:hAnsi="Times New Roman" w:cs="Times New Roman"/>
                <w:color w:val="000000" w:themeColor="text1"/>
                <w:sz w:val="24"/>
              </w:rPr>
              <w:t>7</w:t>
            </w:r>
            <w:r>
              <w:rPr>
                <w:rFonts w:ascii="Times New Roman" w:hAnsi="Times New Roman" w:cs="Times New Roman"/>
                <w:color w:val="000000" w:themeColor="text1"/>
                <w:sz w:val="24"/>
              </w:rPr>
              <w:t>月1</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日</w:t>
            </w:r>
            <w:r>
              <w:rPr>
                <w:rFonts w:hint="eastAsia" w:ascii="Times New Roman" w:hAnsi="Times New Roman" w:cs="Times New Roman"/>
                <w:color w:val="000000" w:themeColor="text1"/>
                <w:sz w:val="24"/>
              </w:rPr>
              <w:t>取得《云南省固定资产投资项目备案证》</w:t>
            </w:r>
            <w:r>
              <w:rPr>
                <w:rFonts w:ascii="Times New Roman" w:hAnsi="Times New Roman" w:cs="Times New Roman"/>
                <w:color w:val="000000" w:themeColor="text1"/>
                <w:sz w:val="24"/>
              </w:rPr>
              <w:t>（项目代码为：</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-89-01-</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）；因此项目建设符合国家的产业政策。</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rPr>
              <w:t>不涉及生态红线。又《昆明市人民政府关于昆明市“三线一单”生态环境分区管控的实施意见》明确将“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”，本项目位于云南东川产业园区四方地片区，项目所在地属于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生态环境分区管控的实施意见》对环境质量底线设定了2025年和2035年两个目标，本项目位于云南东川产业园区四方地片区昆明合旺有色金属有限公司厂区内，环境质量底线和本项目相关的要求及符合性分析如下：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地表水体小江板河口断面水质可达到《地表水环境质量标准》（GB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根据调查，项目主要用水环节为生产用水、生活用水，用水量较全市工业用水量占比极小；项目选址位于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，不涉及耕地、基本农田等土地资源，项目能耗较低；因此</w:t>
            </w:r>
            <w:r>
              <w:rPr>
                <w:rFonts w:ascii="Times New Roman" w:hAnsi="Times New Roman" w:cs="Times New Roman"/>
                <w:color w:val="000000" w:themeColor="text1"/>
                <w:sz w:val="24"/>
                <w:szCs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w:t>
            </w:r>
            <w:r>
              <w:rPr>
                <w:rFonts w:ascii="Times New Roman" w:cs="Times New Roman" w:hAnsiTheme="minorEastAsia"/>
                <w:color w:val="000000" w:themeColor="text1"/>
                <w:sz w:val="24"/>
              </w:rPr>
              <w:t>（昆政发</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2021</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21号）</w:t>
            </w:r>
            <w:r>
              <w:rPr>
                <w:rFonts w:hint="eastAsia" w:ascii="Times New Roman" w:cs="Times New Roman" w:hAnsiTheme="minorEastAsia"/>
                <w:color w:val="000000" w:themeColor="text1"/>
                <w:sz w:val="24"/>
              </w:rPr>
              <w:t>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hint="eastAsia"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根据调查，本项目位于本项目位于云南东川产业园区四方地片区昆明合旺有色金属有限公司厂区内，项目所在地属于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云南东川再就业特色产业园区重点管控单元生态环境准入清单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spacing w:line="360" w:lineRule="auto"/>
              <w:ind w:firstLine="480" w:firstLineChars="200"/>
              <w:rPr>
                <w:rFonts w:hint="eastAsia" w:ascii="Times New Roman" w:cs="Times New Roman" w:hAnsiTheme="minorEastAsia"/>
                <w:color w:val="000000" w:themeColor="text1"/>
                <w:sz w:val="24"/>
              </w:rPr>
            </w:pPr>
          </w:p>
          <w:p>
            <w:pPr>
              <w:spacing w:line="360" w:lineRule="auto"/>
              <w:ind w:firstLine="480" w:firstLineChars="200"/>
              <w:rPr>
                <w:rFonts w:hint="eastAsia" w:ascii="Times New Roman" w:cs="Times New Roman" w:hAnsiTheme="minorEastAsia"/>
                <w:color w:val="000000" w:themeColor="text1"/>
                <w:sz w:val="24"/>
              </w:rPr>
            </w:pPr>
          </w:p>
          <w:p>
            <w:pPr>
              <w:spacing w:line="360" w:lineRule="auto"/>
              <w:ind w:firstLine="480" w:firstLineChars="200"/>
              <w:rPr>
                <w:rFonts w:hint="eastAsia" w:ascii="Times New Roman" w:cs="Times New Roman" w:hAnsiTheme="minorEastAsia"/>
                <w:color w:val="000000" w:themeColor="text1"/>
                <w:sz w:val="24"/>
              </w:rPr>
            </w:pPr>
          </w:p>
          <w:p>
            <w:pPr>
              <w:jc w:val="center"/>
              <w:rPr>
                <w:rFonts w:hint="eastAsia" w:ascii="Times New Roman" w:cs="Times New Roman" w:hAnsiTheme="minorEastAsia"/>
                <w:b/>
                <w:color w:val="000000" w:themeColor="text1"/>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表1-5</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33"/>
              <w:gridCol w:w="3399"/>
              <w:gridCol w:w="3042"/>
              <w:gridCol w:w="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2" w:type="dxa"/>
                  <w:gridSpan w:val="2"/>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2"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99"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重点发展重化工、有色冶金、铸造、有色金属和稀贵金属加工、机械制造、机电设备、黄金精加工、建筑建材以及食品加工、生物医药行业。</w:t>
                  </w:r>
                </w:p>
              </w:tc>
              <w:tc>
                <w:tcPr>
                  <w:tcW w:w="3042"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本项目主要对厂区次氧化锌生产线产生的水淬渣进行资源综合利用，属于一般工业固体废物综合利用项目，</w:t>
                  </w:r>
                  <w:r>
                    <w:rPr>
                      <w:rFonts w:hint="eastAsia" w:hAnsi="宋体"/>
                      <w:color w:val="000000" w:themeColor="text1"/>
                      <w:szCs w:val="21"/>
                    </w:rPr>
                    <w:t>符合《</w:t>
                  </w:r>
                  <w:r>
                    <w:rPr>
                      <w:rFonts w:hAnsi="宋体"/>
                      <w:color w:val="000000" w:themeColor="text1"/>
                      <w:sz w:val="20"/>
                      <w:szCs w:val="21"/>
                    </w:rPr>
                    <w:t>云南东川产业园区总体规划修编（2021-2035）</w:t>
                  </w:r>
                  <w:r>
                    <w:rPr>
                      <w:rFonts w:hint="eastAsia" w:hAnsi="宋体"/>
                      <w:color w:val="000000" w:themeColor="text1"/>
                      <w:szCs w:val="21"/>
                    </w:rPr>
                    <w:t>》</w:t>
                  </w:r>
                  <w:r>
                    <w:rPr>
                      <w:rFonts w:hint="eastAsia" w:hAnsi="宋体"/>
                      <w:color w:val="000000" w:themeColor="text1"/>
                      <w:sz w:val="20"/>
                      <w:szCs w:val="2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99"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1.四方地组团禁止再安排重污染企业，防止加重该区域的环境污染。</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2.碧谷片区靠近城区一侧安排居住及轻污染的工业项目，该地区地势较低，不得布置空气污染较重的项目。</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3.对门山片区不宜作为工业片区，作为城市服务功能区，靠近城区一侧应营造绿化带和布置低噪声影响项目。</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4.阿旺片区不宜布局空气污染大的项目</w:t>
                  </w:r>
                  <w:r>
                    <w:rPr>
                      <w:rFonts w:hAnsi="宋体"/>
                      <w:color w:val="000000" w:themeColor="text1"/>
                      <w:sz w:val="20"/>
                      <w:szCs w:val="21"/>
                    </w:rPr>
                    <w:t>。</w:t>
                  </w:r>
                </w:p>
              </w:tc>
              <w:tc>
                <w:tcPr>
                  <w:tcW w:w="3042"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本项目位于云南东川产业园区四方地片区昆明合旺有色金属有限公司厂区内，对厂区次氧化锌生产线产生的水淬渣进行资源综合利用，</w:t>
                  </w:r>
                  <w:r>
                    <w:rPr>
                      <w:rFonts w:hint="eastAsia" w:hAnsi="宋体"/>
                      <w:color w:val="000000" w:themeColor="text1"/>
                      <w:szCs w:val="21"/>
                    </w:rPr>
                    <w:t>不属于</w:t>
                  </w:r>
                  <w:r>
                    <w:rPr>
                      <w:rFonts w:hAnsi="宋体"/>
                      <w:color w:val="000000" w:themeColor="text1"/>
                      <w:szCs w:val="21"/>
                    </w:rPr>
                    <w:t>重污染企业</w:t>
                  </w:r>
                  <w:r>
                    <w:rPr>
                      <w:rFonts w:hint="eastAsia" w:hAnsi="宋体"/>
                      <w:color w:val="000000" w:themeColor="text1"/>
                      <w:szCs w:val="2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99" w:type="dxa"/>
                  <w:vAlign w:val="center"/>
                </w:tcPr>
                <w:p>
                  <w:pPr>
                    <w:pStyle w:val="33"/>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2" w:type="dxa"/>
                  <w:vAlign w:val="center"/>
                </w:tcPr>
                <w:p>
                  <w:pPr>
                    <w:pStyle w:val="33"/>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本项目位于云南东川产业园区四方地片区昆明合旺有色金属有限公司厂区内，不在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99" w:type="dxa"/>
                  <w:vAlign w:val="center"/>
                </w:tcPr>
                <w:p>
                  <w:pPr>
                    <w:pStyle w:val="33"/>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2" w:type="dxa"/>
                  <w:vAlign w:val="center"/>
                </w:tcPr>
                <w:p>
                  <w:pPr>
                    <w:pStyle w:val="33"/>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6</w:t>
            </w:r>
            <w:r>
              <w:rPr>
                <w:rFonts w:ascii="Times New Roman" w:hAnsi="Times New Roman" w:cs="Times New Roman"/>
                <w:b/>
                <w:color w:val="000000" w:themeColor="text1"/>
              </w:rPr>
              <w:t xml:space="preserve"> 与《中华人民共和国长江保护法》符合性分析一览表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9"/>
              <w:gridCol w:w="2456"/>
              <w:gridCol w:w="492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color w:val="000000" w:themeColor="text1"/>
                      <w:kern w:val="0"/>
                      <w:szCs w:val="21"/>
                    </w:rPr>
                    <w:t>序号</w:t>
                  </w:r>
                </w:p>
              </w:tc>
              <w:tc>
                <w:tcPr>
                  <w:tcW w:w="2456" w:type="dxa"/>
                  <w:vAlign w:val="center"/>
                </w:tcPr>
                <w:p>
                  <w:pPr>
                    <w:pStyle w:val="33"/>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925"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925" w:type="dxa"/>
                  <w:vAlign w:val="center"/>
                </w:tcPr>
                <w:p>
                  <w:pPr>
                    <w:pStyle w:val="33"/>
                    <w:spacing w:line="360" w:lineRule="exact"/>
                    <w:ind w:firstLine="210" w:firstLineChars="100"/>
                    <w:jc w:val="both"/>
                    <w:rPr>
                      <w:color w:val="000000" w:themeColor="text1"/>
                      <w:kern w:val="0"/>
                      <w:szCs w:val="21"/>
                    </w:rPr>
                  </w:pPr>
                  <w:r>
                    <w:rPr>
                      <w:rFonts w:hAnsi="宋体"/>
                      <w:color w:val="000000" w:themeColor="text1"/>
                      <w:szCs w:val="21"/>
                    </w:rPr>
                    <w:t>本项目主要对厂区次氧化锌生产线产生的水淬渣进行资源综合利用，属于一般工业固体废物综合利用项目，</w:t>
                  </w:r>
                  <w:r>
                    <w:rPr>
                      <w:rFonts w:hint="eastAsia" w:hAnsi="宋体"/>
                      <w:color w:val="000000" w:themeColor="text1"/>
                      <w:szCs w:val="21"/>
                    </w:rPr>
                    <w:t>不属于化工项目。</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925" w:type="dxa"/>
                  <w:vAlign w:val="center"/>
                </w:tcPr>
                <w:p>
                  <w:pPr>
                    <w:pStyle w:val="33"/>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3"/>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本项目对昆明合旺有色金属有限公司生产线产生的氧化锌尾渣（水淬渣）进行综合利用，其主要工艺为通过物理磁选、重选的方式，回收有利用价值的铁和煤，项目所有生产废水全部循环使用，其总体耗水量不高；其原则上不属于高耗水项目；项目应严格按照水利部门的要求进行取水和生产。</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925"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云南东川产业园区四方地片区昆明合旺有色金属有限公司厂区内，</w:t>
                  </w:r>
                  <w:r>
                    <w:rPr>
                      <w:rFonts w:hint="eastAsia"/>
                      <w:color w:val="000000" w:themeColor="text1"/>
                      <w:kern w:val="0"/>
                      <w:szCs w:val="21"/>
                    </w:rPr>
                    <w:t>该区域不属于长江流域河湖管理范围。</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本项目位于云南东川产业园区四方地片区昆明合旺有色金属有限公司厂区内，项目所在区域属于小江汇水范围，小江属于长江的上游主要支流。因此，本环评须分析本项目与《长江经济带发展负面清单指南（试行，2022年版）》的符合性。具体分析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 xml:space="preserve">1-7 </w:t>
            </w:r>
            <w:r>
              <w:rPr>
                <w:rFonts w:ascii="Times New Roman" w:hAnsi="Times New Roman" w:cs="Times New Roman"/>
                <w:b/>
                <w:color w:val="000000" w:themeColor="text1"/>
              </w:rPr>
              <w:t>与《长江经济带发展负面清单指南（试行，2022年版）》符合性分析一览表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3987"/>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序号</w:t>
                  </w:r>
                </w:p>
              </w:tc>
              <w:tc>
                <w:tcPr>
                  <w:tcW w:w="3855" w:type="dxa"/>
                  <w:vAlign w:val="center"/>
                </w:tcPr>
                <w:p>
                  <w:pPr>
                    <w:pStyle w:val="33"/>
                    <w:spacing w:line="360" w:lineRule="exact"/>
                    <w:rPr>
                      <w:color w:val="000000" w:themeColor="text1"/>
                      <w:kern w:val="0"/>
                      <w:szCs w:val="21"/>
                    </w:rPr>
                  </w:pPr>
                  <w:r>
                    <w:rPr>
                      <w:color w:val="000000" w:themeColor="text1"/>
                      <w:kern w:val="0"/>
                      <w:szCs w:val="21"/>
                    </w:rPr>
                    <w:t>《长江经济带发展负面清单指南（试行，2022年版）》要求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本项目为“一般工业固体废物综合利用”类项目，位于云南东川产业园区四方地片区昆明合旺有色金属有限公司厂区内，不涉及码头及过江通道。</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本项目位于云南东川产业园区四方地片区昆明合旺有色金属有限公司厂区内，不涉及自然保护区核心区、风景名胜区等特殊敏感区。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3</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4</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5</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6</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禁止未经许可在长江千支流及湖泊新设、改设或扩大排污口。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项目不在</w:t>
                  </w:r>
                  <w:r>
                    <w:rPr>
                      <w:color w:val="000000" w:themeColor="text1"/>
                      <w:kern w:val="0"/>
                      <w:szCs w:val="21"/>
                    </w:rPr>
                    <w:t>长江千支流及湖泊新设、改设或扩大排污口。</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7</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本项目不涉及生产性捕捞。</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8</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本项目为“一般工业固体废物综合利用”类项目，不属于钢铁、石化、化工、焦化、建材、有色等高污染项目。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9</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本项目为“一般工业固体废物综合利用”类项目，不属于钢铁、石化、化工、焦化、建材、有色、制浆造纸等高污染项目。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10</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本项目为“一般工业固体废物综合利用”类项目，不属于不符合国家石化、现代煤化工等产业布局规划的项目。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本项目为“一般工业固体废物综合利用”类项目，根据《产业结构调整指导目录》（2019年本），本项目属于鼓励类项目。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由上表可知，本项目符合《长江经济带发展负面清单指南（试行，2022年版）》的要求。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（5）与《云南省长江经济带发展负面清单指南实施细则（试行，</w:t>
            </w:r>
            <w:r>
              <w:rPr>
                <w:rFonts w:ascii="Times New Roman" w:hAnsi="Times New Roman" w:cs="Times New Roman"/>
                <w:b/>
                <w:color w:val="000000" w:themeColor="text1"/>
                <w:sz w:val="24"/>
                <w:szCs w:val="24"/>
              </w:rPr>
              <w:t>2022</w:t>
            </w:r>
            <w:r>
              <w:rPr>
                <w:rFonts w:hint="eastAsia" w:ascii="Times New Roman" w:hAnsi="Times New Roman" w:cs="Times New Roman"/>
                <w:b/>
                <w:color w:val="000000" w:themeColor="text1"/>
                <w:sz w:val="24"/>
                <w:szCs w:val="24"/>
              </w:rPr>
              <w:t>年版）》符合性分析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云南省推动长江经济带发展领导小组办公室于</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19</w:t>
            </w:r>
            <w:r>
              <w:rPr>
                <w:rFonts w:hint="eastAsia" w:ascii="Times New Roman" w:hAnsi="Times New Roman" w:cs="Times New Roman"/>
                <w:color w:val="000000" w:themeColor="text1"/>
                <w:sz w:val="24"/>
                <w:szCs w:val="24"/>
              </w:rPr>
              <w:t>日印发了《云南省长江经济带发展负面清单指南实施细则（试行，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年版）》，本项目与其符合性见下表。</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表1-8与《云南省长江经济带发展负面清单指南实施细则（试行，</w:t>
            </w:r>
            <w:r>
              <w:rPr>
                <w:rFonts w:ascii="Times New Roman" w:hAnsi="Times New Roman" w:cs="Times New Roman"/>
                <w:b/>
                <w:color w:val="000000" w:themeColor="text1"/>
              </w:rPr>
              <w:t>2022</w:t>
            </w:r>
            <w:r>
              <w:rPr>
                <w:rFonts w:hint="eastAsia" w:ascii="Times New Roman" w:hAnsi="Times New Roman" w:cs="Times New Roman"/>
                <w:b/>
                <w:color w:val="000000" w:themeColor="text1"/>
              </w:rPr>
              <w:t>年版）》符合性</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040" w:type="dxa"/>
                  <w:vAlign w:val="center"/>
                </w:tcPr>
                <w:p>
                  <w:pPr>
                    <w:pStyle w:val="33"/>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云南省长江经济带发展负面清单指南实施细则（试行，</w:t>
                  </w:r>
                  <w:r>
                    <w:rPr>
                      <w:color w:val="000000" w:themeColor="text1"/>
                      <w:kern w:val="0"/>
                      <w:szCs w:val="21"/>
                    </w:rPr>
                    <w:t>2022</w:t>
                  </w:r>
                  <w:r>
                    <w:rPr>
                      <w:rFonts w:hint="eastAsia"/>
                      <w:color w:val="000000" w:themeColor="text1"/>
                      <w:kern w:val="0"/>
                      <w:szCs w:val="21"/>
                    </w:rPr>
                    <w:t>年版）</w:t>
                  </w:r>
                  <w:r>
                    <w:rPr>
                      <w:color w:val="000000" w:themeColor="text1"/>
                      <w:kern w:val="0"/>
                      <w:szCs w:val="21"/>
                    </w:rPr>
                    <w:t>》要求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（一）禁止新建、改建和扩建不符合《全国内河航道与港口布局规划》等全国港口规划和《昭通市港口码头岸线规划（金沙江段</w:t>
                  </w:r>
                  <w:r>
                    <w:rPr>
                      <w:color w:val="000000" w:themeColor="text1"/>
                      <w:kern w:val="0"/>
                      <w:szCs w:val="21"/>
                    </w:rPr>
                    <w:t>2019</w:t>
                  </w:r>
                  <w:r>
                    <w:rPr>
                      <w:rFonts w:hint="eastAsia"/>
                      <w:color w:val="000000" w:themeColor="text1"/>
                      <w:kern w:val="0"/>
                      <w:szCs w:val="21"/>
                    </w:rPr>
                    <w:t>年</w:t>
                  </w:r>
                  <w:r>
                    <w:rPr>
                      <w:color w:val="000000" w:themeColor="text1"/>
                      <w:kern w:val="0"/>
                      <w:szCs w:val="21"/>
                    </w:rPr>
                    <w:t>-2035</w:t>
                  </w:r>
                  <w:r>
                    <w:rPr>
                      <w:rFonts w:hint="eastAsia"/>
                      <w:color w:val="000000" w:themeColor="text1"/>
                      <w:kern w:val="0"/>
                      <w:szCs w:val="21"/>
                    </w:rPr>
                    <w:t>年）》、《景洪港总体规划（</w:t>
                  </w:r>
                  <w:r>
                    <w:rPr>
                      <w:color w:val="000000" w:themeColor="text1"/>
                      <w:kern w:val="0"/>
                      <w:szCs w:val="21"/>
                    </w:rPr>
                    <w:t>2019-2035</w:t>
                  </w:r>
                  <w:r>
                    <w:rPr>
                      <w:rFonts w:hint="eastAsia"/>
                      <w:color w:val="000000" w:themeColor="text1"/>
                      <w:kern w:val="0"/>
                      <w:szCs w:val="21"/>
                    </w:rPr>
                    <w:t>年）》等州（市）级以上港口布局规划以及港口总体规划的码头项目。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本项目为“一般工业固体废物综合利用”类项目，位于云南东川产业园区四方地片区昆明合旺有色金属有限公司厂区内，不涉及码头及过江通道。</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本项目为“一般工业固体废物综合利用”类项目，位于云南东川产业园区四方地片区昆明合旺有色金属有限公司厂区内，不涉及自然保护区核心区、风景名胜区等特殊敏感区。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w:t>
                  </w:r>
                  <w:r>
                    <w:rPr>
                      <w:rFonts w:hint="eastAsia"/>
                      <w:color w:val="000000" w:themeColor="text1"/>
                      <w:kern w:val="0"/>
                      <w:szCs w:val="21"/>
                    </w:rPr>
                    <w:t>风景名胜区。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w:t>
                  </w:r>
                  <w:r>
                    <w:rPr>
                      <w:rFonts w:hint="eastAsia"/>
                      <w:color w:val="000000" w:themeColor="text1"/>
                      <w:kern w:val="0"/>
                      <w:szCs w:val="21"/>
                    </w:rPr>
                    <w:t>过江基础设施项目；同时，项目不在</w:t>
                  </w:r>
                  <w:r>
                    <w:rPr>
                      <w:color w:val="000000" w:themeColor="text1"/>
                      <w:kern w:val="0"/>
                      <w:szCs w:val="21"/>
                    </w:rPr>
                    <w:t>长江千支流及湖泊新设、改设或扩大排污口。</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8</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本项目不涉及生产性捕捞。</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9</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本项目为“一般工业固体废物综合利用”类项目，不属于钢铁、石化、化工、焦化、建材、有色等高污染项目。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10</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（十）禁止在合规园区外新建、扩建钢铁、石化、化工、焦化、建材、有色、制浆造纸行业中的高污染项目。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本项目为“一般工业固体废物综合利用”类项目，不属于钢铁、石化、化工、焦化、建材、有色、制浆造纸等高污染项目。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本项目为“一般工业固体废物综合利用”类项目，不属于不符合国家石化、现代煤化工等产业布局规划的项目。</w:t>
                  </w:r>
                  <w:r>
                    <w:rPr>
                      <w:rFonts w:hint="eastAsia"/>
                      <w:color w:val="000000" w:themeColor="text1"/>
                      <w:kern w:val="0"/>
                      <w:szCs w:val="21"/>
                    </w:rPr>
                    <w:t>项目不涉及危险化学品，不属于《云南省城镇人口密集区危险化学品生产企业搬迁改造名单》的搬迁改造企业。</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本项目为“一般工业固体废物综合利用”类项目，根据《产业结构调整指导目录》（2019年本），本项目属于鼓励类项目。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bl>
          <w:p>
            <w:pPr>
              <w:spacing w:beforeLines="50" w:line="360" w:lineRule="auto"/>
              <w:ind w:firstLine="480" w:firstLineChars="200"/>
              <w:rPr>
                <w:rFonts w:hAnsiTheme="minorEastAsia"/>
                <w:color w:val="000000" w:themeColor="text1"/>
                <w:sz w:val="24"/>
              </w:rPr>
            </w:pPr>
            <w:r>
              <w:rPr>
                <w:rFonts w:ascii="Times New Roman" w:hAnsi="Times New Roman" w:cs="Times New Roman"/>
                <w:color w:val="000000" w:themeColor="text1"/>
                <w:sz w:val="24"/>
                <w:szCs w:val="24"/>
              </w:rPr>
              <w:t>由上表可知，本项目符合</w:t>
            </w:r>
            <w:r>
              <w:rPr>
                <w:rFonts w:hint="eastAsia" w:ascii="Times New Roman" w:hAnsi="Times New Roman" w:cs="Times New Roman"/>
                <w:color w:val="000000" w:themeColor="text1"/>
                <w:sz w:val="24"/>
                <w:szCs w:val="24"/>
              </w:rPr>
              <w:t>《云南省长江经济带发展负面清单指南实施细则（试行，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w:t>
            </w:r>
            <w:r>
              <w:rPr>
                <w:rFonts w:ascii="Times New Roman" w:hAnsi="Times New Roman" w:cs="Times New Roman"/>
                <w:color w:val="000000" w:themeColor="text1"/>
                <w:sz w:val="24"/>
                <w:szCs w:val="24"/>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本项目为一般工业固体废物综合利用项目，本项目的建设与《长江经济带生态环境保护规划》的相关要求不相冲突。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（7）与《关于“十四五”大宗固体废弃物综合利用的指导意见》（发改环资【</w:t>
            </w:r>
            <w:r>
              <w:rPr>
                <w:rFonts w:ascii="Times New Roman" w:hAnsi="Times New Roman" w:cs="Times New Roman"/>
                <w:b/>
                <w:color w:val="000000" w:themeColor="text1"/>
                <w:sz w:val="24"/>
                <w:szCs w:val="24"/>
              </w:rPr>
              <w:t>2021</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381 </w:t>
            </w:r>
            <w:r>
              <w:rPr>
                <w:rFonts w:hint="eastAsia" w:ascii="Times New Roman" w:hAnsi="Times New Roman" w:cs="Times New Roman"/>
                <w:b/>
                <w:color w:val="000000" w:themeColor="text1"/>
                <w:sz w:val="24"/>
                <w:szCs w:val="24"/>
              </w:rPr>
              <w:t>号）的符合性分析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项目与《关于“十四五”大宗固体废弃物综合利用的指导意见》（发改环资【</w:t>
            </w:r>
            <w:r>
              <w:rPr>
                <w:rFonts w:ascii="Times New Roman" w:hAnsi="Times New Roman" w:cs="Times New Roman"/>
                <w:color w:val="000000" w:themeColor="text1"/>
                <w:sz w:val="24"/>
                <w:szCs w:val="24"/>
              </w:rPr>
              <w:t>2021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381 </w:t>
            </w:r>
            <w:r>
              <w:rPr>
                <w:rFonts w:hint="eastAsia" w:ascii="Times New Roman" w:hAnsi="Times New Roman" w:cs="Times New Roman"/>
                <w:color w:val="000000" w:themeColor="text1"/>
                <w:sz w:val="24"/>
                <w:szCs w:val="24"/>
              </w:rPr>
              <w:t>号）的符合性分析如下表所示。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表1-9 与《关于“十四五”大宗固体废弃物综合利用的指导意见》符合性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709"/>
              <w:gridCol w:w="3827"/>
              <w:gridCol w:w="3119"/>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536" w:type="dxa"/>
                  <w:gridSpan w:val="2"/>
                  <w:vAlign w:val="center"/>
                </w:tcPr>
                <w:p>
                  <w:pPr>
                    <w:pStyle w:val="33"/>
                    <w:spacing w:line="360" w:lineRule="exact"/>
                    <w:rPr>
                      <w:color w:val="000000" w:themeColor="text1"/>
                      <w:kern w:val="0"/>
                      <w:szCs w:val="21"/>
                    </w:rPr>
                  </w:pPr>
                  <w:r>
                    <w:rPr>
                      <w:rFonts w:hint="eastAsia"/>
                      <w:color w:val="000000" w:themeColor="text1"/>
                      <w:kern w:val="0"/>
                      <w:szCs w:val="21"/>
                    </w:rPr>
                    <w:t>《关于“十四五”大宗固体废弃物综合利用的指导意见》要求</w:t>
                  </w:r>
                </w:p>
              </w:tc>
              <w:tc>
                <w:tcPr>
                  <w:tcW w:w="3119"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总体要求</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主要目标。到</w:t>
                  </w:r>
                  <w:r>
                    <w:rPr>
                      <w:color w:val="000000" w:themeColor="text1"/>
                      <w:szCs w:val="24"/>
                    </w:rPr>
                    <w:t xml:space="preserve">2025 </w:t>
                  </w:r>
                  <w:r>
                    <w:rPr>
                      <w:rFonts w:hint="eastAsia"/>
                      <w:color w:val="000000" w:themeColor="text1"/>
                      <w:szCs w:val="24"/>
                    </w:rPr>
                    <w:t>年，煤矸石、粉煤灰、尾矿（共伴生矿）、冶炼渣、工业副产石膏、建筑垃圾、农作物秸秆等大宗固废的综合利用能力显著提升，利用规模不断扩大，新增大宗固废综合利用率达到</w:t>
                  </w:r>
                  <w:r>
                    <w:rPr>
                      <w:color w:val="000000" w:themeColor="text1"/>
                      <w:szCs w:val="24"/>
                    </w:rPr>
                    <w:t>60%</w:t>
                  </w:r>
                  <w:r>
                    <w:rPr>
                      <w:rFonts w:hint="eastAsia"/>
                      <w:color w:val="000000" w:themeColor="text1"/>
                      <w:szCs w:val="24"/>
                    </w:rPr>
                    <w:t>，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本项目主要对昆明合旺有色金属有限公司生产线产生的氧化锌尾渣（水淬渣）进行综合利用，其主要工艺为通过物理磁选、重选的方式，回收有利用价值的铁，符合《关于“十四五”大宗固体废弃物综合利用的指导意见》（发改环资【</w:t>
                  </w:r>
                  <w:r>
                    <w:rPr>
                      <w:color w:val="000000" w:themeColor="text1"/>
                      <w:szCs w:val="24"/>
                    </w:rPr>
                    <w:t>2021</w:t>
                  </w:r>
                  <w:r>
                    <w:rPr>
                      <w:rFonts w:hint="eastAsia"/>
                      <w:color w:val="000000" w:themeColor="text1"/>
                      <w:szCs w:val="24"/>
                    </w:rPr>
                    <w:t>】</w:t>
                  </w:r>
                  <w:r>
                    <w:rPr>
                      <w:color w:val="000000" w:themeColor="text1"/>
                      <w:szCs w:val="24"/>
                    </w:rPr>
                    <w:t xml:space="preserve">381 </w:t>
                  </w:r>
                  <w:r>
                    <w:rPr>
                      <w:rFonts w:hint="eastAsia"/>
                      <w:color w:val="000000" w:themeColor="text1"/>
                      <w:szCs w:val="24"/>
                    </w:rPr>
                    <w:t>号）的主要目标要求。</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提高大宗固废资源利用效率</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冶炼渣。加强产业协同利用，扩大赤泥和钢渣利用规模，提高赤泥在道路材料中的掺用比例，扩大钢渣微粉作混凝土掺合料在建设工程等领域的利用。不断探索赤泥和钢渣的其他规模化利用渠道。鼓励从赤泥中回收铁、碱、氧化铝，从冶炼渣中回收稀有稀散金属和稀贵金属等有价组分，提高矿产资源利用效率，保障国家资源安全，逐步提高冶炼渣综合利用率。</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本项目主要对昆明合旺有色金属有限公司生产线产生的氧化锌尾渣（水淬渣）进行综合利用，其主要工艺为通过物理磁选、重选的方式，回收有利用价值的铁，属于“从冶炼渣中回收稀有稀散金属和稀贵金属等有价组分”。</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推进大宗固废综合利用绿色发展</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强化大宗固废规范处置，守住环境底线。加强大宗固废贮存及处置管理，强化主体责任，推动建设符合有关国家标准的贮存设施，实现安全分类存放，杜绝混排混堆。统筹兼顾大宗固废增量消纳和存量治理，加大重点流域和重点区域大宗固废的综合整治力度，健全环保长效监督管理制度。</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项目对昆明合旺有色金属有限公司生产线产生的氧化锌尾渣（水淬渣）进行综合利用，其主体责任明确，贮存设施满足</w:t>
                  </w:r>
                  <w:r>
                    <w:rPr>
                      <w:color w:val="000000" w:themeColor="text1"/>
                      <w:szCs w:val="24"/>
                    </w:rPr>
                    <w:t>《一般工业固体废物贮存和填埋污染控制标准》（GB</w:t>
                  </w:r>
                  <w:r>
                    <w:rPr>
                      <w:rFonts w:hint="eastAsia"/>
                      <w:color w:val="000000" w:themeColor="text1"/>
                      <w:szCs w:val="24"/>
                      <w:lang w:eastAsia="zh-CN"/>
                    </w:rPr>
                    <w:t>*****</w:t>
                  </w:r>
                  <w:r>
                    <w:rPr>
                      <w:color w:val="000000" w:themeColor="text1"/>
                      <w:szCs w:val="24"/>
                    </w:rPr>
                    <w:t>-2020）</w:t>
                  </w:r>
                  <w:r>
                    <w:rPr>
                      <w:rFonts w:hint="eastAsia"/>
                      <w:color w:val="000000" w:themeColor="text1"/>
                      <w:szCs w:val="24"/>
                    </w:rPr>
                    <w:t>的贮存要求。</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项目的建设符合《关于“十四五”大宗固体废弃物综合利用的指导意见》（发改环资【</w:t>
            </w:r>
            <w:r>
              <w:rPr>
                <w:rFonts w:ascii="Times New Roman" w:hAnsi="Times New Roman" w:cs="Times New Roman"/>
                <w:color w:val="000000" w:themeColor="text1"/>
                <w:sz w:val="24"/>
                <w:szCs w:val="24"/>
              </w:rPr>
              <w:t>2021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381 </w:t>
            </w:r>
            <w:r>
              <w:rPr>
                <w:rFonts w:hint="eastAsia" w:ascii="Times New Roman" w:hAnsi="Times New Roman" w:cs="Times New Roman"/>
                <w:color w:val="000000" w:themeColor="text1"/>
                <w:sz w:val="24"/>
                <w:szCs w:val="24"/>
              </w:rPr>
              <w:t>号）的相关要求。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（7）与</w:t>
            </w:r>
            <w:r>
              <w:rPr>
                <w:rFonts w:ascii="Times New Roman" w:hAnsi="Times New Roman" w:cs="Times New Roman"/>
                <w:b/>
                <w:color w:val="000000" w:themeColor="text1"/>
                <w:sz w:val="24"/>
                <w:szCs w:val="24"/>
              </w:rPr>
              <w:t>《云南省工业固体废物和重金属污染防治</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十四五</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规划》</w:t>
            </w:r>
            <w:r>
              <w:rPr>
                <w:rFonts w:hint="eastAsia" w:ascii="Times New Roman" w:hAnsi="Times New Roman" w:cs="Times New Roman"/>
                <w:b/>
                <w:color w:val="000000" w:themeColor="text1"/>
                <w:sz w:val="24"/>
                <w:szCs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w:t>
            </w:r>
            <w:r>
              <w:rPr>
                <w:rFonts w:ascii="Times New Roman" w:hAnsi="Times New Roman" w:cs="Times New Roman"/>
                <w:color w:val="000000" w:themeColor="text1"/>
                <w:sz w:val="24"/>
                <w:szCs w:val="24"/>
              </w:rPr>
              <w:t>《云南省工业固体废物和重金属污染防治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十四五</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规划》</w:t>
            </w:r>
            <w:r>
              <w:rPr>
                <w:rFonts w:hint="eastAsia" w:ascii="Times New Roman" w:hAnsi="Times New Roman" w:cs="Times New Roman"/>
                <w:color w:val="000000" w:themeColor="text1"/>
                <w:sz w:val="24"/>
                <w:szCs w:val="24"/>
              </w:rPr>
              <w:t>的符合性分析如下表所示。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表1-10 与</w:t>
            </w:r>
            <w:r>
              <w:rPr>
                <w:rFonts w:ascii="Times New Roman" w:hAnsi="Times New Roman" w:cs="Times New Roman"/>
                <w:b/>
                <w:color w:val="000000" w:themeColor="text1"/>
              </w:rPr>
              <w:t>《云南省工业固体废物和重金属污染防治</w:t>
            </w:r>
            <w:r>
              <w:rPr>
                <w:rFonts w:hint="eastAsia" w:ascii="Times New Roman" w:hAnsi="Times New Roman" w:cs="Times New Roman"/>
                <w:b/>
                <w:color w:val="000000" w:themeColor="text1"/>
              </w:rPr>
              <w:t>“</w:t>
            </w:r>
            <w:r>
              <w:rPr>
                <w:rFonts w:ascii="Times New Roman" w:hAnsi="Times New Roman" w:cs="Times New Roman"/>
                <w:b/>
                <w:color w:val="000000" w:themeColor="text1"/>
              </w:rPr>
              <w:t>十四五</w:t>
            </w:r>
            <w:r>
              <w:rPr>
                <w:rFonts w:hint="eastAsia" w:ascii="Times New Roman" w:hAnsi="Times New Roman" w:cs="Times New Roman"/>
                <w:b/>
                <w:color w:val="000000" w:themeColor="text1"/>
              </w:rPr>
              <w:t>”</w:t>
            </w:r>
            <w:r>
              <w:rPr>
                <w:rFonts w:ascii="Times New Roman" w:hAnsi="Times New Roman" w:cs="Times New Roman"/>
                <w:b/>
                <w:color w:val="000000" w:themeColor="text1"/>
              </w:rPr>
              <w:t>规划》</w:t>
            </w:r>
            <w:r>
              <w:rPr>
                <w:rFonts w:hint="eastAsia" w:ascii="Times New Roman" w:hAnsi="Times New Roman" w:cs="Times New Roman"/>
                <w:b/>
                <w:color w:val="000000" w:themeColor="text1"/>
              </w:rPr>
              <w:t>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381"/>
              <w:gridCol w:w="3274"/>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381" w:type="dxa"/>
                  <w:vAlign w:val="center"/>
                </w:tcPr>
                <w:p>
                  <w:pPr>
                    <w:pStyle w:val="33"/>
                    <w:spacing w:line="360" w:lineRule="exact"/>
                    <w:rPr>
                      <w:color w:val="000000" w:themeColor="text1"/>
                      <w:kern w:val="0"/>
                      <w:szCs w:val="21"/>
                    </w:rPr>
                  </w:pPr>
                  <w:r>
                    <w:rPr>
                      <w:color w:val="000000" w:themeColor="text1"/>
                      <w:kern w:val="0"/>
                      <w:szCs w:val="21"/>
                    </w:rPr>
                    <w:t>《云南省工业固体废物和重金属污染防治</w:t>
                  </w:r>
                  <w:r>
                    <w:rPr>
                      <w:rFonts w:hint="eastAsia"/>
                      <w:color w:val="000000" w:themeColor="text1"/>
                      <w:kern w:val="0"/>
                      <w:szCs w:val="21"/>
                    </w:rPr>
                    <w:t>“</w:t>
                  </w:r>
                  <w:r>
                    <w:rPr>
                      <w:color w:val="000000" w:themeColor="text1"/>
                      <w:kern w:val="0"/>
                      <w:szCs w:val="21"/>
                    </w:rPr>
                    <w:t>十四五</w:t>
                  </w:r>
                  <w:r>
                    <w:rPr>
                      <w:rFonts w:hint="eastAsia"/>
                      <w:color w:val="000000" w:themeColor="text1"/>
                      <w:kern w:val="0"/>
                      <w:szCs w:val="21"/>
                    </w:rPr>
                    <w:t>”</w:t>
                  </w:r>
                  <w:r>
                    <w:rPr>
                      <w:color w:val="000000" w:themeColor="text1"/>
                      <w:kern w:val="0"/>
                      <w:szCs w:val="21"/>
                    </w:rPr>
                    <w:t>规划》</w:t>
                  </w:r>
                  <w:r>
                    <w:rPr>
                      <w:rFonts w:hint="eastAsia"/>
                      <w:color w:val="000000" w:themeColor="text1"/>
                      <w:kern w:val="0"/>
                      <w:szCs w:val="21"/>
                    </w:rPr>
                    <w:t>要求</w:t>
                  </w:r>
                </w:p>
              </w:tc>
              <w:tc>
                <w:tcPr>
                  <w:tcW w:w="3274"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严格控制新建、扩建工业固体废物及危险废物产生量大、区域内难以有效综合利用、无害化处置能力不足、无配套利用处置设施的建设项目。新建项目严格执行《建设项目危险废物环境影响评价指南》《危险废物处置工程技术导则》等技术规范，开展危险废物环境影响评价。将固体废物污染环境防治内容纳入环境影响评价文件，落实固体废物污染环境和破坏生态防治措施，将固体废物环境污染防治设施建设资金纳入投资概算。</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项目对昆明合旺有色金属有限公司生产线产生的氧化锌尾渣（水淬渣）进行综合利用，可有效减少现有一般工业固体废物的量。</w:t>
                  </w:r>
                </w:p>
                <w:p>
                  <w:pPr>
                    <w:pStyle w:val="33"/>
                    <w:spacing w:line="360" w:lineRule="exact"/>
                    <w:ind w:firstLine="210" w:firstLineChars="100"/>
                    <w:jc w:val="both"/>
                    <w:rPr>
                      <w:color w:val="000000" w:themeColor="text1"/>
                      <w:szCs w:val="21"/>
                    </w:rPr>
                  </w:pPr>
                  <w:r>
                    <w:rPr>
                      <w:rFonts w:hint="eastAsia"/>
                      <w:color w:val="000000" w:themeColor="text1"/>
                      <w:szCs w:val="21"/>
                    </w:rPr>
                    <w:t>项目已落实了</w:t>
                  </w:r>
                  <w:r>
                    <w:rPr>
                      <w:color w:val="000000" w:themeColor="text1"/>
                      <w:szCs w:val="21"/>
                    </w:rPr>
                    <w:t>落实固体废物污染环境和破坏生态防治措施，</w:t>
                  </w:r>
                  <w:r>
                    <w:rPr>
                      <w:rFonts w:hint="eastAsia"/>
                      <w:color w:val="000000" w:themeColor="text1"/>
                      <w:szCs w:val="21"/>
                    </w:rPr>
                    <w:t>并将</w:t>
                  </w:r>
                  <w:r>
                    <w:rPr>
                      <w:color w:val="000000" w:themeColor="text1"/>
                      <w:szCs w:val="21"/>
                    </w:rPr>
                    <w:t>资金纳入</w:t>
                  </w:r>
                  <w:r>
                    <w:rPr>
                      <w:rFonts w:hint="eastAsia"/>
                      <w:color w:val="000000" w:themeColor="text1"/>
                      <w:szCs w:val="21"/>
                    </w:rPr>
                    <w:t>了</w:t>
                  </w:r>
                  <w:r>
                    <w:rPr>
                      <w:color w:val="000000" w:themeColor="text1"/>
                      <w:szCs w:val="21"/>
                    </w:rPr>
                    <w:t>投资概算。</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督促企业合理选择清洁的原料、能源和工艺、设备，减少有毒、有害原料的使用，提高资源利用效率。以有色金属矿采选业、有色金属冶炼和压延加工业、黑色金属冶炼和压延加工业、化学原料和化学制品制造业、环境治理业等工业固体废物产生量大的行业为重点，实施强制性清洁生产审核，督促企业实施清洁生产技术改造，从源头减少工业固体废物及危险废物产生。</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运营期建设单位将严格按照上级生态环境主管部门要求定期进行强制性清洁生产审核。</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加强危险废物鉴别管理。严格落实危险废物鉴别程序和鉴别单位管理要求。强化固体废物产生单位鉴别主体责任，对不明属性固体废物主动鉴别，及时公开鉴别资料。</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运营期建设单位将严格按照上级生态环境主管部门要求对生产过程中产生固体废物进行危废鉴别，若鉴别结果为危险废物，则立即按照危险废物处置要求进行处置。</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在有色金属冶炼和压延加工业、化学原料和化学制品制造业、机械和设备修理业等重点行业，开展危险废物规范贮存专项行动，推进危险废物贮存设施规范化改造，严厉打击危险废物混合堆存、露天存放等违法违规行为，督促企业逐年降低危险废物贮存量，促进危险废物得到合理的利用和处置，降低危险废物贮存环境风险。</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针对项目产生的废机油，厂区已建设了1个15m²的危险废物贮存间对项目区废机油进行暂存。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推动涉镉涉铊涉锰企业排查治理。持续推进耕地周边涉镉等重金属重点行业企业排查整治。以铅、锌、锡等有色采选与冶炼、钢铁、硫酸、磷肥、无机化工及含铊灰渣利用等工业企业为重点，全面排查涉铊企业，形成涉铊企业清单，建立铊污染风险问题台账并制定相应整改方案。开展涉铊企业废水治理设施除铊升级改造，铅锌、锡锑汞、钢铁、硫酸、磷肥等行业实现企业车间或生产设施废水总铊达标排放。开展涉锰污染源现状风险隐患排查，逐步推进完成锰污染治理和生态修复。推进全省镉、铊、锰环境质量现状调查，结合现状情况，制定针对性整治方案，有序推进全省涉镉涉铊涉锰污染整治。</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本项目主要对厂区次氧化锌生产线产生的水淬渣进行资源综合利用，属于一般工业固体废物综合利用项目，不涉及</w:t>
                  </w:r>
                  <w:r>
                    <w:rPr>
                      <w:color w:val="000000" w:themeColor="text1"/>
                      <w:szCs w:val="21"/>
                    </w:rPr>
                    <w:t>涉镉涉铊涉锰污染整治</w:t>
                  </w:r>
                  <w:r>
                    <w:rPr>
                      <w:rFonts w:hint="eastAsia"/>
                      <w:color w:val="000000" w:themeColor="text1"/>
                      <w:szCs w:val="21"/>
                    </w:rPr>
                    <w:t>内容。</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深入推进重金属污染防治：优化涉重金属产业结构和布局，严格重点行业企业准入管理。严格落实分级分类审批规定，不得以改革试点为名降低审批要求。个旧市、蒙自市、建水县、马关县、东川区、会泽县、兰坪县新改扩建涉重金属重点行业建设项目遵循“减量替代”的原则，替代比例不低于1.2:1，其他区域遵循“等量替代”。新、改、扩建重点行业建设项目重金属污染物排放总量的来源，原则上应是全口径涉重金属重点行业企业清单（以下简称全口径清单）内的同一重点行业企业削减的重点重金属污染物排放量，当同一重点行业企业削减量无法满足时可从其他重点行业调剂。建设单位在提交环境影响评价及相关配套文件时应明确重点重金属污染物排放总量及来源。建设项目所在地州（市）生态环境部门应当结合辖区重金属污染物排放量总量控制目标要求，对项目环境影响评价提出的重金属污染物排放总量及来源进行核准，出具项目重金属污染排放总量控制指标核准意见。对全省重大战略发展项目，州（市）确实无法解决总量来源的，经报省委、省政府同意后，从全省富余削减量中统筹协调。无明确具体总量来源的，各级生态环境部门不得批准相关环境影响评价文件。</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加大产业结构调整力度。根据《产业结构调整指导目录》《限期淘汰产生严重污染环境的工业固体废物的落后生产工艺设备名录》等要求，推动依法淘汰涉重金属落后产能和化解过剩产能。严格执行相关法规政策标准，推动经整改仍达不到要求的产能依法依规关闭退出。鼓励有色金属冶炼产业延链补链强链，鼓励省内大型企业带动小型企业延伸产业链，开发高端和高附加值产品，推动铜铅锌锡等金属精深加工，着力延伸下游产业链。鼓励历史遗留等涉重金属大宗工业固体废物综合利用，探索总量替代豁免管理。鼓励企业通过兼并重组等方式做大做强，推动有色金属矿产资源整合，提高产业集中度及规模化水平。优化重点行业企业布局。推动涉重金属产业集中优化发展，合理布局新建有色冶炼项目，新建、扩建重有色金属冶炼、电镀、制革企业优先选择布设在依法合规的开发区。</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本项目主要对厂区次氧化锌生产线产生的水淬渣进行资源综合利用，属于一般工业固体废物综合利用项目，且本项目位于</w:t>
                  </w:r>
                  <w:r>
                    <w:rPr>
                      <w:color w:val="000000" w:themeColor="text1"/>
                      <w:szCs w:val="21"/>
                    </w:rPr>
                    <w:t>云南东川产业园区四方地片区昆明合旺有色金属有限公司厂区内</w:t>
                  </w:r>
                  <w:r>
                    <w:rPr>
                      <w:rFonts w:hint="eastAsia"/>
                      <w:color w:val="000000" w:themeColor="text1"/>
                      <w:szCs w:val="21"/>
                    </w:rPr>
                    <w:t>，属于合规工业园区。</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由上表可知，本项目的建设符合</w:t>
            </w:r>
            <w:r>
              <w:rPr>
                <w:rFonts w:ascii="Times New Roman" w:hAnsi="Times New Roman" w:cs="Times New Roman"/>
                <w:color w:val="000000" w:themeColor="text1"/>
                <w:sz w:val="24"/>
                <w:szCs w:val="24"/>
              </w:rPr>
              <w:t>《云南省工业固体废物和重金属污染防治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十四五</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规划》</w:t>
            </w:r>
            <w:r>
              <w:rPr>
                <w:rFonts w:hint="eastAsia" w:ascii="Times New Roman" w:hAnsi="Times New Roman" w:cs="Times New Roman"/>
                <w:color w:val="000000" w:themeColor="text1"/>
                <w:sz w:val="24"/>
                <w:szCs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（8）与</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云南省固体废物污染环境防治条例</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（2023年3月1日起施行）的符合性分析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云南省固体废物污染环境防治条例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的符合性分析如下表所示。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表1-11 与</w:t>
            </w:r>
            <w:r>
              <w:rPr>
                <w:rFonts w:ascii="Times New Roman" w:hAnsi="Times New Roman" w:cs="Times New Roman"/>
                <w:b/>
                <w:color w:val="000000" w:themeColor="text1"/>
              </w:rPr>
              <w:t>《</w:t>
            </w:r>
            <w:r>
              <w:rPr>
                <w:rFonts w:hint="eastAsia" w:ascii="Times New Roman" w:hAnsi="Times New Roman" w:cs="Times New Roman"/>
                <w:b/>
                <w:color w:val="000000" w:themeColor="text1"/>
              </w:rPr>
              <w:t>云南省固体废物污染环境防治条例</w:t>
            </w:r>
            <w:r>
              <w:rPr>
                <w:rFonts w:ascii="Times New Roman" w:hAnsi="Times New Roman" w:cs="Times New Roman"/>
                <w:b/>
                <w:color w:val="000000" w:themeColor="text1"/>
              </w:rPr>
              <w:t>》</w:t>
            </w:r>
            <w:r>
              <w:rPr>
                <w:rFonts w:hint="eastAsia" w:ascii="Times New Roman" w:hAnsi="Times New Roman" w:cs="Times New Roman"/>
                <w:b/>
                <w:color w:val="000000" w:themeColor="text1"/>
              </w:rPr>
              <w:t>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7"/>
              <w:gridCol w:w="4234"/>
              <w:gridCol w:w="3416"/>
              <w:gridCol w:w="5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color w:val="000000" w:themeColor="text1"/>
                      <w:kern w:val="0"/>
                      <w:szCs w:val="21"/>
                    </w:rPr>
                    <w:t>序号</w:t>
                  </w:r>
                </w:p>
              </w:tc>
              <w:tc>
                <w:tcPr>
                  <w:tcW w:w="4192" w:type="dxa"/>
                  <w:vAlign w:val="center"/>
                </w:tcPr>
                <w:p>
                  <w:pPr>
                    <w:pStyle w:val="33"/>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云南省固体废物污染环境防治条例</w:t>
                  </w:r>
                  <w:r>
                    <w:rPr>
                      <w:color w:val="000000" w:themeColor="text1"/>
                      <w:kern w:val="0"/>
                      <w:szCs w:val="21"/>
                    </w:rPr>
                    <w:t>》</w:t>
                  </w:r>
                  <w:r>
                    <w:rPr>
                      <w:rFonts w:hint="eastAsia"/>
                      <w:color w:val="000000" w:themeColor="text1"/>
                      <w:kern w:val="0"/>
                      <w:szCs w:val="21"/>
                    </w:rPr>
                    <w:t>要求</w:t>
                  </w:r>
                </w:p>
              </w:tc>
              <w:tc>
                <w:tcPr>
                  <w:tcW w:w="3382"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第三条 固体废物污染环境防治坚持减量化、资源化、无害化和污染担责、分级分类管理的原则。任何单位和个人都应当采取措施，减少固体废物的产生量，促进固体废物的综合利用，降低固体废物的危害性。</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本项目主要对昆明合旺有色金属有限公司生产线产生的氧化锌尾渣（水淬渣）进行综合利用，可降低固体废物的危害性。</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2" w:hRule="atLeast"/>
              </w:trPr>
              <w:tc>
                <w:tcPr>
                  <w:tcW w:w="452" w:type="dxa"/>
                  <w:tcBorders>
                    <w:bottom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192" w:type="dxa"/>
                  <w:tcBorders>
                    <w:bottom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第十二条 ....。产生、收集、贮存、运输、利用、处置固体废物的单位和其他生产经营者，应当加强对相关设施、设备和场所的管理和维护，保证其正常运行和使用；依法及时向社会公开固体废物的种类、产生量、流向、贮存、利用、处置等固体废物污染环境防治信息，主动接受社会监督。</w:t>
                  </w:r>
                </w:p>
                <w:p>
                  <w:pPr>
                    <w:pStyle w:val="33"/>
                    <w:spacing w:line="360" w:lineRule="exact"/>
                    <w:ind w:firstLine="210" w:firstLineChars="100"/>
                    <w:jc w:val="both"/>
                    <w:rPr>
                      <w:color w:val="000000" w:themeColor="text1"/>
                      <w:szCs w:val="21"/>
                    </w:rPr>
                  </w:pPr>
                  <w:r>
                    <w:rPr>
                      <w:rFonts w:hint="eastAsia"/>
                      <w:color w:val="000000" w:themeColor="text1"/>
                      <w:szCs w:val="21"/>
                    </w:rPr>
                    <w:t>利用、处置固体废物的单位，应当依法向社会公众开放设施、场所，提高公众环境保护意识和参与程度。</w:t>
                  </w:r>
                </w:p>
              </w:tc>
              <w:tc>
                <w:tcPr>
                  <w:tcW w:w="3382" w:type="dxa"/>
                  <w:tcBorders>
                    <w:bottom w:val="single" w:color="auto" w:sz="4" w:space="0"/>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对相关设施、设备和场所的管理和维护，保证其正常运行和使用；并建立固体废物管理台账，依法及时向社会公开固体废物的种类、产生量、流向、贮存、利用、处置等固体废物污染环境防治信息，接受社会监督。</w:t>
                  </w:r>
                </w:p>
                <w:p>
                  <w:pPr>
                    <w:pStyle w:val="33"/>
                    <w:spacing w:line="360" w:lineRule="exact"/>
                    <w:ind w:firstLine="210" w:firstLineChars="100"/>
                    <w:jc w:val="both"/>
                    <w:rPr>
                      <w:color w:val="000000" w:themeColor="text1"/>
                      <w:szCs w:val="21"/>
                    </w:rPr>
                  </w:pPr>
                  <w:r>
                    <w:rPr>
                      <w:rFonts w:hint="eastAsia"/>
                      <w:color w:val="000000" w:themeColor="text1"/>
                      <w:szCs w:val="21"/>
                    </w:rPr>
                    <w:t>本项目将依法向社会公众开放设施、场所。</w:t>
                  </w:r>
                </w:p>
              </w:tc>
              <w:tc>
                <w:tcPr>
                  <w:tcW w:w="496" w:type="dxa"/>
                  <w:tcBorders>
                    <w:left w:val="single" w:color="auto" w:sz="4" w:space="0"/>
                    <w:bottom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452" w:type="dxa"/>
                  <w:tcBorders>
                    <w:top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192" w:type="dxa"/>
                  <w:tcBorders>
                    <w:top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第十三条 建设产生、贮存、利用、处置固体废物的项目，应当依法进行环境影响评价，并遵守国家有关建设项目环境保护管理的规定。</w:t>
                  </w:r>
                </w:p>
              </w:tc>
              <w:tc>
                <w:tcPr>
                  <w:tcW w:w="3382" w:type="dxa"/>
                  <w:tcBorders>
                    <w:top w:val="single" w:color="auto" w:sz="4" w:space="0"/>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本项目正开展环境影响评价工作。</w:t>
                  </w:r>
                </w:p>
              </w:tc>
              <w:tc>
                <w:tcPr>
                  <w:tcW w:w="496" w:type="dxa"/>
                  <w:tcBorders>
                    <w:top w:val="single" w:color="auto" w:sz="4" w:space="0"/>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第十四条 产生、收集、贮存、运输、利用、处置固体废物的单位和其他生产经营者，应当采取防扬散、防流失、防渗漏或者其他防止污染环境的措施，不得擅自倾倒、堆放、丢弃、遗撒固体废物。</w:t>
                  </w:r>
                </w:p>
                <w:p>
                  <w:pPr>
                    <w:pStyle w:val="33"/>
                    <w:spacing w:line="360" w:lineRule="exact"/>
                    <w:ind w:firstLine="210" w:firstLineChars="100"/>
                    <w:jc w:val="both"/>
                    <w:rPr>
                      <w:color w:val="000000" w:themeColor="text1"/>
                      <w:szCs w:val="21"/>
                    </w:rPr>
                  </w:pPr>
                  <w:r>
                    <w:rPr>
                      <w:rFonts w:hint="eastAsia"/>
                      <w:color w:val="000000" w:themeColor="text1"/>
                      <w:szCs w:val="21"/>
                    </w:rPr>
                    <w:t>禁止任何单位或者个人向江河、湖泊、运河、渠道、水库及其最高水位线以下的滩地和岸坡以及法律法规规定的其他地点倾倒、堆放、贮存固体废物。</w:t>
                  </w:r>
                </w:p>
                <w:p>
                  <w:pPr>
                    <w:pStyle w:val="33"/>
                    <w:spacing w:line="360" w:lineRule="exact"/>
                    <w:ind w:firstLine="210" w:firstLineChars="100"/>
                    <w:jc w:val="both"/>
                    <w:rPr>
                      <w:color w:val="000000" w:themeColor="text1"/>
                      <w:szCs w:val="21"/>
                    </w:rPr>
                  </w:pPr>
                  <w:r>
                    <w:rPr>
                      <w:rFonts w:hint="eastAsia"/>
                      <w:color w:val="000000" w:themeColor="text1"/>
                      <w:szCs w:val="21"/>
                    </w:rPr>
                    <w:t>在生态保护红线区域、永久基本农田集中区域和其他需要特别保护的区域内，禁止建设工业固体废物、危险废物集中贮存、利用、处置的设施、场所和生活垃圾填埋场。</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调查，本项目设置了水淬渣暂存库和废渣暂存库分别对拟利用的氧化锌尾渣（水淬渣）和利用后产生的废渣进行贮存，其中该水淬渣暂存库设有三面围挡和顶棚设施，可满足“防扬散、防流失、防渗漏”措施要求；而</w:t>
                  </w:r>
                  <w:r>
                    <w:rPr>
                      <w:color w:val="000000" w:themeColor="text1"/>
                      <w:szCs w:val="21"/>
                    </w:rPr>
                    <w:t>该渣库设有顶棚和三面围挡，但存在围挡破损情况，应对其进行修善</w:t>
                  </w:r>
                  <w:r>
                    <w:rPr>
                      <w:rFonts w:hint="eastAsia"/>
                      <w:color w:val="000000" w:themeColor="text1"/>
                      <w:szCs w:val="21"/>
                    </w:rPr>
                    <w:t>，修缮后可满足“防扬散、防流失、防渗漏”措施要求。</w:t>
                  </w:r>
                </w:p>
                <w:p>
                  <w:pPr>
                    <w:pStyle w:val="33"/>
                    <w:spacing w:line="360" w:lineRule="exact"/>
                    <w:ind w:firstLine="210" w:firstLineChars="100"/>
                    <w:jc w:val="both"/>
                    <w:rPr>
                      <w:color w:val="000000" w:themeColor="text1"/>
                      <w:szCs w:val="21"/>
                    </w:rPr>
                  </w:pPr>
                  <w:r>
                    <w:rPr>
                      <w:rFonts w:hint="eastAsia"/>
                      <w:color w:val="000000" w:themeColor="text1"/>
                      <w:szCs w:val="21"/>
                    </w:rPr>
                    <w:t>本项目利用后的废渣</w:t>
                  </w:r>
                  <w:r>
                    <w:rPr>
                      <w:color w:val="000000" w:themeColor="text1"/>
                      <w:szCs w:val="21"/>
                    </w:rPr>
                    <w:t>委托四方地工业园区弃渣场处置</w:t>
                  </w:r>
                  <w:r>
                    <w:rPr>
                      <w:rFonts w:hint="eastAsia"/>
                      <w:color w:val="000000" w:themeColor="text1"/>
                      <w:szCs w:val="21"/>
                    </w:rPr>
                    <w:t>，严禁向江河、湖泊、运河、渠道、水库及其最高水位线以下的滩地和岸坡以及法律法规规定的其他地点倾倒、堆放、贮存固体废物。</w:t>
                  </w:r>
                </w:p>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Cs w:val="21"/>
                    </w:rPr>
                    <w:t>云南东川产业园区四方地片区昆明合旺有色金属有限公司厂区内</w:t>
                  </w:r>
                  <w:r>
                    <w:rPr>
                      <w:rFonts w:hint="eastAsia"/>
                      <w:color w:val="000000" w:themeColor="text1"/>
                      <w:szCs w:val="21"/>
                    </w:rPr>
                    <w:t>，不涉及生态保护红线区域、永久基本农田集中区域和其他需要特别保护的区域内。</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五条转移固体废物出省贮存、处置的，应当向省人民政府生态环境主管部门提出申请。省人民政府生态环境主管部门应当及时商经接受地的省（自治区、直辖市）人民政府生态环境主管部门同意后，在规定期限内批准转移。未经批准的，不得转移。</w:t>
                  </w:r>
                </w:p>
                <w:p>
                  <w:pPr>
                    <w:pStyle w:val="33"/>
                    <w:spacing w:line="360" w:lineRule="exact"/>
                    <w:ind w:firstLine="210" w:firstLineChars="100"/>
                    <w:jc w:val="both"/>
                    <w:rPr>
                      <w:color w:val="000000" w:themeColor="text1"/>
                      <w:szCs w:val="21"/>
                    </w:rPr>
                  </w:pPr>
                  <w:r>
                    <w:rPr>
                      <w:rFonts w:hint="eastAsia"/>
                      <w:color w:val="000000" w:themeColor="text1"/>
                      <w:szCs w:val="21"/>
                    </w:rPr>
                    <w:t>转移固体废物出省利用的，应当报省人民政府生态环境主管部门备案。省人民政府生态环境主管部门应当将备案信息通报接受地的省（自治区、直辖市）人民政府生态环境主管部门。</w:t>
                  </w:r>
                </w:p>
                <w:p>
                  <w:pPr>
                    <w:pStyle w:val="33"/>
                    <w:spacing w:line="360" w:lineRule="exact"/>
                    <w:ind w:firstLine="210" w:firstLineChars="100"/>
                    <w:jc w:val="both"/>
                    <w:rPr>
                      <w:color w:val="000000" w:themeColor="text1"/>
                      <w:szCs w:val="21"/>
                    </w:rPr>
                  </w:pPr>
                  <w:r>
                    <w:rPr>
                      <w:rFonts w:hint="eastAsia"/>
                      <w:color w:val="000000" w:themeColor="text1"/>
                      <w:szCs w:val="21"/>
                    </w:rPr>
                    <w:t>转移固体废物进入本省贮存、处置的，省人民政府生态环境主管部门应当在接到移出地的省（自治区、直辖市）人民政府生态环境主管部门商函后，及时研究，未经省人民政府生态环境主管部门同意的，不得转移进入本省贮存、处置。</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本项目主要对昆明合旺有色金属有限公司生产线产生的氧化锌尾渣（水淬渣）进行综合利用，利用后的废渣</w:t>
                  </w:r>
                  <w:r>
                    <w:rPr>
                      <w:color w:val="000000" w:themeColor="text1"/>
                      <w:szCs w:val="21"/>
                    </w:rPr>
                    <w:t>委托四方地工业园区弃渣场处置</w:t>
                  </w:r>
                  <w:r>
                    <w:rPr>
                      <w:rFonts w:hint="eastAsia"/>
                      <w:color w:val="000000" w:themeColor="text1"/>
                      <w:szCs w:val="21"/>
                    </w:rPr>
                    <w:t>，均在园区范围内转运，不涉及到跨省转移。</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第十六条 禁止中华人民共和国境外的固体废物进入本省倾倒、堆放、处置。</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本项目不对境外固体废物进行利用。</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第二十一条 县级以上人民政府工业和信息化主管部门应当会同有关部门研究开发、推广减少工业固体废物产生量和降低工业固体废物危害性的生产工艺和设备，推动落实国家公布的限期淘汰产生严重污染环境的工业固体废物的落后生产工艺、设备名录。</w:t>
                  </w:r>
                </w:p>
                <w:p>
                  <w:pPr>
                    <w:pStyle w:val="33"/>
                    <w:spacing w:line="360" w:lineRule="exact"/>
                    <w:ind w:firstLine="210" w:firstLineChars="100"/>
                    <w:jc w:val="both"/>
                    <w:rPr>
                      <w:color w:val="000000" w:themeColor="text1"/>
                      <w:szCs w:val="21"/>
                    </w:rPr>
                  </w:pPr>
                  <w:r>
                    <w:rPr>
                      <w:rFonts w:hint="eastAsia"/>
                      <w:color w:val="000000" w:themeColor="text1"/>
                      <w:szCs w:val="21"/>
                    </w:rPr>
                    <w:t>生产者、销售者、进口者、使用者应当在国家规定的期限内，分别停止生产、销售、进口或者使用列入前款规定名录中的设备。生产工艺的采用者应当在国家规定的期限内，停止采用列入前款规定名录中的工艺。</w:t>
                  </w:r>
                </w:p>
                <w:p>
                  <w:pPr>
                    <w:pStyle w:val="33"/>
                    <w:spacing w:line="360" w:lineRule="exact"/>
                    <w:ind w:firstLine="210" w:firstLineChars="100"/>
                    <w:jc w:val="both"/>
                    <w:rPr>
                      <w:color w:val="000000" w:themeColor="text1"/>
                      <w:szCs w:val="21"/>
                    </w:rPr>
                  </w:pPr>
                  <w:r>
                    <w:rPr>
                      <w:rFonts w:hint="eastAsia"/>
                      <w:color w:val="000000" w:themeColor="text1"/>
                      <w:szCs w:val="21"/>
                    </w:rPr>
                    <w:t>列入限期淘汰名录被淘汰的设备，不得转让给他人使用。</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项目生产设备均不含国家公布的限期淘汰产生严重污染环境的工业固体废物的落后生产工艺、设备名录。</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第二十四条 产生工业固体废物的单位应当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rPr>
                      <w:color w:val="000000" w:themeColor="text1"/>
                      <w:szCs w:val="21"/>
                    </w:rPr>
                    <w:t xml:space="preserve">5 </w:t>
                  </w:r>
                  <w:r>
                    <w:rPr>
                      <w:rFonts w:hint="eastAsia"/>
                      <w:color w:val="000000" w:themeColor="text1"/>
                      <w:szCs w:val="21"/>
                    </w:rPr>
                    <w:t>年以上。</w:t>
                  </w:r>
                </w:p>
                <w:p>
                  <w:pPr>
                    <w:pStyle w:val="33"/>
                    <w:spacing w:line="360" w:lineRule="exact"/>
                    <w:ind w:firstLine="210" w:firstLineChars="100"/>
                    <w:jc w:val="both"/>
                    <w:rPr>
                      <w:color w:val="000000" w:themeColor="text1"/>
                      <w:szCs w:val="21"/>
                    </w:rPr>
                  </w:pPr>
                  <w:r>
                    <w:rPr>
                      <w:rFonts w:hint="eastAsia"/>
                      <w:color w:val="000000" w:themeColor="text1"/>
                      <w:szCs w:val="21"/>
                    </w:rPr>
                    <w:t>鼓励产生工业固体废物的单位在固体废物产生场所、贮存场所及计量设备等关键点位设置视频监控，提高台账记录信息的准确性。</w:t>
                  </w:r>
                </w:p>
                <w:p>
                  <w:pPr>
                    <w:pStyle w:val="33"/>
                    <w:spacing w:line="360" w:lineRule="exact"/>
                    <w:ind w:firstLine="210" w:firstLineChars="100"/>
                    <w:jc w:val="both"/>
                    <w:rPr>
                      <w:color w:val="000000" w:themeColor="text1"/>
                      <w:szCs w:val="21"/>
                    </w:rPr>
                  </w:pPr>
                  <w:r>
                    <w:rPr>
                      <w:rFonts w:hint="eastAsia"/>
                      <w:color w:val="000000" w:themeColor="text1"/>
                      <w:szCs w:val="21"/>
                    </w:rPr>
                    <w:t>禁止向生活垃圾收集设施中投放工业固体废物。</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按照要求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rPr>
                      <w:color w:val="000000" w:themeColor="text1"/>
                      <w:szCs w:val="21"/>
                    </w:rPr>
                    <w:t xml:space="preserve">5 </w:t>
                  </w:r>
                  <w:r>
                    <w:rPr>
                      <w:rFonts w:hint="eastAsia"/>
                      <w:color w:val="000000" w:themeColor="text1"/>
                      <w:szCs w:val="21"/>
                    </w:rPr>
                    <w:t>年以上。</w:t>
                  </w:r>
                </w:p>
                <w:p>
                  <w:pPr>
                    <w:pStyle w:val="33"/>
                    <w:spacing w:line="360" w:lineRule="exact"/>
                    <w:ind w:firstLine="210" w:firstLineChars="100"/>
                    <w:jc w:val="both"/>
                    <w:rPr>
                      <w:color w:val="000000" w:themeColor="text1"/>
                      <w:szCs w:val="21"/>
                    </w:rPr>
                  </w:pPr>
                  <w:r>
                    <w:rPr>
                      <w:rFonts w:hint="eastAsia"/>
                      <w:color w:val="000000" w:themeColor="text1"/>
                      <w:szCs w:val="21"/>
                    </w:rPr>
                    <w:t>本项目利用后的废渣</w:t>
                  </w:r>
                  <w:r>
                    <w:rPr>
                      <w:color w:val="000000" w:themeColor="text1"/>
                      <w:szCs w:val="21"/>
                    </w:rPr>
                    <w:t>委托四方地工业园区弃渣场处置</w:t>
                  </w:r>
                  <w:r>
                    <w:rPr>
                      <w:rFonts w:hint="eastAsia"/>
                      <w:color w:val="000000" w:themeColor="text1"/>
                      <w:szCs w:val="21"/>
                    </w:rPr>
                    <w:t>，不会投放至生活垃圾收集设施。</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8</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第二十五条 产生工业固体废物的单位委托他人运输、利用、处置工业固体废物的，应当对受托方的主体资格和技术能力进行核实，依法签订书面合同，在合同中约定污染防治要求。</w:t>
                  </w:r>
                </w:p>
                <w:p>
                  <w:pPr>
                    <w:pStyle w:val="33"/>
                    <w:spacing w:line="360" w:lineRule="exact"/>
                    <w:ind w:firstLine="210" w:firstLineChars="100"/>
                    <w:jc w:val="both"/>
                    <w:rPr>
                      <w:color w:val="000000" w:themeColor="text1"/>
                      <w:szCs w:val="21"/>
                    </w:rPr>
                  </w:pPr>
                  <w:r>
                    <w:rPr>
                      <w:rFonts w:hint="eastAsia"/>
                      <w:color w:val="000000" w:themeColor="text1"/>
                      <w:szCs w:val="21"/>
                    </w:rPr>
                    <w:t>受托方运输、利用、处置工业固体废物，应当依照有关法律法规的规定和合同约定履行污染防治要求，并将运输、利用、处置情况告知产生工业固体废物的单位。</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本项目运营期将严格该要求进行受托方的主体资格和技术能力进行核实，依法签订书面合同，在合同中约定污染防治要求。</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9</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第二十六条 产生工业固体废物的单位应当依法实施清洁生产审核，合理选择和利用原材料、能源和其他资源，采用先进的生产工艺和设备，减少工业固体废物的产生量，降低工业固体废物的危害性。</w:t>
                  </w:r>
                </w:p>
                <w:p>
                  <w:pPr>
                    <w:pStyle w:val="33"/>
                    <w:spacing w:line="360" w:lineRule="exact"/>
                    <w:ind w:firstLine="210" w:firstLineChars="100"/>
                    <w:jc w:val="both"/>
                    <w:rPr>
                      <w:color w:val="000000" w:themeColor="text1"/>
                      <w:szCs w:val="21"/>
                    </w:rPr>
                  </w:pPr>
                  <w:r>
                    <w:rPr>
                      <w:rFonts w:hint="eastAsia"/>
                      <w:color w:val="000000" w:themeColor="text1"/>
                      <w:szCs w:val="21"/>
                    </w:rPr>
                    <w:t>产生工业固体废物的单位应当根据经济、技术条件对工业固体废物加以利用；对暂时不利用或者不能利用的，应当按照国家规定建设贮存设施、场所，安全分类存放，或者采取无害化处置措施。</w:t>
                  </w:r>
                </w:p>
                <w:p>
                  <w:pPr>
                    <w:pStyle w:val="33"/>
                    <w:spacing w:line="360" w:lineRule="exact"/>
                    <w:ind w:firstLine="210" w:firstLineChars="100"/>
                    <w:jc w:val="both"/>
                    <w:rPr>
                      <w:color w:val="000000" w:themeColor="text1"/>
                      <w:szCs w:val="21"/>
                    </w:rPr>
                  </w:pPr>
                  <w:r>
                    <w:rPr>
                      <w:rFonts w:hint="eastAsia"/>
                      <w:color w:val="000000" w:themeColor="text1"/>
                      <w:szCs w:val="21"/>
                    </w:rPr>
                    <w:t>贮存工业固体废物应当采取符合国家环境保护标准的防护措施。建设工业固体废物贮存、处置的设施、场所，应当符合国家环境保护标准。</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本项目运营期间将严格按照要求依法实施清洁生产审核。</w:t>
                  </w:r>
                </w:p>
                <w:p>
                  <w:pPr>
                    <w:pStyle w:val="33"/>
                    <w:spacing w:line="360" w:lineRule="exact"/>
                    <w:ind w:firstLine="210" w:firstLineChars="100"/>
                    <w:jc w:val="both"/>
                    <w:rPr>
                      <w:color w:val="000000" w:themeColor="text1"/>
                      <w:szCs w:val="21"/>
                    </w:rPr>
                  </w:pPr>
                  <w:r>
                    <w:rPr>
                      <w:rFonts w:hint="eastAsia"/>
                      <w:color w:val="000000" w:themeColor="text1"/>
                      <w:szCs w:val="21"/>
                    </w:rPr>
                    <w:t>本项目的建设即为对昆明合旺有色金属有限公司生产线产生的氧化锌尾渣（水淬渣）进行综合利用，利用后的废渣</w:t>
                  </w:r>
                  <w:r>
                    <w:rPr>
                      <w:color w:val="000000" w:themeColor="text1"/>
                      <w:szCs w:val="21"/>
                    </w:rPr>
                    <w:t>委托四方地工业园区弃渣场处置</w:t>
                  </w:r>
                  <w:r>
                    <w:rPr>
                      <w:rFonts w:hint="eastAsia"/>
                      <w:color w:val="000000" w:themeColor="text1"/>
                      <w:szCs w:val="21"/>
                    </w:rPr>
                    <w:t>。</w:t>
                  </w:r>
                </w:p>
                <w:p>
                  <w:pPr>
                    <w:pStyle w:val="33"/>
                    <w:spacing w:line="360" w:lineRule="exact"/>
                    <w:ind w:firstLine="210" w:firstLineChars="100"/>
                    <w:jc w:val="both"/>
                    <w:rPr>
                      <w:color w:val="000000" w:themeColor="text1"/>
                      <w:szCs w:val="21"/>
                    </w:rPr>
                  </w:pPr>
                  <w:r>
                    <w:rPr>
                      <w:rFonts w:hint="eastAsia"/>
                      <w:color w:val="000000" w:themeColor="text1"/>
                      <w:szCs w:val="21"/>
                    </w:rPr>
                    <w:t>根据调查，本项目设置了水淬渣暂存库和废渣暂存库分别对拟利用的氧化锌尾渣（水淬渣）和利用后产生的废渣进行贮存，其中该水淬渣暂存库设有三面围挡和顶棚设施，可满足“防扬散、防流失、防渗漏”措施要求；而</w:t>
                  </w:r>
                  <w:r>
                    <w:rPr>
                      <w:color w:val="000000" w:themeColor="text1"/>
                      <w:szCs w:val="21"/>
                    </w:rPr>
                    <w:t>该渣库设有顶棚和三面围挡，但存在围挡破损情况，应对其进行修善</w:t>
                  </w:r>
                  <w:r>
                    <w:rPr>
                      <w:rFonts w:hint="eastAsia"/>
                      <w:color w:val="000000" w:themeColor="text1"/>
                      <w:szCs w:val="21"/>
                    </w:rPr>
                    <w:t>，修缮后可满足“防扬散、防流失、防渗漏”措施要求。</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10</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第二十七条 产生工业固体废物的单位应当依法取得排污许可证，向所在地生态环境主管部门提供工业固体废物的种类、数量、流向、贮存、利用、处置等有关资料，以及减少工业固体废物产生、促进综合利用的具体措施，并执行排污许可管理制度的相关规定。</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昆明合旺有色金属有限公司已于</w:t>
                  </w:r>
                  <w:r>
                    <w:rPr>
                      <w:color w:val="000000" w:themeColor="text1"/>
                      <w:szCs w:val="21"/>
                    </w:rPr>
                    <w:t>2021</w:t>
                  </w:r>
                  <w:r>
                    <w:rPr>
                      <w:rFonts w:hint="eastAsia"/>
                      <w:color w:val="000000" w:themeColor="text1"/>
                      <w:szCs w:val="21"/>
                    </w:rPr>
                    <w:t>年</w:t>
                  </w:r>
                  <w:r>
                    <w:rPr>
                      <w:color w:val="000000" w:themeColor="text1"/>
                      <w:szCs w:val="21"/>
                    </w:rPr>
                    <w:t>05</w:t>
                  </w:r>
                  <w:r>
                    <w:rPr>
                      <w:rFonts w:hint="eastAsia"/>
                      <w:color w:val="000000" w:themeColor="text1"/>
                      <w:szCs w:val="21"/>
                    </w:rPr>
                    <w:t>月</w:t>
                  </w:r>
                  <w:r>
                    <w:rPr>
                      <w:color w:val="000000" w:themeColor="text1"/>
                      <w:szCs w:val="21"/>
                    </w:rPr>
                    <w:t>28</w:t>
                  </w:r>
                  <w:r>
                    <w:rPr>
                      <w:rFonts w:hint="eastAsia"/>
                      <w:color w:val="000000" w:themeColor="text1"/>
                      <w:szCs w:val="21"/>
                    </w:rPr>
                    <w:t>日取得《</w:t>
                  </w:r>
                  <w:r>
                    <w:rPr>
                      <w:color w:val="000000" w:themeColor="text1"/>
                      <w:szCs w:val="21"/>
                    </w:rPr>
                    <w:t>排污许可证</w:t>
                  </w:r>
                  <w:r>
                    <w:rPr>
                      <w:rFonts w:hint="eastAsia"/>
                      <w:color w:val="000000" w:themeColor="text1"/>
                      <w:szCs w:val="21"/>
                    </w:rPr>
                    <w:t>》（</w:t>
                  </w:r>
                  <w:r>
                    <w:rPr>
                      <w:color w:val="000000" w:themeColor="text1"/>
                      <w:szCs w:val="21"/>
                    </w:rPr>
                    <w:t>证书编号：</w:t>
                  </w:r>
                  <w:r>
                    <w:rPr>
                      <w:rFonts w:hint="eastAsia"/>
                      <w:color w:val="000000" w:themeColor="text1"/>
                      <w:szCs w:val="21"/>
                    </w:rPr>
                    <w:t>91</w:t>
                  </w:r>
                  <w:r>
                    <w:rPr>
                      <w:rFonts w:hint="eastAsia"/>
                      <w:color w:val="000000" w:themeColor="text1"/>
                      <w:szCs w:val="21"/>
                      <w:lang w:eastAsia="zh-CN"/>
                    </w:rPr>
                    <w:t>******</w:t>
                  </w:r>
                  <w:r>
                    <w:rPr>
                      <w:rFonts w:hint="eastAsia"/>
                      <w:color w:val="000000" w:themeColor="text1"/>
                      <w:szCs w:val="21"/>
                    </w:rPr>
                    <w:t>6655174504001V），本次项目建成后将对排污许可证进行变更，并在运营管理过程中严格执行排污许可管理制度的相关规定。</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11</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第二十九条产生大宗工业固体废物的单位应当采取有效措施，减少大宗工业固体废物的产生量，加强大宗工业固体废物综合利用和无害化处置，制定相关计划逐步消纳大宗工业固体废物历史堆存量。</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由上表可知，本项目的建设符合</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云南省固体废物污染环境防治条例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（9）与昆明市东川区人民政府办公室关于印发《高污染燃料禁燃区划定及实施方案的通知》（东政办发【2019】106号）的符合性分析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燃料类型为生物质，根据高污染燃料的定义，除生物气化利用外其他加工成型的生物质燃料属于高污染燃料，禁燃区范围内禁止生产、使用和销售高污染燃料，东川禁燃区的范围为：东川城市建成区范围内东至学府路，南至功东高速（东川南收费站）连接线，西至金沙路，北至宝福大道（新桥河以上）、深沟（新桥河以下）。本项目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，不在禁燃区范围内。因此项目的燃料使用符合《高污染燃料禁燃区划定及实施方案的通知》（东政办发【2019】106号）的要求。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（10）项目使用燃料与区域能源结构的相符性分析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《云南东川产业园区总体规划修编（2021-2035）环境影响报告书》</w:t>
            </w:r>
            <w:r>
              <w:rPr>
                <w:rFonts w:hint="eastAsia" w:ascii="Times New Roman" w:hAnsi="Times New Roman" w:cs="Times New Roman"/>
                <w:color w:val="000000" w:themeColor="text1"/>
                <w:sz w:val="24"/>
                <w:szCs w:val="24"/>
              </w:rPr>
              <w:t>中对园区“规划能源结构合理性分析”可知：目前，园区能源消耗结构主要由电耗、煤耗、气耗、油耗、其他等组成。规划实施过程中，持续优化能源结构。鼓励利用天然气、电力等优质能源替代燃煤使用，生物质能源替代化石能源使用，优化用能向清洁化方向转变。增加清洁低碳电力供应，加快清洁电力消纳。</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本项目热风供应系统使用生物质燃料供能，属于园区允许使用的能源，因此项目使用生物质燃料符合</w:t>
            </w:r>
            <w:r>
              <w:rPr>
                <w:rFonts w:ascii="Times New Roman" w:hAnsi="Times New Roman" w:cs="Times New Roman"/>
                <w:color w:val="000000" w:themeColor="text1"/>
                <w:sz w:val="24"/>
                <w:szCs w:val="24"/>
              </w:rPr>
              <w:t>云南东川产业园区四方地片区</w:t>
            </w:r>
            <w:r>
              <w:rPr>
                <w:rFonts w:hint="eastAsia" w:ascii="Times New Roman" w:hAnsi="Times New Roman" w:cs="Times New Roman"/>
                <w:color w:val="000000" w:themeColor="text1"/>
                <w:sz w:val="24"/>
                <w:szCs w:val="24"/>
              </w:rPr>
              <w:t>能源结构。</w:t>
            </w:r>
          </w:p>
          <w:p>
            <w:pPr>
              <w:spacing w:line="360" w:lineRule="auto"/>
              <w:ind w:firstLine="361" w:firstLineChars="150"/>
              <w:rPr>
                <w:rFonts w:ascii="Times New Roman" w:hAnsi="Times New Roman" w:cs="Times New Roman"/>
                <w:b/>
                <w:color w:val="000000" w:themeColor="text1"/>
                <w:sz w:val="24"/>
                <w:szCs w:val="24"/>
              </w:rPr>
            </w:pPr>
            <w:bookmarkStart w:id="4" w:name="_Toc146789071"/>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）选址合理性分析</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w:t>
            </w:r>
            <w:r>
              <w:rPr>
                <w:rFonts w:hint="eastAsia" w:ascii="Times New Roman" w:hAnsi="Times New Roman" w:cs="Times New Roman"/>
                <w:color w:val="000000" w:themeColor="text1"/>
                <w:sz w:val="24"/>
                <w:szCs w:val="24"/>
              </w:rPr>
              <w:t>对昆明合旺有色金属有限公司生产线产生的氧化锌尾渣（水淬渣）进行综合利用，可有限降低固体废物长距离运输等产生的环境影响，项目位于合规</w:t>
            </w:r>
            <w:r>
              <w:rPr>
                <w:rFonts w:ascii="Times New Roman" w:hAnsi="Times New Roman" w:cs="Times New Roman"/>
                <w:color w:val="000000" w:themeColor="text1"/>
                <w:sz w:val="24"/>
                <w:szCs w:val="24"/>
              </w:rPr>
              <w:t>工业园区内，选址不涉及饮用水源地、自然保护区、风景名胜区、地质公园、基本农田保护区、生态保护红线等需要特殊保护的区域。</w:t>
            </w:r>
            <w:r>
              <w:rPr>
                <w:rFonts w:hint="eastAsia" w:ascii="Times New Roman" w:hAnsi="Times New Roman" w:cs="Times New Roman"/>
                <w:color w:val="000000" w:themeColor="text1"/>
                <w:sz w:val="24"/>
                <w:szCs w:val="24"/>
              </w:rPr>
              <w:t>且项目500m范围内无大气环境保护目标，</w:t>
            </w:r>
            <w:r>
              <w:rPr>
                <w:rFonts w:ascii="Times New Roman" w:hAnsi="Times New Roman" w:cs="Times New Roman"/>
                <w:color w:val="000000" w:themeColor="text1"/>
                <w:sz w:val="24"/>
                <w:szCs w:val="24"/>
              </w:rPr>
              <w:t>敏感点距离较远，各项污染物达标排放，项目建成投产对周围环境造成的影响不大，不会改变环境空气、地表水、声环境的质量现状。本项目选址合理。</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bookmarkStart w:id="5" w:name="_Toc151133519"/>
      <w:r>
        <w:rPr>
          <w:rFonts w:ascii="Times New Roman" w:hAnsi="Times New Roman" w:cs="Times New Roman"/>
          <w:b/>
          <w:color w:val="000000" w:themeColor="text1"/>
          <w:sz w:val="28"/>
          <w:szCs w:val="20"/>
        </w:rPr>
        <w:t>二、建设项目工程分析</w:t>
      </w:r>
      <w:bookmarkEnd w:id="5"/>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昆明合旺有色金属有限公司固体废物综合利用项目</w:t>
            </w:r>
            <w:r>
              <w:rPr>
                <w:rFonts w:hint="eastAsia" w:ascii="Times New Roman" w:hAnsi="Times New Roman" w:cs="Times New Roman"/>
                <w:color w:val="000000" w:themeColor="text1"/>
                <w:sz w:val="24"/>
                <w:szCs w:val="24"/>
              </w:rPr>
              <w:t>，位于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，原规划建设一条处理规模为16.5万t/a的氧化锌尾渣（水淬渣）综合利用生产线，采用球磨分级、磁选、重选及烘干工艺回收第I类一般工业固体废物类的氧化锌尾渣（水淬渣）中的铁和碳；</w:t>
            </w:r>
            <w:r>
              <w:rPr>
                <w:rFonts w:ascii="Times New Roman" w:hAnsi="Times New Roman" w:cs="Times New Roman"/>
                <w:color w:val="000000" w:themeColor="text1"/>
                <w:sz w:val="24"/>
                <w:szCs w:val="24"/>
              </w:rPr>
              <w:t>本项目于2021年编制完成《昆明合旺有色金属有限公司固体废物综合利用项目环境影响报告表》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于2021年11月24日取得昆明市生态环境局东川分局关于对《昆明合旺有色金属有限公司固体废物综合利用项目环境影响报告表的批复》（昆生环（东）复【2021】32号）。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本项目已于2022年3月按原有设计及环评的要求建设完成，且已取得《排污许可证》（证书编号：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），目前还未开展竣工验收。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本项目原设计热风供应系统采用天然气作为燃料，但在建设过程中发现项目区未配套设置天然气供应管道；另外在</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过程中发现回收碳工艺不成熟，通过重选方式回收氧化锌尾渣（水淬渣）中的碳的效果低于预期；针对上述两个问题，建设单位拟对原有项目的内容进行局部调整，具体调整包括：拟调整生产工艺，取消回收碳的生产工艺，同时拟将原环评燃料由天然气变更为生物质燃料。</w:t>
            </w:r>
            <w:r>
              <w:rPr>
                <w:rFonts w:ascii="Times New Roman" w:hAnsi="Times New Roman" w:cs="Times New Roman"/>
                <w:color w:val="000000" w:themeColor="text1"/>
                <w:sz w:val="24"/>
                <w:szCs w:val="24"/>
              </w:rPr>
              <w:t>调整</w:t>
            </w:r>
            <w:r>
              <w:rPr>
                <w:rFonts w:hint="eastAsia" w:ascii="Times New Roman" w:hAnsi="Times New Roman" w:cs="Times New Roman"/>
                <w:color w:val="000000" w:themeColor="text1"/>
                <w:sz w:val="24"/>
                <w:szCs w:val="24"/>
              </w:rPr>
              <w:t>后</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排放量由原来的0.3</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变为</w:t>
            </w:r>
            <w:r>
              <w:rPr>
                <w:rFonts w:ascii="Times New Roman" w:hAnsi="Times New Roman" w:cs="Times New Roman"/>
                <w:color w:val="000000" w:themeColor="text1"/>
                <w:sz w:val="24"/>
                <w:szCs w:val="24"/>
              </w:rPr>
              <w:t>1.36t/a</w:t>
            </w:r>
            <w:r>
              <w:rPr>
                <w:rFonts w:hint="eastAsia" w:ascii="Times New Roman" w:hAnsi="Times New Roman" w:cs="Times New Roman"/>
                <w:color w:val="000000" w:themeColor="text1"/>
                <w:sz w:val="24"/>
                <w:szCs w:val="24"/>
              </w:rPr>
              <w:t>，增加4.5倍；</w:t>
            </w:r>
            <w:r>
              <w:rPr>
                <w:rFonts w:ascii="Times New Roman" w:hAnsi="Times New Roman" w:cs="Times New Roman"/>
                <w:color w:val="000000" w:themeColor="text1"/>
                <w:sz w:val="24"/>
                <w:szCs w:val="24"/>
              </w:rPr>
              <w:t>根据《污染影响类建设项目重大变动清单（试行）》</w:t>
            </w:r>
            <w:r>
              <w:rPr>
                <w:rFonts w:hint="eastAsia" w:ascii="Times New Roman" w:hAnsi="Times New Roman" w:cs="Times New Roman"/>
                <w:color w:val="000000" w:themeColor="text1"/>
                <w:sz w:val="24"/>
                <w:szCs w:val="24"/>
              </w:rPr>
              <w:t>中“生产工艺”“第6条 新增产品品种或生产工艺、主要原辅料、燃料变化，导致其他污染物排放量增加10%及以上的”</w:t>
            </w:r>
            <w:r>
              <w:rPr>
                <w:rFonts w:ascii="Times New Roman" w:hAnsi="Times New Roman" w:cs="Times New Roman"/>
                <w:color w:val="000000" w:themeColor="text1"/>
                <w:sz w:val="24"/>
                <w:szCs w:val="24"/>
              </w:rPr>
              <w:t>的判断依据，本项目属于重大变动</w:t>
            </w:r>
            <w:r>
              <w:rPr>
                <w:rFonts w:hint="eastAsia" w:ascii="Times New Roman" w:hAnsi="Times New Roman" w:cs="Times New Roman"/>
                <w:color w:val="000000" w:themeColor="text1"/>
                <w:sz w:val="24"/>
                <w:szCs w:val="24"/>
              </w:rPr>
              <w:t>。根据《中华人民共和国环境影响评价法》第二十四条的规定：“建设项目的环境影响评价文件经批准后，建设项目的性质、规模、地点、采用的生产工艺或者防治污染、防止生态破坏的措施发生重大变动的，建设单位应当重新报批建设项目的环境影响评价文件”，以及环境保护部《关于建设项目重大变动环境影响评价文件审批权限的复函》（环办函【2015】1242号）的要求，</w:t>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应</w:t>
            </w:r>
            <w:r>
              <w:rPr>
                <w:rFonts w:ascii="Times New Roman" w:hAnsi="Times New Roman" w:cs="Times New Roman"/>
                <w:color w:val="000000" w:themeColor="text1"/>
                <w:sz w:val="24"/>
                <w:szCs w:val="24"/>
              </w:rPr>
              <w:t>重新编制环评。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根据调查，本项目已于2022年3月按原有设计及环评的要求建设完成后，仅开展了</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系统的设备调试，目前已停止调试，待环评审批后方开工建设拟调整工程。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（1）项目占地情况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本项目占地3.32亩，</w:t>
            </w:r>
            <w:r>
              <w:rPr>
                <w:rFonts w:hint="eastAsia" w:ascii="Times New Roman" w:hAnsi="Times New Roman" w:cs="Times New Roman"/>
                <w:color w:val="000000" w:themeColor="text1"/>
                <w:sz w:val="24"/>
                <w:szCs w:val="24"/>
              </w:rPr>
              <w:t>所有占地全部位于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，不新增占地。其中分为水淬渣暂存库、生产区域、废水收集循环池、废渣暂存库四个区域，其中水淬渣暂存库位于厂区空地区域；生产区域占地为原</w:t>
            </w:r>
            <w:r>
              <w:rPr>
                <w:rFonts w:ascii="Times New Roman" w:hAnsi="Times New Roman" w:cs="Times New Roman"/>
                <w:color w:val="000000" w:themeColor="text1"/>
                <w:sz w:val="24"/>
                <w:szCs w:val="24"/>
              </w:rPr>
              <w:t>次氧化锌生产线</w:t>
            </w:r>
            <w:r>
              <w:rPr>
                <w:rFonts w:hint="eastAsia" w:ascii="Times New Roman" w:hAnsi="Times New Roman" w:cs="Times New Roman"/>
                <w:color w:val="000000" w:themeColor="text1"/>
                <w:sz w:val="24"/>
                <w:szCs w:val="24"/>
              </w:rPr>
              <w:t>规划建设</w:t>
            </w:r>
            <w:r>
              <w:rPr>
                <w:rFonts w:ascii="Times New Roman" w:hAnsi="Times New Roman" w:cs="Times New Roman"/>
                <w:color w:val="000000" w:themeColor="text1"/>
                <w:sz w:val="24"/>
                <w:szCs w:val="24"/>
              </w:rPr>
              <w:t>磁选工序</w:t>
            </w:r>
            <w:r>
              <w:rPr>
                <w:rFonts w:hint="eastAsia" w:ascii="Times New Roman" w:hAnsi="Times New Roman" w:cs="Times New Roman"/>
                <w:color w:val="000000" w:themeColor="text1"/>
                <w:sz w:val="24"/>
                <w:szCs w:val="24"/>
              </w:rPr>
              <w:t>而未建设的区域；废水收集循环池区域主要依托使用原</w:t>
            </w:r>
            <w:r>
              <w:rPr>
                <w:rFonts w:ascii="Times New Roman" w:hAnsi="Times New Roman" w:cs="Times New Roman"/>
                <w:color w:val="000000" w:themeColor="text1"/>
                <w:sz w:val="24"/>
                <w:szCs w:val="24"/>
              </w:rPr>
              <w:t>次氧化锌生产线磁选工序</w:t>
            </w:r>
            <w:r>
              <w:rPr>
                <w:rFonts w:hint="eastAsia" w:ascii="Times New Roman" w:hAnsi="Times New Roman" w:cs="Times New Roman"/>
                <w:color w:val="000000" w:themeColor="text1"/>
                <w:sz w:val="24"/>
                <w:szCs w:val="24"/>
              </w:rPr>
              <w:t>配套建设的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分别在现有</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旁和生产区域旁空地新增；废渣暂存库为已建成设施。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本项目调整后，</w:t>
            </w:r>
            <w:r>
              <w:rPr>
                <w:rFonts w:hint="eastAsia" w:ascii="Times New Roman" w:hAnsi="Times New Roman" w:cs="Times New Roman"/>
                <w:color w:val="000000" w:themeColor="text1"/>
                <w:sz w:val="24"/>
                <w:szCs w:val="24"/>
              </w:rPr>
              <w:t>采用球磨分级、磁选、重选及烘干工艺回收氧化锌尾渣（水淬渣）中的铁。其处理规模为16.5万t/a。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本项目占地3.32亩，新建生产车间1950m²，包括</w:t>
            </w:r>
            <w:r>
              <w:rPr>
                <w:rFonts w:hint="eastAsia" w:ascii="Times New Roman" w:hAnsi="Times New Roman" w:cs="Times New Roman"/>
                <w:color w:val="000000" w:themeColor="text1"/>
                <w:sz w:val="24"/>
                <w:szCs w:val="24"/>
              </w:rPr>
              <w:t>水淬渣暂存库、球磨选别车间、烘干车间、包装车间</w:t>
            </w:r>
            <w:r>
              <w:rPr>
                <w:rFonts w:ascii="Times New Roman" w:hAnsi="Times New Roman" w:cs="Times New Roman"/>
                <w:color w:val="000000" w:themeColor="text1"/>
                <w:sz w:val="24"/>
                <w:szCs w:val="24"/>
              </w:rPr>
              <w:t>等；配套建设环保等附属设施。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18"/>
              <w:gridCol w:w="55"/>
              <w:gridCol w:w="663"/>
              <w:gridCol w:w="3149"/>
              <w:gridCol w:w="25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pStyle w:val="33"/>
                    <w:spacing w:line="360" w:lineRule="exact"/>
                    <w:rPr>
                      <w:color w:val="000000" w:themeColor="text1"/>
                      <w:szCs w:val="21"/>
                    </w:rPr>
                  </w:pPr>
                  <w:r>
                    <w:rPr>
                      <w:color w:val="000000" w:themeColor="text1"/>
                      <w:szCs w:val="21"/>
                    </w:rPr>
                    <w:t>类别</w:t>
                  </w:r>
                </w:p>
              </w:tc>
              <w:tc>
                <w:tcPr>
                  <w:tcW w:w="834" w:type="pct"/>
                  <w:gridSpan w:val="3"/>
                  <w:vAlign w:val="center"/>
                </w:tcPr>
                <w:p>
                  <w:pPr>
                    <w:pStyle w:val="33"/>
                    <w:spacing w:line="360" w:lineRule="exact"/>
                    <w:rPr>
                      <w:color w:val="000000" w:themeColor="text1"/>
                      <w:szCs w:val="21"/>
                    </w:rPr>
                  </w:pPr>
                  <w:r>
                    <w:rPr>
                      <w:color w:val="000000" w:themeColor="text1"/>
                      <w:szCs w:val="21"/>
                    </w:rPr>
                    <w:t>工程内容</w:t>
                  </w:r>
                </w:p>
              </w:tc>
              <w:tc>
                <w:tcPr>
                  <w:tcW w:w="1829" w:type="pct"/>
                  <w:vAlign w:val="center"/>
                </w:tcPr>
                <w:p>
                  <w:pPr>
                    <w:pStyle w:val="33"/>
                    <w:spacing w:line="360" w:lineRule="exact"/>
                    <w:rPr>
                      <w:color w:val="000000" w:themeColor="text1"/>
                      <w:szCs w:val="21"/>
                    </w:rPr>
                  </w:pPr>
                  <w:r>
                    <w:rPr>
                      <w:rFonts w:hint="eastAsia"/>
                      <w:color w:val="000000" w:themeColor="text1"/>
                      <w:szCs w:val="21"/>
                    </w:rPr>
                    <w:t>原环评设计</w:t>
                  </w:r>
                  <w:r>
                    <w:rPr>
                      <w:color w:val="000000" w:themeColor="text1"/>
                      <w:szCs w:val="21"/>
                    </w:rPr>
                    <w:t>建筑内容及规模</w:t>
                  </w:r>
                </w:p>
              </w:tc>
              <w:tc>
                <w:tcPr>
                  <w:tcW w:w="1498" w:type="pct"/>
                  <w:vAlign w:val="center"/>
                </w:tcPr>
                <w:p>
                  <w:pPr>
                    <w:pStyle w:val="33"/>
                    <w:spacing w:line="360" w:lineRule="exact"/>
                    <w:rPr>
                      <w:color w:val="000000" w:themeColor="text1"/>
                      <w:szCs w:val="21"/>
                    </w:rPr>
                  </w:pPr>
                  <w:r>
                    <w:rPr>
                      <w:rFonts w:hint="eastAsia"/>
                      <w:color w:val="000000" w:themeColor="text1"/>
                      <w:szCs w:val="21"/>
                    </w:rPr>
                    <w:t>变更后</w:t>
                  </w:r>
                  <w:r>
                    <w:rPr>
                      <w:color w:val="000000" w:themeColor="text1"/>
                      <w:szCs w:val="21"/>
                    </w:rPr>
                    <w:t>建筑内容及规模</w:t>
                  </w:r>
                </w:p>
              </w:tc>
              <w:tc>
                <w:tcPr>
                  <w:tcW w:w="445" w:type="pct"/>
                  <w:vAlign w:val="center"/>
                </w:tcPr>
                <w:p>
                  <w:pPr>
                    <w:pStyle w:val="33"/>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pStyle w:val="33"/>
                    <w:spacing w:line="360" w:lineRule="exact"/>
                    <w:rPr>
                      <w:color w:val="000000" w:themeColor="text1"/>
                    </w:rPr>
                  </w:pPr>
                  <w:r>
                    <w:rPr>
                      <w:color w:val="000000" w:themeColor="text1"/>
                    </w:rPr>
                    <w:t>主体工程</w:t>
                  </w:r>
                </w:p>
              </w:tc>
              <w:tc>
                <w:tcPr>
                  <w:tcW w:w="417" w:type="pct"/>
                  <w:vMerge w:val="restart"/>
                  <w:vAlign w:val="center"/>
                </w:tcPr>
                <w:p>
                  <w:pPr>
                    <w:pStyle w:val="33"/>
                    <w:spacing w:line="360" w:lineRule="exact"/>
                    <w:rPr>
                      <w:color w:val="000000" w:themeColor="text1"/>
                    </w:rPr>
                  </w:pPr>
                  <w:r>
                    <w:rPr>
                      <w:rFonts w:hint="eastAsia"/>
                      <w:color w:val="000000" w:themeColor="text1"/>
                    </w:rPr>
                    <w:t>球磨选别车间</w:t>
                  </w:r>
                </w:p>
              </w:tc>
              <w:tc>
                <w:tcPr>
                  <w:tcW w:w="417" w:type="pct"/>
                  <w:gridSpan w:val="2"/>
                  <w:vAlign w:val="center"/>
                </w:tcPr>
                <w:p>
                  <w:pPr>
                    <w:pStyle w:val="33"/>
                    <w:spacing w:line="360" w:lineRule="exact"/>
                    <w:rPr>
                      <w:color w:val="000000" w:themeColor="text1"/>
                    </w:rPr>
                  </w:pPr>
                  <w:r>
                    <w:rPr>
                      <w:color w:val="000000" w:themeColor="text1"/>
                    </w:rPr>
                    <w:t>球磨分级系统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，本项目拟设置1个球磨选别车间，该车间建筑面积约为800m²，该车间内分别配套设置球磨分级系统和选别系统，其中球磨分级系统区域建筑面积约为300m²，球磨分级系统</w:t>
                  </w:r>
                  <w:r>
                    <w:rPr>
                      <w:rFonts w:hint="eastAsia"/>
                      <w:color w:val="000000" w:themeColor="text1"/>
                      <w:szCs w:val="24"/>
                    </w:rPr>
                    <w:t>包括</w:t>
                  </w:r>
                  <w:r>
                    <w:rPr>
                      <w:color w:val="000000" w:themeColor="text1"/>
                      <w:szCs w:val="24"/>
                    </w:rPr>
                    <w:t>I段球磨</w:t>
                  </w:r>
                  <w:r>
                    <w:rPr>
                      <w:rFonts w:hint="eastAsia"/>
                      <w:color w:val="000000" w:themeColor="text1"/>
                      <w:szCs w:val="24"/>
                    </w:rPr>
                    <w:t>、高频细筛和</w:t>
                  </w:r>
                  <w:r>
                    <w:rPr>
                      <w:color w:val="000000" w:themeColor="text1"/>
                      <w:szCs w:val="24"/>
                    </w:rPr>
                    <w:t>II段球磨</w:t>
                  </w:r>
                  <w:r>
                    <w:rPr>
                      <w:rFonts w:hint="eastAsia"/>
                      <w:color w:val="000000" w:themeColor="text1"/>
                      <w:szCs w:val="24"/>
                    </w:rPr>
                    <w:t>。其中</w:t>
                  </w:r>
                  <w:r>
                    <w:rPr>
                      <w:color w:val="000000" w:themeColor="text1"/>
                      <w:szCs w:val="24"/>
                    </w:rPr>
                    <w:t>I段球磨配套设置了2台MQG1836型球磨机，对拟综合利用的氧化锌尾渣（水淬渣）进行球磨</w:t>
                  </w:r>
                  <w:r>
                    <w:rPr>
                      <w:rFonts w:hint="eastAsia"/>
                      <w:color w:val="000000" w:themeColor="text1"/>
                      <w:szCs w:val="24"/>
                    </w:rPr>
                    <w:t>；高频细筛设置1台1021型高频细筛对磁选后的含铁物质进行分级，将其分级为粒度＞100目和粒度≤100目的含铁物质；</w:t>
                  </w:r>
                  <w:r>
                    <w:rPr>
                      <w:color w:val="000000" w:themeColor="text1"/>
                      <w:szCs w:val="24"/>
                    </w:rPr>
                    <w:t>II段球磨设置一台MQY1245溢流型球磨机对高频细筛</w:t>
                  </w:r>
                  <w:r>
                    <w:rPr>
                      <w:rFonts w:hint="eastAsia"/>
                      <w:color w:val="000000" w:themeColor="text1"/>
                      <w:szCs w:val="24"/>
                    </w:rPr>
                    <w:t>分级的</w:t>
                  </w:r>
                  <w:r>
                    <w:rPr>
                      <w:color w:val="000000" w:themeColor="text1"/>
                      <w:szCs w:val="24"/>
                    </w:rPr>
                    <w:t>粒度＞100目</w:t>
                  </w:r>
                  <w:r>
                    <w:rPr>
                      <w:rFonts w:hint="eastAsia"/>
                      <w:color w:val="000000" w:themeColor="text1"/>
                      <w:szCs w:val="24"/>
                    </w:rPr>
                    <w:t>含铁物质</w:t>
                  </w:r>
                  <w:r>
                    <w:rPr>
                      <w:color w:val="000000" w:themeColor="text1"/>
                      <w:szCs w:val="24"/>
                    </w:rPr>
                    <w:t>进行</w:t>
                  </w:r>
                  <w:r>
                    <w:rPr>
                      <w:rFonts w:hint="eastAsia"/>
                      <w:color w:val="000000" w:themeColor="text1"/>
                      <w:szCs w:val="24"/>
                    </w:rPr>
                    <w:t>再次</w:t>
                  </w:r>
                  <w:r>
                    <w:rPr>
                      <w:color w:val="000000" w:themeColor="text1"/>
                      <w:szCs w:val="24"/>
                    </w:rPr>
                    <w:t>球磨。</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根据调查，本项目实际建成的</w:t>
                  </w:r>
                  <w:r>
                    <w:rPr>
                      <w:color w:val="000000" w:themeColor="text1"/>
                      <w:szCs w:val="24"/>
                    </w:rPr>
                    <w:t>球磨分级系统</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rPr>
                  </w:pPr>
                  <w:r>
                    <w:rPr>
                      <w:rFonts w:hint="eastAsia"/>
                      <w:color w:val="000000" w:themeColor="text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continue"/>
                  <w:vAlign w:val="center"/>
                </w:tcPr>
                <w:p>
                  <w:pPr>
                    <w:pStyle w:val="33"/>
                    <w:spacing w:line="360" w:lineRule="exact"/>
                    <w:rPr>
                      <w:color w:val="000000" w:themeColor="text1"/>
                    </w:rPr>
                  </w:pPr>
                </w:p>
              </w:tc>
              <w:tc>
                <w:tcPr>
                  <w:tcW w:w="417" w:type="pct"/>
                  <w:vMerge w:val="continue"/>
                  <w:vAlign w:val="center"/>
                </w:tcPr>
                <w:p>
                  <w:pPr>
                    <w:pStyle w:val="33"/>
                    <w:spacing w:line="360" w:lineRule="exact"/>
                    <w:rPr>
                      <w:color w:val="000000" w:themeColor="text1"/>
                    </w:rPr>
                  </w:pPr>
                </w:p>
              </w:tc>
              <w:tc>
                <w:tcPr>
                  <w:tcW w:w="417" w:type="pct"/>
                  <w:gridSpan w:val="2"/>
                  <w:vAlign w:val="center"/>
                </w:tcPr>
                <w:p>
                  <w:pPr>
                    <w:pStyle w:val="33"/>
                    <w:spacing w:line="360" w:lineRule="exact"/>
                    <w:rPr>
                      <w:color w:val="000000" w:themeColor="text1"/>
                    </w:rPr>
                  </w:pPr>
                  <w:r>
                    <w:rPr>
                      <w:color w:val="000000" w:themeColor="text1"/>
                    </w:rPr>
                    <w:t>选别</w:t>
                  </w:r>
                  <w:r>
                    <w:rPr>
                      <w:rFonts w:hint="eastAsia"/>
                      <w:color w:val="000000" w:themeColor="text1"/>
                    </w:rPr>
                    <w:t>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w:t>
                  </w:r>
                  <w:r>
                    <w:rPr>
                      <w:rFonts w:hint="eastAsia"/>
                      <w:color w:val="000000" w:themeColor="text1"/>
                      <w:szCs w:val="24"/>
                    </w:rPr>
                    <w:t>球磨选别车间拟配套设置选别系统，选别系统区域建筑面积约为500</w:t>
                  </w:r>
                  <w:r>
                    <w:rPr>
                      <w:color w:val="000000" w:themeColor="text1"/>
                      <w:szCs w:val="24"/>
                    </w:rPr>
                    <w:t>m²</w:t>
                  </w:r>
                  <w:r>
                    <w:rPr>
                      <w:rFonts w:hint="eastAsia"/>
                      <w:color w:val="000000" w:themeColor="text1"/>
                      <w:szCs w:val="24"/>
                    </w:rPr>
                    <w:t>，选别系统包括磁选、重选（磁性物重选和非磁性物重选）和弱磁选，具体如下：</w:t>
                  </w:r>
                </w:p>
                <w:p>
                  <w:pPr>
                    <w:pStyle w:val="33"/>
                    <w:spacing w:line="360" w:lineRule="exact"/>
                    <w:ind w:firstLine="210" w:firstLineChars="100"/>
                    <w:jc w:val="both"/>
                    <w:rPr>
                      <w:color w:val="000000" w:themeColor="text1"/>
                      <w:szCs w:val="24"/>
                    </w:rPr>
                  </w:pPr>
                  <w:r>
                    <w:rPr>
                      <w:rFonts w:hint="eastAsia"/>
                      <w:color w:val="000000" w:themeColor="text1"/>
                      <w:szCs w:val="24"/>
                    </w:rPr>
                    <w:t>①磁选工序设置2台CTB1021型磁选机，对I段球磨后的物料进行磁选；</w:t>
                  </w:r>
                </w:p>
                <w:p>
                  <w:pPr>
                    <w:pStyle w:val="33"/>
                    <w:spacing w:line="360" w:lineRule="exact"/>
                    <w:ind w:firstLine="210" w:firstLineChars="100"/>
                    <w:jc w:val="both"/>
                    <w:rPr>
                      <w:color w:val="000000" w:themeColor="text1"/>
                      <w:szCs w:val="24"/>
                    </w:rPr>
                  </w:pPr>
                  <w:r>
                    <w:rPr>
                      <w:rFonts w:hint="eastAsia"/>
                      <w:color w:val="000000" w:themeColor="text1"/>
                      <w:szCs w:val="24"/>
                    </w:rPr>
                    <w:t>②磁性物重选工序设置</w:t>
                  </w:r>
                  <w:r>
                    <w:rPr>
                      <w:color w:val="000000" w:themeColor="text1"/>
                      <w:szCs w:val="24"/>
                    </w:rPr>
                    <w:t>8</w:t>
                  </w:r>
                  <w:r>
                    <w:rPr>
                      <w:rFonts w:hint="eastAsia"/>
                      <w:color w:val="000000" w:themeColor="text1"/>
                      <w:szCs w:val="24"/>
                    </w:rPr>
                    <w:t>台</w:t>
                  </w:r>
                  <w:r>
                    <w:rPr>
                      <w:color w:val="000000" w:themeColor="text1"/>
                      <w:szCs w:val="24"/>
                    </w:rPr>
                    <w:t>摇床</w:t>
                  </w:r>
                  <w:r>
                    <w:rPr>
                      <w:rFonts w:hint="eastAsia"/>
                      <w:color w:val="000000" w:themeColor="text1"/>
                      <w:szCs w:val="24"/>
                    </w:rPr>
                    <w:t>对高频细筛分级的粒度≤100目进行重选；</w:t>
                  </w:r>
                </w:p>
                <w:p>
                  <w:pPr>
                    <w:pStyle w:val="33"/>
                    <w:spacing w:line="360" w:lineRule="exact"/>
                    <w:ind w:firstLine="210" w:firstLineChars="100"/>
                    <w:jc w:val="both"/>
                    <w:rPr>
                      <w:color w:val="000000" w:themeColor="text1"/>
                      <w:szCs w:val="24"/>
                    </w:rPr>
                  </w:pPr>
                  <w:r>
                    <w:rPr>
                      <w:rFonts w:hint="eastAsia"/>
                      <w:color w:val="000000" w:themeColor="text1"/>
                      <w:szCs w:val="24"/>
                    </w:rPr>
                    <w:t>③非磁性物重选设置3套选煤螺旋流槽对磁选后的非磁性物（废渣）进行重选。</w:t>
                  </w:r>
                </w:p>
                <w:p>
                  <w:pPr>
                    <w:pStyle w:val="33"/>
                    <w:spacing w:line="360" w:lineRule="exact"/>
                    <w:ind w:firstLine="210" w:firstLineChars="100"/>
                    <w:jc w:val="both"/>
                    <w:rPr>
                      <w:color w:val="000000" w:themeColor="text1"/>
                      <w:szCs w:val="24"/>
                    </w:rPr>
                  </w:pPr>
                  <w:r>
                    <w:rPr>
                      <w:rFonts w:hint="eastAsia"/>
                      <w:color w:val="000000" w:themeColor="text1"/>
                      <w:szCs w:val="24"/>
                    </w:rPr>
                    <w:t>④弱磁选工序设置1台</w:t>
                  </w:r>
                  <w:r>
                    <w:rPr>
                      <w:color w:val="000000" w:themeColor="text1"/>
                      <w:szCs w:val="24"/>
                    </w:rPr>
                    <w:t>CTB091</w:t>
                  </w:r>
                  <w:r>
                    <w:rPr>
                      <w:rFonts w:hint="eastAsia"/>
                      <w:color w:val="000000" w:themeColor="text1"/>
                      <w:szCs w:val="24"/>
                    </w:rPr>
                    <w:t>8弱磁机对重选得到的次铁粉进行弱磁选。</w:t>
                  </w:r>
                </w:p>
              </w:tc>
              <w:tc>
                <w:tcPr>
                  <w:tcW w:w="1498" w:type="pct"/>
                  <w:vAlign w:val="center"/>
                </w:tcPr>
                <w:p>
                  <w:pPr>
                    <w:pStyle w:val="33"/>
                    <w:spacing w:line="360" w:lineRule="exact"/>
                    <w:ind w:firstLine="210" w:firstLineChars="100"/>
                    <w:jc w:val="both"/>
                    <w:rPr>
                      <w:color w:val="000000" w:themeColor="text1"/>
                      <w:szCs w:val="24"/>
                    </w:rPr>
                  </w:pPr>
                  <w:r>
                    <w:rPr>
                      <w:color w:val="000000" w:themeColor="text1"/>
                      <w:szCs w:val="24"/>
                    </w:rPr>
                    <w:t>根据设计，</w:t>
                  </w:r>
                  <w:r>
                    <w:rPr>
                      <w:rFonts w:hint="eastAsia"/>
                      <w:color w:val="000000" w:themeColor="text1"/>
                      <w:szCs w:val="24"/>
                    </w:rPr>
                    <w:t>变更后</w:t>
                  </w:r>
                  <w:r>
                    <w:rPr>
                      <w:color w:val="000000" w:themeColor="text1"/>
                      <w:szCs w:val="24"/>
                    </w:rPr>
                    <w:t>本项目</w:t>
                  </w:r>
                  <w:r>
                    <w:rPr>
                      <w:rFonts w:hint="eastAsia"/>
                      <w:color w:val="000000" w:themeColor="text1"/>
                      <w:szCs w:val="24"/>
                    </w:rPr>
                    <w:t>球磨选别车间建筑面积不变，选别系统减少了非磁性物重选工序，变更后选别工序包括磁选、重选磁性物重选）和弱磁选，其中磁选工序设置2台CTB1021型磁选机，对I段球磨后的物料进行磁选；重选工序设置</w:t>
                  </w:r>
                  <w:r>
                    <w:rPr>
                      <w:color w:val="000000" w:themeColor="text1"/>
                      <w:szCs w:val="24"/>
                    </w:rPr>
                    <w:t>8</w:t>
                  </w:r>
                  <w:r>
                    <w:rPr>
                      <w:rFonts w:hint="eastAsia"/>
                      <w:color w:val="000000" w:themeColor="text1"/>
                      <w:szCs w:val="24"/>
                    </w:rPr>
                    <w:t>台</w:t>
                  </w:r>
                  <w:r>
                    <w:rPr>
                      <w:color w:val="000000" w:themeColor="text1"/>
                      <w:szCs w:val="24"/>
                    </w:rPr>
                    <w:t>摇床</w:t>
                  </w:r>
                  <w:r>
                    <w:rPr>
                      <w:rFonts w:hint="eastAsia"/>
                      <w:color w:val="000000" w:themeColor="text1"/>
                      <w:szCs w:val="24"/>
                    </w:rPr>
                    <w:t>对高频细筛分级的粒度≤100目进行重选；弱磁选工序设置1台</w:t>
                  </w:r>
                  <w:r>
                    <w:rPr>
                      <w:color w:val="000000" w:themeColor="text1"/>
                      <w:szCs w:val="24"/>
                    </w:rPr>
                    <w:t>CTB091</w:t>
                  </w:r>
                  <w:r>
                    <w:rPr>
                      <w:rFonts w:hint="eastAsia"/>
                      <w:color w:val="000000" w:themeColor="text1"/>
                      <w:szCs w:val="24"/>
                    </w:rPr>
                    <w:t>8弱磁机对重选得到的次铁粉进行弱磁选。</w:t>
                  </w:r>
                </w:p>
                <w:p>
                  <w:pPr>
                    <w:pStyle w:val="33"/>
                    <w:spacing w:line="360" w:lineRule="exact"/>
                    <w:ind w:firstLine="210" w:firstLineChars="100"/>
                    <w:jc w:val="both"/>
                    <w:rPr>
                      <w:color w:val="000000" w:themeColor="text1"/>
                      <w:szCs w:val="24"/>
                    </w:rPr>
                  </w:pPr>
                  <w:r>
                    <w:rPr>
                      <w:rFonts w:hint="eastAsia"/>
                      <w:color w:val="000000" w:themeColor="text1"/>
                      <w:szCs w:val="24"/>
                    </w:rPr>
                    <w:t>重选后得到的还原铁粉（单质铁）进入烘干车间，经过脱水、烘干和包装后得到还原铁粉产品；弱磁选后得到的次铁粉经1台FNX-10斜管浓密箱对其进行浓密，2台50</w:t>
                  </w:r>
                  <w:r>
                    <w:rPr>
                      <w:color w:val="000000" w:themeColor="text1"/>
                      <w:szCs w:val="24"/>
                    </w:rPr>
                    <w:t>m²</w:t>
                  </w:r>
                  <w:r>
                    <w:rPr>
                      <w:rFonts w:hint="eastAsia"/>
                      <w:color w:val="000000" w:themeColor="text1"/>
                      <w:szCs w:val="24"/>
                    </w:rPr>
                    <w:t>的板框压滤机压滤后得到次铁粉产品。</w:t>
                  </w:r>
                </w:p>
              </w:tc>
              <w:tc>
                <w:tcPr>
                  <w:tcW w:w="445" w:type="pct"/>
                  <w:vAlign w:val="center"/>
                </w:tcPr>
                <w:p>
                  <w:pPr>
                    <w:pStyle w:val="33"/>
                    <w:spacing w:line="360" w:lineRule="exact"/>
                    <w:rPr>
                      <w:color w:val="000000" w:themeColor="text1"/>
                    </w:rPr>
                  </w:pPr>
                  <w:r>
                    <w:rPr>
                      <w:color w:val="000000" w:themeColor="text1"/>
                    </w:rPr>
                    <w:t>新建（</w:t>
                  </w:r>
                  <w:r>
                    <w:rPr>
                      <w:rFonts w:hint="eastAsia"/>
                      <w:color w:val="000000" w:themeColor="text1"/>
                    </w:rPr>
                    <w:t>建成内容中取消回收碳的相关设备</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417" w:type="pct"/>
                  <w:vMerge w:val="restart"/>
                  <w:vAlign w:val="center"/>
                </w:tcPr>
                <w:p>
                  <w:pPr>
                    <w:pStyle w:val="33"/>
                    <w:spacing w:line="360" w:lineRule="exact"/>
                    <w:rPr>
                      <w:color w:val="000000" w:themeColor="text1"/>
                    </w:rPr>
                  </w:pPr>
                  <w:r>
                    <w:rPr>
                      <w:rFonts w:hint="eastAsia"/>
                      <w:color w:val="000000" w:themeColor="text1"/>
                    </w:rPr>
                    <w:t>烘干车间</w:t>
                  </w:r>
                </w:p>
              </w:tc>
              <w:tc>
                <w:tcPr>
                  <w:tcW w:w="417" w:type="pct"/>
                  <w:gridSpan w:val="2"/>
                  <w:vAlign w:val="center"/>
                </w:tcPr>
                <w:p>
                  <w:pPr>
                    <w:pStyle w:val="33"/>
                    <w:spacing w:line="360" w:lineRule="exact"/>
                    <w:rPr>
                      <w:color w:val="000000" w:themeColor="text1"/>
                    </w:rPr>
                  </w:pPr>
                  <w:r>
                    <w:rPr>
                      <w:color w:val="000000" w:themeColor="text1"/>
                    </w:rPr>
                    <w:t>烘干</w:t>
                  </w:r>
                  <w:r>
                    <w:rPr>
                      <w:rFonts w:hint="eastAsia"/>
                      <w:color w:val="000000" w:themeColor="text1"/>
                    </w:rPr>
                    <w:t>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，本项目拟</w:t>
                  </w:r>
                  <w:r>
                    <w:rPr>
                      <w:rFonts w:hint="eastAsia"/>
                      <w:color w:val="000000" w:themeColor="text1"/>
                      <w:szCs w:val="24"/>
                    </w:rPr>
                    <w:t>设置1个烘干车间，该车间建筑面积约为400</w:t>
                  </w:r>
                  <w:r>
                    <w:rPr>
                      <w:color w:val="000000" w:themeColor="text1"/>
                      <w:szCs w:val="24"/>
                    </w:rPr>
                    <w:t>m²</w:t>
                  </w:r>
                  <w:r>
                    <w:rPr>
                      <w:rFonts w:hint="eastAsia"/>
                      <w:color w:val="000000" w:themeColor="text1"/>
                      <w:szCs w:val="24"/>
                    </w:rPr>
                    <w:t>，该车间内分别由烘干系统和热风供应系统组成，其中</w:t>
                  </w:r>
                  <w:r>
                    <w:rPr>
                      <w:color w:val="000000" w:themeColor="text1"/>
                      <w:szCs w:val="24"/>
                    </w:rPr>
                    <w:t>烘干</w:t>
                  </w:r>
                  <w:r>
                    <w:rPr>
                      <w:rFonts w:hint="eastAsia"/>
                      <w:color w:val="000000" w:themeColor="text1"/>
                      <w:szCs w:val="24"/>
                    </w:rPr>
                    <w:t>系统区域建筑面积约为260</w:t>
                  </w:r>
                  <w:r>
                    <w:rPr>
                      <w:color w:val="000000" w:themeColor="text1"/>
                      <w:szCs w:val="24"/>
                    </w:rPr>
                    <w:t>m²</w:t>
                  </w:r>
                  <w:r>
                    <w:rPr>
                      <w:rFonts w:hint="eastAsia"/>
                      <w:color w:val="000000" w:themeColor="text1"/>
                      <w:szCs w:val="24"/>
                    </w:rPr>
                    <w:t>，</w:t>
                  </w:r>
                  <w:r>
                    <w:rPr>
                      <w:color w:val="000000" w:themeColor="text1"/>
                      <w:szCs w:val="24"/>
                    </w:rPr>
                    <w:t>烘干</w:t>
                  </w:r>
                  <w:r>
                    <w:rPr>
                      <w:rFonts w:hint="eastAsia"/>
                      <w:color w:val="000000" w:themeColor="text1"/>
                      <w:szCs w:val="24"/>
                    </w:rPr>
                    <w:t>系统配套设置1</w:t>
                  </w:r>
                  <w:r>
                    <w:rPr>
                      <w:color w:val="000000" w:themeColor="text1"/>
                      <w:szCs w:val="24"/>
                    </w:rPr>
                    <w:t>台GW-3</w:t>
                  </w:r>
                  <w:r>
                    <w:rPr>
                      <w:rFonts w:hint="eastAsia"/>
                      <w:color w:val="000000" w:themeColor="text1"/>
                      <w:szCs w:val="24"/>
                    </w:rPr>
                    <w:t>型过滤机、1</w:t>
                  </w:r>
                  <w:r>
                    <w:rPr>
                      <w:color w:val="000000" w:themeColor="text1"/>
                      <w:szCs w:val="24"/>
                    </w:rPr>
                    <w:t>台</w:t>
                  </w:r>
                  <w:r>
                    <w:rPr>
                      <w:rFonts w:hint="eastAsia"/>
                      <w:color w:val="000000" w:themeColor="text1"/>
                      <w:szCs w:val="24"/>
                    </w:rPr>
                    <w:t>螺旋进料机和1套</w:t>
                  </w:r>
                  <w:r>
                    <w:rPr>
                      <w:color w:val="000000" w:themeColor="text1"/>
                      <w:szCs w:val="24"/>
                    </w:rPr>
                    <w:t>Φ1200*21000</w:t>
                  </w:r>
                  <w:r>
                    <w:rPr>
                      <w:rFonts w:hint="eastAsia"/>
                      <w:color w:val="000000" w:themeColor="text1"/>
                      <w:szCs w:val="24"/>
                    </w:rPr>
                    <w:t>的烘干机对选别后的单质铁进行烘干。</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根据调查，本项目实际建成的</w:t>
                  </w:r>
                  <w:r>
                    <w:rPr>
                      <w:color w:val="000000" w:themeColor="text1"/>
                      <w:szCs w:val="24"/>
                    </w:rPr>
                    <w:t>烘干</w:t>
                  </w:r>
                  <w:r>
                    <w:rPr>
                      <w:rFonts w:hint="eastAsia"/>
                      <w:color w:val="000000" w:themeColor="text1"/>
                      <w:szCs w:val="24"/>
                    </w:rPr>
                    <w:t>系统和原环评设计未发生变化。</w:t>
                  </w:r>
                </w:p>
              </w:tc>
              <w:tc>
                <w:tcPr>
                  <w:tcW w:w="445" w:type="pct"/>
                  <w:vAlign w:val="center"/>
                </w:tcPr>
                <w:p>
                  <w:pPr>
                    <w:pStyle w:val="33"/>
                    <w:spacing w:line="360" w:lineRule="exact"/>
                    <w:rPr>
                      <w:color w:val="000000" w:themeColor="text1"/>
                    </w:rPr>
                  </w:pPr>
                  <w:r>
                    <w:rPr>
                      <w:color w:val="000000" w:themeColor="text1"/>
                    </w:rPr>
                    <w:t>新建（</w:t>
                  </w:r>
                  <w:r>
                    <w:rPr>
                      <w:rFonts w:hint="eastAsia"/>
                      <w:color w:val="000000" w:themeColor="text1"/>
                    </w:rPr>
                    <w:t>已</w:t>
                  </w:r>
                  <w:r>
                    <w:rPr>
                      <w:color w:val="000000" w:themeColor="text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417" w:type="pct"/>
                  <w:vMerge w:val="continue"/>
                  <w:vAlign w:val="center"/>
                </w:tcPr>
                <w:p>
                  <w:pPr>
                    <w:pStyle w:val="33"/>
                    <w:spacing w:line="360" w:lineRule="exact"/>
                    <w:rPr>
                      <w:color w:val="000000" w:themeColor="text1"/>
                    </w:rPr>
                  </w:pPr>
                </w:p>
              </w:tc>
              <w:tc>
                <w:tcPr>
                  <w:tcW w:w="417" w:type="pct"/>
                  <w:gridSpan w:val="2"/>
                  <w:vAlign w:val="center"/>
                </w:tcPr>
                <w:p>
                  <w:pPr>
                    <w:pStyle w:val="33"/>
                    <w:spacing w:line="360" w:lineRule="exact"/>
                    <w:rPr>
                      <w:color w:val="000000" w:themeColor="text1"/>
                    </w:rPr>
                  </w:pPr>
                  <w:r>
                    <w:rPr>
                      <w:rFonts w:hint="eastAsia"/>
                      <w:color w:val="000000" w:themeColor="text1"/>
                    </w:rPr>
                    <w:t>热风供应系统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烘干车间内配套设置的热风供应系统区域建筑面积约为140</w:t>
                  </w:r>
                  <w:r>
                    <w:rPr>
                      <w:color w:val="000000" w:themeColor="text1"/>
                      <w:szCs w:val="24"/>
                    </w:rPr>
                    <w:t>m²</w:t>
                  </w:r>
                  <w:r>
                    <w:rPr>
                      <w:rFonts w:hint="eastAsia"/>
                      <w:color w:val="000000" w:themeColor="text1"/>
                      <w:szCs w:val="24"/>
                    </w:rPr>
                    <w:t>，热风供应系统配套设置1套天然气燃烧机、1</w:t>
                  </w:r>
                  <w:r>
                    <w:rPr>
                      <w:color w:val="000000" w:themeColor="text1"/>
                      <w:szCs w:val="24"/>
                    </w:rPr>
                    <w:t>台</w:t>
                  </w:r>
                  <w:r>
                    <w:rPr>
                      <w:rFonts w:hint="eastAsia"/>
                      <w:color w:val="000000" w:themeColor="text1"/>
                      <w:szCs w:val="24"/>
                    </w:rPr>
                    <w:t>Y5-47-4C风机、1</w:t>
                  </w:r>
                  <w:r>
                    <w:rPr>
                      <w:color w:val="000000" w:themeColor="text1"/>
                      <w:szCs w:val="24"/>
                    </w:rPr>
                    <w:t>台</w:t>
                  </w:r>
                  <w:r>
                    <w:rPr>
                      <w:rFonts w:hint="eastAsia"/>
                      <w:color w:val="000000" w:themeColor="text1"/>
                      <w:szCs w:val="24"/>
                    </w:rPr>
                    <w:t>Y5-47-6C风机和1</w:t>
                  </w:r>
                  <w:r>
                    <w:rPr>
                      <w:color w:val="000000" w:themeColor="text1"/>
                      <w:szCs w:val="24"/>
                    </w:rPr>
                    <w:t>台</w:t>
                  </w:r>
                  <w:r>
                    <w:rPr>
                      <w:rFonts w:hint="eastAsia"/>
                      <w:color w:val="000000" w:themeColor="text1"/>
                      <w:szCs w:val="24"/>
                    </w:rPr>
                    <w:t>4-7Z-4.5A风机为烘干系统提供热风。</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根据调查，变更后</w:t>
                  </w:r>
                  <w:r>
                    <w:rPr>
                      <w:color w:val="000000" w:themeColor="text1"/>
                      <w:szCs w:val="24"/>
                    </w:rPr>
                    <w:t>本项目</w:t>
                  </w:r>
                  <w:r>
                    <w:rPr>
                      <w:rFonts w:hint="eastAsia"/>
                      <w:color w:val="000000" w:themeColor="text1"/>
                      <w:szCs w:val="24"/>
                    </w:rPr>
                    <w:t>热风供应系统区域建筑面积不变，热风供应系统变更为配套设置1套RFL型热风炉、1</w:t>
                  </w:r>
                  <w:r>
                    <w:rPr>
                      <w:color w:val="000000" w:themeColor="text1"/>
                      <w:szCs w:val="24"/>
                    </w:rPr>
                    <w:t>台</w:t>
                  </w:r>
                  <w:r>
                    <w:rPr>
                      <w:rFonts w:hint="eastAsia"/>
                      <w:color w:val="000000" w:themeColor="text1"/>
                      <w:szCs w:val="24"/>
                    </w:rPr>
                    <w:t>Y5-47-4C风机、1</w:t>
                  </w:r>
                  <w:r>
                    <w:rPr>
                      <w:color w:val="000000" w:themeColor="text1"/>
                      <w:szCs w:val="24"/>
                    </w:rPr>
                    <w:t>台</w:t>
                  </w:r>
                  <w:r>
                    <w:rPr>
                      <w:rFonts w:hint="eastAsia"/>
                      <w:color w:val="000000" w:themeColor="text1"/>
                      <w:szCs w:val="24"/>
                    </w:rPr>
                    <w:t>Y5-47-6C风机和1</w:t>
                  </w:r>
                  <w:r>
                    <w:rPr>
                      <w:color w:val="000000" w:themeColor="text1"/>
                      <w:szCs w:val="24"/>
                    </w:rPr>
                    <w:t>台</w:t>
                  </w:r>
                  <w:r>
                    <w:rPr>
                      <w:rFonts w:hint="eastAsia"/>
                      <w:color w:val="000000" w:themeColor="text1"/>
                      <w:szCs w:val="24"/>
                    </w:rPr>
                    <w:t>4-7Z-4.5A风机为烘干系统提供热风。</w:t>
                  </w:r>
                </w:p>
              </w:tc>
              <w:tc>
                <w:tcPr>
                  <w:tcW w:w="445" w:type="pct"/>
                  <w:vAlign w:val="center"/>
                </w:tcPr>
                <w:p>
                  <w:pPr>
                    <w:pStyle w:val="33"/>
                    <w:spacing w:line="360" w:lineRule="exact"/>
                    <w:rPr>
                      <w:color w:val="000000" w:themeColor="text1"/>
                      <w:szCs w:val="21"/>
                    </w:rPr>
                  </w:pPr>
                  <w:r>
                    <w:rPr>
                      <w:color w:val="000000" w:themeColor="text1"/>
                    </w:rPr>
                    <w:t>新建（</w:t>
                  </w:r>
                  <w:r>
                    <w:rPr>
                      <w:rFonts w:hint="eastAsia"/>
                      <w:color w:val="000000" w:themeColor="text1"/>
                    </w:rPr>
                    <w:t>将天然气热风炉换为生物质热风炉</w:t>
                  </w:r>
                  <w:r>
                    <w:rPr>
                      <w:color w:val="000000" w:themeColor="text1"/>
                    </w:rPr>
                    <w:t>）</w:t>
                  </w:r>
                  <w:r>
                    <w:rPr>
                      <w:rFonts w:hint="eastAsia"/>
                      <w:color w:val="000000" w:themeColor="text1"/>
                    </w:rPr>
                    <w:t>，并更换其配套设施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834" w:type="pct"/>
                  <w:gridSpan w:val="3"/>
                  <w:vAlign w:val="center"/>
                </w:tcPr>
                <w:p>
                  <w:pPr>
                    <w:pStyle w:val="33"/>
                    <w:spacing w:line="360" w:lineRule="exact"/>
                    <w:rPr>
                      <w:color w:val="000000" w:themeColor="text1"/>
                    </w:rPr>
                  </w:pPr>
                  <w:r>
                    <w:rPr>
                      <w:rFonts w:hint="eastAsia"/>
                      <w:color w:val="000000" w:themeColor="text1"/>
                    </w:rPr>
                    <w:t>包装车间</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，本项目拟</w:t>
                  </w:r>
                  <w:r>
                    <w:rPr>
                      <w:rFonts w:hint="eastAsia"/>
                      <w:color w:val="000000" w:themeColor="text1"/>
                      <w:szCs w:val="24"/>
                    </w:rPr>
                    <w:t>设置1个</w:t>
                  </w:r>
                  <w:r>
                    <w:rPr>
                      <w:rFonts w:hint="eastAsia"/>
                      <w:color w:val="000000" w:themeColor="text1"/>
                    </w:rPr>
                    <w:t>包装车间，包装车间内配套设置2台</w:t>
                  </w:r>
                  <w:r>
                    <w:rPr>
                      <w:color w:val="000000" w:themeColor="text1"/>
                    </w:rPr>
                    <w:t>Φ200*</w:t>
                  </w:r>
                  <w:r>
                    <w:rPr>
                      <w:rFonts w:hint="eastAsia"/>
                      <w:color w:val="000000" w:themeColor="text1"/>
                    </w:rPr>
                    <w:t>2</w:t>
                  </w:r>
                  <w:r>
                    <w:rPr>
                      <w:color w:val="000000" w:themeColor="text1"/>
                    </w:rPr>
                    <w:t>00</w:t>
                  </w:r>
                  <w:r>
                    <w:rPr>
                      <w:rFonts w:hint="eastAsia"/>
                      <w:color w:val="000000" w:themeColor="text1"/>
                    </w:rPr>
                    <w:t>型成品料斗将烘干后的还原铁粉包装入库。</w:t>
                  </w:r>
                </w:p>
              </w:tc>
              <w:tc>
                <w:tcPr>
                  <w:tcW w:w="1498" w:type="pct"/>
                  <w:vAlign w:val="center"/>
                </w:tcPr>
                <w:p>
                  <w:pPr>
                    <w:pStyle w:val="33"/>
                    <w:spacing w:line="360" w:lineRule="exact"/>
                    <w:ind w:firstLine="210" w:firstLineChars="100"/>
                    <w:jc w:val="both"/>
                    <w:rPr>
                      <w:color w:val="000000" w:themeColor="text1"/>
                    </w:rPr>
                  </w:pPr>
                  <w:r>
                    <w:rPr>
                      <w:rFonts w:hint="eastAsia"/>
                      <w:color w:val="000000" w:themeColor="text1"/>
                      <w:szCs w:val="24"/>
                    </w:rPr>
                    <w:t>根据调查，本项目实际建成的包装车间和原环评设计未发生变化。</w:t>
                  </w:r>
                </w:p>
              </w:tc>
              <w:tc>
                <w:tcPr>
                  <w:tcW w:w="445" w:type="pct"/>
                  <w:vAlign w:val="center"/>
                </w:tcPr>
                <w:p>
                  <w:pPr>
                    <w:pStyle w:val="33"/>
                    <w:spacing w:line="360" w:lineRule="exact"/>
                    <w:rPr>
                      <w:color w:val="000000" w:themeColor="text1"/>
                      <w:szCs w:val="21"/>
                    </w:rPr>
                  </w:pPr>
                  <w:r>
                    <w:rPr>
                      <w:color w:val="000000" w:themeColor="text1"/>
                    </w:rPr>
                    <w:t>新建（</w:t>
                  </w:r>
                  <w:r>
                    <w:rPr>
                      <w:rFonts w:hint="eastAsia"/>
                      <w:color w:val="000000" w:themeColor="text1"/>
                    </w:rPr>
                    <w:t>已</w:t>
                  </w:r>
                  <w:r>
                    <w:rPr>
                      <w:color w:val="000000" w:themeColor="text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shd w:val="clear" w:color="auto" w:fill="auto"/>
                  <w:vAlign w:val="center"/>
                </w:tcPr>
                <w:p>
                  <w:pPr>
                    <w:pStyle w:val="33"/>
                    <w:spacing w:line="360" w:lineRule="exact"/>
                    <w:rPr>
                      <w:color w:val="000000" w:themeColor="text1"/>
                    </w:rPr>
                  </w:pPr>
                  <w:r>
                    <w:rPr>
                      <w:color w:val="000000" w:themeColor="text1"/>
                    </w:rPr>
                    <w:t>储运工程</w:t>
                  </w:r>
                </w:p>
              </w:tc>
              <w:tc>
                <w:tcPr>
                  <w:tcW w:w="834" w:type="pct"/>
                  <w:gridSpan w:val="3"/>
                  <w:vAlign w:val="center"/>
                </w:tcPr>
                <w:p>
                  <w:pPr>
                    <w:pStyle w:val="33"/>
                    <w:spacing w:line="360" w:lineRule="exact"/>
                    <w:rPr>
                      <w:color w:val="000000" w:themeColor="text1"/>
                    </w:rPr>
                  </w:pPr>
                  <w:r>
                    <w:rPr>
                      <w:rFonts w:hint="eastAsia"/>
                      <w:color w:val="000000" w:themeColor="text1"/>
                    </w:rPr>
                    <w:t>水淬渣暂存库</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项目已设置1个建筑面积约为315m²的水淬渣暂存库对拟综合利用的氧化锌尾渣（水淬渣）进行暂存。根据调查，该水淬渣暂存库设有三面围挡和顶棚设施。</w:t>
                  </w:r>
                </w:p>
              </w:tc>
              <w:tc>
                <w:tcPr>
                  <w:tcW w:w="1498" w:type="pct"/>
                  <w:shd w:val="clear" w:color="auto" w:fill="auto"/>
                  <w:vAlign w:val="center"/>
                </w:tcPr>
                <w:p>
                  <w:pPr>
                    <w:pStyle w:val="33"/>
                    <w:spacing w:line="360" w:lineRule="exact"/>
                    <w:ind w:firstLine="210" w:firstLineChars="100"/>
                    <w:jc w:val="both"/>
                    <w:rPr>
                      <w:color w:val="000000" w:themeColor="text1"/>
                    </w:rPr>
                  </w:pPr>
                  <w:r>
                    <w:rPr>
                      <w:rFonts w:hint="eastAsia"/>
                      <w:color w:val="000000" w:themeColor="text1"/>
                      <w:szCs w:val="24"/>
                    </w:rPr>
                    <w:t>根据调查，本项目实际建成的水淬渣暂存库和原环评设计未发生变化。</w:t>
                  </w:r>
                </w:p>
              </w:tc>
              <w:tc>
                <w:tcPr>
                  <w:tcW w:w="445" w:type="pct"/>
                  <w:vAlign w:val="center"/>
                </w:tcPr>
                <w:p>
                  <w:pPr>
                    <w:pStyle w:val="33"/>
                    <w:spacing w:line="360" w:lineRule="exact"/>
                    <w:rPr>
                      <w:color w:val="000000" w:themeColor="text1"/>
                    </w:rPr>
                  </w:pPr>
                  <w:r>
                    <w:rPr>
                      <w:color w:val="000000" w:themeColor="text1"/>
                    </w:rPr>
                    <w:t>新建</w:t>
                  </w:r>
                  <w:r>
                    <w:rPr>
                      <w:rFonts w:hint="eastAsia"/>
                      <w:color w:val="000000" w:themeColor="text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shd w:val="clear" w:color="auto" w:fill="auto"/>
                  <w:vAlign w:val="center"/>
                </w:tcPr>
                <w:p>
                  <w:pPr>
                    <w:pStyle w:val="33"/>
                    <w:spacing w:line="360" w:lineRule="exact"/>
                    <w:rPr>
                      <w:color w:val="000000" w:themeColor="text1"/>
                    </w:rPr>
                  </w:pPr>
                  <w:r>
                    <w:rPr>
                      <w:rFonts w:hint="eastAsia"/>
                      <w:color w:val="000000" w:themeColor="text1"/>
                    </w:rPr>
                    <w:t>依托工程</w:t>
                  </w:r>
                </w:p>
              </w:tc>
              <w:tc>
                <w:tcPr>
                  <w:tcW w:w="834" w:type="pct"/>
                  <w:gridSpan w:val="3"/>
                  <w:vAlign w:val="center"/>
                </w:tcPr>
                <w:p>
                  <w:pPr>
                    <w:pStyle w:val="33"/>
                    <w:spacing w:line="360" w:lineRule="exact"/>
                    <w:rPr>
                      <w:color w:val="000000" w:themeColor="text1"/>
                    </w:rPr>
                  </w:pPr>
                  <w:r>
                    <w:rPr>
                      <w:color w:val="000000" w:themeColor="text1"/>
                    </w:rPr>
                    <w:t>成品车间</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由于厂区内原已在进场大门处配套设置了</w:t>
                  </w:r>
                  <w:r>
                    <w:rPr>
                      <w:color w:val="000000" w:themeColor="text1"/>
                    </w:rPr>
                    <w:t>成品</w:t>
                  </w:r>
                  <w:r>
                    <w:rPr>
                      <w:rFonts w:hint="eastAsia"/>
                      <w:color w:val="000000" w:themeColor="text1"/>
                    </w:rPr>
                    <w:t>车间，产品车间规模较大，因此本项目不在新建</w:t>
                  </w:r>
                  <w:r>
                    <w:rPr>
                      <w:color w:val="000000" w:themeColor="text1"/>
                    </w:rPr>
                    <w:t>成品</w:t>
                  </w:r>
                  <w:r>
                    <w:rPr>
                      <w:rFonts w:hint="eastAsia"/>
                      <w:color w:val="000000" w:themeColor="text1"/>
                    </w:rPr>
                    <w:t>车间，项目的产品依托现有成品车间进行堆存外卖。</w:t>
                  </w:r>
                </w:p>
              </w:tc>
              <w:tc>
                <w:tcPr>
                  <w:tcW w:w="1498" w:type="pct"/>
                  <w:shd w:val="clear" w:color="auto" w:fill="auto"/>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根据调查，本项目依托使用的</w:t>
                  </w:r>
                  <w:r>
                    <w:rPr>
                      <w:color w:val="000000" w:themeColor="text1"/>
                      <w:szCs w:val="24"/>
                    </w:rPr>
                    <w:t>成品车间</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rPr>
                  </w:pPr>
                  <w:r>
                    <w:rPr>
                      <w:rFonts w:hint="eastAsia"/>
                      <w:color w:val="000000" w:themeColor="text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shd w:val="clear" w:color="auto" w:fill="auto"/>
                  <w:vAlign w:val="center"/>
                </w:tcPr>
                <w:p>
                  <w:pPr>
                    <w:pStyle w:val="33"/>
                    <w:spacing w:line="360" w:lineRule="exact"/>
                    <w:rPr>
                      <w:color w:val="000000" w:themeColor="text1"/>
                    </w:rPr>
                  </w:pPr>
                </w:p>
              </w:tc>
              <w:tc>
                <w:tcPr>
                  <w:tcW w:w="834" w:type="pct"/>
                  <w:gridSpan w:val="3"/>
                  <w:vAlign w:val="center"/>
                </w:tcPr>
                <w:p>
                  <w:pPr>
                    <w:pStyle w:val="33"/>
                    <w:spacing w:line="360" w:lineRule="exact"/>
                    <w:rPr>
                      <w:color w:val="000000" w:themeColor="text1"/>
                    </w:rPr>
                  </w:pPr>
                  <w:r>
                    <w:rPr>
                      <w:color w:val="000000" w:themeColor="text1"/>
                    </w:rPr>
                    <w:t>办公生活区</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项目厂区西侧已配套设置了办公生活区域，本项目员工依托使用，可满足需求。</w:t>
                  </w:r>
                </w:p>
              </w:tc>
              <w:tc>
                <w:tcPr>
                  <w:tcW w:w="1498" w:type="pct"/>
                  <w:shd w:val="clear" w:color="auto" w:fill="auto"/>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根据调查，本项目依托使用的</w:t>
                  </w:r>
                  <w:r>
                    <w:rPr>
                      <w:color w:val="000000" w:themeColor="text1"/>
                      <w:szCs w:val="24"/>
                    </w:rPr>
                    <w:t>办公生活区</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szCs w:val="21"/>
                    </w:rPr>
                  </w:pPr>
                  <w:r>
                    <w:rPr>
                      <w:rFonts w:hint="eastAsia"/>
                      <w:color w:val="000000" w:themeColor="text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restart"/>
                  <w:vAlign w:val="center"/>
                </w:tcPr>
                <w:p>
                  <w:pPr>
                    <w:pStyle w:val="33"/>
                    <w:spacing w:line="360" w:lineRule="exact"/>
                    <w:rPr>
                      <w:color w:val="000000" w:themeColor="text1"/>
                      <w:szCs w:val="21"/>
                    </w:rPr>
                  </w:pPr>
                  <w:r>
                    <w:rPr>
                      <w:color w:val="000000" w:themeColor="text1"/>
                      <w:szCs w:val="21"/>
                    </w:rPr>
                    <w:t>公用工程</w:t>
                  </w:r>
                </w:p>
              </w:tc>
              <w:tc>
                <w:tcPr>
                  <w:tcW w:w="834" w:type="pct"/>
                  <w:gridSpan w:val="3"/>
                  <w:vAlign w:val="center"/>
                </w:tcPr>
                <w:p>
                  <w:pPr>
                    <w:pStyle w:val="33"/>
                    <w:spacing w:line="360" w:lineRule="exact"/>
                    <w:rPr>
                      <w:color w:val="000000" w:themeColor="text1"/>
                    </w:rPr>
                  </w:pPr>
                  <w:r>
                    <w:rPr>
                      <w:color w:val="000000" w:themeColor="text1"/>
                    </w:rPr>
                    <w:t>供电</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rPr>
                    <w:t>供电由园区统一供给。</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供电</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rPr>
                  </w:pPr>
                  <w:r>
                    <w:rPr>
                      <w:color w:val="000000" w:themeColor="text1"/>
                    </w:rPr>
                    <w:t>给水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项目给水工程如下：</w:t>
                  </w:r>
                </w:p>
                <w:p>
                  <w:pPr>
                    <w:pStyle w:val="33"/>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生产用水</w:t>
                  </w:r>
                </w:p>
                <w:p>
                  <w:pPr>
                    <w:pStyle w:val="33"/>
                    <w:spacing w:line="360" w:lineRule="exact"/>
                    <w:ind w:firstLine="210" w:firstLineChars="100"/>
                    <w:jc w:val="both"/>
                    <w:rPr>
                      <w:color w:val="000000" w:themeColor="text1"/>
                      <w:szCs w:val="21"/>
                    </w:rPr>
                  </w:pPr>
                  <w:r>
                    <w:rPr>
                      <w:rFonts w:hint="eastAsia"/>
                      <w:color w:val="000000" w:themeColor="text1"/>
                      <w:szCs w:val="21"/>
                    </w:rPr>
                    <w:t>项目生产用水定额为2.77</w:t>
                  </w:r>
                  <w:r>
                    <w:rPr>
                      <w:color w:val="000000" w:themeColor="text1"/>
                      <w:szCs w:val="21"/>
                    </w:rPr>
                    <w:t>m³/（t</w:t>
                  </w:r>
                  <w:r>
                    <w:rPr>
                      <w:rFonts w:hint="eastAsia"/>
                      <w:color w:val="000000" w:themeColor="text1"/>
                      <w:szCs w:val="21"/>
                    </w:rPr>
                    <w:t>·氧化锌尾渣（水淬渣）</w:t>
                  </w:r>
                  <w:r>
                    <w:rPr>
                      <w:color w:val="000000" w:themeColor="text1"/>
                      <w:szCs w:val="21"/>
                    </w:rPr>
                    <w:t>）</w:t>
                  </w:r>
                  <w:r>
                    <w:rPr>
                      <w:rFonts w:hint="eastAsia"/>
                      <w:color w:val="000000" w:themeColor="text1"/>
                      <w:szCs w:val="21"/>
                    </w:rPr>
                    <w:t>，日处理氧化锌尾渣（水淬渣）500t，则用水量为1385</w:t>
                  </w:r>
                  <w:r>
                    <w:rPr>
                      <w:color w:val="000000" w:themeColor="text1"/>
                      <w:szCs w:val="21"/>
                    </w:rPr>
                    <w:t>m³/</w:t>
                  </w:r>
                  <w:r>
                    <w:rPr>
                      <w:rFonts w:hint="eastAsia"/>
                      <w:color w:val="000000" w:themeColor="text1"/>
                      <w:szCs w:val="21"/>
                    </w:rPr>
                    <w:t>d，系统废水不外排，系统损失水、物料带走水分，定期补充，使用自来水。</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生活用水</w:t>
                  </w:r>
                </w:p>
                <w:p>
                  <w:pPr>
                    <w:pStyle w:val="33"/>
                    <w:spacing w:line="360" w:lineRule="exact"/>
                    <w:ind w:firstLine="210" w:firstLineChars="100"/>
                    <w:jc w:val="both"/>
                    <w:rPr>
                      <w:color w:val="000000" w:themeColor="text1"/>
                      <w:szCs w:val="21"/>
                    </w:rPr>
                  </w:pPr>
                  <w:r>
                    <w:rPr>
                      <w:color w:val="000000" w:themeColor="text1"/>
                      <w:szCs w:val="21"/>
                    </w:rPr>
                    <w:t>生活用水使用自来水</w:t>
                  </w:r>
                  <w:r>
                    <w:rPr>
                      <w:rFonts w:hint="eastAsia"/>
                      <w:color w:val="000000" w:themeColor="text1"/>
                      <w:szCs w:val="21"/>
                    </w:rPr>
                    <w:t>。</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给水</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rPr>
                  </w:pPr>
                  <w:r>
                    <w:rPr>
                      <w:color w:val="000000" w:themeColor="text1"/>
                    </w:rPr>
                    <w:t>排水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w:t>
                  </w:r>
                  <w:r>
                    <w:rPr>
                      <w:rFonts w:hint="eastAsia"/>
                      <w:color w:val="000000" w:themeColor="text1"/>
                      <w:szCs w:val="21"/>
                    </w:rPr>
                    <w:t>废水包括</w:t>
                  </w:r>
                  <w:r>
                    <w:rPr>
                      <w:color w:val="000000" w:themeColor="text1"/>
                      <w:szCs w:val="21"/>
                    </w:rPr>
                    <w:t>生产废水、生活污水和</w:t>
                  </w:r>
                  <w:r>
                    <w:rPr>
                      <w:rFonts w:hint="eastAsia"/>
                      <w:color w:val="000000" w:themeColor="text1"/>
                      <w:szCs w:val="21"/>
                    </w:rPr>
                    <w:t>初期雨水。</w:t>
                  </w:r>
                </w:p>
                <w:p>
                  <w:pPr>
                    <w:pStyle w:val="33"/>
                    <w:spacing w:line="360" w:lineRule="exact"/>
                    <w:ind w:firstLine="210" w:firstLineChars="100"/>
                    <w:jc w:val="both"/>
                    <w:rPr>
                      <w:color w:val="000000" w:themeColor="text1"/>
                      <w:szCs w:val="21"/>
                    </w:rPr>
                  </w:pPr>
                  <w:r>
                    <w:rPr>
                      <w:rFonts w:hint="eastAsia"/>
                      <w:color w:val="000000" w:themeColor="text1"/>
                      <w:szCs w:val="21"/>
                    </w:rPr>
                    <w:t>①生产废水：项目生产废水为项目选别系统产生的选别废水，由于本项目选别系统为物理磁选、重选法，不添加任何药剂，因此生产废水拟通过</w:t>
                  </w:r>
                  <w:r>
                    <w:rPr>
                      <w:color w:val="000000" w:themeColor="text1"/>
                      <w:szCs w:val="24"/>
                    </w:rPr>
                    <w:t>废水处理系统</w:t>
                  </w:r>
                  <w:r>
                    <w:rPr>
                      <w:rFonts w:hint="eastAsia"/>
                      <w:color w:val="000000" w:themeColor="text1"/>
                      <w:szCs w:val="24"/>
                    </w:rPr>
                    <w:t>循环沉淀过滤</w:t>
                  </w:r>
                  <w:r>
                    <w:rPr>
                      <w:rFonts w:hint="eastAsia"/>
                      <w:color w:val="000000" w:themeColor="text1"/>
                      <w:szCs w:val="21"/>
                    </w:rPr>
                    <w:t>后，全部回用，不外排。</w:t>
                  </w:r>
                </w:p>
                <w:p>
                  <w:pPr>
                    <w:pStyle w:val="33"/>
                    <w:spacing w:line="360" w:lineRule="exact"/>
                    <w:ind w:firstLine="210" w:firstLineChars="100"/>
                    <w:jc w:val="both"/>
                    <w:rPr>
                      <w:color w:val="000000" w:themeColor="text1"/>
                      <w:szCs w:val="21"/>
                    </w:rPr>
                  </w:pPr>
                  <w:r>
                    <w:rPr>
                      <w:rFonts w:hint="eastAsia"/>
                      <w:color w:val="000000" w:themeColor="text1"/>
                      <w:szCs w:val="21"/>
                    </w:rPr>
                    <w:t>②生活污水：目前项目已设置了</w:t>
                  </w:r>
                  <w:r>
                    <w:rPr>
                      <w:color w:val="000000" w:themeColor="text1"/>
                      <w:szCs w:val="21"/>
                    </w:rPr>
                    <w:t>1个1m³的隔油池、1个有效容积为20m³的化粪池</w:t>
                  </w:r>
                  <w:r>
                    <w:rPr>
                      <w:rFonts w:hint="eastAsia"/>
                      <w:color w:val="000000" w:themeColor="text1"/>
                      <w:szCs w:val="21"/>
                    </w:rPr>
                    <w:t>对生活污水进行处理；</w:t>
                  </w:r>
                  <w:r>
                    <w:rPr>
                      <w:color w:val="000000" w:themeColor="text1"/>
                      <w:szCs w:val="21"/>
                    </w:rPr>
                    <w:t>项目生活污水经隔油池、化粪池处理后可达到《污水排入城镇下水道水质标准》（GB/T</w:t>
                  </w:r>
                  <w:r>
                    <w:rPr>
                      <w:rFonts w:hint="eastAsia"/>
                      <w:color w:val="000000" w:themeColor="text1"/>
                      <w:szCs w:val="21"/>
                      <w:lang w:eastAsia="zh-CN"/>
                    </w:rPr>
                    <w:t>*****</w:t>
                  </w:r>
                  <w:r>
                    <w:rPr>
                      <w:color w:val="000000" w:themeColor="text1"/>
                      <w:szCs w:val="21"/>
                    </w:rPr>
                    <w:t>-2015）B等级标准后，通过园区污水管网进入四方地与碧谷园区污水处理厂处理。</w:t>
                  </w:r>
                </w:p>
                <w:p>
                  <w:pPr>
                    <w:pStyle w:val="33"/>
                    <w:spacing w:line="360" w:lineRule="exact"/>
                    <w:ind w:firstLine="210" w:firstLineChars="100"/>
                    <w:jc w:val="both"/>
                    <w:rPr>
                      <w:color w:val="000000" w:themeColor="text1"/>
                      <w:szCs w:val="21"/>
                    </w:rPr>
                  </w:pPr>
                  <w:r>
                    <w:rPr>
                      <w:rFonts w:hint="eastAsia"/>
                      <w:color w:val="000000" w:themeColor="text1"/>
                      <w:szCs w:val="21"/>
                    </w:rPr>
                    <w:t>③初期雨水：本项目在现有厂区内建设，项目的建设不会改变现有厂区初期雨水的产生量；</w:t>
                  </w:r>
                  <w:r>
                    <w:rPr>
                      <w:color w:val="000000" w:themeColor="text1"/>
                      <w:szCs w:val="21"/>
                    </w:rPr>
                    <w:t>初期雨水</w:t>
                  </w:r>
                  <w:r>
                    <w:rPr>
                      <w:rFonts w:hint="eastAsia"/>
                      <w:color w:val="000000" w:themeColor="text1"/>
                      <w:szCs w:val="21"/>
                    </w:rPr>
                    <w:t>经</w:t>
                  </w:r>
                  <w:r>
                    <w:rPr>
                      <w:color w:val="000000" w:themeColor="text1"/>
                      <w:szCs w:val="21"/>
                    </w:rPr>
                    <w:t>收集池</w:t>
                  </w:r>
                  <w:r>
                    <w:rPr>
                      <w:rFonts w:hint="eastAsia"/>
                      <w:color w:val="000000" w:themeColor="text1"/>
                      <w:szCs w:val="21"/>
                    </w:rPr>
                    <w:t>收集后，用于次氧化锌生产线</w:t>
                  </w:r>
                  <w:r>
                    <w:rPr>
                      <w:color w:val="000000" w:themeColor="text1"/>
                      <w:szCs w:val="21"/>
                    </w:rPr>
                    <w:t>原料堆场</w:t>
                  </w:r>
                  <w:r>
                    <w:rPr>
                      <w:rFonts w:hint="eastAsia"/>
                      <w:color w:val="000000" w:themeColor="text1"/>
                      <w:szCs w:val="21"/>
                    </w:rPr>
                    <w:t>、厂区道路等区域进行洒水抑尘，不外排。</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排水</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pStyle w:val="33"/>
                    <w:spacing w:line="360" w:lineRule="exact"/>
                    <w:rPr>
                      <w:color w:val="000000" w:themeColor="text1"/>
                      <w:szCs w:val="21"/>
                    </w:rPr>
                  </w:pPr>
                  <w:r>
                    <w:rPr>
                      <w:color w:val="000000" w:themeColor="text1"/>
                      <w:szCs w:val="21"/>
                    </w:rPr>
                    <w:t>环保工程</w:t>
                  </w: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废气</w:t>
                  </w:r>
                </w:p>
              </w:tc>
              <w:tc>
                <w:tcPr>
                  <w:tcW w:w="385" w:type="pct"/>
                  <w:vAlign w:val="center"/>
                </w:tcPr>
                <w:p>
                  <w:pPr>
                    <w:pStyle w:val="33"/>
                    <w:spacing w:line="360" w:lineRule="exact"/>
                    <w:rPr>
                      <w:color w:val="000000" w:themeColor="text1"/>
                      <w:szCs w:val="21"/>
                    </w:rPr>
                  </w:pPr>
                  <w:r>
                    <w:rPr>
                      <w:rFonts w:hint="eastAsia"/>
                      <w:color w:val="000000" w:themeColor="text1"/>
                      <w:szCs w:val="21"/>
                    </w:rPr>
                    <w:t>燃烧烟气处理系统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项目原拟配套设置1套天然气燃烧机，未单独设置</w:t>
                  </w:r>
                  <w:r>
                    <w:rPr>
                      <w:rFonts w:hint="eastAsia"/>
                      <w:color w:val="000000" w:themeColor="text1"/>
                      <w:szCs w:val="21"/>
                    </w:rPr>
                    <w:t>燃烧烟气处理系统。</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4"/>
                    </w:rPr>
                    <w:t>根据调查，变更后</w:t>
                  </w:r>
                  <w:r>
                    <w:rPr>
                      <w:color w:val="000000" w:themeColor="text1"/>
                      <w:szCs w:val="24"/>
                    </w:rPr>
                    <w:t>本项目</w:t>
                  </w:r>
                  <w:r>
                    <w:rPr>
                      <w:rFonts w:hint="eastAsia"/>
                      <w:color w:val="000000" w:themeColor="text1"/>
                      <w:szCs w:val="21"/>
                    </w:rPr>
                    <w:t>针对项目热风炉产生的燃烧烟气，项目拟设置1套燃烧烟气处理系统对其进行处理，该系统由低氮燃烧+非催化还原（SNCR）脱硝技术+袋式除尘器组成，其中低氮燃烧+非催化还原（SNCR）脱硝的NOx去除效率为45.4%，1#布袋除尘除尘效率为99.7%，燃烧烟气经处理后通过</w:t>
                  </w:r>
                  <w:r>
                    <w:rPr>
                      <w:color w:val="000000" w:themeColor="text1"/>
                      <w:szCs w:val="21"/>
                    </w:rPr>
                    <w:t>1根Φ</w:t>
                  </w:r>
                  <w:r>
                    <w:rPr>
                      <w:rFonts w:hint="eastAsia"/>
                      <w:color w:val="000000" w:themeColor="text1"/>
                      <w:szCs w:val="21"/>
                    </w:rPr>
                    <w:t>0.4</w:t>
                  </w:r>
                  <w:r>
                    <w:rPr>
                      <w:color w:val="000000" w:themeColor="text1"/>
                      <w:szCs w:val="21"/>
                    </w:rPr>
                    <w:t>m、高</w:t>
                  </w:r>
                  <w:r>
                    <w:rPr>
                      <w:rFonts w:hint="eastAsia"/>
                      <w:color w:val="000000" w:themeColor="text1"/>
                      <w:szCs w:val="21"/>
                    </w:rPr>
                    <w:t>20</w:t>
                  </w:r>
                  <w:r>
                    <w:rPr>
                      <w:color w:val="000000" w:themeColor="text1"/>
                      <w:szCs w:val="21"/>
                    </w:rPr>
                    <w:t>m</w:t>
                  </w:r>
                  <w:r>
                    <w:rPr>
                      <w:rFonts w:hint="eastAsia"/>
                      <w:color w:val="000000" w:themeColor="text1"/>
                      <w:szCs w:val="21"/>
                    </w:rPr>
                    <w:t>的</w:t>
                  </w:r>
                  <w:r>
                    <w:rPr>
                      <w:color w:val="000000" w:themeColor="text1"/>
                      <w:szCs w:val="21"/>
                    </w:rPr>
                    <w:t>排气筒（DA003）</w:t>
                  </w:r>
                  <w:r>
                    <w:rPr>
                      <w:rFonts w:hint="eastAsia"/>
                      <w:color w:val="000000" w:themeColor="text1"/>
                      <w:szCs w:val="21"/>
                    </w:rPr>
                    <w:t>外排。</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设计提出（在</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烘干粉尘处理系统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1"/>
                    </w:rPr>
                    <w:t>针对项目烘干粉尘（颗粒物），项目拟设置1套烘干粉尘处理系统对其进行处理，该系统由旋风除尘+袋式除尘器组成，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4"/>
                    </w:rPr>
                    <w:t>根据调查，变更后</w:t>
                  </w:r>
                  <w:r>
                    <w:rPr>
                      <w:color w:val="000000" w:themeColor="text1"/>
                      <w:szCs w:val="24"/>
                    </w:rPr>
                    <w:t>本项目</w:t>
                  </w:r>
                  <w:r>
                    <w:rPr>
                      <w:rFonts w:hint="eastAsia"/>
                      <w:color w:val="000000" w:themeColor="text1"/>
                      <w:szCs w:val="21"/>
                    </w:rPr>
                    <w:t>烘干粉尘处理系统未发生变化；满足环保要求。</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围挡及顶棚</w:t>
                  </w:r>
                </w:p>
              </w:tc>
              <w:tc>
                <w:tcPr>
                  <w:tcW w:w="1829" w:type="pct"/>
                  <w:vAlign w:val="center"/>
                </w:tcPr>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项目已设置1个建筑面积约为315m²的水淬渣暂存库对拟综合利用的氧化锌尾渣（水淬渣）进行暂存，根据调查，该水淬渣暂存库设有顶棚和三面围挡设施。</w:t>
                  </w:r>
                </w:p>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项目已设置1个建筑面积约为600m²的废渣暂存库对综合利用后的废渣进行处置，该渣库设有顶棚和三面围挡，但存在围挡破损情况，应对其进行修善。</w:t>
                  </w:r>
                </w:p>
                <w:p>
                  <w:pPr>
                    <w:pStyle w:val="33"/>
                    <w:spacing w:line="360" w:lineRule="exact"/>
                    <w:ind w:firstLine="210" w:firstLineChars="100"/>
                    <w:jc w:val="both"/>
                    <w:rPr>
                      <w:color w:val="000000" w:themeColor="text1"/>
                      <w:szCs w:val="21"/>
                    </w:rPr>
                  </w:pPr>
                  <w:r>
                    <w:rPr>
                      <w:color w:val="000000" w:themeColor="text1"/>
                      <w:szCs w:val="21"/>
                    </w:rPr>
                    <w:t>围挡及顶棚扬尘抑制率约为60%。</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根据调查，变更后</w:t>
                  </w:r>
                  <w:r>
                    <w:rPr>
                      <w:color w:val="000000" w:themeColor="text1"/>
                      <w:szCs w:val="24"/>
                    </w:rPr>
                    <w:t>本项目</w:t>
                  </w:r>
                  <w:r>
                    <w:rPr>
                      <w:color w:val="000000" w:themeColor="text1"/>
                      <w:szCs w:val="21"/>
                    </w:rPr>
                    <w:t>水淬渣暂存库</w:t>
                  </w:r>
                  <w:r>
                    <w:rPr>
                      <w:rFonts w:hint="eastAsia"/>
                      <w:color w:val="000000" w:themeColor="text1"/>
                      <w:szCs w:val="21"/>
                    </w:rPr>
                    <w:t>和</w:t>
                  </w:r>
                  <w:r>
                    <w:rPr>
                      <w:color w:val="000000" w:themeColor="text1"/>
                      <w:szCs w:val="21"/>
                    </w:rPr>
                    <w:t>废渣暂存库</w:t>
                  </w:r>
                  <w:r>
                    <w:rPr>
                      <w:rFonts w:hint="eastAsia"/>
                      <w:color w:val="000000" w:themeColor="text1"/>
                      <w:szCs w:val="21"/>
                    </w:rPr>
                    <w:t>围挡及顶棚未发生变化，整改后可满足环保要求。</w:t>
                  </w:r>
                </w:p>
              </w:tc>
              <w:tc>
                <w:tcPr>
                  <w:tcW w:w="445" w:type="pct"/>
                  <w:vAlign w:val="center"/>
                </w:tcPr>
                <w:p>
                  <w:pPr>
                    <w:pStyle w:val="33"/>
                    <w:spacing w:line="360" w:lineRule="exact"/>
                    <w:rPr>
                      <w:color w:val="000000" w:themeColor="text1"/>
                      <w:szCs w:val="21"/>
                    </w:rPr>
                  </w:pPr>
                  <w:r>
                    <w:rPr>
                      <w:rFonts w:hint="eastAsia"/>
                      <w:color w:val="000000" w:themeColor="text1"/>
                      <w:szCs w:val="21"/>
                    </w:rPr>
                    <w:t>已建，环评提出需整改修善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szCs w:val="21"/>
                    </w:rPr>
                  </w:pPr>
                  <w:r>
                    <w:rPr>
                      <w:color w:val="000000" w:themeColor="text1"/>
                      <w:szCs w:val="21"/>
                    </w:rPr>
                    <w:t>雨污分流</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项目区已设置了雨污分流设施。</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445" w:type="pct"/>
                  <w:vAlign w:val="center"/>
                </w:tcPr>
                <w:p>
                  <w:pPr>
                    <w:pStyle w:val="33"/>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废水</w:t>
                  </w:r>
                </w:p>
              </w:tc>
              <w:tc>
                <w:tcPr>
                  <w:tcW w:w="385" w:type="pct"/>
                  <w:vAlign w:val="center"/>
                </w:tcPr>
                <w:p>
                  <w:pPr>
                    <w:pStyle w:val="33"/>
                    <w:spacing w:line="360" w:lineRule="exact"/>
                    <w:rPr>
                      <w:color w:val="000000" w:themeColor="text1"/>
                      <w:szCs w:val="21"/>
                    </w:rPr>
                  </w:pPr>
                  <w:r>
                    <w:rPr>
                      <w:rFonts w:hint="eastAsia"/>
                      <w:color w:val="000000" w:themeColor="text1"/>
                      <w:szCs w:val="21"/>
                    </w:rPr>
                    <w:t>废水处理系统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，废水处理系统由11个总容积为858m³循环水池组成。</w:t>
                  </w:r>
                  <w:r>
                    <w:rPr>
                      <w:color w:val="000000" w:themeColor="text1"/>
                      <w:szCs w:val="21"/>
                    </w:rPr>
                    <w:t>具体如下：</w:t>
                  </w:r>
                </w:p>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1#</w:t>
                  </w:r>
                  <w:r>
                    <w:rPr>
                      <w:rFonts w:hint="eastAsia"/>
                      <w:color w:val="000000" w:themeColor="text1"/>
                      <w:szCs w:val="24"/>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根据设计，为了使项目废水能稳定进入</w:t>
                  </w:r>
                  <w:r>
                    <w:rPr>
                      <w:color w:val="000000" w:themeColor="text1"/>
                      <w:szCs w:val="24"/>
                    </w:rPr>
                    <w:t>废水处理系统</w:t>
                  </w:r>
                  <w:r>
                    <w:rPr>
                      <w:rFonts w:hint="eastAsia"/>
                      <w:color w:val="000000" w:themeColor="text1"/>
                      <w:szCs w:val="24"/>
                    </w:rPr>
                    <w:t>循环沉淀过滤</w:t>
                  </w:r>
                  <w:r>
                    <w:rPr>
                      <w:color w:val="000000" w:themeColor="text1"/>
                      <w:szCs w:val="21"/>
                    </w:rPr>
                    <w:t>处理，项目拟在生产车间旁配套设置1个有效容积约为18m³的</w:t>
                  </w:r>
                  <w:r>
                    <w:rPr>
                      <w:rFonts w:hint="eastAsia"/>
                      <w:color w:val="000000" w:themeColor="text1"/>
                      <w:szCs w:val="24"/>
                    </w:rPr>
                    <w:t>废水收集循环池</w:t>
                  </w:r>
                  <w:r>
                    <w:rPr>
                      <w:color w:val="000000" w:themeColor="text1"/>
                      <w:szCs w:val="21"/>
                    </w:rPr>
                    <w:t>，对各工序产生的废水进行收集、调节，使其流量稳定在</w:t>
                  </w:r>
                  <w:r>
                    <w:rPr>
                      <w:color w:val="000000" w:themeColor="text1"/>
                      <w:szCs w:val="24"/>
                    </w:rPr>
                    <w:t>废水处理系统</w:t>
                  </w:r>
                  <w:r>
                    <w:rPr>
                      <w:rFonts w:hint="eastAsia"/>
                      <w:color w:val="000000" w:themeColor="text1"/>
                      <w:szCs w:val="24"/>
                    </w:rPr>
                    <w:t>循环沉淀过滤</w:t>
                  </w:r>
                  <w:r>
                    <w:rPr>
                      <w:color w:val="000000" w:themeColor="text1"/>
                      <w:szCs w:val="21"/>
                    </w:rPr>
                    <w:t>处理。1#</w:t>
                  </w:r>
                  <w:r>
                    <w:rPr>
                      <w:rFonts w:hint="eastAsia"/>
                      <w:color w:val="000000" w:themeColor="text1"/>
                      <w:szCs w:val="24"/>
                    </w:rPr>
                    <w:t>废水收集循环池</w:t>
                  </w:r>
                  <w:r>
                    <w:rPr>
                      <w:color w:val="000000" w:themeColor="text1"/>
                      <w:szCs w:val="21"/>
                    </w:rPr>
                    <w:t>为新建。</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2-3#</w:t>
                  </w:r>
                  <w:r>
                    <w:rPr>
                      <w:rFonts w:hint="eastAsia"/>
                      <w:color w:val="000000" w:themeColor="text1"/>
                      <w:szCs w:val="21"/>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根据设计，项目为满足</w:t>
                  </w:r>
                  <w:r>
                    <w:rPr>
                      <w:rFonts w:hint="eastAsia"/>
                      <w:color w:val="000000" w:themeColor="text1"/>
                      <w:szCs w:val="21"/>
                    </w:rPr>
                    <w:t>废水收集循环</w:t>
                  </w:r>
                  <w:r>
                    <w:rPr>
                      <w:color w:val="000000" w:themeColor="text1"/>
                      <w:szCs w:val="21"/>
                    </w:rPr>
                    <w:t>的需要，在现有循环水池的基础上再建设两个有效容积均为100m³的循环水池，编号为2#、3#废水收集循环池。</w:t>
                  </w:r>
                </w:p>
                <w:p>
                  <w:pPr>
                    <w:pStyle w:val="33"/>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4-11#</w:t>
                  </w:r>
                  <w:r>
                    <w:rPr>
                      <w:rFonts w:hint="eastAsia"/>
                      <w:color w:val="000000" w:themeColor="text1"/>
                      <w:szCs w:val="21"/>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由于厂区内已建设有9个圆柱形循环水池，该循环水池为原建设单位建设拟作为次氧化锌生产线磁选工序配套的废水处理设施，但由于次氧化锌生产线磁选工序未建设，因此上述循环水池一直闲置未利用。因此本次项目建设拟利用其中的8个改造后作为废水处理系统使用。根据调查，各循环水池的尺寸均为Φ4.6m、深4.5m的圆柱体，其有效容积为80m³/个，合计为640m³，编号为4-11#循环水池。</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根据调查，废水处理系统</w:t>
                  </w:r>
                  <w:r>
                    <w:rPr>
                      <w:rFonts w:hint="eastAsia"/>
                      <w:color w:val="000000" w:themeColor="text1"/>
                      <w:szCs w:val="21"/>
                    </w:rPr>
                    <w:t>未发生变化，满足环保要求。</w:t>
                  </w:r>
                </w:p>
              </w:tc>
              <w:tc>
                <w:tcPr>
                  <w:tcW w:w="445" w:type="pct"/>
                  <w:vAlign w:val="center"/>
                </w:tcPr>
                <w:p>
                  <w:pPr>
                    <w:pStyle w:val="33"/>
                    <w:spacing w:line="360" w:lineRule="exact"/>
                    <w:rPr>
                      <w:color w:val="000000" w:themeColor="text1"/>
                      <w:szCs w:val="21"/>
                    </w:rPr>
                  </w:pPr>
                  <w:r>
                    <w:rPr>
                      <w:color w:val="000000" w:themeColor="text1"/>
                      <w:szCs w:val="21"/>
                    </w:rPr>
                    <w:t>1#-3#</w:t>
                  </w:r>
                  <w:r>
                    <w:rPr>
                      <w:rFonts w:hint="eastAsia"/>
                      <w:color w:val="000000" w:themeColor="text1"/>
                      <w:szCs w:val="24"/>
                    </w:rPr>
                    <w:t>废水收集循环池</w:t>
                  </w:r>
                  <w:r>
                    <w:rPr>
                      <w:color w:val="000000" w:themeColor="text1"/>
                      <w:szCs w:val="21"/>
                    </w:rPr>
                    <w:t>为新建，4#-11#</w:t>
                  </w:r>
                  <w:r>
                    <w:rPr>
                      <w:rFonts w:hint="eastAsia"/>
                      <w:color w:val="000000" w:themeColor="text1"/>
                      <w:szCs w:val="24"/>
                    </w:rPr>
                    <w:t>废水收集循环池</w:t>
                  </w:r>
                  <w:r>
                    <w:rPr>
                      <w:color w:val="000000" w:themeColor="text1"/>
                      <w:szCs w:val="21"/>
                    </w:rPr>
                    <w:t>为依托对现有设施进行功能置换。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rFonts w:eastAsiaTheme="minorEastAsia"/>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初期雨水收集池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本项目现有厂区内已设置了1个有效容积为150m³的1#初期雨水收集池和1个50.8m³的2#初期雨水收集池</w:t>
                  </w:r>
                  <w:r>
                    <w:rPr>
                      <w:rFonts w:hint="eastAsia"/>
                      <w:color w:val="000000" w:themeColor="text1"/>
                      <w:szCs w:val="21"/>
                    </w:rPr>
                    <w:t>将初期雨水</w:t>
                  </w:r>
                  <w:r>
                    <w:rPr>
                      <w:color w:val="000000" w:themeColor="text1"/>
                      <w:szCs w:val="21"/>
                    </w:rPr>
                    <w:t>收集后，</w:t>
                  </w:r>
                  <w:r>
                    <w:rPr>
                      <w:rFonts w:hint="eastAsia"/>
                      <w:color w:val="000000" w:themeColor="text1"/>
                      <w:szCs w:val="21"/>
                    </w:rPr>
                    <w:t>用于次氧化锌生产线</w:t>
                  </w:r>
                  <w:r>
                    <w:rPr>
                      <w:color w:val="000000" w:themeColor="text1"/>
                      <w:szCs w:val="21"/>
                    </w:rPr>
                    <w:t>原料堆场</w:t>
                  </w:r>
                  <w:r>
                    <w:rPr>
                      <w:rFonts w:hint="eastAsia"/>
                      <w:color w:val="000000" w:themeColor="text1"/>
                      <w:szCs w:val="21"/>
                    </w:rPr>
                    <w:t>、厂区道路等区域进行洒水抑尘，不外排。</w:t>
                  </w:r>
                </w:p>
              </w:tc>
              <w:tc>
                <w:tcPr>
                  <w:tcW w:w="1498" w:type="pct"/>
                  <w:vAlign w:val="center"/>
                </w:tcPr>
                <w:p>
                  <w:pPr>
                    <w:pStyle w:val="33"/>
                    <w:spacing w:line="360" w:lineRule="exact"/>
                    <w:ind w:firstLine="210" w:firstLineChars="100"/>
                    <w:jc w:val="both"/>
                    <w:rPr>
                      <w:color w:val="000000" w:themeColor="text1"/>
                      <w:szCs w:val="24"/>
                    </w:rPr>
                  </w:pPr>
                  <w:r>
                    <w:rPr>
                      <w:color w:val="000000" w:themeColor="text1"/>
                      <w:szCs w:val="24"/>
                    </w:rPr>
                    <w:t>根据调查，厂区已设置的两个初期雨水收集池容积可满足收集区域，但其设置位置无法将厂区</w:t>
                  </w:r>
                  <w:r>
                    <w:rPr>
                      <w:rFonts w:hint="eastAsia"/>
                      <w:color w:val="000000" w:themeColor="text1"/>
                      <w:szCs w:val="24"/>
                    </w:rPr>
                    <w:t>下游部分道路区</w:t>
                  </w:r>
                  <w:r>
                    <w:rPr>
                      <w:color w:val="000000" w:themeColor="text1"/>
                      <w:szCs w:val="24"/>
                    </w:rPr>
                    <w:t>的初期雨水进行收集，因此环评提出拟在厂区</w:t>
                  </w:r>
                  <w:r>
                    <w:rPr>
                      <w:rFonts w:hint="eastAsia"/>
                      <w:color w:val="000000" w:themeColor="text1"/>
                      <w:szCs w:val="24"/>
                    </w:rPr>
                    <w:t>低</w:t>
                  </w:r>
                  <w:r>
                    <w:rPr>
                      <w:color w:val="000000" w:themeColor="text1"/>
                      <w:szCs w:val="24"/>
                    </w:rPr>
                    <w:t>处再建设一个有效容积为5m³的初期雨水收集池</w:t>
                  </w:r>
                  <w:r>
                    <w:rPr>
                      <w:rFonts w:hint="eastAsia"/>
                      <w:color w:val="000000" w:themeColor="text1"/>
                      <w:szCs w:val="24"/>
                    </w:rPr>
                    <w:t>（编号为3#）将</w:t>
                  </w:r>
                  <w:r>
                    <w:rPr>
                      <w:color w:val="000000" w:themeColor="text1"/>
                      <w:szCs w:val="24"/>
                    </w:rPr>
                    <w:t>厂区</w:t>
                  </w:r>
                  <w:r>
                    <w:rPr>
                      <w:rFonts w:hint="eastAsia"/>
                      <w:color w:val="000000" w:themeColor="text1"/>
                      <w:szCs w:val="24"/>
                    </w:rPr>
                    <w:t>下游部分道路区的初期雨水进行收集。</w:t>
                  </w:r>
                </w:p>
                <w:p>
                  <w:pPr>
                    <w:pStyle w:val="33"/>
                    <w:spacing w:line="360" w:lineRule="exact"/>
                    <w:ind w:firstLine="210" w:firstLineChars="100"/>
                    <w:jc w:val="both"/>
                    <w:rPr>
                      <w:color w:val="000000" w:themeColor="text1"/>
                      <w:szCs w:val="24"/>
                    </w:rPr>
                  </w:pPr>
                  <w:r>
                    <w:rPr>
                      <w:rFonts w:hint="eastAsia"/>
                      <w:color w:val="000000" w:themeColor="text1"/>
                      <w:szCs w:val="24"/>
                    </w:rPr>
                    <w:t>整改后，厂区初期雨水收集池包括</w:t>
                  </w:r>
                  <w:r>
                    <w:rPr>
                      <w:color w:val="000000" w:themeColor="text1"/>
                      <w:szCs w:val="24"/>
                    </w:rPr>
                    <w:t>1#初期雨水收集池</w:t>
                  </w:r>
                  <w:r>
                    <w:rPr>
                      <w:rFonts w:hint="eastAsia"/>
                      <w:color w:val="000000" w:themeColor="text1"/>
                      <w:szCs w:val="24"/>
                    </w:rPr>
                    <w:t>（</w:t>
                  </w:r>
                  <w:r>
                    <w:rPr>
                      <w:color w:val="000000" w:themeColor="text1"/>
                      <w:szCs w:val="24"/>
                    </w:rPr>
                    <w:t>150m³</w:t>
                  </w:r>
                  <w:r>
                    <w:rPr>
                      <w:rFonts w:hint="eastAsia"/>
                      <w:color w:val="000000" w:themeColor="text1"/>
                      <w:szCs w:val="24"/>
                    </w:rPr>
                    <w:t>）、</w:t>
                  </w:r>
                  <w:r>
                    <w:rPr>
                      <w:color w:val="000000" w:themeColor="text1"/>
                      <w:szCs w:val="24"/>
                    </w:rPr>
                    <w:t>2#初期雨水收集池</w:t>
                  </w:r>
                  <w:r>
                    <w:rPr>
                      <w:rFonts w:hint="eastAsia"/>
                      <w:color w:val="000000" w:themeColor="text1"/>
                      <w:szCs w:val="24"/>
                    </w:rPr>
                    <w:t>（</w:t>
                  </w:r>
                  <w:r>
                    <w:rPr>
                      <w:color w:val="000000" w:themeColor="text1"/>
                      <w:szCs w:val="24"/>
                    </w:rPr>
                    <w:t>50.8m³</w:t>
                  </w:r>
                  <w:r>
                    <w:rPr>
                      <w:rFonts w:hint="eastAsia"/>
                      <w:color w:val="000000" w:themeColor="text1"/>
                      <w:szCs w:val="24"/>
                    </w:rPr>
                    <w:t>）、3</w:t>
                  </w:r>
                  <w:r>
                    <w:rPr>
                      <w:color w:val="000000" w:themeColor="text1"/>
                      <w:szCs w:val="24"/>
                    </w:rPr>
                    <w:t>#初期雨水收集池</w:t>
                  </w:r>
                  <w:r>
                    <w:rPr>
                      <w:rFonts w:hint="eastAsia"/>
                      <w:color w:val="000000" w:themeColor="text1"/>
                      <w:szCs w:val="24"/>
                    </w:rPr>
                    <w:t>（</w:t>
                  </w:r>
                  <w:r>
                    <w:rPr>
                      <w:color w:val="000000" w:themeColor="text1"/>
                      <w:szCs w:val="24"/>
                    </w:rPr>
                    <w:t>5m³</w:t>
                  </w:r>
                  <w:r>
                    <w:rPr>
                      <w:rFonts w:hint="eastAsia"/>
                      <w:color w:val="000000" w:themeColor="text1"/>
                      <w:szCs w:val="24"/>
                    </w:rPr>
                    <w:t>），初期雨水经</w:t>
                  </w:r>
                  <w:r>
                    <w:rPr>
                      <w:color w:val="000000" w:themeColor="text1"/>
                      <w:szCs w:val="24"/>
                    </w:rPr>
                    <w:t>收集后，</w:t>
                  </w:r>
                  <w:r>
                    <w:rPr>
                      <w:rFonts w:hint="eastAsia"/>
                      <w:color w:val="000000" w:themeColor="text1"/>
                      <w:szCs w:val="24"/>
                    </w:rPr>
                    <w:t>用于次氧化锌生产线</w:t>
                  </w:r>
                  <w:r>
                    <w:rPr>
                      <w:color w:val="000000" w:themeColor="text1"/>
                      <w:szCs w:val="24"/>
                    </w:rPr>
                    <w:t>原料堆场</w:t>
                  </w:r>
                  <w:r>
                    <w:rPr>
                      <w:rFonts w:hint="eastAsia"/>
                      <w:color w:val="000000" w:themeColor="text1"/>
                      <w:szCs w:val="24"/>
                    </w:rPr>
                    <w:t>、厂区道路等区域进行洒水抑尘，不外排。</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已建，环评要求整改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隔油池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项目区厨房</w:t>
                  </w:r>
                  <w:r>
                    <w:rPr>
                      <w:rFonts w:hint="eastAsia"/>
                      <w:color w:val="000000" w:themeColor="text1"/>
                      <w:szCs w:val="21"/>
                    </w:rPr>
                    <w:t>已</w:t>
                  </w:r>
                  <w:r>
                    <w:rPr>
                      <w:color w:val="000000" w:themeColor="text1"/>
                      <w:szCs w:val="21"/>
                    </w:rPr>
                    <w:t>配套设置1个1m³的隔油池对厨房废水进行预处理。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eastAsiaTheme="minorEastAsia"/>
                      <w:color w:val="000000" w:themeColor="text1"/>
                      <w:szCs w:val="21"/>
                    </w:rPr>
                    <w:t>隔油池未发生变化；满足环保要求。</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化粪池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项目生活区旁已设置了1个有效容积为20m³的化粪池对项目区生活污水进行处理。项目区生活污水经隔油池、化粪池处理后，通过园区污水管网进入四方地与碧谷园区污水处理厂处理。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eastAsiaTheme="minorEastAsia"/>
                      <w:color w:val="000000" w:themeColor="text1"/>
                      <w:szCs w:val="21"/>
                    </w:rPr>
                    <w:t>化粪池未发生变化；满足环保要求。</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地下水防渗</w:t>
                  </w:r>
                </w:p>
              </w:tc>
              <w:tc>
                <w:tcPr>
                  <w:tcW w:w="385"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重点防渗区</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rPr>
                    <w:t>项目重点防渗区为危险废物贮存间</w:t>
                  </w:r>
                  <w:r>
                    <w:rPr>
                      <w:rFonts w:hint="eastAsia"/>
                      <w:color w:val="000000" w:themeColor="text1"/>
                    </w:rPr>
                    <w:t>：</w:t>
                  </w:r>
                  <w:r>
                    <w:rPr>
                      <w:color w:val="000000" w:themeColor="text1"/>
                    </w:rPr>
                    <w:t>危险废物贮存间</w:t>
                  </w:r>
                  <w:r>
                    <w:rPr>
                      <w:rFonts w:hint="eastAsia"/>
                      <w:color w:val="000000" w:themeColor="text1"/>
                    </w:rPr>
                    <w:t>地面及裙墙已采用了</w:t>
                  </w:r>
                  <w:r>
                    <w:rPr>
                      <w:color w:val="000000" w:themeColor="text1"/>
                    </w:rPr>
                    <w:t>2mm后的HDPE膜进行防渗，使其渗透系数≤10</w:t>
                  </w:r>
                  <w:r>
                    <w:rPr>
                      <w:color w:val="000000" w:themeColor="text1"/>
                      <w:vertAlign w:val="superscript"/>
                    </w:rPr>
                    <w:t>-10</w:t>
                  </w:r>
                  <w:r>
                    <w:rPr>
                      <w:color w:val="000000" w:themeColor="text1"/>
                    </w:rPr>
                    <w:t>cm/s；</w:t>
                  </w:r>
                </w:p>
              </w:tc>
              <w:tc>
                <w:tcPr>
                  <w:tcW w:w="1498" w:type="pct"/>
                  <w:vAlign w:val="center"/>
                </w:tcPr>
                <w:p>
                  <w:pPr>
                    <w:pStyle w:val="33"/>
                    <w:spacing w:line="360" w:lineRule="exact"/>
                    <w:ind w:firstLine="210" w:firstLineChars="100"/>
                    <w:jc w:val="both"/>
                    <w:rPr>
                      <w:color w:val="000000" w:themeColor="text1"/>
                    </w:rPr>
                  </w:pPr>
                  <w:r>
                    <w:rPr>
                      <w:color w:val="000000" w:themeColor="text1"/>
                      <w:szCs w:val="21"/>
                    </w:rPr>
                    <w:t>根据调查，</w:t>
                  </w:r>
                  <w:r>
                    <w:rPr>
                      <w:rFonts w:eastAsiaTheme="minorEastAsia"/>
                      <w:color w:val="000000" w:themeColor="text1"/>
                      <w:szCs w:val="21"/>
                    </w:rPr>
                    <w:t>重点防渗区</w:t>
                  </w:r>
                  <w:r>
                    <w:rPr>
                      <w:rFonts w:hint="eastAsia" w:eastAsiaTheme="minorEastAsia"/>
                      <w:color w:val="000000" w:themeColor="text1"/>
                      <w:szCs w:val="21"/>
                    </w:rPr>
                    <w:t>未发生变化。</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rFonts w:eastAsiaTheme="minorEastAsia"/>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一般防渗区</w:t>
                  </w:r>
                </w:p>
              </w:tc>
              <w:tc>
                <w:tcPr>
                  <w:tcW w:w="1829" w:type="pct"/>
                  <w:vAlign w:val="center"/>
                </w:tcPr>
                <w:p>
                  <w:pPr>
                    <w:pStyle w:val="33"/>
                    <w:spacing w:line="360" w:lineRule="exact"/>
                    <w:ind w:firstLine="210" w:firstLineChars="100"/>
                    <w:jc w:val="both"/>
                    <w:rPr>
                      <w:color w:val="000000" w:themeColor="text1"/>
                      <w:szCs w:val="21"/>
                    </w:rPr>
                  </w:pPr>
                  <w:r>
                    <w:rPr>
                      <w:rFonts w:hint="eastAsia"/>
                      <w:color w:val="000000" w:themeColor="text1"/>
                    </w:rPr>
                    <w:t>根据分区防渗规范要求，项目生产车间、废水处理系统、水淬渣暂存库、废渣暂存库区域均划定为一般防渗区</w:t>
                  </w:r>
                  <w:r>
                    <w:rPr>
                      <w:color w:val="000000" w:themeColor="text1"/>
                    </w:rPr>
                    <w:t>，</w:t>
                  </w:r>
                  <w:r>
                    <w:rPr>
                      <w:rFonts w:hint="eastAsia"/>
                      <w:color w:val="000000" w:themeColor="text1"/>
                    </w:rPr>
                    <w:t>根据业主介绍，废水处理系统已采取了防腐防渗措施，其</w:t>
                  </w:r>
                  <w:r>
                    <w:rPr>
                      <w:color w:val="000000" w:themeColor="text1"/>
                    </w:rPr>
                    <w:t>渗透系数≤1.0×10</w:t>
                  </w:r>
                  <w:r>
                    <w:rPr>
                      <w:color w:val="000000" w:themeColor="text1"/>
                      <w:vertAlign w:val="superscript"/>
                    </w:rPr>
                    <w:t>-</w:t>
                  </w:r>
                  <w:r>
                    <w:rPr>
                      <w:rFonts w:hint="eastAsia"/>
                      <w:color w:val="000000" w:themeColor="text1"/>
                      <w:vertAlign w:val="superscript"/>
                    </w:rPr>
                    <w:t>10</w:t>
                  </w:r>
                  <w:r>
                    <w:rPr>
                      <w:color w:val="000000" w:themeColor="text1"/>
                    </w:rPr>
                    <w:t>cm/s</w:t>
                  </w:r>
                  <w:r>
                    <w:rPr>
                      <w:rFonts w:hint="eastAsia"/>
                      <w:color w:val="000000" w:themeColor="text1"/>
                    </w:rPr>
                    <w:t>；而水淬渣暂存库和废渣暂存库均已进行了防渗施工，其</w:t>
                  </w:r>
                  <w:r>
                    <w:rPr>
                      <w:color w:val="000000" w:themeColor="text1"/>
                    </w:rPr>
                    <w:t>渗透系数≤1.0×10</w:t>
                  </w:r>
                  <w:r>
                    <w:rPr>
                      <w:color w:val="000000" w:themeColor="text1"/>
                      <w:vertAlign w:val="superscript"/>
                    </w:rPr>
                    <w:t>-</w:t>
                  </w:r>
                  <w:r>
                    <w:rPr>
                      <w:rFonts w:hint="eastAsia"/>
                      <w:color w:val="000000" w:themeColor="text1"/>
                      <w:vertAlign w:val="superscript"/>
                    </w:rPr>
                    <w:t>7</w:t>
                  </w:r>
                  <w:r>
                    <w:rPr>
                      <w:color w:val="000000" w:themeColor="text1"/>
                    </w:rPr>
                    <w:t>cm/s</w:t>
                  </w:r>
                  <w:r>
                    <w:rPr>
                      <w:rFonts w:hint="eastAsia"/>
                      <w:color w:val="000000" w:themeColor="text1"/>
                    </w:rPr>
                    <w:t>；生产车间各区域已采用粘土铺底</w:t>
                  </w:r>
                  <w:r>
                    <w:rPr>
                      <w:color w:val="000000" w:themeColor="text1"/>
                    </w:rPr>
                    <w:t>，并在上层铺30cm的混凝土进行硬化。确保防渗性能，使其渗透系数≤1.0×10</w:t>
                  </w:r>
                  <w:r>
                    <w:rPr>
                      <w:color w:val="000000" w:themeColor="text1"/>
                      <w:vertAlign w:val="superscript"/>
                    </w:rPr>
                    <w:t>-7</w:t>
                  </w:r>
                  <w:r>
                    <w:rPr>
                      <w:color w:val="000000" w:themeColor="text1"/>
                    </w:rPr>
                    <w:t>cm/s。</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根据调查，一般防渗区</w:t>
                  </w:r>
                  <w:r>
                    <w:rPr>
                      <w:rFonts w:hint="eastAsia"/>
                      <w:color w:val="000000" w:themeColor="text1"/>
                      <w:szCs w:val="21"/>
                    </w:rPr>
                    <w:t>未发生变化。</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color w:val="000000" w:themeColor="text1"/>
                      <w:szCs w:val="21"/>
                    </w:rPr>
                    <w:t>噪声</w:t>
                  </w:r>
                </w:p>
              </w:tc>
              <w:tc>
                <w:tcPr>
                  <w:tcW w:w="385" w:type="pct"/>
                  <w:vAlign w:val="center"/>
                </w:tcPr>
                <w:p>
                  <w:pPr>
                    <w:pStyle w:val="33"/>
                    <w:spacing w:line="360" w:lineRule="exact"/>
                    <w:rPr>
                      <w:color w:val="000000" w:themeColor="text1"/>
                      <w:szCs w:val="21"/>
                    </w:rPr>
                  </w:pPr>
                  <w:r>
                    <w:rPr>
                      <w:color w:val="000000" w:themeColor="text1"/>
                      <w:szCs w:val="21"/>
                    </w:rPr>
                    <w:t>设备噪声</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设备基础加装减震垫、消声器等。</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噪声防治工程未发生变化；满足环保要求。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固废</w:t>
                  </w:r>
                </w:p>
              </w:tc>
              <w:tc>
                <w:tcPr>
                  <w:tcW w:w="385" w:type="pct"/>
                  <w:vAlign w:val="center"/>
                </w:tcPr>
                <w:p>
                  <w:pPr>
                    <w:pStyle w:val="33"/>
                    <w:spacing w:line="360" w:lineRule="exact"/>
                    <w:rPr>
                      <w:color w:val="000000" w:themeColor="text1"/>
                      <w:szCs w:val="21"/>
                    </w:rPr>
                  </w:pPr>
                  <w:r>
                    <w:rPr>
                      <w:rFonts w:hint="eastAsia"/>
                      <w:color w:val="000000" w:themeColor="text1"/>
                      <w:szCs w:val="21"/>
                    </w:rPr>
                    <w:t>尾渣处理系统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1"/>
                    </w:rPr>
                    <w:t>项目拟设置尾渣处理系统对其进行处理，尾渣处理系统包括浓密+真空过滤工艺，具体如下：</w:t>
                  </w:r>
                </w:p>
                <w:p>
                  <w:pPr>
                    <w:pStyle w:val="33"/>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1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⑴</w:t>
                  </w:r>
                  <w:r>
                    <w:rPr>
                      <w:color w:val="000000" w:themeColor="text1"/>
                      <w:szCs w:val="21"/>
                    </w:rPr>
                    <w:fldChar w:fldCharType="end"/>
                  </w:r>
                  <w:r>
                    <w:rPr>
                      <w:rFonts w:hint="eastAsia"/>
                      <w:color w:val="000000" w:themeColor="text1"/>
                      <w:szCs w:val="21"/>
                    </w:rPr>
                    <w:t>浓密</w:t>
                  </w:r>
                </w:p>
                <w:p>
                  <w:pPr>
                    <w:pStyle w:val="33"/>
                    <w:spacing w:line="360" w:lineRule="exact"/>
                    <w:ind w:firstLine="210" w:firstLineChars="100"/>
                    <w:jc w:val="both"/>
                    <w:rPr>
                      <w:color w:val="000000" w:themeColor="text1"/>
                      <w:szCs w:val="21"/>
                    </w:rPr>
                  </w:pPr>
                  <w:r>
                    <w:rPr>
                      <w:rFonts w:hint="eastAsia"/>
                      <w:color w:val="000000" w:themeColor="text1"/>
                      <w:szCs w:val="21"/>
                    </w:rPr>
                    <w:t>项目设置5个FNX-10浓密机对磁选和弱磁选工序产生的尾渣进行浓密，浓密后的尾渣进入过滤工序。</w:t>
                  </w:r>
                </w:p>
                <w:p>
                  <w:pPr>
                    <w:pStyle w:val="33"/>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2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⑵</w:t>
                  </w:r>
                  <w:r>
                    <w:rPr>
                      <w:color w:val="000000" w:themeColor="text1"/>
                      <w:szCs w:val="21"/>
                    </w:rPr>
                    <w:fldChar w:fldCharType="end"/>
                  </w:r>
                  <w:r>
                    <w:rPr>
                      <w:rFonts w:hint="eastAsia"/>
                      <w:color w:val="000000" w:themeColor="text1"/>
                      <w:szCs w:val="21"/>
                    </w:rPr>
                    <w:t>真空过滤</w:t>
                  </w:r>
                </w:p>
                <w:p>
                  <w:pPr>
                    <w:pStyle w:val="33"/>
                    <w:spacing w:line="360" w:lineRule="exact"/>
                    <w:ind w:firstLine="210" w:firstLineChars="100"/>
                    <w:jc w:val="both"/>
                    <w:rPr>
                      <w:color w:val="000000" w:themeColor="text1"/>
                      <w:szCs w:val="21"/>
                    </w:rPr>
                  </w:pPr>
                  <w:r>
                    <w:rPr>
                      <w:rFonts w:hint="eastAsia"/>
                      <w:color w:val="000000" w:themeColor="text1"/>
                      <w:szCs w:val="21"/>
                    </w:rPr>
                    <w:t>项目设置了1台GP-30-6盘式过滤机对经浓密后的尾渣进行过滤，经过滤后的废渣其含水率约为10%。</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尾渣处理系统未发生变化；满足环保要求。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废渣暂存库</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本项目已设置的600m²废渣暂存库对其进行暂存。根据调查，该渣库设有顶棚和三面围挡，但存在围挡破损情况，应对其进行修善。</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根据调查，</w:t>
                  </w:r>
                  <w:r>
                    <w:rPr>
                      <w:color w:val="000000" w:themeColor="text1"/>
                      <w:szCs w:val="21"/>
                    </w:rPr>
                    <w:t>本项目</w:t>
                  </w:r>
                  <w:r>
                    <w:rPr>
                      <w:rFonts w:hint="eastAsia"/>
                      <w:color w:val="000000" w:themeColor="text1"/>
                      <w:szCs w:val="21"/>
                    </w:rPr>
                    <w:t>浓密+真空过滤后的废渣</w:t>
                  </w:r>
                  <w:r>
                    <w:rPr>
                      <w:color w:val="000000" w:themeColor="text1"/>
                      <w:szCs w:val="21"/>
                    </w:rPr>
                    <w:t>产生</w:t>
                  </w:r>
                  <w:r>
                    <w:rPr>
                      <w:rFonts w:hint="eastAsia"/>
                      <w:color w:val="000000" w:themeColor="text1"/>
                      <w:szCs w:val="21"/>
                    </w:rPr>
                    <w:t>量</w:t>
                  </w:r>
                  <w:r>
                    <w:rPr>
                      <w:color w:val="000000" w:themeColor="text1"/>
                      <w:szCs w:val="21"/>
                    </w:rPr>
                    <w:t>约</w:t>
                  </w: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r>
                    <w:rPr>
                      <w:color w:val="000000" w:themeColor="text1"/>
                      <w:szCs w:val="21"/>
                    </w:rPr>
                    <w:t>，项目已设置的600m²废渣暂存库对其进行暂存后，</w:t>
                  </w:r>
                  <w:r>
                    <w:rPr>
                      <w:rFonts w:hint="eastAsia"/>
                      <w:color w:val="000000" w:themeColor="text1"/>
                      <w:szCs w:val="21"/>
                    </w:rPr>
                    <w:t>部分委托</w:t>
                  </w:r>
                  <w:r>
                    <w:fldChar w:fldCharType="begin"/>
                  </w:r>
                  <w:r>
                    <w:instrText xml:space="preserve"> HYPERLINK "https://www.sogou.com/link?url=hedJjaC291M_2lEHL_hBkhpzLdgvwAszOq3pNAh0XAyHPQnptSLbsq3mlRzfPLR2" \t "_blank" </w:instrText>
                  </w:r>
                  <w:r>
                    <w:fldChar w:fldCharType="separate"/>
                  </w:r>
                  <w:r>
                    <w:rPr>
                      <w:color w:val="000000" w:themeColor="text1"/>
                      <w:szCs w:val="21"/>
                    </w:rPr>
                    <w:t>华新水泥（昆明东川）有限公司</w:t>
                  </w:r>
                  <w:r>
                    <w:rPr>
                      <w:color w:val="000000" w:themeColor="text1"/>
                      <w:szCs w:val="21"/>
                    </w:rPr>
                    <w:fldChar w:fldCharType="end"/>
                  </w:r>
                  <w:r>
                    <w:rPr>
                      <w:rFonts w:hint="eastAsia"/>
                      <w:color w:val="000000" w:themeColor="text1"/>
                      <w:szCs w:val="21"/>
                    </w:rPr>
                    <w:t>作为生产原料，部分委托会泽领优建材有限责任公司制砖，剩余部分</w:t>
                  </w:r>
                  <w:r>
                    <w:rPr>
                      <w:color w:val="000000" w:themeColor="text1"/>
                      <w:szCs w:val="21"/>
                    </w:rPr>
                    <w:t>委托四方地工业园区弃渣场处置。</w:t>
                  </w:r>
                </w:p>
                <w:p>
                  <w:pPr>
                    <w:pStyle w:val="33"/>
                    <w:spacing w:line="360" w:lineRule="exact"/>
                    <w:ind w:firstLine="210" w:firstLineChars="100"/>
                    <w:jc w:val="both"/>
                    <w:rPr>
                      <w:color w:val="000000" w:themeColor="text1"/>
                      <w:szCs w:val="21"/>
                    </w:rPr>
                  </w:pPr>
                  <w:r>
                    <w:rPr>
                      <w:color w:val="000000" w:themeColor="text1"/>
                      <w:szCs w:val="21"/>
                    </w:rPr>
                    <w:t>根据调查，该渣库设有顶棚和三面围挡，但存在围挡破损情况，应对其进行修善。</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已建，环评提出需整改修善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color w:val="000000" w:themeColor="text1"/>
                      <w:szCs w:val="21"/>
                    </w:rPr>
                    <w:t>危险废物贮存间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针对项目产生的废机油，厂区已建设了1个15m²的危险废物贮存间对项目区废机油进行暂存。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根据调查，危险废物贮存间</w:t>
                  </w:r>
                  <w:r>
                    <w:rPr>
                      <w:rFonts w:hint="eastAsia"/>
                      <w:color w:val="000000" w:themeColor="text1"/>
                      <w:szCs w:val="21"/>
                    </w:rPr>
                    <w:t>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依托现有设施，满足环保要求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color w:val="000000" w:themeColor="text1"/>
                      <w:szCs w:val="21"/>
                    </w:rPr>
                    <w:t>生活垃圾桶</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项目拟设置生活垃圾桶，对生活垃圾收集后委托环卫部门进行处理。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根据调查，生活垃圾</w:t>
                  </w:r>
                  <w:r>
                    <w:rPr>
                      <w:rFonts w:hint="eastAsia"/>
                      <w:color w:val="000000" w:themeColor="text1"/>
                      <w:szCs w:val="21"/>
                    </w:rPr>
                    <w:t>处置满足环保要求。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依托现有设施，满足环保要求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rFonts w:hint="eastAsia"/>
                      <w:color w:val="000000" w:themeColor="text1"/>
                      <w:szCs w:val="21"/>
                    </w:rPr>
                    <w:t>环境风险</w:t>
                  </w:r>
                </w:p>
              </w:tc>
              <w:tc>
                <w:tcPr>
                  <w:tcW w:w="385" w:type="pct"/>
                  <w:vAlign w:val="center"/>
                </w:tcPr>
                <w:p>
                  <w:pPr>
                    <w:pStyle w:val="33"/>
                    <w:spacing w:line="360" w:lineRule="exact"/>
                    <w:rPr>
                      <w:color w:val="000000" w:themeColor="text1"/>
                      <w:szCs w:val="21"/>
                    </w:rPr>
                  </w:pPr>
                  <w:r>
                    <w:rPr>
                      <w:rFonts w:hint="eastAsia"/>
                      <w:color w:val="000000" w:themeColor="text1"/>
                      <w:szCs w:val="21"/>
                    </w:rPr>
                    <w:t>事故池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由于厂区内已建设有9个圆柱形循环水池，一直闲置未利用。因此拟将最后1个循环水池作为事故池使用，该循环水池的尺寸为Φ4.6m、深4.5m的圆柱体，其有效容积为80m³。</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事故池未发生变化；满足环保要求。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依托对现有设施进行功能置换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color w:val="000000" w:themeColor="text1"/>
                      <w:szCs w:val="21"/>
                    </w:rPr>
                    <w:t>其他</w:t>
                  </w:r>
                </w:p>
              </w:tc>
              <w:tc>
                <w:tcPr>
                  <w:tcW w:w="385" w:type="pct"/>
                  <w:vAlign w:val="center"/>
                </w:tcPr>
                <w:p>
                  <w:pPr>
                    <w:pStyle w:val="33"/>
                    <w:spacing w:line="360" w:lineRule="exact"/>
                    <w:rPr>
                      <w:color w:val="000000" w:themeColor="text1"/>
                      <w:szCs w:val="21"/>
                    </w:rPr>
                  </w:pPr>
                  <w:r>
                    <w:rPr>
                      <w:color w:val="000000" w:themeColor="text1"/>
                      <w:szCs w:val="21"/>
                    </w:rPr>
                    <w:t>标识牌</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建设单位按照危险废物管理的规范要求，设置危险废物识别标志、环境保护图形标志。</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445" w:type="pct"/>
                  <w:vAlign w:val="center"/>
                </w:tcPr>
                <w:p>
                  <w:pPr>
                    <w:pStyle w:val="33"/>
                    <w:spacing w:line="360" w:lineRule="exact"/>
                    <w:rPr>
                      <w:color w:val="000000" w:themeColor="text1"/>
                      <w:szCs w:val="21"/>
                    </w:rPr>
                  </w:pPr>
                  <w:r>
                    <w:rPr>
                      <w:rFonts w:hint="eastAsia"/>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6" w:name="_Toc493693536"/>
            <w:bookmarkStart w:id="7" w:name="_Toc433544969"/>
            <w:r>
              <w:rPr>
                <w:rFonts w:ascii="Times New Roman" w:hAnsi="Times New Roman" w:cs="Times New Roman"/>
                <w:b/>
                <w:color w:val="000000" w:themeColor="text1"/>
                <w:sz w:val="24"/>
                <w:szCs w:val="24"/>
              </w:rPr>
              <w:t>2.2 总平面布置</w:t>
            </w:r>
            <w:bookmarkEnd w:id="6"/>
            <w:bookmarkEnd w:id="7"/>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Pr>
                <w:rFonts w:hint="eastAsia" w:ascii="Times New Roman" w:hAnsi="Times New Roman" w:cs="Times New Roman"/>
                <w:b/>
                <w:color w:val="000000" w:themeColor="text1"/>
                <w:sz w:val="24"/>
                <w:szCs w:val="24"/>
              </w:rPr>
              <w:t>本项目在</w:t>
            </w:r>
            <w:r>
              <w:rPr>
                <w:rFonts w:ascii="Times New Roman" w:hAnsi="Times New Roman" w:cs="Times New Roman"/>
                <w:b/>
                <w:color w:val="000000" w:themeColor="text1"/>
                <w:sz w:val="24"/>
                <w:szCs w:val="24"/>
              </w:rPr>
              <w:t>厂区平面布置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昆明合旺有色金属有限公司根据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区地势设置，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区地势由东至西依次降低，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区东侧为</w:t>
            </w:r>
            <w:r>
              <w:rPr>
                <w:rFonts w:hint="eastAsia" w:ascii="Times New Roman" w:hAnsi="Times New Roman" w:cs="Times New Roman"/>
                <w:color w:val="000000" w:themeColor="text1"/>
                <w:sz w:val="24"/>
                <w:szCs w:val="24"/>
              </w:rPr>
              <w:t>次氧化锌生产线的</w:t>
            </w:r>
            <w:r>
              <w:rPr>
                <w:rFonts w:ascii="Times New Roman" w:hAnsi="Times New Roman" w:cs="Times New Roman"/>
                <w:color w:val="000000" w:themeColor="text1"/>
                <w:sz w:val="24"/>
                <w:szCs w:val="24"/>
              </w:rPr>
              <w:t>原料堆场，中部区域为</w:t>
            </w:r>
            <w:r>
              <w:rPr>
                <w:rFonts w:hint="eastAsia" w:ascii="Times New Roman" w:hAnsi="Times New Roman" w:cs="Times New Roman"/>
                <w:color w:val="000000" w:themeColor="text1"/>
                <w:sz w:val="24"/>
                <w:szCs w:val="24"/>
              </w:rPr>
              <w:t>次氧化锌生产线</w:t>
            </w:r>
            <w:r>
              <w:rPr>
                <w:rFonts w:ascii="Times New Roman" w:hAnsi="Times New Roman" w:cs="Times New Roman"/>
                <w:color w:val="000000" w:themeColor="text1"/>
                <w:sz w:val="24"/>
                <w:szCs w:val="24"/>
              </w:rPr>
              <w:t>生产车间，</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区北侧地势较低区域，生活办公区位于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区西侧</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w:t>
            </w:r>
            <w:r>
              <w:rPr>
                <w:rFonts w:hint="eastAsia" w:ascii="Times New Roman" w:hAnsi="Times New Roman" w:cs="Times New Roman"/>
                <w:color w:val="000000" w:themeColor="text1"/>
                <w:sz w:val="24"/>
                <w:szCs w:val="24"/>
              </w:rPr>
              <w:t>有9个闲置的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和废渣暂存库位于生活区旁；而本项目在氧化锌尾渣（水淬渣）</w:t>
            </w:r>
            <w:r>
              <w:rPr>
                <w:rFonts w:ascii="Times New Roman" w:hAnsi="Times New Roman" w:cs="Times New Roman"/>
                <w:color w:val="000000" w:themeColor="text1"/>
                <w:sz w:val="24"/>
                <w:szCs w:val="24"/>
              </w:rPr>
              <w:t>场</w:t>
            </w:r>
            <w:r>
              <w:rPr>
                <w:rFonts w:hint="eastAsia" w:ascii="Times New Roman" w:hAnsi="Times New Roman" w:cs="Times New Roman"/>
                <w:color w:val="000000" w:themeColor="text1"/>
                <w:sz w:val="24"/>
                <w:szCs w:val="24"/>
              </w:rPr>
              <w:t>区域建设，并依托使用9个闲置的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和废渣暂存库。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位置详见附图3-1 项目在厂区范围位置示意图。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生产车间平面布置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根据设计，项目占地面积约为1950m²，</w:t>
            </w:r>
            <w:r>
              <w:rPr>
                <w:rFonts w:hint="eastAsia" w:ascii="Times New Roman" w:hAnsi="Times New Roman" w:cs="Times New Roman"/>
                <w:color w:val="000000" w:themeColor="text1"/>
                <w:sz w:val="24"/>
                <w:szCs w:val="24"/>
              </w:rPr>
              <w:t>项目生产区大致可以分为水淬渣暂存库、球磨选别车间、烘干车间和包装车间；其中水淬渣暂存库位于拟建生产线南侧区域，球磨选别车间位于项目区中部区域，烘干车间位于项目区东部区域，包装车间位于烘干车间的北侧区域。项目区域北侧为尾渣处理系统， 1#废水收集循环池位于尾渣处理系统西侧；而2#-11#废水收集循环池和废渣暂存库位于</w:t>
            </w:r>
            <w:r>
              <w:rPr>
                <w:rFonts w:ascii="Times New Roman" w:hAnsi="Times New Roman" w:cs="Times New Roman"/>
                <w:color w:val="000000" w:themeColor="text1"/>
                <w:sz w:val="24"/>
                <w:szCs w:val="24"/>
              </w:rPr>
              <w:t>生活办公区</w:t>
            </w:r>
            <w:r>
              <w:rPr>
                <w:rFonts w:hint="eastAsia" w:ascii="Times New Roman" w:hAnsi="Times New Roman" w:cs="Times New Roman"/>
                <w:color w:val="000000" w:themeColor="text1"/>
                <w:sz w:val="24"/>
                <w:szCs w:val="24"/>
              </w:rPr>
              <w:t>旁。</w:t>
            </w:r>
            <w:r>
              <w:rPr>
                <w:rFonts w:ascii="Times New Roman" w:hAnsi="Times New Roman" w:cs="Times New Roman"/>
                <w:color w:val="000000" w:themeColor="text1"/>
                <w:sz w:val="24"/>
                <w:szCs w:val="24"/>
              </w:rPr>
              <w:t>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本项目对第I类一般工业固废类氧化锌尾渣（水淬渣）进行综合利用，其主要工艺为通过物理磁选、重选的方式，回收有利用价值的铁，年处理氧化锌尾渣（水淬渣）16.5万吨；回收还原铁粉4.54万t/a、次铁粉1.38万t/a。</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根据设计，项目主要生产单元、主要工艺、生产设施及设施参数如下表所示。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2"/>
              <w:gridCol w:w="709"/>
              <w:gridCol w:w="1100"/>
              <w:gridCol w:w="2585"/>
              <w:gridCol w:w="2124"/>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179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restart"/>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主体工程</w:t>
                  </w:r>
                </w:p>
              </w:tc>
              <w:tc>
                <w:tcPr>
                  <w:tcW w:w="702"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球磨选别车间</w:t>
                  </w: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球磨分级系统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料斗</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54m³</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选别</w:t>
                  </w:r>
                  <w:r>
                    <w:rPr>
                      <w:rFonts w:hint="eastAsia" w:ascii="Times New Roman" w:hAnsi="Times New Roman" w:eastAsia="宋体" w:cs="Times New Roman"/>
                      <w:color w:val="000000" w:themeColor="text1"/>
                      <w:kern w:val="32"/>
                    </w:rPr>
                    <w:t>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磁选机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弱磁机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摇床</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6t/h</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8</w:t>
                  </w:r>
                  <w:r>
                    <w:rPr>
                      <w:rFonts w:hint="eastAsia"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FNX-10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烘干车间</w:t>
                  </w: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烘干</w:t>
                  </w:r>
                  <w:r>
                    <w:rPr>
                      <w:rFonts w:hint="eastAsia" w:ascii="Times New Roman" w:hAnsi="Times New Roman" w:eastAsia="宋体" w:cs="Times New Roman"/>
                      <w:color w:val="000000" w:themeColor="text1"/>
                      <w:kern w:val="32"/>
                    </w:rPr>
                    <w:t>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过滤机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螺旋进料机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烘干机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热风供应系统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热风炉</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RFL型、功率37KW</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Y5-47-4C</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Y5-47-6C</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4-7Z-4.5A</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包装车间</w:t>
                  </w:r>
                </w:p>
              </w:tc>
              <w:tc>
                <w:tcPr>
                  <w:tcW w:w="1089"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包装工序</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成品料斗</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Φ200*</w:t>
                  </w: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00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本项目主要对昆明合旺有色金属有限公司生产线产生的氧化锌尾渣（水淬渣）进行综合利用，其原料来源于</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次氧化锌生产线及其拟扩建线产生的氧化锌尾渣（水淬渣）。</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根据项目实际情况，目前</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次氧化锌生产线产生的尾渣仅有7.7万t/a，而项目设计规模为16.5万t/a，若在次氧化锌生产线的扩建工作完成前，项目对同类型企业的委托对其产生的氧化锌尾渣（水淬渣）进行处理，则必须满足以下两个条件：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①拟接收处理的氧化锌尾渣（水淬渣）为</w:t>
            </w:r>
            <w:r>
              <w:rPr>
                <w:rFonts w:ascii="Times New Roman" w:hAnsi="Times New Roman" w:cs="Times New Roman"/>
                <w:color w:val="000000" w:themeColor="text1"/>
                <w:sz w:val="24"/>
                <w:szCs w:val="24"/>
              </w:rPr>
              <w:t>第I类一般工业固体废物</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②拟接收处理的氧化锌尾渣（水淬渣）的主要成分和</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次氧化锌生产线产生的氧化锌尾渣（水淬渣）成分相似。</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项目年处理氧化锌尾渣（水淬渣）16.5万吨。</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（1）氧化锌尾渣（水淬渣）成分分析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根据建设单位提供的多次化验单，其主要成分如下表所示。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 xml:space="preserve">表2.5.1-1 </w:t>
            </w:r>
            <w:r>
              <w:rPr>
                <w:rFonts w:hAnsi="Times New Roman" w:eastAsiaTheme="minorEastAsia"/>
                <w:bCs/>
                <w:snapToGrid w:val="0"/>
                <w:color w:val="000000" w:themeColor="text1"/>
                <w:sz w:val="21"/>
                <w:szCs w:val="21"/>
              </w:rPr>
              <w:t>原料</w:t>
            </w:r>
            <w:r>
              <w:rPr>
                <w:rFonts w:hint="eastAsia" w:hAnsi="Times New Roman" w:eastAsiaTheme="minorEastAsia"/>
                <w:bCs/>
                <w:snapToGrid w:val="0"/>
                <w:color w:val="000000" w:themeColor="text1"/>
                <w:sz w:val="21"/>
                <w:szCs w:val="21"/>
              </w:rPr>
              <w:t>主要成分一览表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5"/>
              <w:gridCol w:w="1213"/>
              <w:gridCol w:w="1213"/>
              <w:gridCol w:w="1214"/>
              <w:gridCol w:w="1214"/>
              <w:gridCol w:w="1215"/>
              <w:gridCol w:w="1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元素组分</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锌</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铅</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单质铁</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热值（卡）</w:t>
                  </w:r>
                </w:p>
              </w:tc>
              <w:tc>
                <w:tcPr>
                  <w:tcW w:w="13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化验时间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含量%</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0.57</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0.21</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40.03</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29.56</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387</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0.39</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0.18</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38.62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31.53</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426</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0.45</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0.16</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37.74</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28.63</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427</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0.29</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0.18</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39.16</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32.41</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398</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0.46</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37.57</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29.25</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415</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0.43</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0.17</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38.62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30.28</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41</w:t>
                  </w:r>
                  <w:r>
                    <w:rPr>
                      <w:rFonts w:hint="eastAsia" w:ascii="Times New Roman" w:hAnsi="Times New Roman" w:eastAsia="宋体" w:cs="Times New Roman"/>
                      <w:bCs/>
                      <w:snapToGrid w:val="0"/>
                      <w:color w:val="000000" w:themeColor="text1"/>
                      <w:kern w:val="32"/>
                      <w:lang w:val="zh-CN"/>
                    </w:rPr>
                    <w:t>1</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平均值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08" w:type="dxa"/>
                  <w:gridSpan w:val="7"/>
                  <w:vAlign w:val="center"/>
                </w:tcPr>
                <w:p>
                  <w:pPr>
                    <w:spacing w:line="360" w:lineRule="exact"/>
                    <w:ind w:firstLine="210" w:firstLineChars="100"/>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备注：该成分分析表由建设单位自己根据生产需求化验，仅化验锌、铅、铁、单质铁等主要成分。</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（2）氧化锌尾渣（水淬渣）属性鉴别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为确定</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产生的</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的固体废物属性，建设单位委托</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进行了属性鉴别。</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①鉴别份数的设置原则</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本环评严格按照《危险废物鉴别技术规范》（HJ298-2019）的要求进行氧化锌尾渣（水淬渣）的属性鉴别，根据《危险废物鉴别技术规范》（HJ298-2019）中4.2.4条 满足以下情形固体废物的危险特性鉴别可以不根据固体废物的产生量确定采样份样数，“以下情形”中第3条为：“固体废物来源于连续生产工艺，且设施长期运行稳定、原辅材料类别和来源固定，可适当减少采样份样数，份样数不少于5个”。</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根据设计，项目原料来源于昆明合旺有色金属有限公司</w:t>
            </w:r>
            <w:r>
              <w:rPr>
                <w:rFonts w:ascii="Times New Roman" w:hAnsi="Times New Roman" w:cs="Times New Roman"/>
                <w:color w:val="000000" w:themeColor="text1"/>
                <w:sz w:val="24"/>
                <w:szCs w:val="24"/>
              </w:rPr>
              <w:t>次氧化锌生产线</w:t>
            </w:r>
            <w:r>
              <w:rPr>
                <w:rFonts w:hint="eastAsia" w:ascii="Times New Roman" w:hAnsi="Times New Roman" w:cs="Times New Roman"/>
                <w:color w:val="000000" w:themeColor="text1"/>
                <w:sz w:val="24"/>
                <w:szCs w:val="24"/>
              </w:rPr>
              <w:t>，根据该生产线的环评及竣工验收报告，该生产线产生的氧化锌尾渣（水淬渣）属性属于一般工业固体废物，且本项目运行至今均是按照一般工业固体废物管理。该生产线将氧化锌矿、含锌物料、石灰石和焦粉按比例配比后通过挥发回转窑焙烧回收次氧化锌产品，属于连续生产工艺，从2020年至今，生产线长期稳定运行，其原辅料来源均由河南骏牛供应链有限公司和四川宜牛供应链有限公司统一提供，来源固定。可满足上述鉴别的要求，因此其鉴别份数按5个设置。</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②氧化锌尾渣（水淬渣）属性鉴别</w:t>
            </w:r>
            <w:r>
              <w:rPr>
                <w:rFonts w:ascii="Times New Roman" w:hAnsi="Times New Roman" w:eastAsia="宋体" w:cs="Times New Roman"/>
                <w:b/>
                <w:color w:val="000000" w:themeColor="text1"/>
                <w:sz w:val="24"/>
                <w:szCs w:val="24"/>
              </w:rPr>
              <w:t>监测参数设置</w:t>
            </w:r>
          </w:p>
          <w:p>
            <w:pPr>
              <w:spacing w:line="360" w:lineRule="auto"/>
              <w:ind w:firstLine="480" w:firstLineChars="200"/>
              <w:rPr>
                <w:rFonts w:ascii="Times New Roman" w:hAnsi="Times New Roman" w:cs="Times New Roman"/>
                <w:color w:val="000000" w:themeColor="text1"/>
                <w:sz w:val="24"/>
                <w:szCs w:val="32"/>
              </w:rPr>
            </w:pPr>
            <w:r>
              <w:rPr>
                <w:rFonts w:hint="eastAsia" w:ascii="Times New Roman" w:hAnsi="Times New Roman" w:cs="Times New Roman"/>
                <w:color w:val="000000" w:themeColor="text1"/>
                <w:sz w:val="24"/>
                <w:szCs w:val="32"/>
              </w:rPr>
              <w:t>氧化锌尾渣（水淬渣）属性鉴别</w:t>
            </w:r>
            <w:r>
              <w:rPr>
                <w:rFonts w:ascii="Times New Roman" w:hAnsi="Times New Roman" w:cs="Times New Roman"/>
                <w:color w:val="000000" w:themeColor="text1"/>
                <w:sz w:val="24"/>
                <w:szCs w:val="32"/>
              </w:rPr>
              <w:t>监测参数如下表所示。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w:t>
            </w:r>
            <w:r>
              <w:rPr>
                <w:rFonts w:hint="eastAsia" w:hAnsi="Times New Roman" w:eastAsiaTheme="minorEastAsia"/>
                <w:bCs/>
                <w:snapToGrid w:val="0"/>
                <w:color w:val="000000" w:themeColor="text1"/>
                <w:sz w:val="21"/>
                <w:szCs w:val="21"/>
              </w:rPr>
              <w:t>2.5.1-2</w:t>
            </w:r>
            <w:r>
              <w:rPr>
                <w:rFonts w:hAnsi="Times New Roman" w:eastAsiaTheme="minorEastAsia"/>
                <w:bCs/>
                <w:snapToGrid w:val="0"/>
                <w:color w:val="000000" w:themeColor="text1"/>
                <w:sz w:val="21"/>
                <w:szCs w:val="21"/>
              </w:rPr>
              <w:t xml:space="preserve"> </w:t>
            </w:r>
            <w:r>
              <w:rPr>
                <w:rFonts w:hint="eastAsia" w:hAnsi="Times New Roman" w:eastAsiaTheme="minorEastAsia"/>
                <w:bCs/>
                <w:snapToGrid w:val="0"/>
                <w:color w:val="000000" w:themeColor="text1"/>
                <w:sz w:val="21"/>
                <w:szCs w:val="21"/>
              </w:rPr>
              <w:t>氧化锌尾渣（水淬渣）属性鉴别参数设置</w:t>
            </w:r>
            <w:r>
              <w:rPr>
                <w:rFonts w:hAnsi="Times New Roman" w:eastAsiaTheme="minorEastAsia"/>
                <w:bCs/>
                <w:snapToGrid w:val="0"/>
                <w:color w:val="000000" w:themeColor="text1"/>
                <w:sz w:val="21"/>
                <w:szCs w:val="21"/>
              </w:rPr>
              <w:t>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项目</w:t>
                  </w:r>
                </w:p>
              </w:tc>
              <w:tc>
                <w:tcPr>
                  <w:tcW w:w="6494" w:type="dxa"/>
                  <w:vAlign w:val="center"/>
                </w:tcPr>
                <w:p>
                  <w:pPr>
                    <w:pStyle w:val="33"/>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监测项目</w:t>
                  </w:r>
                </w:p>
              </w:tc>
              <w:tc>
                <w:tcPr>
                  <w:tcW w:w="6494" w:type="dxa"/>
                  <w:vAlign w:val="center"/>
                </w:tcPr>
                <w:p>
                  <w:pPr>
                    <w:pStyle w:val="33"/>
                    <w:spacing w:line="360" w:lineRule="exact"/>
                    <w:ind w:firstLine="210" w:firstLineChars="100"/>
                    <w:jc w:val="both"/>
                    <w:rPr>
                      <w:color w:val="000000" w:themeColor="text1"/>
                      <w:szCs w:val="21"/>
                    </w:rPr>
                  </w:pPr>
                  <w:r>
                    <w:rPr>
                      <w:color w:val="000000" w:themeColor="text1"/>
                      <w:szCs w:val="21"/>
                    </w:rPr>
                    <w:t>pH值</w:t>
                  </w:r>
                  <w:r>
                    <w:rPr>
                      <w:rFonts w:hint="eastAsia"/>
                      <w:color w:val="000000" w:themeColor="text1"/>
                      <w:szCs w:val="21"/>
                    </w:rPr>
                    <w:t>、</w:t>
                  </w:r>
                  <w:r>
                    <w:rPr>
                      <w:color w:val="000000" w:themeColor="text1"/>
                      <w:szCs w:val="21"/>
                    </w:rPr>
                    <w:t>铜</w:t>
                  </w:r>
                  <w:r>
                    <w:rPr>
                      <w:rFonts w:hint="eastAsia"/>
                      <w:color w:val="000000" w:themeColor="text1"/>
                      <w:szCs w:val="21"/>
                    </w:rPr>
                    <w:t>、</w:t>
                  </w:r>
                  <w:r>
                    <w:rPr>
                      <w:color w:val="000000" w:themeColor="text1"/>
                      <w:szCs w:val="21"/>
                    </w:rPr>
                    <w:t>锌</w:t>
                  </w:r>
                  <w:r>
                    <w:rPr>
                      <w:rFonts w:hint="eastAsia"/>
                      <w:color w:val="000000" w:themeColor="text1"/>
                      <w:szCs w:val="21"/>
                    </w:rPr>
                    <w:t>、</w:t>
                  </w:r>
                  <w:r>
                    <w:rPr>
                      <w:color w:val="000000" w:themeColor="text1"/>
                      <w:szCs w:val="21"/>
                    </w:rPr>
                    <w:t>镉</w:t>
                  </w:r>
                  <w:r>
                    <w:rPr>
                      <w:rFonts w:hint="eastAsia"/>
                      <w:color w:val="000000" w:themeColor="text1"/>
                      <w:szCs w:val="21"/>
                    </w:rPr>
                    <w:t>、</w:t>
                  </w:r>
                  <w:r>
                    <w:rPr>
                      <w:color w:val="000000" w:themeColor="text1"/>
                      <w:szCs w:val="21"/>
                    </w:rPr>
                    <w:t>铅</w:t>
                  </w:r>
                  <w:r>
                    <w:rPr>
                      <w:rFonts w:hint="eastAsia"/>
                      <w:color w:val="000000" w:themeColor="text1"/>
                      <w:szCs w:val="21"/>
                    </w:rPr>
                    <w:t>、</w:t>
                  </w:r>
                  <w:r>
                    <w:rPr>
                      <w:color w:val="000000" w:themeColor="text1"/>
                      <w:szCs w:val="21"/>
                    </w:rPr>
                    <w:t>总铬</w:t>
                  </w:r>
                  <w:r>
                    <w:rPr>
                      <w:rFonts w:hint="eastAsia"/>
                      <w:color w:val="000000" w:themeColor="text1"/>
                      <w:szCs w:val="21"/>
                    </w:rPr>
                    <w:t>、烷基汞、</w:t>
                  </w:r>
                  <w:r>
                    <w:rPr>
                      <w:color w:val="000000" w:themeColor="text1"/>
                      <w:szCs w:val="21"/>
                    </w:rPr>
                    <w:t>六价铬</w:t>
                  </w:r>
                  <w:r>
                    <w:rPr>
                      <w:rFonts w:hint="eastAsia"/>
                      <w:color w:val="000000" w:themeColor="text1"/>
                      <w:szCs w:val="21"/>
                    </w:rPr>
                    <w:t>、汞、</w:t>
                  </w:r>
                  <w:r>
                    <w:rPr>
                      <w:color w:val="000000" w:themeColor="text1"/>
                      <w:szCs w:val="21"/>
                    </w:rPr>
                    <w:t>铍</w:t>
                  </w:r>
                  <w:r>
                    <w:rPr>
                      <w:rFonts w:hint="eastAsia"/>
                      <w:color w:val="000000" w:themeColor="text1"/>
                      <w:szCs w:val="21"/>
                    </w:rPr>
                    <w:t>、</w:t>
                  </w:r>
                  <w:r>
                    <w:rPr>
                      <w:color w:val="000000" w:themeColor="text1"/>
                      <w:szCs w:val="21"/>
                    </w:rPr>
                    <w:t>钡</w:t>
                  </w:r>
                  <w:r>
                    <w:rPr>
                      <w:rFonts w:hint="eastAsia"/>
                      <w:color w:val="000000" w:themeColor="text1"/>
                      <w:szCs w:val="21"/>
                    </w:rPr>
                    <w:t>、</w:t>
                  </w:r>
                  <w:r>
                    <w:rPr>
                      <w:color w:val="000000" w:themeColor="text1"/>
                      <w:szCs w:val="21"/>
                    </w:rPr>
                    <w:t>镍</w:t>
                  </w:r>
                  <w:r>
                    <w:rPr>
                      <w:rFonts w:hint="eastAsia"/>
                      <w:color w:val="000000" w:themeColor="text1"/>
                      <w:szCs w:val="21"/>
                    </w:rPr>
                    <w:t>、总</w:t>
                  </w:r>
                  <w:r>
                    <w:rPr>
                      <w:color w:val="000000" w:themeColor="text1"/>
                      <w:szCs w:val="21"/>
                    </w:rPr>
                    <w:t>银</w:t>
                  </w:r>
                  <w:r>
                    <w:rPr>
                      <w:rFonts w:hint="eastAsia"/>
                      <w:color w:val="000000" w:themeColor="text1"/>
                      <w:szCs w:val="21"/>
                    </w:rPr>
                    <w:t>、</w:t>
                  </w:r>
                  <w:r>
                    <w:rPr>
                      <w:color w:val="000000" w:themeColor="text1"/>
                      <w:szCs w:val="21"/>
                    </w:rPr>
                    <w:t>砷</w:t>
                  </w:r>
                  <w:r>
                    <w:rPr>
                      <w:rFonts w:hint="eastAsia"/>
                      <w:color w:val="000000" w:themeColor="text1"/>
                      <w:szCs w:val="21"/>
                    </w:rPr>
                    <w:t>、</w:t>
                  </w:r>
                  <w:r>
                    <w:rPr>
                      <w:color w:val="000000" w:themeColor="text1"/>
                      <w:szCs w:val="21"/>
                    </w:rPr>
                    <w:t>硒</w:t>
                  </w:r>
                  <w:r>
                    <w:rPr>
                      <w:rFonts w:hint="eastAsia"/>
                      <w:color w:val="000000" w:themeColor="text1"/>
                      <w:szCs w:val="21"/>
                    </w:rPr>
                    <w:t>、</w:t>
                  </w:r>
                  <w:r>
                    <w:rPr>
                      <w:color w:val="000000" w:themeColor="text1"/>
                      <w:szCs w:val="21"/>
                    </w:rPr>
                    <w:t>氟化物</w:t>
                  </w:r>
                  <w:r>
                    <w:rPr>
                      <w:rFonts w:hint="eastAsia"/>
                      <w:color w:val="000000" w:themeColor="text1"/>
                      <w:szCs w:val="21"/>
                    </w:rPr>
                    <w:t>、</w:t>
                  </w:r>
                  <w:r>
                    <w:rPr>
                      <w:color w:val="000000" w:themeColor="text1"/>
                      <w:szCs w:val="21"/>
                    </w:rPr>
                    <w:t>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tabs>
                      <w:tab w:val="center" w:pos="540"/>
                    </w:tabs>
                    <w:spacing w:line="360" w:lineRule="exact"/>
                    <w:rPr>
                      <w:color w:val="000000" w:themeColor="text1"/>
                      <w:szCs w:val="21"/>
                    </w:rPr>
                  </w:pPr>
                  <w:r>
                    <w:rPr>
                      <w:color w:val="000000" w:themeColor="text1"/>
                      <w:szCs w:val="21"/>
                    </w:rPr>
                    <w:t>采样频率</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设置5个样，每个样均来自不同时间段产生的固体废物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采样地点</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水淬渣暂存库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rFonts w:hint="eastAsia"/>
                      <w:color w:val="000000" w:themeColor="text1"/>
                      <w:szCs w:val="21"/>
                    </w:rPr>
                    <w:t>监测时间</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2023年9月15日</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③腐蚀性</w:t>
            </w:r>
            <w:r>
              <w:rPr>
                <w:rFonts w:ascii="Times New Roman" w:hAnsi="Times New Roman" w:eastAsia="宋体" w:cs="Times New Roman"/>
                <w:b/>
                <w:color w:val="000000" w:themeColor="text1"/>
                <w:sz w:val="24"/>
                <w:szCs w:val="24"/>
              </w:rPr>
              <w:t>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的监测结果，其</w:t>
            </w:r>
            <w:r>
              <w:rPr>
                <w:rFonts w:ascii="Times New Roman" w:hAnsi="Times New Roman" w:cs="Times New Roman"/>
                <w:color w:val="000000" w:themeColor="text1"/>
                <w:sz w:val="24"/>
                <w:szCs w:val="24"/>
              </w:rPr>
              <w:t>腐蚀性鉴别结果见下表。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2.5.1-3  </w:t>
            </w:r>
            <w:r>
              <w:rPr>
                <w:rFonts w:ascii="Times New Roman" w:hAnsi="Times New Roman" w:eastAsia="宋体" w:cs="Times New Roman"/>
                <w:b/>
                <w:color w:val="000000" w:themeColor="text1"/>
              </w:rPr>
              <w:t>氧化锌尾渣（水淬渣）腐蚀性检测结果一览表</w:t>
            </w:r>
            <w:r>
              <w:rPr>
                <w:rFonts w:hint="eastAsia" w:ascii="Times New Roman" w:hAnsi="Times New Roman" w:eastAsia="宋体" w:cs="Times New Roman"/>
                <w:b/>
                <w:color w:val="000000" w:themeColor="text1"/>
              </w:rPr>
              <w:t>mg/L</w:t>
            </w:r>
          </w:p>
          <w:tbl>
            <w:tblPr>
              <w:tblStyle w:val="22"/>
              <w:tblW w:w="5000" w:type="pct"/>
              <w:jc w:val="center"/>
              <w:tblLayout w:type="fixed"/>
              <w:tblCellMar>
                <w:top w:w="0" w:type="dxa"/>
                <w:left w:w="108" w:type="dxa"/>
                <w:bottom w:w="0" w:type="dxa"/>
                <w:right w:w="108" w:type="dxa"/>
              </w:tblCellMar>
            </w:tblPr>
            <w:tblGrid>
              <w:gridCol w:w="682"/>
              <w:gridCol w:w="1147"/>
              <w:gridCol w:w="1004"/>
              <w:gridCol w:w="1003"/>
              <w:gridCol w:w="1003"/>
              <w:gridCol w:w="1003"/>
              <w:gridCol w:w="1004"/>
              <w:gridCol w:w="1771"/>
            </w:tblGrid>
            <w:tr>
              <w:tblPrEx>
                <w:tblCellMar>
                  <w:top w:w="0" w:type="dxa"/>
                  <w:left w:w="108" w:type="dxa"/>
                  <w:bottom w:w="0" w:type="dxa"/>
                  <w:right w:w="108" w:type="dxa"/>
                </w:tblCellMar>
              </w:tblPrEx>
              <w:trPr>
                <w:trHeight w:val="245"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序号</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污染因子</w:t>
                  </w:r>
                </w:p>
              </w:tc>
              <w:tc>
                <w:tcPr>
                  <w:tcW w:w="4962" w:type="dxa"/>
                  <w:gridSpan w:val="5"/>
                  <w:tcBorders>
                    <w:top w:val="single" w:color="000000"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检出值</w:t>
                  </w:r>
                </w:p>
              </w:tc>
              <w:tc>
                <w:tcPr>
                  <w:tcW w:w="1751"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危险废物参考标准值</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color w:val="000000" w:themeColor="text1"/>
                      <w:szCs w:val="21"/>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color w:val="000000" w:themeColor="text1"/>
                      <w:szCs w:val="21"/>
                    </w:rPr>
                  </w:pP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751" w:type="dxa"/>
                  <w:vMerge w:val="continue"/>
                  <w:tcBorders>
                    <w:top w:val="single" w:color="000000" w:sz="8" w:space="0"/>
                    <w:left w:val="single" w:color="auto" w:sz="8" w:space="0"/>
                    <w:bottom w:val="single" w:color="000000" w:sz="8" w:space="0"/>
                    <w:right w:val="single" w:color="000000" w:sz="8" w:space="0"/>
                  </w:tcBorders>
                  <w:vAlign w:val="center"/>
                </w:tcPr>
                <w:p>
                  <w:pPr>
                    <w:pStyle w:val="33"/>
                    <w:spacing w:line="360" w:lineRule="exact"/>
                    <w:rPr>
                      <w:color w:val="000000" w:themeColor="text1"/>
                      <w:szCs w:val="21"/>
                    </w:rPr>
                  </w:pPr>
                </w:p>
              </w:tc>
            </w:tr>
            <w:tr>
              <w:tblPrEx>
                <w:tblCellMar>
                  <w:top w:w="0" w:type="dxa"/>
                  <w:left w:w="108" w:type="dxa"/>
                  <w:bottom w:w="0" w:type="dxa"/>
                  <w:right w:w="108" w:type="dxa"/>
                </w:tblCellMar>
              </w:tblPrEx>
              <w:trPr>
                <w:trHeight w:val="61"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1</w:t>
                  </w:r>
                </w:p>
              </w:tc>
              <w:tc>
                <w:tcPr>
                  <w:tcW w:w="1134" w:type="dxa"/>
                  <w:tcBorders>
                    <w:top w:val="nil"/>
                    <w:left w:val="nil"/>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pH</w:t>
                  </w:r>
                  <w:r>
                    <w:rPr>
                      <w:rFonts w:hint="eastAsia"/>
                      <w:color w:val="000000" w:themeColor="text1"/>
                      <w:szCs w:val="21"/>
                    </w:rPr>
                    <w:t>值</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6.35</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6.56</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6.50</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7.22</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8.73</w:t>
                  </w:r>
                </w:p>
              </w:tc>
              <w:tc>
                <w:tcPr>
                  <w:tcW w:w="1751" w:type="dxa"/>
                  <w:tcBorders>
                    <w:top w:val="nil"/>
                    <w:left w:val="nil"/>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≥12.5</w:t>
                  </w:r>
                  <w:r>
                    <w:rPr>
                      <w:rFonts w:hint="eastAsia"/>
                      <w:color w:val="000000" w:themeColor="text1"/>
                      <w:szCs w:val="21"/>
                    </w:rPr>
                    <w:t>或</w:t>
                  </w:r>
                  <w:r>
                    <w:rPr>
                      <w:color w:val="000000" w:themeColor="text1"/>
                      <w:szCs w:val="21"/>
                    </w:rPr>
                    <w:t>≤2</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的腐蚀性不超过《危险废物鉴别标准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腐蚀性鉴别》（GB5085.1-2007）。</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④酸</w:t>
            </w:r>
            <w:r>
              <w:rPr>
                <w:rFonts w:ascii="Times New Roman" w:hAnsi="Times New Roman" w:eastAsia="宋体" w:cs="Times New Roman"/>
                <w:b/>
                <w:color w:val="000000" w:themeColor="text1"/>
                <w:sz w:val="24"/>
                <w:szCs w:val="24"/>
              </w:rPr>
              <w:t>浸鉴别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的监测结果，其</w:t>
            </w:r>
            <w:r>
              <w:rPr>
                <w:rFonts w:ascii="Times New Roman" w:hAnsi="Times New Roman" w:cs="Times New Roman"/>
                <w:color w:val="000000" w:themeColor="text1"/>
                <w:sz w:val="24"/>
                <w:szCs w:val="24"/>
              </w:rPr>
              <w:t>浸出毒性鉴别结果见下表。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2.5.1-4 </w:t>
            </w:r>
            <w:r>
              <w:rPr>
                <w:rFonts w:ascii="Times New Roman" w:hAnsi="Times New Roman" w:eastAsia="宋体" w:cs="Times New Roman"/>
                <w:b/>
                <w:color w:val="000000" w:themeColor="text1"/>
              </w:rPr>
              <w:t>氧化锌尾渣（水淬渣）浸出毒性检测结果一览表</w:t>
            </w:r>
            <w:r>
              <w:rPr>
                <w:rFonts w:hint="eastAsia" w:ascii="Times New Roman" w:hAnsi="Times New Roman" w:eastAsia="宋体" w:cs="Times New Roman"/>
                <w:b/>
                <w:color w:val="000000" w:themeColor="text1"/>
              </w:rPr>
              <w:t>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60"/>
              <w:gridCol w:w="1002"/>
              <w:gridCol w:w="1002"/>
              <w:gridCol w:w="1002"/>
              <w:gridCol w:w="1003"/>
              <w:gridCol w:w="1002"/>
              <w:gridCol w:w="1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675" w:type="dxa"/>
                  <w:vMerge w:val="restart"/>
                  <w:vAlign w:val="center"/>
                </w:tcPr>
                <w:p>
                  <w:pPr>
                    <w:pStyle w:val="33"/>
                    <w:spacing w:line="360" w:lineRule="exact"/>
                    <w:rPr>
                      <w:color w:val="000000" w:themeColor="text1"/>
                      <w:szCs w:val="21"/>
                    </w:rPr>
                  </w:pPr>
                  <w:r>
                    <w:rPr>
                      <w:color w:val="000000" w:themeColor="text1"/>
                      <w:szCs w:val="21"/>
                    </w:rPr>
                    <w:t>序号</w:t>
                  </w:r>
                </w:p>
              </w:tc>
              <w:tc>
                <w:tcPr>
                  <w:tcW w:w="1560" w:type="dxa"/>
                  <w:gridSpan w:val="2"/>
                  <w:vMerge w:val="restart"/>
                  <w:vAlign w:val="center"/>
                </w:tcPr>
                <w:p>
                  <w:pPr>
                    <w:pStyle w:val="33"/>
                    <w:spacing w:line="360" w:lineRule="exact"/>
                    <w:rPr>
                      <w:color w:val="000000" w:themeColor="text1"/>
                      <w:szCs w:val="21"/>
                    </w:rPr>
                  </w:pPr>
                  <w:r>
                    <w:rPr>
                      <w:color w:val="000000" w:themeColor="text1"/>
                      <w:szCs w:val="21"/>
                    </w:rPr>
                    <w:t>污染因子</w:t>
                  </w:r>
                </w:p>
              </w:tc>
              <w:tc>
                <w:tcPr>
                  <w:tcW w:w="4961" w:type="dxa"/>
                  <w:gridSpan w:val="5"/>
                  <w:tcBorders>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检出值</w:t>
                  </w:r>
                </w:p>
              </w:tc>
              <w:tc>
                <w:tcPr>
                  <w:tcW w:w="1326" w:type="dxa"/>
                  <w:vMerge w:val="restart"/>
                  <w:vAlign w:val="center"/>
                </w:tcPr>
                <w:p>
                  <w:pPr>
                    <w:pStyle w:val="33"/>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75" w:type="dxa"/>
                  <w:vMerge w:val="continue"/>
                  <w:vAlign w:val="center"/>
                </w:tcPr>
                <w:p>
                  <w:pPr>
                    <w:pStyle w:val="33"/>
                    <w:spacing w:line="360" w:lineRule="exact"/>
                    <w:rPr>
                      <w:color w:val="000000" w:themeColor="text1"/>
                      <w:szCs w:val="21"/>
                    </w:rPr>
                  </w:pPr>
                </w:p>
              </w:tc>
              <w:tc>
                <w:tcPr>
                  <w:tcW w:w="1560" w:type="dxa"/>
                  <w:gridSpan w:val="2"/>
                  <w:vMerge w:val="continue"/>
                  <w:vAlign w:val="center"/>
                </w:tcPr>
                <w:p>
                  <w:pPr>
                    <w:pStyle w:val="33"/>
                    <w:spacing w:line="360" w:lineRule="exact"/>
                    <w:rPr>
                      <w:color w:val="000000" w:themeColor="text1"/>
                      <w:szCs w:val="21"/>
                    </w:rPr>
                  </w:pP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993"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326"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1</w:t>
                  </w:r>
                </w:p>
              </w:tc>
              <w:tc>
                <w:tcPr>
                  <w:tcW w:w="1560" w:type="dxa"/>
                  <w:gridSpan w:val="2"/>
                  <w:vAlign w:val="center"/>
                </w:tcPr>
                <w:p>
                  <w:pPr>
                    <w:pStyle w:val="33"/>
                    <w:spacing w:line="360" w:lineRule="exact"/>
                    <w:rPr>
                      <w:color w:val="000000" w:themeColor="text1"/>
                      <w:szCs w:val="21"/>
                    </w:rPr>
                  </w:pPr>
                  <w:r>
                    <w:rPr>
                      <w:color w:val="000000" w:themeColor="text1"/>
                      <w:szCs w:val="21"/>
                    </w:rPr>
                    <w:t>铜</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2</w:t>
                  </w:r>
                </w:p>
              </w:tc>
              <w:tc>
                <w:tcPr>
                  <w:tcW w:w="1560" w:type="dxa"/>
                  <w:gridSpan w:val="2"/>
                  <w:vAlign w:val="center"/>
                </w:tcPr>
                <w:p>
                  <w:pPr>
                    <w:pStyle w:val="33"/>
                    <w:spacing w:line="360" w:lineRule="exact"/>
                    <w:rPr>
                      <w:color w:val="000000" w:themeColor="text1"/>
                      <w:szCs w:val="21"/>
                    </w:rPr>
                  </w:pPr>
                  <w:r>
                    <w:rPr>
                      <w:color w:val="000000" w:themeColor="text1"/>
                      <w:szCs w:val="21"/>
                    </w:rPr>
                    <w:t>锌</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0.199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0.102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0.064</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0.011</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3</w:t>
                  </w:r>
                </w:p>
              </w:tc>
              <w:tc>
                <w:tcPr>
                  <w:tcW w:w="1560" w:type="dxa"/>
                  <w:gridSpan w:val="2"/>
                  <w:vAlign w:val="center"/>
                </w:tcPr>
                <w:p>
                  <w:pPr>
                    <w:pStyle w:val="33"/>
                    <w:spacing w:line="360" w:lineRule="exact"/>
                    <w:rPr>
                      <w:color w:val="000000" w:themeColor="text1"/>
                      <w:szCs w:val="21"/>
                    </w:rPr>
                  </w:pPr>
                  <w:r>
                    <w:rPr>
                      <w:color w:val="000000" w:themeColor="text1"/>
                      <w:szCs w:val="21"/>
                    </w:rPr>
                    <w:t>镉</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26"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4</w:t>
                  </w:r>
                </w:p>
              </w:tc>
              <w:tc>
                <w:tcPr>
                  <w:tcW w:w="1560" w:type="dxa"/>
                  <w:gridSpan w:val="2"/>
                  <w:vAlign w:val="center"/>
                </w:tcPr>
                <w:p>
                  <w:pPr>
                    <w:pStyle w:val="33"/>
                    <w:spacing w:line="360" w:lineRule="exact"/>
                    <w:rPr>
                      <w:color w:val="000000" w:themeColor="text1"/>
                      <w:szCs w:val="21"/>
                    </w:rPr>
                  </w:pPr>
                  <w:r>
                    <w:rPr>
                      <w:color w:val="000000" w:themeColor="text1"/>
                      <w:szCs w:val="21"/>
                    </w:rPr>
                    <w:t>铅</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0.20</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5</w:t>
                  </w:r>
                </w:p>
              </w:tc>
              <w:tc>
                <w:tcPr>
                  <w:tcW w:w="1560" w:type="dxa"/>
                  <w:gridSpan w:val="2"/>
                  <w:vAlign w:val="center"/>
                </w:tcPr>
                <w:p>
                  <w:pPr>
                    <w:pStyle w:val="33"/>
                    <w:spacing w:line="360" w:lineRule="exact"/>
                    <w:rPr>
                      <w:color w:val="000000" w:themeColor="text1"/>
                      <w:szCs w:val="21"/>
                    </w:rPr>
                  </w:pPr>
                  <w:r>
                    <w:rPr>
                      <w:color w:val="000000" w:themeColor="text1"/>
                      <w:szCs w:val="21"/>
                    </w:rPr>
                    <w:t>总铬</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0.08</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0.07</w:t>
                  </w:r>
                </w:p>
              </w:tc>
              <w:tc>
                <w:tcPr>
                  <w:tcW w:w="1326"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675" w:type="dxa"/>
                  <w:vMerge w:val="restart"/>
                  <w:vAlign w:val="center"/>
                </w:tcPr>
                <w:p>
                  <w:pPr>
                    <w:pStyle w:val="33"/>
                    <w:spacing w:line="360" w:lineRule="exact"/>
                    <w:rPr>
                      <w:color w:val="000000" w:themeColor="text1"/>
                      <w:szCs w:val="21"/>
                    </w:rPr>
                  </w:pPr>
                  <w:r>
                    <w:rPr>
                      <w:rFonts w:hint="eastAsia"/>
                      <w:color w:val="000000" w:themeColor="text1"/>
                      <w:szCs w:val="21"/>
                    </w:rPr>
                    <w:t>6</w:t>
                  </w:r>
                </w:p>
              </w:tc>
              <w:tc>
                <w:tcPr>
                  <w:tcW w:w="709" w:type="dxa"/>
                  <w:vMerge w:val="restart"/>
                  <w:vAlign w:val="center"/>
                </w:tcPr>
                <w:p>
                  <w:pPr>
                    <w:pStyle w:val="33"/>
                    <w:spacing w:line="360" w:lineRule="exact"/>
                    <w:rPr>
                      <w:color w:val="000000" w:themeColor="text1"/>
                      <w:szCs w:val="21"/>
                    </w:rPr>
                  </w:pPr>
                  <w:r>
                    <w:rPr>
                      <w:rFonts w:hint="eastAsia"/>
                      <w:color w:val="000000" w:themeColor="text1"/>
                      <w:szCs w:val="21"/>
                    </w:rPr>
                    <w:t>烷基汞</w:t>
                  </w:r>
                </w:p>
              </w:tc>
              <w:tc>
                <w:tcPr>
                  <w:tcW w:w="851" w:type="dxa"/>
                  <w:vAlign w:val="center"/>
                </w:tcPr>
                <w:p>
                  <w:pPr>
                    <w:pStyle w:val="33"/>
                    <w:spacing w:line="360" w:lineRule="exact"/>
                    <w:rPr>
                      <w:color w:val="000000" w:themeColor="text1"/>
                      <w:szCs w:val="21"/>
                    </w:rPr>
                  </w:pPr>
                  <w:r>
                    <w:rPr>
                      <w:rFonts w:hint="eastAsia"/>
                      <w:color w:val="000000" w:themeColor="text1"/>
                      <w:szCs w:val="21"/>
                    </w:rPr>
                    <w:t>甲基汞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Merge w:val="restart"/>
                  <w:vAlign w:val="center"/>
                </w:tcPr>
                <w:p>
                  <w:pPr>
                    <w:pStyle w:val="33"/>
                    <w:spacing w:line="360" w:lineRule="exact"/>
                    <w:rPr>
                      <w:color w:val="000000" w:themeColor="text1"/>
                      <w:szCs w:val="21"/>
                    </w:rPr>
                  </w:pPr>
                  <w:r>
                    <w:rPr>
                      <w:rFonts w:hint="eastAsia"/>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675"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1" w:type="dxa"/>
                  <w:vAlign w:val="center"/>
                </w:tcPr>
                <w:p>
                  <w:pPr>
                    <w:pStyle w:val="33"/>
                    <w:spacing w:line="360" w:lineRule="exact"/>
                    <w:rPr>
                      <w:color w:val="000000" w:themeColor="text1"/>
                      <w:szCs w:val="21"/>
                    </w:rPr>
                  </w:pPr>
                  <w:r>
                    <w:rPr>
                      <w:rFonts w:hint="eastAsia"/>
                      <w:color w:val="000000" w:themeColor="text1"/>
                      <w:szCs w:val="21"/>
                    </w:rPr>
                    <w:t>乙基汞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7</w:t>
                  </w:r>
                </w:p>
              </w:tc>
              <w:tc>
                <w:tcPr>
                  <w:tcW w:w="1560" w:type="dxa"/>
                  <w:gridSpan w:val="2"/>
                  <w:vAlign w:val="center"/>
                </w:tcPr>
                <w:p>
                  <w:pPr>
                    <w:pStyle w:val="33"/>
                    <w:spacing w:line="360" w:lineRule="exact"/>
                    <w:rPr>
                      <w:color w:val="000000" w:themeColor="text1"/>
                      <w:szCs w:val="21"/>
                    </w:rPr>
                  </w:pPr>
                  <w:r>
                    <w:rPr>
                      <w:color w:val="000000" w:themeColor="text1"/>
                      <w:szCs w:val="21"/>
                    </w:rPr>
                    <w:t>六价铬</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8</w:t>
                  </w:r>
                </w:p>
              </w:tc>
              <w:tc>
                <w:tcPr>
                  <w:tcW w:w="1560" w:type="dxa"/>
                  <w:gridSpan w:val="2"/>
                  <w:vAlign w:val="center"/>
                </w:tcPr>
                <w:p>
                  <w:pPr>
                    <w:pStyle w:val="33"/>
                    <w:spacing w:line="360" w:lineRule="exact"/>
                    <w:rPr>
                      <w:color w:val="000000" w:themeColor="text1"/>
                      <w:szCs w:val="21"/>
                    </w:rPr>
                  </w:pPr>
                  <w:r>
                    <w:rPr>
                      <w:rFonts w:hint="eastAsia"/>
                      <w:color w:val="000000" w:themeColor="text1"/>
                      <w:szCs w:val="21"/>
                    </w:rPr>
                    <w:t>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0.00103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0.00058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1326"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9</w:t>
                  </w:r>
                </w:p>
              </w:tc>
              <w:tc>
                <w:tcPr>
                  <w:tcW w:w="1560" w:type="dxa"/>
                  <w:gridSpan w:val="2"/>
                  <w:vAlign w:val="center"/>
                </w:tcPr>
                <w:p>
                  <w:pPr>
                    <w:pStyle w:val="33"/>
                    <w:spacing w:line="360" w:lineRule="exact"/>
                    <w:rPr>
                      <w:color w:val="000000" w:themeColor="text1"/>
                      <w:szCs w:val="21"/>
                    </w:rPr>
                  </w:pPr>
                  <w:r>
                    <w:rPr>
                      <w:color w:val="000000" w:themeColor="text1"/>
                      <w:szCs w:val="21"/>
                    </w:rPr>
                    <w:t>铍</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0.0009</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1326" w:type="dxa"/>
                  <w:vAlign w:val="center"/>
                </w:tcPr>
                <w:p>
                  <w:pPr>
                    <w:pStyle w:val="33"/>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10</w:t>
                  </w:r>
                </w:p>
              </w:tc>
              <w:tc>
                <w:tcPr>
                  <w:tcW w:w="1560" w:type="dxa"/>
                  <w:gridSpan w:val="2"/>
                  <w:vAlign w:val="center"/>
                </w:tcPr>
                <w:p>
                  <w:pPr>
                    <w:pStyle w:val="33"/>
                    <w:spacing w:line="360" w:lineRule="exact"/>
                    <w:rPr>
                      <w:color w:val="000000" w:themeColor="text1"/>
                      <w:szCs w:val="21"/>
                    </w:rPr>
                  </w:pPr>
                  <w:r>
                    <w:rPr>
                      <w:color w:val="000000" w:themeColor="text1"/>
                      <w:szCs w:val="21"/>
                    </w:rPr>
                    <w:t>钡</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0.0464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0.0166</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0.0228</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0.0297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0.0289</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11</w:t>
                  </w:r>
                </w:p>
              </w:tc>
              <w:tc>
                <w:tcPr>
                  <w:tcW w:w="1560" w:type="dxa"/>
                  <w:gridSpan w:val="2"/>
                  <w:vAlign w:val="center"/>
                </w:tcPr>
                <w:p>
                  <w:pPr>
                    <w:pStyle w:val="33"/>
                    <w:spacing w:line="360" w:lineRule="exact"/>
                    <w:rPr>
                      <w:color w:val="000000" w:themeColor="text1"/>
                      <w:szCs w:val="21"/>
                    </w:rPr>
                  </w:pPr>
                  <w:r>
                    <w:rPr>
                      <w:color w:val="000000" w:themeColor="text1"/>
                      <w:szCs w:val="21"/>
                    </w:rPr>
                    <w:t>镍</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0.13</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12</w:t>
                  </w:r>
                </w:p>
              </w:tc>
              <w:tc>
                <w:tcPr>
                  <w:tcW w:w="1560" w:type="dxa"/>
                  <w:gridSpan w:val="2"/>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13</w:t>
                  </w:r>
                </w:p>
              </w:tc>
              <w:tc>
                <w:tcPr>
                  <w:tcW w:w="1560" w:type="dxa"/>
                  <w:gridSpan w:val="2"/>
                  <w:vAlign w:val="center"/>
                </w:tcPr>
                <w:p>
                  <w:pPr>
                    <w:pStyle w:val="33"/>
                    <w:spacing w:line="360" w:lineRule="exact"/>
                    <w:rPr>
                      <w:color w:val="000000" w:themeColor="text1"/>
                      <w:szCs w:val="21"/>
                    </w:rPr>
                  </w:pPr>
                  <w:r>
                    <w:rPr>
                      <w:color w:val="000000" w:themeColor="text1"/>
                      <w:szCs w:val="21"/>
                    </w:rPr>
                    <w:t>砷</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0.0644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.0525</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0.0094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0.0038</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14</w:t>
                  </w:r>
                </w:p>
              </w:tc>
              <w:tc>
                <w:tcPr>
                  <w:tcW w:w="1560" w:type="dxa"/>
                  <w:gridSpan w:val="2"/>
                  <w:vAlign w:val="center"/>
                </w:tcPr>
                <w:p>
                  <w:pPr>
                    <w:pStyle w:val="33"/>
                    <w:spacing w:line="360" w:lineRule="exact"/>
                    <w:rPr>
                      <w:color w:val="000000" w:themeColor="text1"/>
                      <w:szCs w:val="21"/>
                    </w:rPr>
                  </w:pPr>
                  <w:r>
                    <w:rPr>
                      <w:color w:val="000000" w:themeColor="text1"/>
                      <w:szCs w:val="21"/>
                    </w:rPr>
                    <w:t>硒</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0.0386</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0.0133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0.0667</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0.0140</w:t>
                  </w:r>
                </w:p>
              </w:tc>
              <w:tc>
                <w:tcPr>
                  <w:tcW w:w="1326"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15</w:t>
                  </w:r>
                </w:p>
              </w:tc>
              <w:tc>
                <w:tcPr>
                  <w:tcW w:w="1560" w:type="dxa"/>
                  <w:gridSpan w:val="2"/>
                  <w:vAlign w:val="center"/>
                </w:tcPr>
                <w:p>
                  <w:pPr>
                    <w:pStyle w:val="33"/>
                    <w:spacing w:line="360" w:lineRule="exact"/>
                    <w:rPr>
                      <w:color w:val="000000" w:themeColor="text1"/>
                      <w:szCs w:val="21"/>
                    </w:rPr>
                  </w:pPr>
                  <w:r>
                    <w:rPr>
                      <w:color w:val="000000" w:themeColor="text1"/>
                      <w:szCs w:val="21"/>
                    </w:rPr>
                    <w:t>氟化物</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2.80</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2.91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2.24</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1.99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1.64</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16</w:t>
                  </w:r>
                </w:p>
              </w:tc>
              <w:tc>
                <w:tcPr>
                  <w:tcW w:w="1560" w:type="dxa"/>
                  <w:gridSpan w:val="2"/>
                  <w:vAlign w:val="center"/>
                </w:tcPr>
                <w:p>
                  <w:pPr>
                    <w:pStyle w:val="33"/>
                    <w:spacing w:line="360" w:lineRule="exact"/>
                    <w:rPr>
                      <w:color w:val="000000" w:themeColor="text1"/>
                      <w:szCs w:val="21"/>
                    </w:rPr>
                  </w:pPr>
                  <w:r>
                    <w:rPr>
                      <w:color w:val="000000" w:themeColor="text1"/>
                      <w:szCs w:val="21"/>
                    </w:rPr>
                    <w:t>氰化物</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Align w:val="center"/>
                </w:tcPr>
                <w:p>
                  <w:pPr>
                    <w:pStyle w:val="33"/>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的浸出毒性不超过《危险废物鉴别标准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浸出毒性鉴别》（GB5085.3-2007）。</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⑤</w:t>
            </w:r>
            <w:r>
              <w:rPr>
                <w:rFonts w:ascii="Times New Roman" w:hAnsi="Times New Roman" w:eastAsia="宋体" w:cs="Times New Roman"/>
                <w:b/>
                <w:color w:val="000000" w:themeColor="text1"/>
                <w:sz w:val="24"/>
                <w:szCs w:val="24"/>
              </w:rPr>
              <w:t>水浸鉴别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cs="Times New Roman"/>
                <w:color w:val="000000" w:themeColor="text1"/>
                <w:sz w:val="24"/>
                <w:szCs w:val="24"/>
              </w:rPr>
              <w:t>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w:t>
            </w:r>
            <w:r>
              <w:rPr>
                <w:rFonts w:ascii="Times New Roman" w:hAnsi="Times New Roman" w:eastAsia="宋体" w:cs="Times New Roman"/>
                <w:color w:val="000000" w:themeColor="text1"/>
                <w:sz w:val="24"/>
                <w:szCs w:val="24"/>
              </w:rPr>
              <w:t>水浸鉴别结果如下表所示。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2.5.1-5  </w:t>
            </w:r>
            <w:r>
              <w:rPr>
                <w:rFonts w:ascii="Times New Roman" w:hAnsi="Times New Roman" w:eastAsia="宋体" w:cs="Times New Roman"/>
                <w:b/>
                <w:color w:val="000000" w:themeColor="text1"/>
              </w:rPr>
              <w:t>氧化锌尾渣（水淬渣）水浸检测结果一览表</w:t>
            </w:r>
            <w:r>
              <w:rPr>
                <w:rFonts w:hint="eastAsia" w:ascii="Times New Roman" w:hAnsi="Times New Roman" w:eastAsia="宋体" w:cs="Times New Roman"/>
                <w:b/>
                <w:color w:val="000000" w:themeColor="text1"/>
              </w:rPr>
              <w:t xml:space="preserve">   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60"/>
              <w:gridCol w:w="1002"/>
              <w:gridCol w:w="1002"/>
              <w:gridCol w:w="1002"/>
              <w:gridCol w:w="1003"/>
              <w:gridCol w:w="1002"/>
              <w:gridCol w:w="1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682" w:type="dxa"/>
                  <w:vMerge w:val="restart"/>
                  <w:vAlign w:val="center"/>
                </w:tcPr>
                <w:p>
                  <w:pPr>
                    <w:pStyle w:val="33"/>
                    <w:spacing w:line="360" w:lineRule="exact"/>
                    <w:rPr>
                      <w:color w:val="000000" w:themeColor="text1"/>
                      <w:szCs w:val="21"/>
                    </w:rPr>
                  </w:pPr>
                  <w:r>
                    <w:rPr>
                      <w:color w:val="000000" w:themeColor="text1"/>
                      <w:szCs w:val="21"/>
                    </w:rPr>
                    <w:t>序号</w:t>
                  </w:r>
                </w:p>
              </w:tc>
              <w:tc>
                <w:tcPr>
                  <w:tcW w:w="1576" w:type="dxa"/>
                  <w:gridSpan w:val="2"/>
                  <w:vMerge w:val="restart"/>
                  <w:vAlign w:val="center"/>
                </w:tcPr>
                <w:p>
                  <w:pPr>
                    <w:pStyle w:val="33"/>
                    <w:spacing w:line="360" w:lineRule="exact"/>
                    <w:rPr>
                      <w:color w:val="000000" w:themeColor="text1"/>
                      <w:szCs w:val="21"/>
                    </w:rPr>
                  </w:pPr>
                  <w:r>
                    <w:rPr>
                      <w:color w:val="000000" w:themeColor="text1"/>
                      <w:szCs w:val="21"/>
                    </w:rPr>
                    <w:t>污染因子</w:t>
                  </w:r>
                </w:p>
              </w:tc>
              <w:tc>
                <w:tcPr>
                  <w:tcW w:w="5011" w:type="dxa"/>
                  <w:gridSpan w:val="5"/>
                  <w:tcBorders>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检出值</w:t>
                  </w:r>
                </w:p>
              </w:tc>
              <w:tc>
                <w:tcPr>
                  <w:tcW w:w="1339" w:type="dxa"/>
                  <w:vMerge w:val="restart"/>
                  <w:vAlign w:val="center"/>
                </w:tcPr>
                <w:p>
                  <w:pPr>
                    <w:pStyle w:val="33"/>
                    <w:spacing w:line="360" w:lineRule="exact"/>
                    <w:rPr>
                      <w:color w:val="000000" w:themeColor="text1"/>
                      <w:szCs w:val="21"/>
                    </w:rPr>
                  </w:pPr>
                  <w:r>
                    <w:rPr>
                      <w:rFonts w:hint="eastAsia"/>
                      <w:color w:val="000000" w:themeColor="text1"/>
                      <w:szCs w:val="21"/>
                    </w:rPr>
                    <w:t>第</w:t>
                  </w:r>
                  <w:r>
                    <w:rPr>
                      <w:color w:val="000000" w:themeColor="text1"/>
                      <w:szCs w:val="21"/>
                    </w:rPr>
                    <w:t>I类和</w:t>
                  </w:r>
                  <w:r>
                    <w:rPr>
                      <w:rFonts w:hint="eastAsia"/>
                      <w:color w:val="000000" w:themeColor="text1"/>
                      <w:szCs w:val="21"/>
                    </w:rPr>
                    <w:t>第</w:t>
                  </w:r>
                  <w:r>
                    <w:rPr>
                      <w:color w:val="000000" w:themeColor="text1"/>
                      <w:szCs w:val="21"/>
                    </w:rPr>
                    <w:t>II类一般工业固废临界值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82" w:type="dxa"/>
                  <w:vMerge w:val="continue"/>
                  <w:vAlign w:val="center"/>
                </w:tcPr>
                <w:p>
                  <w:pPr>
                    <w:pStyle w:val="33"/>
                    <w:spacing w:line="360" w:lineRule="exact"/>
                    <w:rPr>
                      <w:color w:val="000000" w:themeColor="text1"/>
                      <w:szCs w:val="21"/>
                    </w:rPr>
                  </w:pPr>
                </w:p>
              </w:tc>
              <w:tc>
                <w:tcPr>
                  <w:tcW w:w="1576" w:type="dxa"/>
                  <w:gridSpan w:val="2"/>
                  <w:vMerge w:val="continue"/>
                  <w:vAlign w:val="center"/>
                </w:tcPr>
                <w:p>
                  <w:pPr>
                    <w:pStyle w:val="33"/>
                    <w:spacing w:line="360" w:lineRule="exact"/>
                    <w:rPr>
                      <w:color w:val="000000" w:themeColor="text1"/>
                      <w:szCs w:val="21"/>
                    </w:rPr>
                  </w:pP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1003"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339"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1</w:t>
                  </w:r>
                </w:p>
              </w:tc>
              <w:tc>
                <w:tcPr>
                  <w:tcW w:w="1576" w:type="dxa"/>
                  <w:gridSpan w:val="2"/>
                  <w:vAlign w:val="center"/>
                </w:tcPr>
                <w:p>
                  <w:pPr>
                    <w:pStyle w:val="33"/>
                    <w:spacing w:line="360" w:lineRule="exact"/>
                    <w:rPr>
                      <w:color w:val="000000" w:themeColor="text1"/>
                      <w:szCs w:val="21"/>
                    </w:rPr>
                  </w:pPr>
                  <w:r>
                    <w:rPr>
                      <w:color w:val="000000" w:themeColor="text1"/>
                      <w:szCs w:val="21"/>
                    </w:rPr>
                    <w:t>pH值</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6.35</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6.56</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6.50</w:t>
                  </w:r>
                </w:p>
              </w:tc>
              <w:tc>
                <w:tcPr>
                  <w:tcW w:w="1003"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7.22</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8.73</w:t>
                  </w:r>
                </w:p>
              </w:tc>
              <w:tc>
                <w:tcPr>
                  <w:tcW w:w="1339" w:type="dxa"/>
                  <w:vAlign w:val="center"/>
                </w:tcPr>
                <w:p>
                  <w:pPr>
                    <w:pStyle w:val="33"/>
                    <w:spacing w:line="360" w:lineRule="exact"/>
                    <w:rPr>
                      <w:color w:val="000000" w:themeColor="text1"/>
                      <w:szCs w:val="21"/>
                    </w:rPr>
                  </w:pPr>
                  <w:r>
                    <w:rPr>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2</w:t>
                  </w:r>
                </w:p>
              </w:tc>
              <w:tc>
                <w:tcPr>
                  <w:tcW w:w="1576" w:type="dxa"/>
                  <w:gridSpan w:val="2"/>
                  <w:vAlign w:val="center"/>
                </w:tcPr>
                <w:p>
                  <w:pPr>
                    <w:pStyle w:val="33"/>
                    <w:spacing w:line="360" w:lineRule="exact"/>
                    <w:rPr>
                      <w:color w:val="000000" w:themeColor="text1"/>
                      <w:szCs w:val="21"/>
                    </w:rPr>
                  </w:pPr>
                  <w:r>
                    <w:rPr>
                      <w:color w:val="000000" w:themeColor="text1"/>
                      <w:szCs w:val="21"/>
                    </w:rPr>
                    <w:t>铜</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3</w:t>
                  </w:r>
                </w:p>
              </w:tc>
              <w:tc>
                <w:tcPr>
                  <w:tcW w:w="1576" w:type="dxa"/>
                  <w:gridSpan w:val="2"/>
                  <w:vAlign w:val="center"/>
                </w:tcPr>
                <w:p>
                  <w:pPr>
                    <w:pStyle w:val="33"/>
                    <w:spacing w:line="360" w:lineRule="exact"/>
                    <w:rPr>
                      <w:color w:val="000000" w:themeColor="text1"/>
                      <w:szCs w:val="21"/>
                    </w:rPr>
                  </w:pPr>
                  <w:r>
                    <w:rPr>
                      <w:color w:val="000000" w:themeColor="text1"/>
                      <w:szCs w:val="21"/>
                    </w:rPr>
                    <w:t>锌</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0.044</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39" w:type="dxa"/>
                  <w:vAlign w:val="center"/>
                </w:tcPr>
                <w:p>
                  <w:pPr>
                    <w:pStyle w:val="33"/>
                    <w:spacing w:line="360" w:lineRule="exact"/>
                    <w:rPr>
                      <w:color w:val="000000" w:themeColor="text1"/>
                      <w:szCs w:val="21"/>
                    </w:rPr>
                  </w:pPr>
                  <w:r>
                    <w:rPr>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4</w:t>
                  </w:r>
                </w:p>
              </w:tc>
              <w:tc>
                <w:tcPr>
                  <w:tcW w:w="1576" w:type="dxa"/>
                  <w:gridSpan w:val="2"/>
                  <w:vAlign w:val="center"/>
                </w:tcPr>
                <w:p>
                  <w:pPr>
                    <w:pStyle w:val="33"/>
                    <w:spacing w:line="360" w:lineRule="exact"/>
                    <w:rPr>
                      <w:color w:val="000000" w:themeColor="text1"/>
                      <w:szCs w:val="21"/>
                    </w:rPr>
                  </w:pPr>
                  <w:r>
                    <w:rPr>
                      <w:color w:val="000000" w:themeColor="text1"/>
                      <w:szCs w:val="21"/>
                    </w:rPr>
                    <w:t>镉</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39"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5</w:t>
                  </w:r>
                </w:p>
              </w:tc>
              <w:tc>
                <w:tcPr>
                  <w:tcW w:w="1576" w:type="dxa"/>
                  <w:gridSpan w:val="2"/>
                  <w:vAlign w:val="center"/>
                </w:tcPr>
                <w:p>
                  <w:pPr>
                    <w:pStyle w:val="33"/>
                    <w:spacing w:line="360" w:lineRule="exact"/>
                    <w:rPr>
                      <w:color w:val="000000" w:themeColor="text1"/>
                      <w:szCs w:val="21"/>
                    </w:rPr>
                  </w:pPr>
                  <w:r>
                    <w:rPr>
                      <w:color w:val="000000" w:themeColor="text1"/>
                      <w:szCs w:val="21"/>
                    </w:rPr>
                    <w:t>铅</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339" w:type="dxa"/>
                  <w:vAlign w:val="center"/>
                </w:tcPr>
                <w:p>
                  <w:pPr>
                    <w:pStyle w:val="33"/>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6</w:t>
                  </w:r>
                </w:p>
              </w:tc>
              <w:tc>
                <w:tcPr>
                  <w:tcW w:w="1576" w:type="dxa"/>
                  <w:gridSpan w:val="2"/>
                  <w:vAlign w:val="center"/>
                </w:tcPr>
                <w:p>
                  <w:pPr>
                    <w:pStyle w:val="33"/>
                    <w:spacing w:line="360" w:lineRule="exact"/>
                    <w:rPr>
                      <w:color w:val="000000" w:themeColor="text1"/>
                      <w:szCs w:val="21"/>
                    </w:rPr>
                  </w:pPr>
                  <w:r>
                    <w:rPr>
                      <w:color w:val="000000" w:themeColor="text1"/>
                      <w:szCs w:val="21"/>
                    </w:rPr>
                    <w:t>总铬</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0.05L</w:t>
                  </w:r>
                </w:p>
              </w:tc>
              <w:tc>
                <w:tcPr>
                  <w:tcW w:w="1339"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682" w:type="dxa"/>
                  <w:vMerge w:val="restart"/>
                  <w:vAlign w:val="center"/>
                </w:tcPr>
                <w:p>
                  <w:pPr>
                    <w:pStyle w:val="33"/>
                    <w:spacing w:line="360" w:lineRule="exact"/>
                    <w:rPr>
                      <w:color w:val="000000" w:themeColor="text1"/>
                      <w:szCs w:val="21"/>
                    </w:rPr>
                  </w:pPr>
                  <w:r>
                    <w:rPr>
                      <w:rFonts w:hint="eastAsia"/>
                      <w:color w:val="000000" w:themeColor="text1"/>
                      <w:szCs w:val="21"/>
                    </w:rPr>
                    <w:t>7</w:t>
                  </w:r>
                </w:p>
              </w:tc>
              <w:tc>
                <w:tcPr>
                  <w:tcW w:w="716" w:type="dxa"/>
                  <w:vMerge w:val="restart"/>
                  <w:vAlign w:val="center"/>
                </w:tcPr>
                <w:p>
                  <w:pPr>
                    <w:pStyle w:val="33"/>
                    <w:spacing w:line="360" w:lineRule="exact"/>
                    <w:rPr>
                      <w:color w:val="000000" w:themeColor="text1"/>
                      <w:szCs w:val="21"/>
                    </w:rPr>
                  </w:pPr>
                  <w:r>
                    <w:rPr>
                      <w:rFonts w:hint="eastAsia"/>
                      <w:color w:val="000000" w:themeColor="text1"/>
                      <w:szCs w:val="21"/>
                    </w:rPr>
                    <w:t>烷基汞</w:t>
                  </w:r>
                </w:p>
              </w:tc>
              <w:tc>
                <w:tcPr>
                  <w:tcW w:w="860" w:type="dxa"/>
                  <w:vAlign w:val="center"/>
                </w:tcPr>
                <w:p>
                  <w:pPr>
                    <w:pStyle w:val="33"/>
                    <w:spacing w:line="360" w:lineRule="exact"/>
                    <w:rPr>
                      <w:color w:val="000000" w:themeColor="text1"/>
                      <w:szCs w:val="21"/>
                    </w:rPr>
                  </w:pPr>
                  <w:r>
                    <w:rPr>
                      <w:rFonts w:hint="eastAsia"/>
                      <w:color w:val="000000" w:themeColor="text1"/>
                      <w:szCs w:val="21"/>
                    </w:rPr>
                    <w:t>甲基汞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339" w:type="dxa"/>
                  <w:vMerge w:val="restart"/>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682" w:type="dxa"/>
                  <w:vMerge w:val="continue"/>
                  <w:vAlign w:val="center"/>
                </w:tcPr>
                <w:p>
                  <w:pPr>
                    <w:pStyle w:val="33"/>
                    <w:spacing w:line="360" w:lineRule="exact"/>
                    <w:rPr>
                      <w:color w:val="000000" w:themeColor="text1"/>
                      <w:szCs w:val="21"/>
                    </w:rPr>
                  </w:pPr>
                </w:p>
              </w:tc>
              <w:tc>
                <w:tcPr>
                  <w:tcW w:w="716" w:type="dxa"/>
                  <w:vMerge w:val="continue"/>
                  <w:vAlign w:val="center"/>
                </w:tcPr>
                <w:p>
                  <w:pPr>
                    <w:pStyle w:val="33"/>
                    <w:spacing w:line="360" w:lineRule="exact"/>
                    <w:rPr>
                      <w:color w:val="000000" w:themeColor="text1"/>
                      <w:szCs w:val="21"/>
                    </w:rPr>
                  </w:pPr>
                </w:p>
              </w:tc>
              <w:tc>
                <w:tcPr>
                  <w:tcW w:w="860" w:type="dxa"/>
                  <w:vAlign w:val="center"/>
                </w:tcPr>
                <w:p>
                  <w:pPr>
                    <w:pStyle w:val="33"/>
                    <w:spacing w:line="360" w:lineRule="exact"/>
                    <w:rPr>
                      <w:color w:val="000000" w:themeColor="text1"/>
                      <w:szCs w:val="21"/>
                    </w:rPr>
                  </w:pPr>
                  <w:r>
                    <w:rPr>
                      <w:rFonts w:hint="eastAsia"/>
                      <w:color w:val="000000" w:themeColor="text1"/>
                      <w:szCs w:val="21"/>
                    </w:rPr>
                    <w:t>乙基汞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339"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8</w:t>
                  </w:r>
                </w:p>
              </w:tc>
              <w:tc>
                <w:tcPr>
                  <w:tcW w:w="1576" w:type="dxa"/>
                  <w:gridSpan w:val="2"/>
                  <w:vAlign w:val="center"/>
                </w:tcPr>
                <w:p>
                  <w:pPr>
                    <w:pStyle w:val="33"/>
                    <w:spacing w:line="360" w:lineRule="exact"/>
                    <w:rPr>
                      <w:color w:val="000000" w:themeColor="text1"/>
                      <w:szCs w:val="21"/>
                    </w:rPr>
                  </w:pPr>
                  <w:r>
                    <w:rPr>
                      <w:color w:val="000000" w:themeColor="text1"/>
                      <w:szCs w:val="21"/>
                    </w:rPr>
                    <w:t>六价铬</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9</w:t>
                  </w:r>
                </w:p>
              </w:tc>
              <w:tc>
                <w:tcPr>
                  <w:tcW w:w="1576" w:type="dxa"/>
                  <w:gridSpan w:val="2"/>
                  <w:vAlign w:val="center"/>
                </w:tcPr>
                <w:p>
                  <w:pPr>
                    <w:pStyle w:val="33"/>
                    <w:spacing w:line="360" w:lineRule="exact"/>
                    <w:rPr>
                      <w:color w:val="000000" w:themeColor="text1"/>
                      <w:szCs w:val="21"/>
                    </w:rPr>
                  </w:pPr>
                  <w:r>
                    <w:rPr>
                      <w:rFonts w:hint="eastAsia"/>
                      <w:color w:val="000000" w:themeColor="text1"/>
                      <w:szCs w:val="21"/>
                    </w:rPr>
                    <w:t>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339" w:type="dxa"/>
                  <w:vAlign w:val="center"/>
                </w:tcPr>
                <w:p>
                  <w:pPr>
                    <w:pStyle w:val="33"/>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10</w:t>
                  </w:r>
                </w:p>
              </w:tc>
              <w:tc>
                <w:tcPr>
                  <w:tcW w:w="1576" w:type="dxa"/>
                  <w:gridSpan w:val="2"/>
                  <w:vAlign w:val="center"/>
                </w:tcPr>
                <w:p>
                  <w:pPr>
                    <w:pStyle w:val="33"/>
                    <w:spacing w:line="360" w:lineRule="exact"/>
                    <w:rPr>
                      <w:color w:val="000000" w:themeColor="text1"/>
                      <w:szCs w:val="21"/>
                    </w:rPr>
                  </w:pPr>
                  <w:r>
                    <w:rPr>
                      <w:color w:val="000000" w:themeColor="text1"/>
                      <w:szCs w:val="21"/>
                    </w:rPr>
                    <w:t>铍</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0.0004</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0.0001L</w:t>
                  </w:r>
                </w:p>
              </w:tc>
              <w:tc>
                <w:tcPr>
                  <w:tcW w:w="1339" w:type="dxa"/>
                  <w:vAlign w:val="center"/>
                </w:tcPr>
                <w:p>
                  <w:pPr>
                    <w:pStyle w:val="33"/>
                    <w:spacing w:line="360" w:lineRule="exact"/>
                    <w:rPr>
                      <w:color w:val="000000" w:themeColor="text1"/>
                      <w:szCs w:val="21"/>
                    </w:rPr>
                  </w:pPr>
                  <w:r>
                    <w:rPr>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11</w:t>
                  </w:r>
                </w:p>
              </w:tc>
              <w:tc>
                <w:tcPr>
                  <w:tcW w:w="1576" w:type="dxa"/>
                  <w:gridSpan w:val="2"/>
                  <w:vAlign w:val="center"/>
                </w:tcPr>
                <w:p>
                  <w:pPr>
                    <w:pStyle w:val="33"/>
                    <w:spacing w:line="360" w:lineRule="exact"/>
                    <w:rPr>
                      <w:color w:val="000000" w:themeColor="text1"/>
                      <w:szCs w:val="21"/>
                    </w:rPr>
                  </w:pPr>
                  <w:r>
                    <w:rPr>
                      <w:color w:val="000000" w:themeColor="text1"/>
                      <w:szCs w:val="21"/>
                    </w:rPr>
                    <w:t>钡</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0.0226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0.0025L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0.0057</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0.0219</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0.0152</w:t>
                  </w:r>
                </w:p>
              </w:tc>
              <w:tc>
                <w:tcPr>
                  <w:tcW w:w="1339"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12</w:t>
                  </w:r>
                </w:p>
              </w:tc>
              <w:tc>
                <w:tcPr>
                  <w:tcW w:w="1576" w:type="dxa"/>
                  <w:gridSpan w:val="2"/>
                  <w:vAlign w:val="center"/>
                </w:tcPr>
                <w:p>
                  <w:pPr>
                    <w:pStyle w:val="33"/>
                    <w:spacing w:line="360" w:lineRule="exact"/>
                    <w:rPr>
                      <w:color w:val="000000" w:themeColor="text1"/>
                      <w:szCs w:val="21"/>
                    </w:rPr>
                  </w:pPr>
                  <w:r>
                    <w:rPr>
                      <w:color w:val="000000" w:themeColor="text1"/>
                      <w:szCs w:val="21"/>
                    </w:rPr>
                    <w:t>镍</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339" w:type="dxa"/>
                  <w:vAlign w:val="center"/>
                </w:tcPr>
                <w:p>
                  <w:pPr>
                    <w:pStyle w:val="33"/>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13</w:t>
                  </w:r>
                </w:p>
              </w:tc>
              <w:tc>
                <w:tcPr>
                  <w:tcW w:w="1576" w:type="dxa"/>
                  <w:gridSpan w:val="2"/>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14</w:t>
                  </w:r>
                </w:p>
              </w:tc>
              <w:tc>
                <w:tcPr>
                  <w:tcW w:w="1576" w:type="dxa"/>
                  <w:gridSpan w:val="2"/>
                  <w:vAlign w:val="center"/>
                </w:tcPr>
                <w:p>
                  <w:pPr>
                    <w:pStyle w:val="33"/>
                    <w:spacing w:line="360" w:lineRule="exact"/>
                    <w:rPr>
                      <w:color w:val="000000" w:themeColor="text1"/>
                      <w:szCs w:val="21"/>
                    </w:rPr>
                  </w:pPr>
                  <w:r>
                    <w:rPr>
                      <w:color w:val="000000" w:themeColor="text1"/>
                      <w:szCs w:val="21"/>
                    </w:rPr>
                    <w:t>砷</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0.0478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0.0061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0.0352</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0.0023</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0.0016</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15</w:t>
                  </w:r>
                </w:p>
              </w:tc>
              <w:tc>
                <w:tcPr>
                  <w:tcW w:w="1576" w:type="dxa"/>
                  <w:gridSpan w:val="2"/>
                  <w:vAlign w:val="center"/>
                </w:tcPr>
                <w:p>
                  <w:pPr>
                    <w:pStyle w:val="33"/>
                    <w:spacing w:line="360" w:lineRule="exact"/>
                    <w:rPr>
                      <w:color w:val="000000" w:themeColor="text1"/>
                      <w:szCs w:val="21"/>
                    </w:rPr>
                  </w:pPr>
                  <w:r>
                    <w:rPr>
                      <w:color w:val="000000" w:themeColor="text1"/>
                      <w:szCs w:val="21"/>
                    </w:rPr>
                    <w:t>硒</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0.0316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0.0322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0.0402</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0.0136</w:t>
                  </w:r>
                </w:p>
              </w:tc>
              <w:tc>
                <w:tcPr>
                  <w:tcW w:w="1339"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16</w:t>
                  </w:r>
                </w:p>
              </w:tc>
              <w:tc>
                <w:tcPr>
                  <w:tcW w:w="1576" w:type="dxa"/>
                  <w:gridSpan w:val="2"/>
                  <w:vAlign w:val="center"/>
                </w:tcPr>
                <w:p>
                  <w:pPr>
                    <w:pStyle w:val="33"/>
                    <w:spacing w:line="360" w:lineRule="exact"/>
                    <w:rPr>
                      <w:color w:val="000000" w:themeColor="text1"/>
                      <w:szCs w:val="21"/>
                    </w:rPr>
                  </w:pPr>
                  <w:r>
                    <w:rPr>
                      <w:color w:val="000000" w:themeColor="text1"/>
                      <w:szCs w:val="21"/>
                    </w:rPr>
                    <w:t>氟化物</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1.72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1.80</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0.69</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0.36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0.66</w:t>
                  </w:r>
                </w:p>
              </w:tc>
              <w:tc>
                <w:tcPr>
                  <w:tcW w:w="1339" w:type="dxa"/>
                  <w:vAlign w:val="center"/>
                </w:tcPr>
                <w:p>
                  <w:pPr>
                    <w:pStyle w:val="33"/>
                    <w:spacing w:line="360" w:lineRule="exact"/>
                    <w:rPr>
                      <w:color w:val="000000" w:themeColor="text1"/>
                      <w:szCs w:val="21"/>
                    </w:rPr>
                  </w:pPr>
                  <w:r>
                    <w:rPr>
                      <w:color w:val="000000" w:themeColor="text1"/>
                      <w:szCs w:val="21"/>
                    </w:rPr>
                    <w:t>10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由上表可知，氧化锌尾渣（水淬渣）</w:t>
            </w:r>
            <w:r>
              <w:rPr>
                <w:rFonts w:ascii="Times New Roman" w:hAnsi="Times New Roman" w:cs="Times New Roman"/>
                <w:color w:val="000000" w:themeColor="text1"/>
                <w:sz w:val="24"/>
                <w:szCs w:val="24"/>
              </w:rPr>
              <w:t>水浸鉴别结果任何一种污染物的浓度均未超过《污水综合排放标准》（GB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-1996）最高允许排放浓度，且pH值在6-9范围之内。</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⑥氧化锌尾渣（水淬渣）属性判定结果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根据建设单位委托</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严格按照《危险废物鉴别技术规范》（HJ298-2019）的要求进行氧化锌尾渣（水淬渣）的属性鉴别结果可知，氧化锌尾渣（水淬渣）的</w:t>
            </w:r>
            <w:r>
              <w:rPr>
                <w:rFonts w:ascii="Times New Roman" w:hAnsi="Times New Roman" w:cs="Times New Roman"/>
                <w:color w:val="000000" w:themeColor="text1"/>
                <w:sz w:val="24"/>
                <w:szCs w:val="24"/>
              </w:rPr>
              <w:t>腐蚀性和浸出毒性不超过《危险废物鉴别标准腐蚀性鉴别》（GB5085.1-2007）和《危险废物鉴别标准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浸出毒性鉴别》（GB5085.3-2007），</w:t>
            </w:r>
            <w:r>
              <w:rPr>
                <w:rFonts w:hint="eastAsia" w:ascii="Times New Roman" w:hAnsi="Times New Roman" w:cs="Times New Roman"/>
                <w:color w:val="000000" w:themeColor="text1"/>
                <w:sz w:val="24"/>
                <w:szCs w:val="24"/>
              </w:rPr>
              <w:t>且</w:t>
            </w:r>
            <w:r>
              <w:rPr>
                <w:rFonts w:ascii="Times New Roman" w:hAnsi="Times New Roman" w:cs="Times New Roman"/>
                <w:color w:val="000000" w:themeColor="text1"/>
                <w:sz w:val="24"/>
                <w:szCs w:val="24"/>
              </w:rPr>
              <w:t>水浸实验获得的浸出液中，任何一种污染物的浓度均未超过《污水综合排放标准》（GB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-1996）最高允许排放浓度，且pH值在6-9范围之内，因此该氧化锌尾渣（水淬渣）属于第I类一般工业固体废物。</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辅料性质及来源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项目采用物理方法进行磁选和重选，不添加任何药剂。</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燃料</w:t>
            </w:r>
          </w:p>
          <w:p>
            <w:pPr>
              <w:autoSpaceDE w:val="0"/>
              <w:autoSpaceDN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调整后，</w:t>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烘干系统</w:t>
            </w:r>
            <w:r>
              <w:rPr>
                <w:rFonts w:ascii="Times New Roman" w:hAnsi="Times New Roman" w:cs="Times New Roman"/>
                <w:color w:val="000000" w:themeColor="text1"/>
                <w:sz w:val="24"/>
                <w:szCs w:val="24"/>
              </w:rPr>
              <w:t>使用</w:t>
            </w:r>
            <w:r>
              <w:rPr>
                <w:rFonts w:hint="eastAsia" w:ascii="Times New Roman" w:hAnsi="Times New Roman" w:cs="Times New Roman"/>
                <w:color w:val="000000" w:themeColor="text1"/>
                <w:sz w:val="24"/>
                <w:szCs w:val="24"/>
              </w:rPr>
              <w:t>生物质</w:t>
            </w:r>
            <w:r>
              <w:rPr>
                <w:rFonts w:ascii="Times New Roman" w:hAnsi="Times New Roman" w:cs="Times New Roman"/>
                <w:color w:val="000000" w:themeColor="text1"/>
                <w:sz w:val="24"/>
                <w:szCs w:val="24"/>
              </w:rPr>
              <w:t>作为燃料</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根据设计，本项目</w:t>
            </w:r>
            <w:r>
              <w:rPr>
                <w:rFonts w:hint="eastAsia" w:ascii="Times New Roman" w:hAnsi="Times New Roman" w:cs="Times New Roman"/>
                <w:color w:val="000000" w:themeColor="text1"/>
                <w:sz w:val="24"/>
                <w:szCs w:val="24"/>
              </w:rPr>
              <w:t>使用生物质成型燃料</w:t>
            </w:r>
            <w:r>
              <w:rPr>
                <w:rFonts w:ascii="Times New Roman" w:hAnsi="Times New Roman" w:cs="Times New Roman"/>
                <w:color w:val="000000" w:themeColor="text1"/>
                <w:sz w:val="24"/>
                <w:szCs w:val="24"/>
              </w:rPr>
              <w:t>用量约为</w:t>
            </w:r>
            <w:r>
              <w:rPr>
                <w:rFonts w:hint="eastAsia" w:ascii="Times New Roman" w:hAnsi="Times New Roman" w:cs="Times New Roman"/>
                <w:color w:val="000000" w:themeColor="text1"/>
                <w:sz w:val="24"/>
                <w:szCs w:val="24"/>
              </w:rPr>
              <w:t>1000t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0" w:firstLineChars="200"/>
              <w:rPr>
                <w:rFonts w:hint="eastAsia" w:ascii="Times New Roman" w:hAnsi="Times New Roman"/>
                <w:bCs/>
                <w:color w:val="000000" w:themeColor="text1"/>
                <w:sz w:val="24"/>
                <w:szCs w:val="24"/>
              </w:rPr>
            </w:pPr>
            <w:r>
              <w:rPr>
                <w:rFonts w:hint="eastAsia" w:ascii="Times New Roman" w:hAnsi="Times New Roman"/>
                <w:bCs/>
                <w:color w:val="000000" w:themeColor="text1"/>
                <w:sz w:val="24"/>
                <w:szCs w:val="24"/>
              </w:rPr>
              <w:t>根据检测报告，项目拟使用生物质燃料成分如下表所示。</w:t>
            </w:r>
          </w:p>
          <w:p>
            <w:pPr>
              <w:spacing w:line="360" w:lineRule="auto"/>
              <w:ind w:firstLine="480" w:firstLineChars="200"/>
              <w:rPr>
                <w:rFonts w:hint="eastAsia" w:ascii="Times New Roman" w:hAnsi="Times New Roman"/>
                <w:bCs/>
                <w:color w:val="000000" w:themeColor="text1"/>
                <w:sz w:val="24"/>
                <w:szCs w:val="24"/>
              </w:rPr>
            </w:pPr>
          </w:p>
          <w:p>
            <w:pPr>
              <w:spacing w:line="360" w:lineRule="auto"/>
              <w:ind w:firstLine="480" w:firstLineChars="200"/>
              <w:rPr>
                <w:rFonts w:hint="eastAsia" w:ascii="Times New Roman" w:hAnsi="Times New Roman"/>
                <w:bCs/>
                <w:color w:val="000000" w:themeColor="text1"/>
                <w:sz w:val="24"/>
                <w:szCs w:val="24"/>
              </w:rPr>
            </w:pPr>
          </w:p>
          <w:p>
            <w:pPr>
              <w:spacing w:line="360" w:lineRule="auto"/>
              <w:ind w:firstLine="480" w:firstLineChars="200"/>
              <w:rPr>
                <w:rFonts w:ascii="Times New Roman" w:hAnsi="Times New Roman"/>
                <w:bCs/>
                <w:color w:val="000000" w:themeColor="text1"/>
                <w:sz w:val="24"/>
                <w:szCs w:val="24"/>
              </w:rPr>
            </w:pPr>
          </w:p>
          <w:p>
            <w:pPr>
              <w:pStyle w:val="43"/>
              <w:spacing w:line="360" w:lineRule="exact"/>
              <w:rPr>
                <w:color w:val="000000" w:themeColor="text1"/>
                <w:szCs w:val="21"/>
              </w:rPr>
            </w:pPr>
            <w:r>
              <w:rPr>
                <w:rFonts w:hint="eastAsia"/>
                <w:color w:val="000000" w:themeColor="text1"/>
                <w:szCs w:val="21"/>
              </w:rPr>
              <w:t>表2.5.3-1 生物质燃料主要成分一览表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
              <w:gridCol w:w="1417"/>
              <w:gridCol w:w="2008"/>
              <w:gridCol w:w="1434"/>
              <w:gridCol w:w="1434"/>
              <w:gridCol w:w="14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项目</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全水分</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空气干燥基水分</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空气干燥基灰分</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空气干燥基挥发分</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空气干燥基固定碳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成分</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9.0%</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2.40%</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3.07%</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77.69%</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项目</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空气干燥基弹筒发热量</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空气干燥基弹筒发热量高位发热量</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收到基恒容低位发热量</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空气干燥基全硫</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空气干燥基氢元素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成分</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19.29MJ/kg</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19.25MJ/kg</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16.62MJ/kg</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0.08%</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5.97%</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相关平衡</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2.6.1 物料平衡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根据项目生产工艺分析，本项目物料平衡如下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drawing>
                <wp:inline distT="0" distB="0" distL="0" distR="0">
                  <wp:extent cx="5477510" cy="2752090"/>
                  <wp:effectExtent l="19050" t="0" r="8740" b="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noChangeArrowheads="1"/>
                          </pic:cNvPicPr>
                        </pic:nvPicPr>
                        <pic:blipFill>
                          <a:blip r:embed="rId5"/>
                          <a:srcRect/>
                          <a:stretch>
                            <a:fillRect/>
                          </a:stretch>
                        </pic:blipFill>
                        <pic:spPr>
                          <a:xfrm>
                            <a:off x="0" y="0"/>
                            <a:ext cx="5478780" cy="2752727"/>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.1</w:t>
            </w:r>
            <w:r>
              <w:rPr>
                <w:rFonts w:hAnsi="Times New Roman" w:eastAsiaTheme="minorEastAsia"/>
                <w:bCs/>
                <w:snapToGrid w:val="0"/>
                <w:color w:val="000000" w:themeColor="text1"/>
                <w:sz w:val="21"/>
                <w:szCs w:val="21"/>
              </w:rPr>
              <w:t>-1 本项目物料平衡图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2.6.2 铁元素平衡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w:t>
            </w:r>
            <w:r>
              <w:rPr>
                <w:rFonts w:hint="eastAsia" w:ascii="Times New Roman" w:hAnsi="Times New Roman"/>
                <w:bCs/>
                <w:color w:val="000000" w:themeColor="text1"/>
                <w:sz w:val="24"/>
                <w:szCs w:val="24"/>
              </w:rPr>
              <w:t>铁元素</w:t>
            </w:r>
            <w:r>
              <w:rPr>
                <w:rFonts w:ascii="Times New Roman" w:hAnsi="Times New Roman"/>
                <w:bCs/>
                <w:color w:val="000000" w:themeColor="text1"/>
                <w:sz w:val="24"/>
                <w:szCs w:val="24"/>
              </w:rPr>
              <w:t>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color w:val="000000" w:themeColor="text1"/>
                <w:sz w:val="21"/>
                <w:szCs w:val="21"/>
              </w:rPr>
              <w:drawing>
                <wp:inline distT="0" distB="0" distL="0" distR="0">
                  <wp:extent cx="5478780" cy="1925955"/>
                  <wp:effectExtent l="19050" t="0" r="762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noChangeArrowheads="1"/>
                          </pic:cNvPicPr>
                        </pic:nvPicPr>
                        <pic:blipFill>
                          <a:blip r:embed="rId6"/>
                          <a:srcRect/>
                          <a:stretch>
                            <a:fillRect/>
                          </a:stretch>
                        </pic:blipFill>
                        <pic:spPr>
                          <a:xfrm>
                            <a:off x="0" y="0"/>
                            <a:ext cx="5478780" cy="1925955"/>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-1 本项目</w:t>
            </w:r>
            <w:r>
              <w:rPr>
                <w:rFonts w:hint="eastAsia" w:hAnsi="Times New Roman" w:eastAsiaTheme="minorEastAsia"/>
                <w:bCs/>
                <w:snapToGrid w:val="0"/>
                <w:color w:val="000000" w:themeColor="text1"/>
                <w:sz w:val="21"/>
                <w:szCs w:val="21"/>
              </w:rPr>
              <w:t>铁元素</w:t>
            </w:r>
            <w:r>
              <w:rPr>
                <w:rFonts w:hAnsi="Times New Roman" w:eastAsiaTheme="minorEastAsia"/>
                <w:bCs/>
                <w:snapToGrid w:val="0"/>
                <w:color w:val="000000" w:themeColor="text1"/>
                <w:sz w:val="21"/>
                <w:szCs w:val="21"/>
              </w:rPr>
              <w:t>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2.6.3 铅元素平衡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w:t>
            </w:r>
            <w:r>
              <w:rPr>
                <w:rFonts w:hint="eastAsia" w:ascii="Times New Roman" w:hAnsi="Times New Roman"/>
                <w:bCs/>
                <w:color w:val="000000" w:themeColor="text1"/>
                <w:sz w:val="24"/>
                <w:szCs w:val="24"/>
              </w:rPr>
              <w:t>铅元素</w:t>
            </w:r>
            <w:r>
              <w:rPr>
                <w:rFonts w:ascii="Times New Roman" w:hAnsi="Times New Roman"/>
                <w:bCs/>
                <w:color w:val="000000" w:themeColor="text1"/>
                <w:sz w:val="24"/>
                <w:szCs w:val="24"/>
              </w:rPr>
              <w:t>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drawing>
                <wp:inline distT="0" distB="0" distL="0" distR="0">
                  <wp:extent cx="5468620" cy="1927225"/>
                  <wp:effectExtent l="1905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noChangeArrowheads="1"/>
                          </pic:cNvPicPr>
                        </pic:nvPicPr>
                        <pic:blipFill>
                          <a:blip r:embed="rId7"/>
                          <a:srcRect/>
                          <a:stretch>
                            <a:fillRect/>
                          </a:stretch>
                        </pic:blipFill>
                        <pic:spPr>
                          <a:xfrm>
                            <a:off x="0" y="0"/>
                            <a:ext cx="5468620" cy="1927225"/>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.3</w:t>
            </w:r>
            <w:r>
              <w:rPr>
                <w:rFonts w:hAnsi="Times New Roman" w:eastAsiaTheme="minorEastAsia"/>
                <w:bCs/>
                <w:snapToGrid w:val="0"/>
                <w:color w:val="000000" w:themeColor="text1"/>
                <w:sz w:val="21"/>
                <w:szCs w:val="21"/>
              </w:rPr>
              <w:t>-1 本项目</w:t>
            </w:r>
            <w:r>
              <w:rPr>
                <w:rFonts w:hint="eastAsia" w:hAnsi="Times New Roman" w:eastAsiaTheme="minorEastAsia"/>
                <w:bCs/>
                <w:snapToGrid w:val="0"/>
                <w:color w:val="000000" w:themeColor="text1"/>
                <w:sz w:val="21"/>
                <w:szCs w:val="21"/>
              </w:rPr>
              <w:t>铅元素</w:t>
            </w:r>
            <w:r>
              <w:rPr>
                <w:rFonts w:hAnsi="Times New Roman" w:eastAsiaTheme="minorEastAsia"/>
                <w:bCs/>
                <w:snapToGrid w:val="0"/>
                <w:color w:val="000000" w:themeColor="text1"/>
                <w:sz w:val="21"/>
                <w:szCs w:val="21"/>
              </w:rPr>
              <w:t>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2.6.2 水平衡</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（1）本项目水平衡</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w:t>
            </w:r>
            <w:r>
              <w:rPr>
                <w:rFonts w:hint="eastAsia" w:ascii="Times New Roman" w:hAnsi="Times New Roman" w:cs="Times New Roman"/>
                <w:color w:val="000000" w:themeColor="text1"/>
                <w:sz w:val="24"/>
              </w:rPr>
              <w:t>本项目用水环节主要为生产用水和生活用水，而废水产生环节主要为生产废水、生活污水。而本项目</w:t>
            </w:r>
            <w:r>
              <w:rPr>
                <w:rFonts w:ascii="Times New Roman" w:hAnsi="Times New Roman" w:cs="Times New Roman"/>
                <w:color w:val="000000" w:themeColor="text1"/>
                <w:sz w:val="24"/>
              </w:rPr>
              <w:t>在现有厂区内建设，项目的建设不会改变现有厂区初期雨水的产生量</w:t>
            </w:r>
            <w:r>
              <w:rPr>
                <w:rFonts w:hint="eastAsia" w:ascii="Times New Roman" w:hAnsi="Times New Roman" w:cs="Times New Roman"/>
                <w:color w:val="000000" w:themeColor="text1"/>
                <w:sz w:val="24"/>
              </w:rPr>
              <w:t>，因此初期雨水纳入现有次氧化锌生产线废水污染源进行分析，</w:t>
            </w:r>
            <w:r>
              <w:rPr>
                <w:rFonts w:ascii="Times New Roman" w:hAnsi="Times New Roman" w:cs="Times New Roman"/>
                <w:color w:val="000000" w:themeColor="text1"/>
                <w:sz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生产废水量</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用水环节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根据工艺流程可知，</w:t>
            </w:r>
            <w:r>
              <w:rPr>
                <w:rFonts w:hint="eastAsia" w:ascii="Times New Roman" w:hAnsi="Times New Roman" w:cs="Times New Roman"/>
                <w:color w:val="000000" w:themeColor="text1"/>
                <w:sz w:val="24"/>
                <w:szCs w:val="24"/>
              </w:rPr>
              <w:t>本项目采用球磨、磁选和重选方式对氧化锌尾渣（水淬渣）进行综合利用，选出其中的铁物质，根据设计，本项目生产用水定额为2.77</w:t>
            </w:r>
            <w:r>
              <w:rPr>
                <w:rFonts w:ascii="Times New Roman" w:hAnsi="Times New Roman" w:cs="Times New Roman"/>
                <w:color w:val="000000" w:themeColor="text1"/>
                <w:sz w:val="24"/>
                <w:szCs w:val="24"/>
              </w:rPr>
              <w:t>m³/（t</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，项目处理氧化锌尾渣（水淬渣）500t/d（16500t/a），则用水量为1385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d（457050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a），添加水量全部在I段球磨工序添加。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废水量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根据生产工艺，进入系统的水量为1385m³/d，除了烘干蒸发和产品、废渣带走以外，其他全部变为废水，损失环节主要包括烘干蒸发、还原铁粉产品带走、次铁粉产品带走和废渣带走。其中烘干前</w:t>
            </w:r>
            <w:r>
              <w:rPr>
                <w:rFonts w:hint="eastAsia" w:ascii="Times New Roman" w:hAnsi="Times New Roman" w:cs="Times New Roman"/>
                <w:color w:val="000000" w:themeColor="text1"/>
                <w:sz w:val="24"/>
                <w:szCs w:val="24"/>
              </w:rPr>
              <w:t>单质铁</w:t>
            </w:r>
            <w:r>
              <w:rPr>
                <w:rFonts w:ascii="Times New Roman" w:hAnsi="Times New Roman" w:cs="Times New Roman"/>
                <w:color w:val="000000" w:themeColor="text1"/>
                <w:sz w:val="24"/>
                <w:szCs w:val="24"/>
              </w:rPr>
              <w:t>含水率约为15%、还原铁粉产品的含水率≤1%，次铁粉、废渣的含水率约为10%；则烘干蒸发量为22.66m³/d、还原铁粉产品带走水量为1.38m³/d、次铁粉产品带走水量为4.17m³/d、废渣带走水量为36.25m³/d，则</w:t>
            </w:r>
            <w:r>
              <w:rPr>
                <w:rFonts w:hint="eastAsia" w:ascii="Times New Roman" w:hAnsi="Times New Roman" w:cs="Times New Roman"/>
                <w:color w:val="000000" w:themeColor="text1"/>
                <w:sz w:val="24"/>
                <w:szCs w:val="24"/>
              </w:rPr>
              <w:t>生产</w:t>
            </w:r>
            <w:r>
              <w:rPr>
                <w:rFonts w:ascii="Times New Roman" w:hAnsi="Times New Roman" w:cs="Times New Roman"/>
                <w:color w:val="000000" w:themeColor="text1"/>
                <w:sz w:val="24"/>
                <w:szCs w:val="24"/>
              </w:rPr>
              <w:t>废水量约为1320.54m³/d（435778.2m³/a）。项目</w:t>
            </w:r>
            <w:r>
              <w:rPr>
                <w:rFonts w:hint="eastAsia" w:ascii="Times New Roman" w:hAnsi="Times New Roman" w:cs="Times New Roman"/>
                <w:color w:val="000000" w:themeColor="text1"/>
                <w:sz w:val="24"/>
                <w:szCs w:val="24"/>
              </w:rPr>
              <w:t>产生的生产废水进入</w:t>
            </w:r>
            <w:r>
              <w:rPr>
                <w:rFonts w:ascii="Times New Roman" w:hAnsi="Times New Roman" w:cs="Times New Roman"/>
                <w:color w:val="000000" w:themeColor="text1"/>
                <w:sz w:val="24"/>
                <w:szCs w:val="24"/>
              </w:rPr>
              <w:t>废水处理系统</w:t>
            </w:r>
            <w:r>
              <w:rPr>
                <w:rFonts w:hint="eastAsia" w:ascii="Times New Roman" w:hAnsi="Times New Roman" w:cs="Times New Roman"/>
                <w:color w:val="000000" w:themeColor="text1"/>
                <w:sz w:val="24"/>
                <w:szCs w:val="24"/>
              </w:rPr>
              <w:t>循环沉淀过滤回用于生产，不外排。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项目生产废水产排如下表所示。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表2.6.2-1 项目生产废水产排情况一览表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701"/>
              <w:gridCol w:w="1134"/>
              <w:gridCol w:w="2410"/>
              <w:gridCol w:w="1134"/>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2835" w:type="dxa"/>
                  <w:gridSpan w:val="2"/>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用水环节</w:t>
                  </w:r>
                </w:p>
              </w:tc>
              <w:tc>
                <w:tcPr>
                  <w:tcW w:w="3544" w:type="dxa"/>
                  <w:gridSpan w:val="2"/>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损失环节</w:t>
                  </w:r>
                </w:p>
              </w:tc>
              <w:tc>
                <w:tcPr>
                  <w:tcW w:w="1491"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用水工序</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用水量（</w:t>
                  </w:r>
                  <w:r>
                    <w:rPr>
                      <w:rFonts w:eastAsiaTheme="minorEastAsia"/>
                      <w:color w:val="000000" w:themeColor="text1"/>
                      <w:szCs w:val="21"/>
                    </w:rPr>
                    <w:t>m³/d</w:t>
                  </w: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损失或废水产生工序</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损失量（</w:t>
                  </w:r>
                  <w:r>
                    <w:rPr>
                      <w:rFonts w:eastAsiaTheme="minorEastAsia"/>
                      <w:color w:val="000000" w:themeColor="text1"/>
                      <w:szCs w:val="21"/>
                    </w:rPr>
                    <w:t>m³/d</w:t>
                  </w:r>
                  <w:r>
                    <w:rPr>
                      <w:rFonts w:hint="eastAsia" w:eastAsiaTheme="minorEastAsia"/>
                      <w:color w:val="000000" w:themeColor="text1"/>
                      <w:szCs w:val="21"/>
                    </w:rPr>
                    <w:t>）</w:t>
                  </w:r>
                </w:p>
              </w:tc>
              <w:tc>
                <w:tcPr>
                  <w:tcW w:w="1491"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废水量（</w:t>
                  </w:r>
                  <w:r>
                    <w:rPr>
                      <w:rFonts w:eastAsiaTheme="minorEastAsia"/>
                      <w:color w:val="000000" w:themeColor="text1"/>
                      <w:szCs w:val="21"/>
                    </w:rPr>
                    <w:t>m³/d</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进入系统水量</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烘干蒸发</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22.66</w:t>
                  </w:r>
                </w:p>
              </w:tc>
              <w:tc>
                <w:tcPr>
                  <w:tcW w:w="1491" w:type="dxa"/>
                  <w:vMerge w:val="restart"/>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1320.54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还原铁粉产品带走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次铁粉产品带走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4.17</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36.25</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8</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64.46</w:t>
                  </w:r>
                </w:p>
              </w:tc>
              <w:tc>
                <w:tcPr>
                  <w:tcW w:w="149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1320.54</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②生活污水量</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w:t>
            </w:r>
            <w:r>
              <w:rPr>
                <w:rFonts w:hint="eastAsia" w:ascii="Times New Roman" w:hAnsi="Times New Roman" w:cs="Times New Roman"/>
                <w:color w:val="000000" w:themeColor="text1"/>
                <w:sz w:val="24"/>
              </w:rPr>
              <w:t>本项目拟新增员工20人，均在</w:t>
            </w:r>
            <w:r>
              <w:rPr>
                <w:rFonts w:ascii="Times New Roman" w:hAnsi="Times New Roman" w:cs="Times New Roman"/>
                <w:color w:val="000000" w:themeColor="text1"/>
                <w:sz w:val="24"/>
              </w:rPr>
              <w:t>厂区吃饭，但住宿人数约为</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人，其余</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人回家住宿。根据《云南省地方标准用水定额》（DB53/T168-2019），在项目食宿员工用水量取100L/d·人，不在项目区住宿的员工用水量取60L/d·人，则生活用水量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528</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422.4</w:t>
            </w:r>
            <w:r>
              <w:rPr>
                <w:rFonts w:ascii="Times New Roman" w:hAnsi="Times New Roman" w:cs="Times New Roman"/>
                <w:color w:val="000000" w:themeColor="text1"/>
                <w:sz w:val="24"/>
              </w:rPr>
              <w:t>m³/a；其中食堂废水约为则废水量为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根据调查，目前项目已设置了1个1m³的隔油池、1个有效容积为20m³的化粪池对生活污水进行处理；项目生活污水经隔油池、化粪池处理后可达到《污水排入城镇下水道水质标准》（GB/T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-2015）B等级标准后，通过园区污水管网进入四方地与碧谷园区污水处理厂处理。</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w:t>
            </w:r>
            <w:r>
              <w:rPr>
                <w:rFonts w:ascii="Times New Roman" w:hAnsi="Times New Roman" w:cs="Times New Roman"/>
                <w:color w:val="000000" w:themeColor="text1"/>
                <w:sz w:val="24"/>
              </w:rPr>
              <w:t>本项目用排水情况详见下表。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hAnsi="Times New Roman" w:cs="Times New Roman"/>
                <w:b/>
                <w:bCs/>
                <w:color w:val="000000" w:themeColor="text1"/>
                <w:kern w:val="0"/>
              </w:rPr>
              <w:t>2.6.2-2</w:t>
            </w:r>
            <w:r>
              <w:rPr>
                <w:rFonts w:ascii="Times New Roman" w:hAnsi="Times New Roman" w:cs="Times New Roman"/>
                <w:b/>
                <w:bCs/>
                <w:color w:val="000000" w:themeColor="text1"/>
                <w:kern w:val="0"/>
              </w:rPr>
              <w:t xml:space="preserve"> </w:t>
            </w:r>
            <w:r>
              <w:rPr>
                <w:rFonts w:ascii="Times New Roman" w:cs="Times New Roman" w:hAnsiTheme="minorEastAsia"/>
                <w:b/>
                <w:bCs/>
                <w:color w:val="000000" w:themeColor="text1"/>
                <w:kern w:val="0"/>
              </w:rPr>
              <w:t>项目供排水情况一览表</w:t>
            </w:r>
          </w:p>
          <w:tbl>
            <w:tblPr>
              <w:tblStyle w:val="22"/>
              <w:tblW w:w="5000" w:type="pct"/>
              <w:jc w:val="center"/>
              <w:tblLayout w:type="fixed"/>
              <w:tblCellMar>
                <w:top w:w="0" w:type="dxa"/>
                <w:left w:w="108" w:type="dxa"/>
                <w:bottom w:w="0" w:type="dxa"/>
                <w:right w:w="108" w:type="dxa"/>
              </w:tblCellMar>
            </w:tblPr>
            <w:tblGrid>
              <w:gridCol w:w="1256"/>
              <w:gridCol w:w="1453"/>
              <w:gridCol w:w="1601"/>
              <w:gridCol w:w="1068"/>
              <w:gridCol w:w="897"/>
              <w:gridCol w:w="1279"/>
              <w:gridCol w:w="1063"/>
            </w:tblGrid>
            <w:tr>
              <w:tblPrEx>
                <w:tblCellMar>
                  <w:top w:w="0" w:type="dxa"/>
                  <w:left w:w="108" w:type="dxa"/>
                  <w:bottom w:w="0" w:type="dxa"/>
                  <w:right w:w="108" w:type="dxa"/>
                </w:tblCellMar>
              </w:tblPrEx>
              <w:trPr>
                <w:trHeight w:val="67" w:hRule="atLeast"/>
                <w:jc w:val="center"/>
              </w:trPr>
              <w:tc>
                <w:tcPr>
                  <w:tcW w:w="12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用水单元</w:t>
                  </w:r>
                </w:p>
              </w:tc>
              <w:tc>
                <w:tcPr>
                  <w:tcW w:w="14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规模</w:t>
                  </w:r>
                </w:p>
              </w:tc>
              <w:tc>
                <w:tcPr>
                  <w:tcW w:w="159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r>
            <w:tr>
              <w:tblPrEx>
                <w:tblCellMar>
                  <w:top w:w="0" w:type="dxa"/>
                  <w:left w:w="108" w:type="dxa"/>
                  <w:bottom w:w="0" w:type="dxa"/>
                  <w:right w:w="108" w:type="dxa"/>
                </w:tblCellMar>
              </w:tblPrEx>
              <w:trPr>
                <w:trHeight w:val="285" w:hRule="atLeast"/>
                <w:jc w:val="center"/>
              </w:trPr>
              <w:tc>
                <w:tcPr>
                  <w:tcW w:w="1253" w:type="dxa"/>
                  <w:vMerge w:val="continue"/>
                  <w:tcBorders>
                    <w:top w:val="single" w:color="auto" w:sz="8" w:space="0"/>
                    <w:left w:val="single" w:color="auto"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50"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p>
              </w:tc>
              <w:tc>
                <w:tcPr>
                  <w:tcW w:w="1597"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p>
              </w:tc>
              <w:tc>
                <w:tcPr>
                  <w:tcW w:w="106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m³/d</w:t>
                  </w:r>
                </w:p>
              </w:tc>
              <w:tc>
                <w:tcPr>
                  <w:tcW w:w="895"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m³/a</w:t>
                  </w:r>
                </w:p>
              </w:tc>
              <w:tc>
                <w:tcPr>
                  <w:tcW w:w="127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m³/d</w:t>
                  </w:r>
                </w:p>
              </w:tc>
              <w:tc>
                <w:tcPr>
                  <w:tcW w:w="1061"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m³/a</w:t>
                  </w:r>
                </w:p>
              </w:tc>
            </w:tr>
            <w:tr>
              <w:tblPrEx>
                <w:tblCellMar>
                  <w:top w:w="0" w:type="dxa"/>
                  <w:left w:w="108" w:type="dxa"/>
                  <w:bottom w:w="0" w:type="dxa"/>
                  <w:right w:w="108" w:type="dxa"/>
                </w:tblCellMar>
              </w:tblPrEx>
              <w:trPr>
                <w:trHeight w:val="285" w:hRule="atLeast"/>
                <w:jc w:val="center"/>
              </w:trPr>
              <w:tc>
                <w:tcPr>
                  <w:tcW w:w="1253" w:type="dxa"/>
                  <w:tcBorders>
                    <w:top w:val="single" w:color="auto" w:sz="8" w:space="0"/>
                    <w:left w:val="single" w:color="auto"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生产用水</w:t>
                  </w:r>
                </w:p>
              </w:tc>
              <w:tc>
                <w:tcPr>
                  <w:tcW w:w="1450"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500t/d</w:t>
                  </w:r>
                </w:p>
              </w:tc>
              <w:tc>
                <w:tcPr>
                  <w:tcW w:w="1597"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2.77</w:t>
                  </w:r>
                  <w:r>
                    <w:rPr>
                      <w:rFonts w:eastAsiaTheme="minorEastAsia"/>
                      <w:color w:val="000000" w:themeColor="text1"/>
                      <w:szCs w:val="21"/>
                    </w:rPr>
                    <w:t>m³/t</w:t>
                  </w:r>
                  <w:r>
                    <w:rPr>
                      <w:rFonts w:hint="eastAsia" w:eastAsiaTheme="minorEastAsia"/>
                      <w:color w:val="000000" w:themeColor="text1"/>
                      <w:szCs w:val="21"/>
                    </w:rPr>
                    <w:t>·氧化锌尾渣</w:t>
                  </w:r>
                </w:p>
              </w:tc>
              <w:tc>
                <w:tcPr>
                  <w:tcW w:w="106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895"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457050</w:t>
                  </w:r>
                </w:p>
              </w:tc>
              <w:tc>
                <w:tcPr>
                  <w:tcW w:w="127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1320.54</w:t>
                  </w:r>
                </w:p>
              </w:tc>
              <w:tc>
                <w:tcPr>
                  <w:tcW w:w="106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435778.2</w:t>
                  </w:r>
                </w:p>
              </w:tc>
            </w:tr>
            <w:tr>
              <w:tblPrEx>
                <w:tblCellMar>
                  <w:top w:w="0" w:type="dxa"/>
                  <w:left w:w="108" w:type="dxa"/>
                  <w:bottom w:w="0" w:type="dxa"/>
                  <w:right w:w="108" w:type="dxa"/>
                </w:tblCellMar>
              </w:tblPrEx>
              <w:trPr>
                <w:trHeight w:val="285" w:hRule="atLeast"/>
                <w:jc w:val="center"/>
              </w:trPr>
              <w:tc>
                <w:tcPr>
                  <w:tcW w:w="1253" w:type="dxa"/>
                  <w:vMerge w:val="restart"/>
                  <w:tcBorders>
                    <w:top w:val="single" w:color="auto" w:sz="8" w:space="0"/>
                    <w:left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生活用水</w:t>
                  </w:r>
                </w:p>
              </w:tc>
              <w:tc>
                <w:tcPr>
                  <w:tcW w:w="145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食宿10</w:t>
                  </w:r>
                  <w:r>
                    <w:rPr>
                      <w:rFonts w:eastAsiaTheme="minorEastAsia"/>
                      <w:color w:val="000000" w:themeColor="text1"/>
                      <w:szCs w:val="21"/>
                    </w:rPr>
                    <w:t>人</w:t>
                  </w:r>
                </w:p>
              </w:tc>
              <w:tc>
                <w:tcPr>
                  <w:tcW w:w="1597"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w:t>
                  </w:r>
                  <w:r>
                    <w:rPr>
                      <w:rFonts w:eastAsiaTheme="minorEastAsia"/>
                      <w:color w:val="000000" w:themeColor="text1"/>
                      <w:szCs w:val="21"/>
                    </w:rPr>
                    <w:t>0L/d·人</w:t>
                  </w:r>
                </w:p>
              </w:tc>
              <w:tc>
                <w:tcPr>
                  <w:tcW w:w="1066"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w:t>
                  </w:r>
                </w:p>
              </w:tc>
              <w:tc>
                <w:tcPr>
                  <w:tcW w:w="895"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528</w:t>
                  </w:r>
                </w:p>
              </w:tc>
              <w:tc>
                <w:tcPr>
                  <w:tcW w:w="1276"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1.28</w:t>
                  </w:r>
                </w:p>
              </w:tc>
              <w:tc>
                <w:tcPr>
                  <w:tcW w:w="1061"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422.4</w:t>
                  </w:r>
                </w:p>
              </w:tc>
            </w:tr>
            <w:tr>
              <w:tblPrEx>
                <w:tblCellMar>
                  <w:top w:w="0" w:type="dxa"/>
                  <w:left w:w="108" w:type="dxa"/>
                  <w:bottom w:w="0" w:type="dxa"/>
                  <w:right w:w="108" w:type="dxa"/>
                </w:tblCellMar>
              </w:tblPrEx>
              <w:trPr>
                <w:trHeight w:val="285" w:hRule="atLeast"/>
                <w:jc w:val="center"/>
              </w:trPr>
              <w:tc>
                <w:tcPr>
                  <w:tcW w:w="1253" w:type="dxa"/>
                  <w:vMerge w:val="continue"/>
                  <w:tcBorders>
                    <w:left w:val="single" w:color="auto" w:sz="8" w:space="0"/>
                    <w:bottom w:val="single" w:color="auto" w:sz="4"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p>
              </w:tc>
              <w:tc>
                <w:tcPr>
                  <w:tcW w:w="145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不住宿10人</w:t>
                  </w:r>
                </w:p>
              </w:tc>
              <w:tc>
                <w:tcPr>
                  <w:tcW w:w="1597"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w:t>
                  </w:r>
                  <w:r>
                    <w:rPr>
                      <w:rFonts w:eastAsiaTheme="minorEastAsia"/>
                      <w:color w:val="000000" w:themeColor="text1"/>
                      <w:szCs w:val="21"/>
                    </w:rPr>
                    <w:t>0L/d·人</w:t>
                  </w:r>
                </w:p>
              </w:tc>
              <w:tc>
                <w:tcPr>
                  <w:tcW w:w="1066"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895"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1276"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1061"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30" w:hRule="atLeast"/>
                <w:jc w:val="center"/>
              </w:trPr>
              <w:tc>
                <w:tcPr>
                  <w:tcW w:w="12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合计</w:t>
                  </w:r>
                </w:p>
              </w:tc>
              <w:tc>
                <w:tcPr>
                  <w:tcW w:w="1450"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97"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1386.6</w:t>
                  </w:r>
                </w:p>
              </w:tc>
              <w:tc>
                <w:tcPr>
                  <w:tcW w:w="895"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457578</w:t>
                  </w:r>
                </w:p>
              </w:tc>
              <w:tc>
                <w:tcPr>
                  <w:tcW w:w="1276" w:type="dxa"/>
                  <w:tcBorders>
                    <w:top w:val="single" w:color="auto" w:sz="8" w:space="0"/>
                    <w:left w:val="nil"/>
                    <w:bottom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1321.82</w:t>
                  </w:r>
                </w:p>
              </w:tc>
              <w:tc>
                <w:tcPr>
                  <w:tcW w:w="106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436200.6</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本项目水日平衡如下图所示。</w:t>
            </w:r>
          </w:p>
          <w:p>
            <w:pPr>
              <w:spacing w:line="360" w:lineRule="auto"/>
              <w:ind w:firstLine="480" w:firstLineChars="200"/>
              <w:rPr>
                <w:rFonts w:ascii="Times New Roman" w:hAnsi="Times New Roman" w:cs="Times New Roman"/>
                <w:color w:val="000000" w:themeColor="text1"/>
                <w:sz w:val="24"/>
              </w:rPr>
            </w:pPr>
          </w:p>
          <w:p>
            <w:pPr>
              <w:jc w:val="center"/>
              <w:rPr>
                <w:rFonts w:hint="eastAsia"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5468620" cy="786193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5468620" cy="7861935"/>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-1 </w:t>
            </w:r>
            <w:r>
              <w:rPr>
                <w:rFonts w:hint="eastAsia" w:ascii="Times New Roman" w:hAnsi="Times New Roman" w:cs="Times New Roman"/>
                <w:b/>
                <w:bCs/>
                <w:color w:val="000000" w:themeColor="text1"/>
                <w:kern w:val="0"/>
              </w:rPr>
              <w:t>本</w:t>
            </w:r>
            <w:r>
              <w:rPr>
                <w:rFonts w:ascii="Times New Roman" w:hAnsi="Times New Roman" w:cs="Times New Roman"/>
                <w:b/>
                <w:bCs/>
                <w:color w:val="000000" w:themeColor="text1"/>
                <w:kern w:val="0"/>
              </w:rPr>
              <w:t>项目水平衡图 m³/d</w:t>
            </w:r>
          </w:p>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本项目水年平衡如下图所示。</w:t>
            </w:r>
          </w:p>
          <w:p>
            <w:pPr>
              <w:spacing w:line="360" w:lineRule="auto"/>
              <w:ind w:firstLine="422" w:firstLineChars="200"/>
              <w:rPr>
                <w:rFonts w:ascii="Times New Roman" w:hAnsi="Times New Roman" w:cs="Times New Roman"/>
                <w:b/>
                <w:bCs/>
                <w:color w:val="000000" w:themeColor="text1"/>
                <w:kern w:val="0"/>
              </w:rPr>
            </w:pPr>
          </w:p>
          <w:p>
            <w:pPr>
              <w:jc w:val="center"/>
              <w:rPr>
                <w:rFonts w:hint="eastAsia"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5468620" cy="791591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9"/>
                          <a:srcRect/>
                          <a:stretch>
                            <a:fillRect/>
                          </a:stretch>
                        </pic:blipFill>
                        <pic:spPr>
                          <a:xfrm>
                            <a:off x="0" y="0"/>
                            <a:ext cx="5468620" cy="7915910"/>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本</w:t>
            </w:r>
            <w:r>
              <w:rPr>
                <w:rFonts w:ascii="Times New Roman" w:hAnsi="Times New Roman" w:cs="Times New Roman"/>
                <w:b/>
                <w:bCs/>
                <w:color w:val="000000" w:themeColor="text1"/>
                <w:kern w:val="0"/>
              </w:rPr>
              <w:t>项目水平衡图 m³/</w:t>
            </w:r>
            <w:r>
              <w:rPr>
                <w:rFonts w:hint="eastAsia" w:ascii="Times New Roman" w:hAnsi="Times New Roman" w:cs="Times New Roman"/>
                <w:b/>
                <w:bCs/>
                <w:color w:val="000000" w:themeColor="text1"/>
                <w:kern w:val="0"/>
              </w:rPr>
              <w:t>a</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（2）本项目建成后全厂水平衡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根据本项目水平衡及现有次氧化锌生产线水平衡核算可知，</w:t>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建成后全厂</w:t>
            </w:r>
            <w:r>
              <w:rPr>
                <w:rFonts w:ascii="Times New Roman" w:hAnsi="Times New Roman" w:cs="Times New Roman"/>
                <w:color w:val="000000" w:themeColor="text1"/>
                <w:sz w:val="24"/>
                <w:szCs w:val="24"/>
              </w:rPr>
              <w:t>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2.6.2-3</w:t>
            </w:r>
            <w:r>
              <w:rPr>
                <w:rFonts w:ascii="Times New Roman" w:cs="Times New Roman" w:hAnsiTheme="minorEastAsia"/>
                <w:b/>
                <w:bCs/>
                <w:color w:val="000000" w:themeColor="text1"/>
                <w:kern w:val="0"/>
              </w:rPr>
              <w:t xml:space="preserve"> 本项目</w:t>
            </w:r>
            <w:r>
              <w:rPr>
                <w:rFonts w:hint="eastAsia" w:ascii="Times New Roman" w:cs="Times New Roman" w:hAnsiTheme="minorEastAsia"/>
                <w:b/>
                <w:bCs/>
                <w:color w:val="000000" w:themeColor="text1"/>
                <w:kern w:val="0"/>
              </w:rPr>
              <w:t>建成后全厂</w:t>
            </w:r>
            <w:r>
              <w:rPr>
                <w:rFonts w:ascii="Times New Roman" w:cs="Times New Roman" w:hAnsiTheme="minorEastAsia"/>
                <w:b/>
                <w:bCs/>
                <w:color w:val="000000" w:themeColor="text1"/>
                <w:kern w:val="0"/>
              </w:rPr>
              <w:t>供排水情况一览表</w:t>
            </w:r>
          </w:p>
          <w:tbl>
            <w:tblPr>
              <w:tblStyle w:val="22"/>
              <w:tblW w:w="5000" w:type="pct"/>
              <w:jc w:val="center"/>
              <w:tblLayout w:type="fixed"/>
              <w:tblCellMar>
                <w:top w:w="0" w:type="dxa"/>
                <w:left w:w="108" w:type="dxa"/>
                <w:bottom w:w="0" w:type="dxa"/>
                <w:right w:w="108" w:type="dxa"/>
              </w:tblCellMar>
            </w:tblPr>
            <w:tblGrid>
              <w:gridCol w:w="877"/>
              <w:gridCol w:w="1096"/>
              <w:gridCol w:w="1434"/>
              <w:gridCol w:w="1289"/>
              <w:gridCol w:w="1004"/>
              <w:gridCol w:w="860"/>
              <w:gridCol w:w="1003"/>
              <w:gridCol w:w="1054"/>
            </w:tblGrid>
            <w:tr>
              <w:tblPrEx>
                <w:tblCellMar>
                  <w:top w:w="0" w:type="dxa"/>
                  <w:left w:w="108" w:type="dxa"/>
                  <w:bottom w:w="0" w:type="dxa"/>
                  <w:right w:w="108" w:type="dxa"/>
                </w:tblCellMar>
              </w:tblPrEx>
              <w:trPr>
                <w:trHeight w:val="56" w:hRule="atLeast"/>
                <w:jc w:val="center"/>
              </w:trPr>
              <w:tc>
                <w:tcPr>
                  <w:tcW w:w="1968" w:type="dxa"/>
                  <w:gridSpan w:val="2"/>
                  <w:vMerge w:val="restart"/>
                  <w:tcBorders>
                    <w:top w:val="single" w:color="auto" w:sz="8" w:space="0"/>
                    <w:left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用水单元</w:t>
                  </w:r>
                </w:p>
              </w:tc>
              <w:tc>
                <w:tcPr>
                  <w:tcW w:w="1431"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规模</w:t>
                  </w:r>
                </w:p>
              </w:tc>
              <w:tc>
                <w:tcPr>
                  <w:tcW w:w="128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用水定额</w:t>
                  </w:r>
                </w:p>
              </w:tc>
              <w:tc>
                <w:tcPr>
                  <w:tcW w:w="1860"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废水量</w:t>
                  </w:r>
                </w:p>
              </w:tc>
            </w:tr>
            <w:tr>
              <w:tblPrEx>
                <w:tblCellMar>
                  <w:top w:w="0" w:type="dxa"/>
                  <w:left w:w="108" w:type="dxa"/>
                  <w:bottom w:w="0" w:type="dxa"/>
                  <w:right w:w="108" w:type="dxa"/>
                </w:tblCellMar>
              </w:tblPrEx>
              <w:trPr>
                <w:trHeight w:val="285" w:hRule="atLeast"/>
                <w:jc w:val="center"/>
              </w:trPr>
              <w:tc>
                <w:tcPr>
                  <w:tcW w:w="1968" w:type="dxa"/>
                  <w:gridSpan w:val="2"/>
                  <w:vMerge w:val="continue"/>
                  <w:tcBorders>
                    <w:left w:val="single" w:color="auto" w:sz="8" w:space="0"/>
                    <w:bottom w:val="single" w:color="000000" w:sz="8" w:space="0"/>
                    <w:right w:val="single" w:color="000000" w:sz="8" w:space="0"/>
                  </w:tcBorders>
                  <w:vAlign w:val="center"/>
                </w:tcPr>
                <w:p>
                  <w:pPr>
                    <w:pStyle w:val="33"/>
                    <w:spacing w:line="360" w:lineRule="exact"/>
                    <w:rPr>
                      <w:color w:val="000000" w:themeColor="text1"/>
                      <w:szCs w:val="24"/>
                    </w:rPr>
                  </w:pPr>
                </w:p>
              </w:tc>
              <w:tc>
                <w:tcPr>
                  <w:tcW w:w="1431" w:type="dxa"/>
                  <w:vMerge w:val="continue"/>
                  <w:tcBorders>
                    <w:top w:val="single" w:color="auto" w:sz="8" w:space="0"/>
                    <w:left w:val="single" w:color="000000" w:sz="8" w:space="0"/>
                    <w:bottom w:val="single" w:color="000000" w:sz="8" w:space="0"/>
                    <w:right w:val="single" w:color="auto" w:sz="8" w:space="0"/>
                  </w:tcBorders>
                  <w:vAlign w:val="center"/>
                </w:tcPr>
                <w:p>
                  <w:pPr>
                    <w:pStyle w:val="33"/>
                    <w:spacing w:line="360" w:lineRule="exact"/>
                    <w:rPr>
                      <w:color w:val="000000" w:themeColor="text1"/>
                      <w:szCs w:val="24"/>
                    </w:rPr>
                  </w:pPr>
                </w:p>
              </w:tc>
              <w:tc>
                <w:tcPr>
                  <w:tcW w:w="1286"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m³/d</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m³/a</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m³/d</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m³/a</w:t>
                  </w:r>
                </w:p>
              </w:tc>
            </w:tr>
            <w:tr>
              <w:tblPrEx>
                <w:tblCellMar>
                  <w:top w:w="0" w:type="dxa"/>
                  <w:left w:w="108" w:type="dxa"/>
                  <w:bottom w:w="0" w:type="dxa"/>
                  <w:right w:w="108" w:type="dxa"/>
                </w:tblCellMar>
              </w:tblPrEx>
              <w:trPr>
                <w:trHeight w:val="464" w:hRule="atLeast"/>
                <w:jc w:val="center"/>
              </w:trPr>
              <w:tc>
                <w:tcPr>
                  <w:tcW w:w="875" w:type="dxa"/>
                  <w:tcBorders>
                    <w:top w:val="single" w:color="auto" w:sz="8" w:space="0"/>
                    <w:left w:val="single" w:color="auto" w:sz="8" w:space="0"/>
                    <w:right w:val="single" w:color="auto" w:sz="4" w:space="0"/>
                  </w:tcBorders>
                  <w:vAlign w:val="center"/>
                </w:tcPr>
                <w:p>
                  <w:pPr>
                    <w:pStyle w:val="33"/>
                    <w:spacing w:line="360" w:lineRule="exact"/>
                    <w:rPr>
                      <w:color w:val="000000" w:themeColor="text1"/>
                      <w:szCs w:val="24"/>
                    </w:rPr>
                  </w:pPr>
                  <w:r>
                    <w:rPr>
                      <w:rFonts w:hint="eastAsia"/>
                      <w:color w:val="000000" w:themeColor="text1"/>
                      <w:szCs w:val="24"/>
                    </w:rPr>
                    <w:t>本次建设项目</w:t>
                  </w: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生产用水</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500t/d</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2.77</w:t>
                  </w:r>
                  <w:r>
                    <w:rPr>
                      <w:color w:val="000000" w:themeColor="text1"/>
                      <w:szCs w:val="24"/>
                    </w:rPr>
                    <w:t>m³/t</w:t>
                  </w:r>
                  <w:r>
                    <w:rPr>
                      <w:rFonts w:hint="eastAsia"/>
                      <w:color w:val="000000" w:themeColor="text1"/>
                      <w:szCs w:val="24"/>
                    </w:rPr>
                    <w:t>·氧化锌尾渣</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1385</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457050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1320.54</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435778.2</w:t>
                  </w:r>
                </w:p>
              </w:tc>
            </w:tr>
            <w:tr>
              <w:tblPrEx>
                <w:tblCellMar>
                  <w:top w:w="0" w:type="dxa"/>
                  <w:left w:w="108" w:type="dxa"/>
                  <w:bottom w:w="0" w:type="dxa"/>
                  <w:right w:w="108" w:type="dxa"/>
                </w:tblCellMar>
              </w:tblPrEx>
              <w:trPr>
                <w:trHeight w:val="285" w:hRule="atLeast"/>
                <w:jc w:val="center"/>
              </w:trPr>
              <w:tc>
                <w:tcPr>
                  <w:tcW w:w="875" w:type="dxa"/>
                  <w:vMerge w:val="restart"/>
                  <w:tcBorders>
                    <w:top w:val="single" w:color="auto" w:sz="8" w:space="0"/>
                    <w:left w:val="single" w:color="auto" w:sz="8" w:space="0"/>
                    <w:right w:val="single" w:color="auto" w:sz="4" w:space="0"/>
                  </w:tcBorders>
                  <w:vAlign w:val="center"/>
                </w:tcPr>
                <w:p>
                  <w:pPr>
                    <w:pStyle w:val="33"/>
                    <w:spacing w:line="360" w:lineRule="exact"/>
                    <w:rPr>
                      <w:color w:val="000000" w:themeColor="text1"/>
                      <w:szCs w:val="24"/>
                    </w:rPr>
                  </w:pPr>
                  <w:r>
                    <w:rPr>
                      <w:rFonts w:hint="eastAsia"/>
                      <w:color w:val="000000" w:themeColor="text1"/>
                      <w:szCs w:val="24"/>
                    </w:rPr>
                    <w:t>现有次氧化锌生产线</w:t>
                  </w: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脱硫塔</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color w:val="000000" w:themeColor="text1"/>
                      <w:szCs w:val="24"/>
                    </w:rPr>
                    <w:t>50m³</w:t>
                  </w:r>
                  <w:r>
                    <w:rPr>
                      <w:rFonts w:hint="eastAsia"/>
                      <w:color w:val="000000" w:themeColor="text1"/>
                      <w:szCs w:val="24"/>
                    </w:rPr>
                    <w:t>/d</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50</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16500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r>
            <w:tr>
              <w:trPr>
                <w:trHeight w:val="285" w:hRule="atLeast"/>
                <w:jc w:val="center"/>
              </w:trPr>
              <w:tc>
                <w:tcPr>
                  <w:tcW w:w="875" w:type="dxa"/>
                  <w:vMerge w:val="continue"/>
                  <w:tcBorders>
                    <w:left w:val="single" w:color="auto" w:sz="8" w:space="0"/>
                    <w:bottom w:val="single" w:color="000000" w:sz="8" w:space="0"/>
                    <w:right w:val="single" w:color="auto" w:sz="4" w:space="0"/>
                  </w:tcBorders>
                  <w:vAlign w:val="center"/>
                </w:tcPr>
                <w:p>
                  <w:pPr>
                    <w:pStyle w:val="33"/>
                    <w:spacing w:line="360" w:lineRule="exact"/>
                    <w:rPr>
                      <w:color w:val="000000" w:themeColor="text1"/>
                      <w:szCs w:val="24"/>
                    </w:rPr>
                  </w:pP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初期雨水</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11256</w:t>
                  </w:r>
                  <w:r>
                    <w:rPr>
                      <w:color w:val="000000" w:themeColor="text1"/>
                      <w:szCs w:val="24"/>
                    </w:rPr>
                    <w:t>m²</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32.35</w:t>
                  </w:r>
                  <w:r>
                    <w:rPr>
                      <w:color w:val="000000" w:themeColor="text1"/>
                      <w:szCs w:val="24"/>
                    </w:rPr>
                    <w:t>m³/次</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w:t>
                  </w:r>
                </w:p>
              </w:tc>
            </w:tr>
            <w:tr>
              <w:tblPrEx>
                <w:tblCellMar>
                  <w:top w:w="0" w:type="dxa"/>
                  <w:left w:w="108" w:type="dxa"/>
                  <w:bottom w:w="0" w:type="dxa"/>
                  <w:right w:w="108" w:type="dxa"/>
                </w:tblCellMar>
              </w:tblPrEx>
              <w:trPr>
                <w:trHeight w:val="285" w:hRule="atLeast"/>
                <w:jc w:val="center"/>
              </w:trPr>
              <w:tc>
                <w:tcPr>
                  <w:tcW w:w="875" w:type="dxa"/>
                  <w:vMerge w:val="restart"/>
                  <w:tcBorders>
                    <w:top w:val="single" w:color="auto" w:sz="8" w:space="0"/>
                    <w:left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公共单元</w:t>
                  </w:r>
                </w:p>
              </w:tc>
              <w:tc>
                <w:tcPr>
                  <w:tcW w:w="1093" w:type="dxa"/>
                  <w:vMerge w:val="restart"/>
                  <w:tcBorders>
                    <w:top w:val="single" w:color="auto" w:sz="8" w:space="0"/>
                    <w:left w:val="single" w:color="auto" w:sz="4"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生活用水</w:t>
                  </w:r>
                </w:p>
              </w:tc>
              <w:tc>
                <w:tcPr>
                  <w:tcW w:w="143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食宿30</w:t>
                  </w:r>
                  <w:r>
                    <w:rPr>
                      <w:color w:val="000000" w:themeColor="text1"/>
                      <w:szCs w:val="24"/>
                    </w:rPr>
                    <w:t>人</w:t>
                  </w:r>
                </w:p>
              </w:tc>
              <w:tc>
                <w:tcPr>
                  <w:tcW w:w="128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10</w:t>
                  </w:r>
                  <w:r>
                    <w:rPr>
                      <w:color w:val="000000" w:themeColor="text1"/>
                      <w:szCs w:val="24"/>
                    </w:rPr>
                    <w:t>0L/d·人</w:t>
                  </w:r>
                </w:p>
              </w:tc>
              <w:tc>
                <w:tcPr>
                  <w:tcW w:w="1002"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5.4</w:t>
                  </w:r>
                </w:p>
              </w:tc>
              <w:tc>
                <w:tcPr>
                  <w:tcW w:w="858"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1782</w:t>
                  </w:r>
                </w:p>
              </w:tc>
              <w:tc>
                <w:tcPr>
                  <w:tcW w:w="1001"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4.32</w:t>
                  </w:r>
                </w:p>
              </w:tc>
              <w:tc>
                <w:tcPr>
                  <w:tcW w:w="1052"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1425.6</w:t>
                  </w:r>
                </w:p>
              </w:tc>
            </w:tr>
            <w:tr>
              <w:tblPrEx>
                <w:tblCellMar>
                  <w:top w:w="0" w:type="dxa"/>
                  <w:left w:w="108" w:type="dxa"/>
                  <w:bottom w:w="0" w:type="dxa"/>
                  <w:right w:w="108" w:type="dxa"/>
                </w:tblCellMar>
              </w:tblPrEx>
              <w:trPr>
                <w:trHeight w:val="285" w:hRule="atLeast"/>
                <w:jc w:val="center"/>
              </w:trPr>
              <w:tc>
                <w:tcPr>
                  <w:tcW w:w="875" w:type="dxa"/>
                  <w:vMerge w:val="continue"/>
                  <w:tcBorders>
                    <w:left w:val="single" w:color="auto" w:sz="8" w:space="0"/>
                    <w:bottom w:val="single" w:color="auto" w:sz="4" w:space="0"/>
                    <w:right w:val="single" w:color="auto" w:sz="4" w:space="0"/>
                  </w:tcBorders>
                  <w:shd w:val="clear" w:color="auto" w:fill="auto"/>
                  <w:vAlign w:val="center"/>
                </w:tcPr>
                <w:p>
                  <w:pPr>
                    <w:pStyle w:val="33"/>
                    <w:spacing w:line="360" w:lineRule="exact"/>
                    <w:rPr>
                      <w:color w:val="000000" w:themeColor="text1"/>
                      <w:szCs w:val="24"/>
                    </w:rPr>
                  </w:pPr>
                </w:p>
              </w:tc>
              <w:tc>
                <w:tcPr>
                  <w:tcW w:w="1093" w:type="dxa"/>
                  <w:vMerge w:val="continue"/>
                  <w:tcBorders>
                    <w:left w:val="single" w:color="auto" w:sz="4" w:space="0"/>
                    <w:bottom w:val="single" w:color="auto" w:sz="4" w:space="0"/>
                    <w:right w:val="single" w:color="000000" w:sz="8" w:space="0"/>
                  </w:tcBorders>
                  <w:shd w:val="clear" w:color="auto" w:fill="auto"/>
                  <w:vAlign w:val="center"/>
                </w:tcPr>
                <w:p>
                  <w:pPr>
                    <w:pStyle w:val="33"/>
                    <w:spacing w:line="360" w:lineRule="exact"/>
                    <w:rPr>
                      <w:color w:val="000000" w:themeColor="text1"/>
                      <w:szCs w:val="24"/>
                    </w:rPr>
                  </w:pPr>
                </w:p>
              </w:tc>
              <w:tc>
                <w:tcPr>
                  <w:tcW w:w="143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不住宿40人</w:t>
                  </w:r>
                </w:p>
              </w:tc>
              <w:tc>
                <w:tcPr>
                  <w:tcW w:w="128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6</w:t>
                  </w:r>
                  <w:r>
                    <w:rPr>
                      <w:color w:val="000000" w:themeColor="text1"/>
                      <w:szCs w:val="24"/>
                    </w:rPr>
                    <w:t>0L/d·人</w:t>
                  </w:r>
                </w:p>
              </w:tc>
              <w:tc>
                <w:tcPr>
                  <w:tcW w:w="1002"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858"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1001"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1052"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r>
            <w:tr>
              <w:tblPrEx>
                <w:tblCellMar>
                  <w:top w:w="0" w:type="dxa"/>
                  <w:left w:w="108" w:type="dxa"/>
                  <w:bottom w:w="0" w:type="dxa"/>
                  <w:right w:w="108" w:type="dxa"/>
                </w:tblCellMar>
              </w:tblPrEx>
              <w:trPr>
                <w:trHeight w:val="330" w:hRule="atLeast"/>
                <w:jc w:val="center"/>
              </w:trPr>
              <w:tc>
                <w:tcPr>
                  <w:tcW w:w="1968"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合计</w:t>
                  </w:r>
                </w:p>
              </w:tc>
              <w:tc>
                <w:tcPr>
                  <w:tcW w:w="1431"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w:t>
                  </w:r>
                </w:p>
              </w:tc>
              <w:tc>
                <w:tcPr>
                  <w:tcW w:w="1286"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w:t>
                  </w:r>
                </w:p>
              </w:tc>
              <w:tc>
                <w:tcPr>
                  <w:tcW w:w="1002"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1386.6</w:t>
                  </w:r>
                </w:p>
              </w:tc>
              <w:tc>
                <w:tcPr>
                  <w:tcW w:w="858"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457578</w:t>
                  </w:r>
                </w:p>
              </w:tc>
              <w:tc>
                <w:tcPr>
                  <w:tcW w:w="1001" w:type="dxa"/>
                  <w:tcBorders>
                    <w:top w:val="single" w:color="auto" w:sz="8" w:space="0"/>
                    <w:left w:val="nil"/>
                    <w:bottom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1321.82</w:t>
                  </w:r>
                </w:p>
              </w:tc>
              <w:tc>
                <w:tcPr>
                  <w:tcW w:w="1052"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436200.6</w:t>
                  </w:r>
                </w:p>
              </w:tc>
            </w:tr>
          </w:tbl>
          <w:p>
            <w:pPr>
              <w:pStyle w:val="41"/>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1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⑴</w:t>
            </w:r>
            <w:r>
              <w:rPr>
                <w:rFonts w:hAnsiTheme="minorEastAsia" w:eastAsiaTheme="minorEastAsia"/>
                <w:color w:val="000000" w:themeColor="text1"/>
                <w:szCs w:val="24"/>
              </w:rPr>
              <w:fldChar w:fldCharType="end"/>
            </w:r>
            <w:r>
              <w:rPr>
                <w:rFonts w:hAnsiTheme="minorEastAsia" w:eastAsiaTheme="minorEastAsia"/>
                <w:color w:val="000000" w:themeColor="text1"/>
                <w:szCs w:val="24"/>
              </w:rPr>
              <w:t>本项目</w:t>
            </w:r>
            <w:r>
              <w:rPr>
                <w:rFonts w:hint="eastAsia" w:hAnsiTheme="minorEastAsia" w:eastAsiaTheme="minorEastAsia"/>
                <w:color w:val="000000" w:themeColor="text1"/>
                <w:szCs w:val="24"/>
              </w:rPr>
              <w:t>建成后全厂非雨天</w:t>
            </w:r>
            <w:r>
              <w:rPr>
                <w:rFonts w:hAnsiTheme="minorEastAsia" w:eastAsiaTheme="minorEastAsia"/>
                <w:color w:val="000000" w:themeColor="text1"/>
                <w:szCs w:val="24"/>
              </w:rPr>
              <w:t>水平衡如下图所示。</w:t>
            </w: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jc w:val="center"/>
              <w:rPr>
                <w:rFonts w:ascii="Times New Roman" w:cs="Times New Roman" w:hAnsiTheme="minorEastAsia"/>
                <w:b/>
                <w:bCs/>
                <w:color w:val="000000" w:themeColor="text1"/>
                <w:kern w:val="0"/>
              </w:rPr>
            </w:pPr>
          </w:p>
          <w:p>
            <w:pPr>
              <w:jc w:val="center"/>
              <w:rPr>
                <w:rFonts w:hint="eastAsia" w:ascii="Times New Roman" w:cs="Times New Roman" w:hAnsiTheme="minorEastAsia"/>
                <w:b/>
                <w:bCs/>
                <w:color w:val="000000" w:themeColor="text1"/>
                <w:kern w:val="0"/>
              </w:rPr>
            </w:pPr>
            <w:r>
              <w:rPr>
                <w:rFonts w:ascii="Times New Roman" w:cs="Times New Roman" w:hAnsiTheme="minorEastAsia"/>
                <w:b/>
                <w:bCs/>
                <w:color w:val="000000" w:themeColor="text1"/>
                <w:kern w:val="0"/>
              </w:rPr>
              <w:drawing>
                <wp:inline distT="0" distB="0" distL="0" distR="0">
                  <wp:extent cx="5485765" cy="7980680"/>
                  <wp:effectExtent l="19050" t="0" r="63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0"/>
                          <a:srcRect/>
                          <a:stretch>
                            <a:fillRect/>
                          </a:stretch>
                        </pic:blipFill>
                        <pic:spPr>
                          <a:xfrm>
                            <a:off x="0" y="0"/>
                            <a:ext cx="5485765" cy="7980680"/>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图2.6.2-3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建成后全厂非雨天</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m³/d</w:t>
            </w:r>
          </w:p>
          <w:p>
            <w:pPr>
              <w:pStyle w:val="41"/>
              <w:spacing w:beforeLines="50"/>
              <w:ind w:firstLine="480"/>
              <w:rPr>
                <w:rFonts w:hint="eastAsia"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2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⑵</w:t>
            </w:r>
            <w:r>
              <w:rPr>
                <w:rFonts w:hAnsiTheme="minorEastAsia" w:eastAsiaTheme="minorEastAsia"/>
                <w:color w:val="000000" w:themeColor="text1"/>
                <w:szCs w:val="24"/>
              </w:rPr>
              <w:fldChar w:fldCharType="end"/>
            </w:r>
            <w:r>
              <w:rPr>
                <w:rFonts w:hAnsiTheme="minorEastAsia" w:eastAsiaTheme="minorEastAsia"/>
                <w:color w:val="000000" w:themeColor="text1"/>
                <w:szCs w:val="24"/>
              </w:rPr>
              <w:t>本项目</w:t>
            </w:r>
            <w:r>
              <w:rPr>
                <w:rFonts w:hint="eastAsia" w:hAnsiTheme="minorEastAsia" w:eastAsiaTheme="minorEastAsia"/>
                <w:color w:val="000000" w:themeColor="text1"/>
                <w:szCs w:val="24"/>
              </w:rPr>
              <w:t>建成后全厂雨天</w:t>
            </w:r>
            <w:r>
              <w:rPr>
                <w:rFonts w:hAnsiTheme="minorEastAsia" w:eastAsiaTheme="minorEastAsia"/>
                <w:color w:val="000000" w:themeColor="text1"/>
                <w:szCs w:val="24"/>
              </w:rPr>
              <w:t>水平衡如下图所示。</w:t>
            </w:r>
          </w:p>
          <w:p>
            <w:pPr>
              <w:jc w:val="center"/>
              <w:rPr>
                <w:rFonts w:hint="eastAsia"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drawing>
                <wp:inline distT="0" distB="0" distL="0" distR="0">
                  <wp:extent cx="5467350" cy="80232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srcRect/>
                          <a:stretch>
                            <a:fillRect/>
                          </a:stretch>
                        </pic:blipFill>
                        <pic:spPr>
                          <a:xfrm>
                            <a:off x="0" y="0"/>
                            <a:ext cx="5468620" cy="8025275"/>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图2.6.2-4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建成后全厂雨天</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m³/d</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3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建成后全厂全年</w:t>
            </w:r>
            <w:r>
              <w:rPr>
                <w:rFonts w:ascii="Times New Roman" w:hAnsi="Times New Roman" w:cs="Times New Roman"/>
                <w:color w:val="000000" w:themeColor="text1"/>
                <w:sz w:val="24"/>
                <w:szCs w:val="24"/>
              </w:rPr>
              <w:t>水平衡如下图所示。</w:t>
            </w:r>
          </w:p>
          <w:p>
            <w:pPr>
              <w:jc w:val="center"/>
              <w:rPr>
                <w:rFonts w:hint="eastAsia" w:ascii="Times New Roman" w:cs="Times New Roman" w:hAnsiTheme="minorEastAsia"/>
                <w:b/>
                <w:bCs/>
                <w:color w:val="000000" w:themeColor="text1"/>
                <w:kern w:val="0"/>
              </w:rPr>
            </w:pPr>
          </w:p>
          <w:p>
            <w:pPr>
              <w:jc w:val="center"/>
              <w:rPr>
                <w:rFonts w:hint="eastAsia" w:ascii="Times New Roman" w:cs="Times New Roman" w:hAnsiTheme="minorEastAsia"/>
                <w:b/>
                <w:bCs/>
                <w:color w:val="000000" w:themeColor="text1"/>
                <w:kern w:val="0"/>
              </w:rPr>
            </w:pPr>
            <w:r>
              <w:rPr>
                <w:rFonts w:ascii="Times New Roman" w:cs="Times New Roman" w:hAnsiTheme="minorEastAsia"/>
                <w:b/>
                <w:bCs/>
                <w:color w:val="000000" w:themeColor="text1"/>
                <w:kern w:val="0"/>
              </w:rPr>
              <w:drawing>
                <wp:inline distT="0" distB="0" distL="0" distR="0">
                  <wp:extent cx="5092700" cy="8223250"/>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12"/>
                          <a:srcRect/>
                          <a:stretch>
                            <a:fillRect/>
                          </a:stretch>
                        </pic:blipFill>
                        <pic:spPr>
                          <a:xfrm>
                            <a:off x="0" y="0"/>
                            <a:ext cx="5092700" cy="8223250"/>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图2.6.2-5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建成后全厂全年</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w:t>
            </w:r>
            <w:r>
              <w:rPr>
                <w:rFonts w:hint="eastAsia" w:ascii="Times New Roman" w:hAnsi="Times New Roman" w:cs="Times New Roman"/>
                <w:b/>
                <w:bCs/>
                <w:color w:val="000000" w:themeColor="text1"/>
                <w:kern w:val="0"/>
              </w:rPr>
              <w: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本项目拟新增员工20人，均在</w:t>
            </w:r>
            <w:r>
              <w:rPr>
                <w:rFonts w:ascii="Times New Roman" w:hAnsi="Times New Roman" w:cs="Times New Roman"/>
                <w:bCs/>
                <w:color w:val="000000" w:themeColor="text1"/>
                <w:sz w:val="24"/>
                <w:szCs w:val="24"/>
              </w:rPr>
              <w:t>厂区吃饭，但住宿人数约为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人，其余</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人回家住宿。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年工作330d，实行每天3班制，每班8h。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于2021年初开始建设，属于未批先建项目，2021年5月23日昆明市生态环境局下达《责令改正违法行为决定书》（昆生环改【“绿剑”2021】05-02-02号），要求建设单位立即停止项目建设。建设单位按照管理部门的相关要求停止了项目建设，办理了环评手续，并于</w:t>
            </w:r>
            <w:r>
              <w:rPr>
                <w:rFonts w:ascii="Times New Roman" w:hAnsi="Times New Roman" w:cs="Times New Roman"/>
                <w:color w:val="000000" w:themeColor="text1"/>
                <w:sz w:val="24"/>
                <w:szCs w:val="24"/>
              </w:rPr>
              <w:t>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，建设单位根据新增项目重新申请了排污许可，并于2022年3月8日取得昆明市生态环境局下发的《排污许可证》（证书编号：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项目取得批复后，又立即开工建设，并于2022年3月建设完成。在建设和调试过程中发现项目区未配套设置天然气供应管道，回收碳工艺不成熟，通过重选方式回收氧化锌尾渣（水淬渣）中的碳的效果低于预期，因此拟对其进行调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调整后的建设内容主要为取消回收碳的生产工艺和原环评燃料由天然气变更为生物质燃料，并建设其配套的环保设施，本项目涉及变动的部分建设内容尚未动工，原已建设的</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系统的设备调试已暂停。该建设内容的调整涉及重新报批环评文件，因此后续内容建设主要根据</w:t>
            </w:r>
            <w:r>
              <w:rPr>
                <w:rFonts w:ascii="Times New Roman" w:hAnsi="Times New Roman" w:cs="Times New Roman"/>
                <w:color w:val="000000" w:themeColor="text1"/>
                <w:sz w:val="24"/>
                <w:szCs w:val="24"/>
              </w:rPr>
              <w:t>项目手续办理的实际情况</w:t>
            </w:r>
            <w:r>
              <w:rPr>
                <w:rFonts w:hint="eastAsia" w:ascii="Times New Roman" w:hAnsi="Times New Roman" w:cs="Times New Roman"/>
                <w:color w:val="000000" w:themeColor="text1"/>
                <w:sz w:val="24"/>
                <w:szCs w:val="24"/>
              </w:rPr>
              <w:t>而定</w:t>
            </w:r>
            <w:r>
              <w:rPr>
                <w:rFonts w:ascii="Times New Roman" w:hAnsi="Times New Roman" w:cs="Times New Roman"/>
                <w:color w:val="000000" w:themeColor="text1"/>
                <w:sz w:val="24"/>
                <w:szCs w:val="24"/>
              </w:rPr>
              <w:t>，拟定建设时间为202</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月-202</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月，建设期为</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个月。</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施工期主要为部分生产设施及其配套的环保设施建设。施工期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生产工艺</w:t>
            </w:r>
            <w:r>
              <w:rPr>
                <w:rFonts w:hint="eastAsia" w:ascii="Times New Roman" w:hAnsi="Times New Roman" w:cs="Times New Roman"/>
                <w:b/>
                <w:bCs/>
                <w:color w:val="000000" w:themeColor="text1"/>
                <w:sz w:val="24"/>
                <w:szCs w:val="24"/>
              </w:rPr>
              <w:t>流程图</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w:t>
            </w:r>
            <w:r>
              <w:rPr>
                <w:rFonts w:hint="eastAsia" w:ascii="Times New Roman" w:hAnsi="Times New Roman" w:cs="Times New Roman"/>
                <w:bCs/>
                <w:color w:val="000000" w:themeColor="text1"/>
                <w:sz w:val="24"/>
                <w:szCs w:val="24"/>
              </w:rPr>
              <w:t>项目</w:t>
            </w:r>
            <w:r>
              <w:rPr>
                <w:rFonts w:ascii="Times New Roman" w:hAnsi="Times New Roman" w:cs="Times New Roman"/>
                <w:bCs/>
                <w:color w:val="000000" w:themeColor="text1"/>
                <w:sz w:val="24"/>
                <w:szCs w:val="24"/>
              </w:rPr>
              <w:t>工艺流程如下图所示。</w:t>
            </w:r>
          </w:p>
          <w:p>
            <w:pPr>
              <w:jc w:val="center"/>
              <w:rPr>
                <w:rFonts w:hint="eastAsia"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drawing>
                <wp:inline distT="0" distB="0" distL="0" distR="0">
                  <wp:extent cx="5135245" cy="5797550"/>
                  <wp:effectExtent l="19050" t="0" r="7844"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noChangeArrowheads="1"/>
                          </pic:cNvPicPr>
                        </pic:nvPicPr>
                        <pic:blipFill>
                          <a:blip r:embed="rId13"/>
                          <a:srcRect/>
                          <a:stretch>
                            <a:fillRect/>
                          </a:stretch>
                        </pic:blipFill>
                        <pic:spPr>
                          <a:xfrm>
                            <a:off x="0" y="0"/>
                            <a:ext cx="5139833" cy="580261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 xml:space="preserve">-1  </w:t>
            </w:r>
            <w:r>
              <w:rPr>
                <w:rFonts w:hint="eastAsia" w:ascii="Times New Roman" w:hAnsi="Times New Roman" w:eastAsia="宋体" w:cs="Times New Roman"/>
                <w:b/>
                <w:color w:val="000000" w:themeColor="text1"/>
                <w:szCs w:val="24"/>
              </w:rPr>
              <w:t>项目</w:t>
            </w:r>
            <w:r>
              <w:rPr>
                <w:rFonts w:ascii="Times New Roman" w:hAnsi="Times New Roman" w:eastAsia="宋体" w:cs="Times New Roman"/>
                <w:b/>
                <w:color w:val="000000" w:themeColor="text1"/>
                <w:szCs w:val="24"/>
              </w:rPr>
              <w:t>生产工艺及产污流程示意图</w:t>
            </w:r>
          </w:p>
          <w:p>
            <w:pPr>
              <w:spacing w:beforeLines="50"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生产工艺简述</w:t>
            </w:r>
          </w:p>
          <w:p>
            <w:pPr>
              <w:spacing w:line="360" w:lineRule="auto"/>
              <w:ind w:firstLine="482" w:firstLineChars="20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①料斗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项目拟进行综合利用的氧化锌尾渣（水淬渣）首先进入1个54m³的料斗，通过料斗进入生产线的球磨I段工序。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项目I段球磨工序配套设置了</w:t>
            </w:r>
            <w:r>
              <w:rPr>
                <w:rFonts w:ascii="Times New Roman" w:hAnsi="Times New Roman" w:cs="Times New Roman"/>
                <w:bCs/>
                <w:color w:val="000000" w:themeColor="text1"/>
                <w:sz w:val="24"/>
                <w:szCs w:val="24"/>
              </w:rPr>
              <w:t>2台MQG1836</w:t>
            </w:r>
            <w:r>
              <w:rPr>
                <w:rFonts w:hint="eastAsia" w:ascii="Times New Roman" w:hAnsi="Times New Roman" w:cs="Times New Roman"/>
                <w:bCs/>
                <w:color w:val="000000" w:themeColor="text1"/>
                <w:sz w:val="24"/>
                <w:szCs w:val="24"/>
              </w:rPr>
              <w:t>型球磨机，对拟综合利用的</w:t>
            </w:r>
            <w:r>
              <w:rPr>
                <w:rFonts w:ascii="Times New Roman" w:hAnsi="Times New Roman" w:cs="Times New Roman"/>
                <w:bCs/>
                <w:color w:val="000000" w:themeColor="text1"/>
                <w:sz w:val="24"/>
                <w:szCs w:val="24"/>
              </w:rPr>
              <w:t>氧化锌尾渣（水淬渣）</w:t>
            </w:r>
            <w:r>
              <w:rPr>
                <w:rFonts w:hint="eastAsia" w:ascii="Times New Roman" w:hAnsi="Times New Roman" w:cs="Times New Roman"/>
                <w:bCs/>
                <w:color w:val="000000" w:themeColor="text1"/>
                <w:sz w:val="24"/>
                <w:szCs w:val="24"/>
              </w:rPr>
              <w:t>进行球磨，球磨过程需添加水，球磨后是水淬渣的粒径小于200目，I段球磨后的物料通过渣浆泵泵至磁选工序。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项目磁选工序设置2台CTB1021型磁选机，对I段球磨后的物料进行磁选，磁选后的尾渣通过渣浆泵泵至尾渣处理系统，而磁选后的含铁物质则通过渣浆泵泵至高频细筛工序。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④高频细筛</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项目拟设置1台1021型高频细筛对磁选后的含铁物质进行分级，其中筛上物（粒度＞100目）进入II段球磨工序；筛下物（粒度≤100目）进入重选。</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⑤</w:t>
            </w:r>
            <w:r>
              <w:rPr>
                <w:rFonts w:hint="eastAsia" w:ascii="Times New Roman" w:hAnsi="Times New Roman" w:cs="Times New Roman"/>
                <w:b/>
                <w:bCs/>
                <w:color w:val="000000" w:themeColor="text1"/>
                <w:sz w:val="24"/>
                <w:szCs w:val="24"/>
              </w:rPr>
              <w:t>II段球磨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项目II段球磨拟设置一台</w:t>
            </w:r>
            <w:r>
              <w:rPr>
                <w:rFonts w:ascii="Times New Roman" w:hAnsi="Times New Roman" w:cs="Times New Roman"/>
                <w:bCs/>
                <w:color w:val="000000" w:themeColor="text1"/>
                <w:sz w:val="24"/>
                <w:szCs w:val="24"/>
              </w:rPr>
              <w:t>MQY1245</w:t>
            </w:r>
            <w:r>
              <w:rPr>
                <w:rFonts w:hint="eastAsia" w:ascii="Times New Roman" w:hAnsi="Times New Roman" w:cs="Times New Roman"/>
                <w:bCs/>
                <w:color w:val="000000" w:themeColor="text1"/>
                <w:sz w:val="24"/>
                <w:szCs w:val="24"/>
              </w:rPr>
              <w:t>溢流型球磨机对筛上物（粒度＞100目）进行II段球磨，球磨后的物质再进入高频细筛机进行再次分级。</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⑥重选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项目重选拟设置</w:t>
            </w:r>
            <w:r>
              <w:rPr>
                <w:rFonts w:ascii="Times New Roman" w:hAnsi="Times New Roman" w:cs="Times New Roman"/>
                <w:bCs/>
                <w:color w:val="000000" w:themeColor="text1"/>
                <w:sz w:val="24"/>
                <w:szCs w:val="24"/>
              </w:rPr>
              <w:t>8</w:t>
            </w:r>
            <w:r>
              <w:rPr>
                <w:rFonts w:hint="eastAsia" w:ascii="Times New Roman" w:hAnsi="Times New Roman" w:cs="Times New Roman"/>
                <w:bCs/>
                <w:color w:val="000000" w:themeColor="text1"/>
                <w:sz w:val="24"/>
                <w:szCs w:val="24"/>
              </w:rPr>
              <w:t>台</w:t>
            </w:r>
            <w:r>
              <w:rPr>
                <w:rFonts w:ascii="Times New Roman" w:hAnsi="Times New Roman" w:cs="Times New Roman"/>
                <w:bCs/>
                <w:color w:val="000000" w:themeColor="text1"/>
                <w:sz w:val="24"/>
                <w:szCs w:val="24"/>
              </w:rPr>
              <w:t>摇床</w:t>
            </w:r>
            <w:r>
              <w:rPr>
                <w:rFonts w:hint="eastAsia" w:ascii="Times New Roman" w:hAnsi="Times New Roman" w:cs="Times New Roman"/>
                <w:bCs/>
                <w:color w:val="000000" w:themeColor="text1"/>
                <w:sz w:val="24"/>
                <w:szCs w:val="24"/>
              </w:rPr>
              <w:t>对高频细筛后的筛下物（粒度≤100目）进行重选，该利用铁单质的密度大于其他含铁氧化物密度的特点，可有效将还原铁粉（单质铁）和次铁粉（含铁氧化物）进行分离。重选后的次铁粉（含铁氧化物）通过渣浆泵泵至次铁粉产品生产工序生产次铁粉产品，而还原铁粉（单质铁）则进入烘干车间生产还原铁粉产品。</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⑦还原铁粉产品生产工序</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经重选分离得到的还原铁粉（单质铁）进入还原铁粉产品生产工序，在该工序内，经过脱水、烘干和包装后得到还原铁粉产品。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脱水</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经重选后的单质铁含水率约为73.6%，因此还原铁粉产品生产工序配套设置了1台</w:t>
            </w:r>
            <w:r>
              <w:rPr>
                <w:rFonts w:ascii="Times New Roman" w:hAnsi="Times New Roman" w:cs="Times New Roman"/>
                <w:bCs/>
                <w:color w:val="000000" w:themeColor="text1"/>
                <w:sz w:val="24"/>
                <w:szCs w:val="24"/>
              </w:rPr>
              <w:t>GW-3</w:t>
            </w:r>
            <w:r>
              <w:rPr>
                <w:rFonts w:hint="eastAsia" w:ascii="Times New Roman" w:hAnsi="Times New Roman" w:cs="Times New Roman"/>
                <w:bCs/>
                <w:color w:val="000000" w:themeColor="text1"/>
                <w:sz w:val="24"/>
                <w:szCs w:val="24"/>
              </w:rPr>
              <w:t>过滤机进行脱水，脱水后单质铁含水率约为15%，该过程会产生一定量的废水，废水进入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烘干</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脱水后的单质铁含水率约为15%，通过螺旋进料机进入烘干系统进行烘干，烘干系统由1套RFL型圆筒型热风炉、1台</w:t>
            </w:r>
            <w:r>
              <w:rPr>
                <w:rFonts w:ascii="Times New Roman" w:hAnsi="Times New Roman" w:cs="Times New Roman"/>
                <w:bCs/>
                <w:color w:val="000000" w:themeColor="text1"/>
                <w:sz w:val="24"/>
                <w:szCs w:val="24"/>
              </w:rPr>
              <w:t>Φ</w:t>
            </w:r>
            <w:r>
              <w:rPr>
                <w:rFonts w:hint="eastAsia" w:ascii="Times New Roman" w:hAnsi="Times New Roman" w:cs="Times New Roman"/>
                <w:bCs/>
                <w:color w:val="000000" w:themeColor="text1"/>
                <w:sz w:val="24"/>
                <w:szCs w:val="24"/>
              </w:rPr>
              <w:t>1200*21000烘干机和风机组成，洁净热空气与热风炉提供的高温热气（烟气）进行热交换后变为热空气进入烘干机内与单质铁逆流接触进行烘干；使单质铁含水率≤1%。具体烘干系统如下：</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drawing>
                <wp:inline distT="0" distB="0" distL="0" distR="0">
                  <wp:extent cx="5387975" cy="1927225"/>
                  <wp:effectExtent l="19050" t="0" r="2797"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noChangeArrowheads="1"/>
                          </pic:cNvPicPr>
                        </pic:nvPicPr>
                        <pic:blipFill>
                          <a:blip r:embed="rId14"/>
                          <a:srcRect/>
                          <a:stretch>
                            <a:fillRect/>
                          </a:stretch>
                        </pic:blipFill>
                        <pic:spPr>
                          <a:xfrm>
                            <a:off x="0" y="0"/>
                            <a:ext cx="5387919" cy="192725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2</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烘干系统</w:t>
            </w:r>
            <w:r>
              <w:rPr>
                <w:rFonts w:ascii="Times New Roman" w:hAnsi="Times New Roman" w:eastAsia="宋体" w:cs="Times New Roman"/>
                <w:b/>
                <w:color w:val="000000" w:themeColor="text1"/>
                <w:szCs w:val="24"/>
              </w:rPr>
              <w:t>工艺及产污流程示意图</w:t>
            </w:r>
          </w:p>
          <w:p>
            <w:pPr>
              <w:spacing w:beforeLines="50"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RFL型圆筒型热风炉主要由燃烧室和热交换桶组成，首先再燃烧室内投入生物质燃料，并通过风机鼓入空气进行燃烧，燃烧后的高温热气（烟气）进入热交换桶内，再热交换桶内鼓入空气和高温热气（烟气）进行间接热交换，热交换后的洁净热空气进入烘干机进行烘干，烘干工序将产生烘干粉尘（颗粒物），通过旋风除尘+袋式除尘器处理，其中旋风除尘效率为70%，2#布袋除尘除尘效率为98.4%，则综合除尘效率约为99.5%，烘干粉尘经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15</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排气筒（DA004）</w:t>
            </w:r>
            <w:r>
              <w:rPr>
                <w:rFonts w:hint="eastAsia" w:ascii="Times New Roman" w:hAnsi="Times New Roman" w:cs="Times New Roman"/>
                <w:bCs/>
                <w:color w:val="000000" w:themeColor="text1"/>
                <w:sz w:val="24"/>
                <w:szCs w:val="24"/>
              </w:rPr>
              <w:t>外排；而燃烧烟气主要为生物质燃料燃烧产生，其污染物类型包括颗粒物、SO</w:t>
            </w:r>
            <w:r>
              <w:rPr>
                <w:rFonts w:hint="eastAsia" w:ascii="Times New Roman" w:hAnsi="Times New Roman" w:cs="Times New Roman"/>
                <w:bCs/>
                <w:color w:val="000000" w:themeColor="text1"/>
                <w:sz w:val="24"/>
                <w:szCs w:val="24"/>
                <w:vertAlign w:val="subscript"/>
              </w:rPr>
              <w:t>2</w:t>
            </w:r>
            <w:r>
              <w:rPr>
                <w:rFonts w:hint="eastAsia" w:ascii="Times New Roman" w:hAnsi="Times New Roman" w:cs="Times New Roman"/>
                <w:bCs/>
                <w:color w:val="000000" w:themeColor="text1"/>
                <w:sz w:val="24"/>
                <w:szCs w:val="24"/>
              </w:rPr>
              <w:t>、NOx，针对燃烧烟气，项目拟通过低氮燃烧+非催化还原（SNCR）脱硝技术+袋式除尘器处理，其中低氮燃烧+非催化还原（SNCR）脱硝的NOx去除效率为45.4%，1#布袋除尘除尘效率为99.7%，燃烧烟气经处理后通过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0.4</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排气筒（DA003）</w:t>
            </w:r>
            <w:r>
              <w:rPr>
                <w:rFonts w:hint="eastAsia" w:ascii="Times New Roman" w:hAnsi="Times New Roman" w:cs="Times New Roman"/>
                <w:bCs/>
                <w:color w:val="000000" w:themeColor="text1"/>
                <w:sz w:val="24"/>
                <w:szCs w:val="24"/>
              </w:rPr>
              <w:t>外排。</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低氮燃烧+非催化还原（SNCR）脱硝工艺简介如下：</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A：低氮燃烧工艺：项目采用的</w:t>
            </w:r>
            <w:r>
              <w:rPr>
                <w:rFonts w:ascii="Times New Roman" w:hAnsi="Times New Roman" w:cs="Times New Roman"/>
                <w:bCs/>
                <w:color w:val="000000" w:themeColor="text1"/>
                <w:sz w:val="24"/>
                <w:szCs w:val="24"/>
              </w:rPr>
              <w:t>低氮氧化物燃烧技术控制燃烧条件</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以降低燃烧尾气中NOx浓度的各项技术。影响燃烧过程中NOx生成的主要因素是燃烧温度、烟气在高温区的停留时间、烟气中各种组分的浓度以及混合程度</w:t>
            </w:r>
            <w:r>
              <w:rPr>
                <w:rFonts w:hint="eastAsia" w:ascii="Times New Roman" w:hAnsi="Times New Roman" w:cs="Times New Roman"/>
                <w:bCs/>
                <w:color w:val="000000" w:themeColor="text1"/>
                <w:sz w:val="24"/>
                <w:szCs w:val="24"/>
              </w:rPr>
              <w:t>；项目主要采用</w:t>
            </w:r>
            <w:r>
              <w:rPr>
                <w:rFonts w:ascii="Times New Roman" w:hAnsi="Times New Roman" w:cs="Times New Roman"/>
                <w:bCs/>
                <w:color w:val="000000" w:themeColor="text1"/>
                <w:sz w:val="24"/>
                <w:szCs w:val="24"/>
              </w:rPr>
              <w:t>改变空气燃料比、燃烧空气的温度</w:t>
            </w:r>
            <w:r>
              <w:rPr>
                <w:rFonts w:hint="eastAsia" w:ascii="Times New Roman" w:hAnsi="Times New Roman" w:cs="Times New Roman"/>
                <w:bCs/>
                <w:color w:val="000000" w:themeColor="text1"/>
                <w:sz w:val="24"/>
                <w:szCs w:val="24"/>
              </w:rPr>
              <w:t>来</w:t>
            </w:r>
            <w:r>
              <w:rPr>
                <w:rFonts w:ascii="Times New Roman" w:hAnsi="Times New Roman" w:cs="Times New Roman"/>
                <w:bCs/>
                <w:color w:val="000000" w:themeColor="text1"/>
                <w:sz w:val="24"/>
                <w:szCs w:val="24"/>
              </w:rPr>
              <w:t>减少燃烧过程中氮氧化物的生成。</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B：非催化还原（SNCR）脱硝工艺：</w:t>
            </w:r>
            <w:r>
              <w:rPr>
                <w:rFonts w:hint="eastAsia" w:ascii="Times New Roman" w:hAnsi="Times New Roman" w:cs="Times New Roman"/>
                <w:color w:val="000000" w:themeColor="text1"/>
                <w:sz w:val="24"/>
                <w:szCs w:val="24"/>
              </w:rPr>
              <w:t>选择性非催化还原（SNCR）脱硝技术，是烟气NOx的末端处理技术，是把含有氨基的还原剂（尿素）在不使用催化剂的前提下使用脱销喷枪均匀喷入锅炉内，温度范围为800-1100℃的区域选择性的把烟气中的NOx还原为无害的N</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和H</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0，以达到减排NOx的目的。主要化学反应为：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2CO（NH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+4NO+O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4N</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+2CO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+4H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6CO（NH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+8NO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10N</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+6CO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+12H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包装</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根据设计，项目设置2个</w:t>
            </w:r>
            <w:r>
              <w:rPr>
                <w:rFonts w:ascii="Times New Roman" w:hAnsi="Times New Roman" w:cs="Times New Roman"/>
                <w:bCs/>
                <w:color w:val="000000" w:themeColor="text1"/>
                <w:sz w:val="24"/>
                <w:szCs w:val="24"/>
              </w:rPr>
              <w:t>Φ200*</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00</w:t>
            </w:r>
            <w:r>
              <w:rPr>
                <w:rFonts w:hint="eastAsia" w:ascii="Times New Roman" w:hAnsi="Times New Roman" w:cs="Times New Roman"/>
                <w:bCs/>
                <w:color w:val="000000" w:themeColor="text1"/>
                <w:sz w:val="24"/>
                <w:szCs w:val="24"/>
              </w:rPr>
              <w:t>的成品料斗，经烘干后的还原铁粉进入两个成品料斗进行包装入库后外卖。</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⑧次铁粉产品生产工序</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经重选分离得到的次铁粉（含铁氧化物）进入次铁粉产品生产工序，在该工序内，经过弱磁选、浓密和板框压滤后得到次铁粉产品产品。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弱磁选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由于重选分离的次铁粉（含铁氧化物）含有一定量的杂质，因此次铁粉产品生产工序设置1台</w:t>
            </w:r>
            <w:r>
              <w:rPr>
                <w:rFonts w:ascii="Times New Roman" w:hAnsi="Times New Roman" w:cs="Times New Roman"/>
                <w:bCs/>
                <w:color w:val="000000" w:themeColor="text1"/>
                <w:sz w:val="24"/>
                <w:szCs w:val="24"/>
              </w:rPr>
              <w:t>CTB091</w:t>
            </w:r>
            <w:r>
              <w:rPr>
                <w:rFonts w:hint="eastAsia" w:ascii="Times New Roman" w:hAnsi="Times New Roman" w:cs="Times New Roman"/>
                <w:bCs/>
                <w:color w:val="000000" w:themeColor="text1"/>
                <w:sz w:val="24"/>
                <w:szCs w:val="24"/>
              </w:rPr>
              <w:t>8弱磁机对次铁粉进行弱磁选，从而将次铁粉和杂质进行分离，得到的次铁粉进入浓密工序，而弱磁选后的尾渣通过渣浆泵泵至尾渣处理系统。</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弱磁选后的次铁粉含水率约66.5%，项目针对弱磁选后得到的次铁粉，设置1台FNX-10斜管浓密箱对其进行浓密，浓密后的次铁粉含水率约为45.3%，进入压滤工序；浓密废水进入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板框压滤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浓密后的次铁粉含水率约为45.3%，项目设置了2台50</w:t>
            </w:r>
            <w:r>
              <w:rPr>
                <w:rFonts w:ascii="Times New Roman" w:hAnsi="Times New Roman" w:cs="Times New Roman"/>
                <w:bCs/>
                <w:color w:val="000000" w:themeColor="text1"/>
                <w:sz w:val="24"/>
                <w:szCs w:val="24"/>
              </w:rPr>
              <w:t>m²</w:t>
            </w:r>
            <w:r>
              <w:rPr>
                <w:rFonts w:hint="eastAsia" w:ascii="Times New Roman" w:hAnsi="Times New Roman" w:cs="Times New Roman"/>
                <w:bCs/>
                <w:color w:val="000000" w:themeColor="text1"/>
                <w:sz w:val="24"/>
                <w:szCs w:val="24"/>
              </w:rPr>
              <w:t>的板框压滤机对经浓密后的次铁粉进行压滤，压滤后得到次铁粉产品。次铁粉产品含水率约为10%；压滤废水进入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⑨</w:t>
            </w:r>
            <w:r>
              <w:rPr>
                <w:rFonts w:hint="eastAsia" w:ascii="Times New Roman" w:hAnsi="Times New Roman" w:cs="Times New Roman"/>
                <w:b/>
                <w:bCs/>
                <w:color w:val="000000" w:themeColor="text1"/>
                <w:sz w:val="24"/>
                <w:szCs w:val="24"/>
              </w:rPr>
              <w:t>尾渣处理系统</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项目磁选和弱磁选工序产生的尾渣，项目拟设置尾渣处理系统对其进行处理，尾渣处理系统包括浓密+真空过滤工艺，具体如下：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项目设置5个FNX-10浓密机对磁选和弱磁选工序产生的尾渣进行浓密，浓密后的尾渣进入过滤工序；浓密废水进入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真空过滤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项目设置了1台GP-30-6盘式过滤机对经浓密后的尾渣进行过滤，经过滤后的废渣，运输至废渣暂存库暂存后，委托四方地工业园区弃渣场处置。过滤废水进入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施工期主要为部分生产设施及其配套的环保设施建设。施工期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本项目用水环节主要为生产用水和生活用水，而废水产生环节主要为生产废水、生活污水。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根据项目工程内容及生产工艺，本项目产生的固体废物包括：</w:t>
            </w:r>
            <w:r>
              <w:rPr>
                <w:rFonts w:hint="eastAsia" w:ascii="Times New Roman" w:hAnsi="Times New Roman" w:cs="Times New Roman"/>
                <w:color w:val="000000" w:themeColor="text1"/>
                <w:sz w:val="24"/>
                <w:szCs w:val="24"/>
              </w:rPr>
              <w:t>项目对氧化锌尾渣（水淬渣）利用后剩余的废渣、袋式除尘器收集烟尘、</w:t>
            </w:r>
            <w:r>
              <w:rPr>
                <w:rFonts w:ascii="Times New Roman" w:hAnsi="Times New Roman" w:cs="Times New Roman"/>
                <w:color w:val="000000" w:themeColor="text1"/>
                <w:sz w:val="24"/>
                <w:szCs w:val="24"/>
              </w:rPr>
              <w:t>旋风除尘器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袋式除尘器收集粉尘、</w:t>
            </w:r>
            <w:r>
              <w:rPr>
                <w:rFonts w:hint="eastAsia" w:ascii="Times New Roman" w:hAnsi="Times New Roman" w:cs="Times New Roman"/>
                <w:color w:val="000000" w:themeColor="text1"/>
                <w:sz w:val="24"/>
                <w:szCs w:val="24"/>
              </w:rPr>
              <w:t>热风炉燃烧产生的灰渣、</w:t>
            </w:r>
            <w:r>
              <w:rPr>
                <w:rFonts w:ascii="Times New Roman" w:hAnsi="Times New Roman" w:cs="Times New Roman"/>
                <w:color w:val="000000" w:themeColor="text1"/>
                <w:sz w:val="24"/>
                <w:szCs w:val="24"/>
              </w:rPr>
              <w:t>设备维修产生的废机油及废弃沾油抹布、生活垃圾。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本项目选址位于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，主要对昆明合旺有色金属有限公司生产线产生的氧化锌尾渣（水淬渣）进行综合利用，其原料来源于</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次氧化锌生产线及其拟扩建线产生的氧化锌尾渣（水淬渣）。与本项目有关的各生产线的基本情况如下：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现有次氧化锌生产线基本情况</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2.11.1 现有次氧化锌生产线环保手续办理情况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有次氧化锌生产线名称为“昆明合旺有色金属有限公司炼铅废渣的综合回收项目”，该生产线项目委托昆明理工大学于2007年12月编制完成了《昆明合旺有色金属有限公司炼铅废渣的综合回收项目环境影响报告书》，并于2008年1月14日取得昆明市东川区环境保护局（现昆明市生态环境局东川分局）《关于对昆明合旺有色金属有限公司炼铅废渣的综合回收项目环境影响报告书的批复》（东环保【2008】2号）；项目取得批复后开工建设，2009年2月建设完成，2009年7月10日通过昆明市东川区环境保护局（现昆明市生态环境局东川分局）主持的竣工验收，取得排污许可证（老证），后建设单位又按照排污许可证申请与核发技术规范的要求申领新排污许可证，并于2021年5月28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），后应排污许可证与现场存在不符情况，2021年10月20日进行了一次排污许可证变更；建设单位主持编制完成了《</w:t>
            </w:r>
            <w:r>
              <w:rPr>
                <w:rFonts w:ascii="Times New Roman" w:hAnsi="Times New Roman" w:cs="Times New Roman"/>
                <w:color w:val="000000" w:themeColor="text1"/>
                <w:sz w:val="24"/>
                <w:szCs w:val="24"/>
              </w:rPr>
              <w:t>昆明合旺有色金属有限公司炼铅废渣的综合回收项目</w:t>
            </w:r>
            <w:r>
              <w:rPr>
                <w:rFonts w:hint="eastAsia" w:ascii="Times New Roman" w:hAnsi="Times New Roman" w:cs="Times New Roman"/>
                <w:color w:val="000000" w:themeColor="text1"/>
                <w:sz w:val="24"/>
                <w:szCs w:val="24"/>
              </w:rPr>
              <w:t>突发环境事件应急预案》，并于2021年6月11日进行了备案。该生产线环保手续齐全。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2.11.2 现有次氧化锌生产线工程内容及规模</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昆明合旺有色金属有限公司炼铅废渣的综合回收项目厂区的总占地20亩，厂区内建设了1条次氧化锌生产线，年生产6000吨。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2.11.3</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现有次氧化锌生产线</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w:t>
            </w:r>
            <w:r>
              <w:rPr>
                <w:rFonts w:ascii="Times New Roman" w:hAnsi="Times New Roman" w:cs="Times New Roman"/>
                <w:color w:val="000000" w:themeColor="text1"/>
                <w:sz w:val="24"/>
                <w:szCs w:val="24"/>
              </w:rPr>
              <w:t>主要生产单元、主要工艺、生产设施及设施参数如下表所示。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2.11.3</w:t>
            </w:r>
            <w:r>
              <w:rPr>
                <w:rFonts w:ascii="Times New Roman" w:hAnsi="Times New Roman" w:eastAsia="宋体" w:cs="Times New Roman"/>
                <w:b/>
                <w:color w:val="000000" w:themeColor="text1"/>
                <w:szCs w:val="24"/>
              </w:rPr>
              <w:t xml:space="preserve">-1 </w:t>
            </w:r>
            <w:r>
              <w:rPr>
                <w:rFonts w:hint="eastAsia" w:ascii="Times New Roman" w:hAnsi="Times New Roman" w:eastAsia="宋体" w:cs="Times New Roman"/>
                <w:b/>
                <w:color w:val="000000" w:themeColor="text1"/>
                <w:szCs w:val="24"/>
              </w:rPr>
              <w:t>现有次氧化锌生产线</w:t>
            </w:r>
            <w:r>
              <w:rPr>
                <w:rFonts w:ascii="Times New Roman" w:hAnsi="Times New Roman" w:eastAsia="宋体" w:cs="Times New Roman"/>
                <w:b/>
                <w:color w:val="000000" w:themeColor="text1"/>
                <w:szCs w:val="24"/>
              </w:rPr>
              <w:t>主要生产单元、主要工艺、生产设施及设施参数表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582"/>
              <w:gridCol w:w="3096"/>
              <w:gridCol w:w="1843"/>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tcBorders>
                    <w:top w:val="single" w:color="auto" w:sz="4" w:space="0"/>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1582"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次氧化锌生产线</w:t>
                  </w: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配料车间</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上料机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10t/h</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皮带输送机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4.5×2kw</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破碎机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10kw</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焙烧段</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挥发回转窑</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w:t>
                  </w:r>
                  <w:r>
                    <w:rPr>
                      <w:rFonts w:hint="eastAsia" w:ascii="Times New Roman" w:hAnsi="Times New Roman" w:eastAsia="宋体" w:cs="Times New Roman"/>
                      <w:color w:val="000000" w:themeColor="text1"/>
                      <w:kern w:val="32"/>
                    </w:rPr>
                    <w:t>2.2×34m</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冷却及收尘段</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表冷收尘器</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布袋收尘器</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2826</w:t>
                  </w:r>
                  <w:r>
                    <w:rPr>
                      <w:rFonts w:ascii="Times New Roman" w:hAnsi="Times New Roman" w:eastAsia="宋体" w:cs="Times New Roman"/>
                      <w:color w:val="000000" w:themeColor="text1"/>
                      <w:kern w:val="32"/>
                    </w:rPr>
                    <w:t>m²</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其他</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离心引风机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Y8-39-10D</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罗茨鼓风机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RM364</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2603" w:type="dxa"/>
                  <w:gridSpan w:val="2"/>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2603" w:type="dxa"/>
                  <w:gridSpan w:val="2"/>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2.11.3 现有次氧化锌生产线生产工艺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根据调查，现有次氧化锌生产线工艺流程及产物节点如下图所示。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drawing>
                <wp:inline distT="0" distB="0" distL="0" distR="0">
                  <wp:extent cx="4868545" cy="4822825"/>
                  <wp:effectExtent l="19050" t="0" r="8106"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5"/>
                          <a:srcRect/>
                          <a:stretch>
                            <a:fillRect/>
                          </a:stretch>
                        </pic:blipFill>
                        <pic:spPr>
                          <a:xfrm>
                            <a:off x="0" y="0"/>
                            <a:ext cx="4878917" cy="4833139"/>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图2.11.3-1 现有次氧化锌生产线工艺流程及产物节点图</w:t>
            </w:r>
          </w:p>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2.11.4 现有次氧化锌生产线污染物排放情况</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（1）现有次氧化锌生产线废气污染源产排情况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产生的废气污染物主要包括：原料堆场装卸扬尘、氧化锌矿破碎粉尘、配料粉尘、</w:t>
            </w:r>
            <w:r>
              <w:rPr>
                <w:rFonts w:ascii="Times New Roman" w:hAnsi="Times New Roman" w:cs="Times New Roman"/>
                <w:color w:val="000000" w:themeColor="text1"/>
                <w:sz w:val="24"/>
                <w:szCs w:val="24"/>
              </w:rPr>
              <w:t>回转窑焙烧</w:t>
            </w:r>
            <w:r>
              <w:rPr>
                <w:rFonts w:hint="eastAsia" w:ascii="Times New Roman" w:hAnsi="Times New Roman" w:cs="Times New Roman"/>
                <w:color w:val="000000" w:themeColor="text1"/>
                <w:sz w:val="24"/>
                <w:szCs w:val="24"/>
              </w:rPr>
              <w:t>烟气（包括</w:t>
            </w:r>
            <w:r>
              <w:rPr>
                <w:rFonts w:ascii="Times New Roman" w:hAnsi="Times New Roman" w:cs="Times New Roman"/>
                <w:color w:val="000000" w:themeColor="text1"/>
                <w:sz w:val="24"/>
                <w:szCs w:val="24"/>
              </w:rPr>
              <w:t>颗粒物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汞及其化合物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铅及其化合物</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林格曼黑度</w:t>
            </w:r>
            <w:r>
              <w:rPr>
                <w:rFonts w:hint="eastAsia" w:ascii="Times New Roman" w:hAnsi="Times New Roman" w:cs="Times New Roman"/>
                <w:color w:val="000000" w:themeColor="text1"/>
                <w:sz w:val="24"/>
                <w:szCs w:val="24"/>
              </w:rPr>
              <w:t>）、炉窑泄料粉尘。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根据《污染源源强核算技术指南 准则》（HJ884-2018），现有工程污染源源强的核算应优先采用实测法，环评期间收集了</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2023年第一、二、三季度的手工监测数据，以及满负荷运营期间2023年9月27日-10月8日有效的自动监测数据，环评采用收集数据的平均值对污染现有污染源排放量进行核算，现有污染源产生量按照物料衡算法进行核算，</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废气污染源强核算结果如下表所示。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表2.11.4-1 废气污染源强核算结果及相关参数一览表</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639"/>
              <w:gridCol w:w="652"/>
              <w:gridCol w:w="709"/>
              <w:gridCol w:w="708"/>
              <w:gridCol w:w="142"/>
              <w:gridCol w:w="709"/>
              <w:gridCol w:w="2410"/>
              <w:gridCol w:w="586"/>
              <w:gridCol w:w="122"/>
              <w:gridCol w:w="70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工序/生产线</w:t>
                  </w:r>
                </w:p>
              </w:tc>
              <w:tc>
                <w:tcPr>
                  <w:tcW w:w="63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装置</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污染源</w:t>
                  </w:r>
                </w:p>
              </w:tc>
              <w:tc>
                <w:tcPr>
                  <w:tcW w:w="70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w:t>
                  </w:r>
                </w:p>
              </w:tc>
              <w:tc>
                <w:tcPr>
                  <w:tcW w:w="1559" w:type="dxa"/>
                  <w:gridSpan w:val="3"/>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污染物产生</w:t>
                  </w:r>
                </w:p>
              </w:tc>
              <w:tc>
                <w:tcPr>
                  <w:tcW w:w="2410" w:type="dxa"/>
                  <w:vMerge w:val="restart"/>
                  <w:tcBorders>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治理措施</w:t>
                  </w:r>
                </w:p>
              </w:tc>
              <w:tc>
                <w:tcPr>
                  <w:tcW w:w="1417" w:type="dxa"/>
                  <w:gridSpan w:val="3"/>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污染物排放</w:t>
                  </w:r>
                </w:p>
              </w:tc>
              <w:tc>
                <w:tcPr>
                  <w:tcW w:w="64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排放标准mg/m³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Merge w:val="continue"/>
                  <w:vAlign w:val="center"/>
                </w:tcPr>
                <w:p>
                  <w:pPr>
                    <w:pStyle w:val="33"/>
                    <w:spacing w:line="360" w:lineRule="exact"/>
                    <w:rPr>
                      <w:rFonts w:eastAsiaTheme="minorEastAsia"/>
                      <w:snapToGrid/>
                      <w:color w:val="000000" w:themeColor="text1"/>
                      <w:szCs w:val="21"/>
                    </w:rPr>
                  </w:pP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产生浓度mg/m³</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产生量t/a</w:t>
                  </w:r>
                </w:p>
              </w:tc>
              <w:tc>
                <w:tcPr>
                  <w:tcW w:w="2410" w:type="dxa"/>
                  <w:vMerge w:val="continue"/>
                  <w:tcBorders>
                    <w:right w:val="single" w:color="auto" w:sz="4" w:space="0"/>
                  </w:tcBorders>
                  <w:vAlign w:val="center"/>
                </w:tcPr>
                <w:p>
                  <w:pPr>
                    <w:pStyle w:val="33"/>
                    <w:spacing w:line="360" w:lineRule="exact"/>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排放浓度mg/m³</w:t>
                  </w:r>
                </w:p>
              </w:tc>
              <w:tc>
                <w:tcPr>
                  <w:tcW w:w="709" w:type="dxa"/>
                  <w:tcBorders>
                    <w:lef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排放量t/a</w:t>
                  </w:r>
                </w:p>
              </w:tc>
              <w:tc>
                <w:tcPr>
                  <w:tcW w:w="641" w:type="dxa"/>
                  <w:vMerge w:val="continue"/>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原料堆场</w:t>
                  </w: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装卸</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无组织</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709"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2410" w:type="dxa"/>
                  <w:tcBorders>
                    <w:right w:val="single" w:color="auto" w:sz="4" w:space="0"/>
                  </w:tcBorders>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项目针对原料车间扬尘，已对原料车间设置全封闭的顶棚及围挡，并采取了洒水抑尘设施。</w:t>
                  </w:r>
                </w:p>
              </w:tc>
              <w:tc>
                <w:tcPr>
                  <w:tcW w:w="708" w:type="dxa"/>
                  <w:gridSpan w:val="2"/>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0.409</w:t>
                  </w:r>
                </w:p>
              </w:tc>
              <w:tc>
                <w:tcPr>
                  <w:tcW w:w="709"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641"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现有次氧化锌生产线</w:t>
                  </w: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破碎</w:t>
                  </w: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2410" w:type="dxa"/>
                  <w:vMerge w:val="restart"/>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项目针对破碎及配料粉尘，项目已对破碎设备及配料进料口进行了封闭。</w:t>
                  </w:r>
                </w:p>
              </w:tc>
              <w:tc>
                <w:tcPr>
                  <w:tcW w:w="708"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641"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配料</w:t>
                  </w: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641"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回转窑焙烧</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DA001</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59</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6.47</w:t>
                  </w:r>
                </w:p>
              </w:tc>
              <w:tc>
                <w:tcPr>
                  <w:tcW w:w="2410" w:type="dxa"/>
                  <w:vMerge w:val="restart"/>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项目针对挥发回转窑烟气设置1套不锈钢脱硫塔，脱硫塔的型号为Φ3000×14000×4，该脱硫塔采用双碱脱硫工艺；烟尘去除效率为95%，SO</w:t>
                  </w:r>
                  <w:r>
                    <w:rPr>
                      <w:rFonts w:eastAsiaTheme="minorEastAsia"/>
                      <w:snapToGrid/>
                      <w:color w:val="000000" w:themeColor="text1"/>
                      <w:szCs w:val="21"/>
                      <w:vertAlign w:val="subscript"/>
                    </w:rPr>
                    <w:t>2</w:t>
                  </w:r>
                  <w:r>
                    <w:rPr>
                      <w:rFonts w:eastAsiaTheme="minorEastAsia"/>
                      <w:snapToGrid/>
                      <w:color w:val="000000" w:themeColor="text1"/>
                      <w:szCs w:val="21"/>
                    </w:rPr>
                    <w:t>去除效率不低于80%，汞及其化合物去除效率为90%，铅及其化合物除效率为90%；处理后的废气通过1根高28m、Φ1.0m的排气筒</w:t>
                  </w:r>
                  <w:r>
                    <w:rPr>
                      <w:rFonts w:hint="eastAsia" w:eastAsiaTheme="minorEastAsia"/>
                      <w:snapToGrid/>
                      <w:color w:val="000000" w:themeColor="text1"/>
                      <w:szCs w:val="21"/>
                    </w:rPr>
                    <w:t>（</w:t>
                  </w:r>
                  <w:r>
                    <w:rPr>
                      <w:rFonts w:eastAsiaTheme="minorEastAsia"/>
                      <w:snapToGrid/>
                      <w:color w:val="000000" w:themeColor="text1"/>
                      <w:szCs w:val="21"/>
                    </w:rPr>
                    <w:t>DA001</w:t>
                  </w:r>
                  <w:r>
                    <w:rPr>
                      <w:rFonts w:hint="eastAsia" w:eastAsiaTheme="minorEastAsia"/>
                      <w:snapToGrid/>
                      <w:color w:val="000000" w:themeColor="text1"/>
                      <w:szCs w:val="21"/>
                    </w:rPr>
                    <w:t>）</w:t>
                  </w:r>
                  <w:r>
                    <w:rPr>
                      <w:rFonts w:eastAsiaTheme="minorEastAsia"/>
                      <w:snapToGrid/>
                      <w:color w:val="000000" w:themeColor="text1"/>
                      <w:szCs w:val="21"/>
                    </w:rPr>
                    <w:t>排放。</w:t>
                  </w: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2.95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0.323</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SO</w:t>
                  </w:r>
                  <w:r>
                    <w:rPr>
                      <w:rFonts w:eastAsiaTheme="minorEastAsia"/>
                      <w:snapToGrid/>
                      <w:color w:val="000000" w:themeColor="text1"/>
                      <w:szCs w:val="21"/>
                      <w:vertAlign w:val="subscript"/>
                    </w:rPr>
                    <w:t>2</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41.75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4.58</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8.35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0.916</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汞及其化合物</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0.456</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0.05</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0.0456</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0.005</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铅及其化合物</w:t>
                  </w:r>
                </w:p>
              </w:tc>
              <w:tc>
                <w:tcPr>
                  <w:tcW w:w="850" w:type="dxa"/>
                  <w:gridSpan w:val="2"/>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0.857</w:t>
                  </w:r>
                </w:p>
              </w:tc>
              <w:tc>
                <w:tcPr>
                  <w:tcW w:w="709" w:type="dxa"/>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0.09</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0.0857</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0.009</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林格曼黑度</w:t>
                  </w:r>
                </w:p>
              </w:tc>
              <w:tc>
                <w:tcPr>
                  <w:tcW w:w="1559" w:type="dxa"/>
                  <w:gridSpan w:val="3"/>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1417" w:type="dxa"/>
                  <w:gridSpan w:val="3"/>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回转窑窑头</w:t>
                  </w:r>
                </w:p>
              </w:tc>
              <w:tc>
                <w:tcPr>
                  <w:tcW w:w="652"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DA002</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708" w:type="dxa"/>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400</w:t>
                  </w:r>
                </w:p>
              </w:tc>
              <w:tc>
                <w:tcPr>
                  <w:tcW w:w="851" w:type="dxa"/>
                  <w:gridSpan w:val="2"/>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11.28</w:t>
                  </w:r>
                </w:p>
              </w:tc>
              <w:tc>
                <w:tcPr>
                  <w:tcW w:w="2410" w:type="dxa"/>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针对炉窑泄料粉尘，项目设置了1套布袋除尘器对其进行处理，处理效率为96%，处理后通过1根高15m、Φ0.6m的排气筒（DA002）外排。</w:t>
                  </w:r>
                </w:p>
              </w:tc>
              <w:tc>
                <w:tcPr>
                  <w:tcW w:w="586"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16</w:t>
                  </w:r>
                </w:p>
              </w:tc>
              <w:tc>
                <w:tcPr>
                  <w:tcW w:w="831"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0.451</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有组织污染物及无组织污染物排放均可达到《铅、锌工业污染物排放标准》（GB25466-2010）及其修改单标准限值要求。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（2）现有次氧化锌生产线废水污染源产排情况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产生的废水污染物主要包括：脱硫废水、厂区初期雨水和生活污水。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①脱硫废水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根据调查，现有次氧化锌生产线正常生产期间，脱硫塔用水量为脱硫塔用水量为</w:t>
            </w:r>
            <w:r>
              <w:rPr>
                <w:rFonts w:ascii="Times New Roman" w:hAnsi="Times New Roman" w:cs="Times New Roman"/>
                <w:color w:val="000000" w:themeColor="text1"/>
                <w:sz w:val="24"/>
                <w:szCs w:val="24"/>
              </w:rPr>
              <w:t>50m³</w:t>
            </w:r>
            <w:r>
              <w:rPr>
                <w:rFonts w:hint="eastAsia"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，配套设置4个容积</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为50m³/个脱硫碱水循环池，</w:t>
            </w:r>
            <w:r>
              <w:rPr>
                <w:rFonts w:hint="eastAsia" w:ascii="Times New Roman" w:hAnsi="Times New Roman" w:cs="Times New Roman"/>
                <w:color w:val="000000" w:themeColor="text1"/>
                <w:sz w:val="24"/>
                <w:szCs w:val="24"/>
              </w:rPr>
              <w:t>脱硫废水循环使用不外排，并定期向系统内补充损失水量，补充量约为2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d，无废水外排。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②初期雨水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rPr>
              <w:t>现有厂区内</w:t>
            </w:r>
            <w:r>
              <w:rPr>
                <w:rFonts w:ascii="Times New Roman" w:hAnsi="Times New Roman" w:cs="Times New Roman"/>
                <w:color w:val="000000" w:themeColor="text1"/>
                <w:sz w:val="24"/>
                <w:szCs w:val="24"/>
              </w:rPr>
              <w:t>初期雨水产生量按下述公式进行计算：</w:t>
            </w:r>
          </w:p>
          <w:p>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Qm=F·Hm·Ψ÷1000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式中：Qm：最大径流量（m³）；</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F：汇水面积（m²）；</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Hm：降雨量（mm）；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Ψ：径流系数，取0.</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汇水面积取雨水直接落到地面上的占地面积，</w:t>
            </w:r>
            <w:r>
              <w:rPr>
                <w:rFonts w:hint="eastAsia" w:ascii="Times New Roman" w:hAnsi="Times New Roman" w:cs="Times New Roman"/>
                <w:color w:val="000000" w:themeColor="text1"/>
                <w:sz w:val="24"/>
              </w:rPr>
              <w:t>现有厂区内</w:t>
            </w:r>
            <w:r>
              <w:rPr>
                <w:rFonts w:hint="eastAsia" w:ascii="Times New Roman" w:hAnsi="Times New Roman" w:cs="Times New Roman"/>
                <w:color w:val="000000" w:themeColor="text1"/>
                <w:sz w:val="24"/>
                <w:szCs w:val="24"/>
              </w:rPr>
              <w:t>厂区总</w:t>
            </w:r>
            <w:r>
              <w:rPr>
                <w:rFonts w:ascii="Times New Roman" w:hAnsi="Times New Roman" w:cs="Times New Roman"/>
                <w:color w:val="000000" w:themeColor="text1"/>
                <w:sz w:val="24"/>
                <w:szCs w:val="24"/>
              </w:rPr>
              <w:t>占地面积约为13333.3m²，</w:t>
            </w:r>
            <w:r>
              <w:rPr>
                <w:rFonts w:hint="eastAsia" w:ascii="Times New Roman" w:hAnsi="Times New Roman" w:cs="Times New Roman"/>
                <w:color w:val="000000" w:themeColor="text1"/>
                <w:sz w:val="24"/>
                <w:szCs w:val="24"/>
              </w:rPr>
              <w:t>其中</w:t>
            </w:r>
            <w:r>
              <w:rPr>
                <w:rFonts w:ascii="Times New Roman" w:hAnsi="Times New Roman" w:cs="Times New Roman"/>
                <w:color w:val="000000" w:themeColor="text1"/>
                <w:sz w:val="24"/>
                <w:szCs w:val="24"/>
              </w:rPr>
              <w:t>可能受污染区的占地面积约</w:t>
            </w:r>
            <w:r>
              <w:rPr>
                <w:rFonts w:hint="eastAsia" w:ascii="Times New Roman" w:hAnsi="Times New Roman" w:cs="Times New Roman"/>
                <w:color w:val="000000" w:themeColor="text1"/>
                <w:sz w:val="24"/>
                <w:szCs w:val="24"/>
              </w:rPr>
              <w:t>11256</w:t>
            </w:r>
            <w:r>
              <w:rPr>
                <w:rFonts w:ascii="Times New Roman" w:hAnsi="Times New Roman" w:cs="Times New Roman"/>
                <w:color w:val="000000" w:themeColor="text1"/>
                <w:sz w:val="24"/>
                <w:szCs w:val="24"/>
              </w:rPr>
              <w:t>m²，考虑到项目区场地的硬化程度，径流系数取0.</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。该区30年一遇最大日降雨量153.3mm，经计算项目区最大日雨水量为</w:t>
            </w:r>
            <w:r>
              <w:rPr>
                <w:rFonts w:hint="eastAsia" w:ascii="Times New Roman" w:hAnsi="Times New Roman" w:cs="Times New Roman"/>
                <w:color w:val="000000" w:themeColor="text1"/>
                <w:sz w:val="24"/>
                <w:szCs w:val="24"/>
              </w:rPr>
              <w:t>1552.09</w:t>
            </w:r>
            <w:r>
              <w:rPr>
                <w:rFonts w:ascii="Times New Roman" w:hAnsi="Times New Roman" w:cs="Times New Roman"/>
                <w:color w:val="000000" w:themeColor="text1"/>
                <w:sz w:val="24"/>
                <w:szCs w:val="24"/>
              </w:rPr>
              <w:t>m³，初期雨水主要产生于暴雨前</w:t>
            </w:r>
            <w:r>
              <w:rPr>
                <w:rFonts w:hint="eastAsia"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min，经计算，</w:t>
            </w:r>
            <w:r>
              <w:rPr>
                <w:rFonts w:hint="eastAsia" w:ascii="Times New Roman" w:hAnsi="Times New Roman" w:cs="Times New Roman"/>
                <w:color w:val="000000" w:themeColor="text1"/>
                <w:sz w:val="24"/>
              </w:rPr>
              <w:t>现有厂区内</w:t>
            </w:r>
            <w:r>
              <w:rPr>
                <w:rFonts w:ascii="Times New Roman" w:hAnsi="Times New Roman" w:cs="Times New Roman"/>
                <w:color w:val="000000" w:themeColor="text1"/>
                <w:sz w:val="24"/>
                <w:szCs w:val="24"/>
              </w:rPr>
              <w:t>初期雨水产生量约为</w:t>
            </w:r>
            <w:r>
              <w:rPr>
                <w:rFonts w:hint="eastAsia" w:ascii="Times New Roman" w:hAnsi="Times New Roman" w:cs="Times New Roman"/>
                <w:color w:val="000000" w:themeColor="text1"/>
                <w:sz w:val="24"/>
                <w:szCs w:val="24"/>
              </w:rPr>
              <w:t>32.35</w:t>
            </w:r>
            <w:r>
              <w:rPr>
                <w:rFonts w:ascii="Times New Roman" w:hAnsi="Times New Roman" w:cs="Times New Roman"/>
                <w:color w:val="000000" w:themeColor="text1"/>
                <w:sz w:val="24"/>
                <w:szCs w:val="24"/>
              </w:rPr>
              <w:t>m³/次。根据调查，现有厂区已设置了1个有效容积为150m³的1#初期雨水收集池和1个50.8m³的2#初期雨水收集池对其收集</w:t>
            </w:r>
            <w:r>
              <w:rPr>
                <w:rFonts w:hint="eastAsia" w:ascii="Times New Roman" w:hAnsi="Times New Roman" w:cs="Times New Roman"/>
                <w:color w:val="000000" w:themeColor="text1"/>
                <w:sz w:val="24"/>
                <w:szCs w:val="24"/>
              </w:rPr>
              <w:t>；整改后，拟再在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低</w:t>
            </w:r>
            <w:r>
              <w:rPr>
                <w:rFonts w:ascii="Times New Roman" w:hAnsi="Times New Roman" w:cs="Times New Roman"/>
                <w:color w:val="000000" w:themeColor="text1"/>
                <w:sz w:val="24"/>
                <w:szCs w:val="24"/>
              </w:rPr>
              <w:t>处建设一个有效容积为5m³的</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初期雨水收集池</w:t>
            </w:r>
            <w:r>
              <w:rPr>
                <w:rFonts w:hint="eastAsia" w:ascii="Times New Roman" w:hAnsi="Times New Roman" w:cs="Times New Roman"/>
                <w:color w:val="000000" w:themeColor="text1"/>
                <w:sz w:val="24"/>
                <w:szCs w:val="24"/>
              </w:rPr>
              <w:t>，初期雨水经</w:t>
            </w:r>
            <w:r>
              <w:rPr>
                <w:rFonts w:ascii="Times New Roman" w:hAnsi="Times New Roman" w:cs="Times New Roman"/>
                <w:color w:val="000000" w:themeColor="text1"/>
                <w:sz w:val="24"/>
                <w:szCs w:val="24"/>
              </w:rPr>
              <w:t>收集后，</w:t>
            </w:r>
            <w:r>
              <w:rPr>
                <w:rFonts w:hint="eastAsia" w:ascii="Times New Roman" w:hAnsi="Times New Roman" w:cs="Times New Roman"/>
                <w:color w:val="000000" w:themeColor="text1"/>
                <w:sz w:val="24"/>
                <w:szCs w:val="24"/>
              </w:rPr>
              <w:t>用于次氧化锌生产线</w:t>
            </w:r>
            <w:r>
              <w:rPr>
                <w:rFonts w:ascii="Times New Roman" w:hAnsi="Times New Roman" w:cs="Times New Roman"/>
                <w:color w:val="000000" w:themeColor="text1"/>
                <w:sz w:val="24"/>
                <w:szCs w:val="24"/>
              </w:rPr>
              <w:t>原料堆场</w:t>
            </w:r>
            <w:r>
              <w:rPr>
                <w:rFonts w:hint="eastAsia" w:ascii="Times New Roman" w:hAnsi="Times New Roman" w:cs="Times New Roman"/>
                <w:color w:val="000000" w:themeColor="text1"/>
                <w:sz w:val="24"/>
                <w:szCs w:val="24"/>
              </w:rPr>
              <w:t>、厂区道路等区域进行洒水抑尘，不外排。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根据调查，现有次氧化锌生产线现有员工50人，均在</w:t>
            </w:r>
            <w:r>
              <w:rPr>
                <w:rFonts w:ascii="Times New Roman" w:hAnsi="Times New Roman" w:cs="Times New Roman"/>
                <w:color w:val="000000" w:themeColor="text1"/>
                <w:sz w:val="24"/>
                <w:szCs w:val="24"/>
              </w:rPr>
              <w:t>厂区吃饭，</w:t>
            </w:r>
            <w:r>
              <w:rPr>
                <w:rFonts w:hint="eastAsia" w:ascii="Times New Roman" w:hAnsi="Times New Roman" w:cs="Times New Roman"/>
                <w:color w:val="000000" w:themeColor="text1"/>
                <w:sz w:val="24"/>
                <w:szCs w:val="24"/>
              </w:rPr>
              <w:t>厂区</w:t>
            </w:r>
            <w:r>
              <w:rPr>
                <w:rFonts w:ascii="Times New Roman" w:hAnsi="Times New Roman" w:cs="Times New Roman"/>
                <w:color w:val="000000" w:themeColor="text1"/>
                <w:sz w:val="24"/>
                <w:szCs w:val="24"/>
              </w:rPr>
              <w:t>住宿人数为</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人，</w:t>
            </w:r>
            <w:r>
              <w:rPr>
                <w:rFonts w:hint="eastAsia" w:ascii="Times New Roman" w:hAnsi="Times New Roman" w:cs="Times New Roman"/>
                <w:color w:val="000000" w:themeColor="text1"/>
                <w:sz w:val="24"/>
                <w:szCs w:val="24"/>
              </w:rPr>
              <w:t>其余30</w:t>
            </w:r>
            <w:r>
              <w:rPr>
                <w:rFonts w:ascii="Times New Roman" w:hAnsi="Times New Roman" w:cs="Times New Roman"/>
                <w:color w:val="000000" w:themeColor="text1"/>
                <w:sz w:val="24"/>
                <w:szCs w:val="24"/>
              </w:rPr>
              <w:t>人回家住宿。</w:t>
            </w:r>
            <w:r>
              <w:rPr>
                <w:rFonts w:hint="eastAsia" w:ascii="Times New Roman" w:hAnsi="Times New Roman" w:cs="Times New Roman"/>
                <w:color w:val="000000" w:themeColor="text1"/>
                <w:sz w:val="24"/>
                <w:szCs w:val="24"/>
              </w:rPr>
              <w:t>按照</w:t>
            </w:r>
            <w:r>
              <w:rPr>
                <w:rFonts w:ascii="Times New Roman" w:hAnsi="Times New Roman" w:cs="Times New Roman"/>
                <w:color w:val="000000" w:themeColor="text1"/>
                <w:sz w:val="24"/>
                <w:szCs w:val="24"/>
              </w:rPr>
              <w:t>《云南省地方标准用水定额》（DB53/T168-2019），在项目食宿员工用水量取100L/d·人，不在项目区住宿的员工用水量取60L/d·人，则生活用水量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（1254</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；废水率按80%计，则废水量为</w:t>
            </w:r>
            <w:r>
              <w:rPr>
                <w:rFonts w:hint="eastAsia" w:ascii="Times New Roman" w:hAnsi="Times New Roman" w:cs="Times New Roman"/>
                <w:color w:val="000000" w:themeColor="text1"/>
                <w:sz w:val="24"/>
                <w:szCs w:val="24"/>
              </w:rPr>
              <w:t>3.04</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（1003.2</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；其中食堂废水约为则废水量为</w:t>
            </w:r>
            <w:r>
              <w:rPr>
                <w:rFonts w:hint="eastAsia" w:ascii="Times New Roman" w:hAnsi="Times New Roman" w:cs="Times New Roman"/>
                <w:color w:val="000000" w:themeColor="text1"/>
                <w:sz w:val="24"/>
                <w:szCs w:val="24"/>
              </w:rPr>
              <w:t>1.52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（501.6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针对生活污水设置了1个1m³的隔油池、1个有效容积为20m³的化粪池对其进行处理</w:t>
            </w:r>
            <w:r>
              <w:rPr>
                <w:rFonts w:hint="eastAsia" w:ascii="Times New Roman" w:hAnsi="Times New Roman" w:cs="Times New Roman"/>
                <w:color w:val="000000" w:themeColor="text1"/>
                <w:sz w:val="24"/>
                <w:szCs w:val="24"/>
              </w:rPr>
              <w:t>，本项目现有《</w:t>
            </w:r>
            <w:r>
              <w:rPr>
                <w:rFonts w:ascii="Times New Roman" w:hAnsi="Times New Roman" w:cs="Times New Roman"/>
                <w:color w:val="000000" w:themeColor="text1"/>
                <w:sz w:val="24"/>
                <w:szCs w:val="24"/>
              </w:rPr>
              <w:t>排污许可证</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证书编号：</w:t>
            </w:r>
            <w:r>
              <w:rPr>
                <w:rFonts w:hint="eastAsia"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6655174504001V）未要求对生活污水进行自行监测，类比同类项目，现有次氧化锌生产线生活污水产排情况如下表所示。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2.11.4-2 生活污水</w:t>
            </w:r>
            <w:r>
              <w:rPr>
                <w:rFonts w:ascii="Times New Roman" w:hAnsi="Times New Roman" w:eastAsia="宋体" w:cs="Times New Roman"/>
                <w:b/>
                <w:color w:val="000000" w:themeColor="text1"/>
                <w:szCs w:val="24"/>
              </w:rPr>
              <w:t>污染物排放源产排量及达标情况一览表</w:t>
            </w:r>
          </w:p>
          <w:tbl>
            <w:tblPr>
              <w:tblStyle w:val="22"/>
              <w:tblW w:w="5000" w:type="pct"/>
              <w:jc w:val="center"/>
              <w:tblLayout w:type="fixed"/>
              <w:tblCellMar>
                <w:top w:w="0" w:type="dxa"/>
                <w:left w:w="108" w:type="dxa"/>
                <w:bottom w:w="0" w:type="dxa"/>
                <w:right w:w="108" w:type="dxa"/>
              </w:tblCellMar>
            </w:tblPr>
            <w:tblGrid>
              <w:gridCol w:w="739"/>
              <w:gridCol w:w="738"/>
              <w:gridCol w:w="1247"/>
              <w:gridCol w:w="1136"/>
              <w:gridCol w:w="854"/>
              <w:gridCol w:w="1136"/>
              <w:gridCol w:w="994"/>
              <w:gridCol w:w="854"/>
              <w:gridCol w:w="921"/>
            </w:tblGrid>
            <w:tr>
              <w:tblPrEx>
                <w:tblCellMar>
                  <w:top w:w="0" w:type="dxa"/>
                  <w:left w:w="108" w:type="dxa"/>
                  <w:bottom w:w="0" w:type="dxa"/>
                  <w:right w:w="108" w:type="dxa"/>
                </w:tblCellMar>
              </w:tblPrEx>
              <w:trPr>
                <w:jc w:val="center"/>
              </w:trPr>
              <w:tc>
                <w:tcPr>
                  <w:tcW w:w="73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1967"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06"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844" w:type="dxa"/>
                  <w:vMerge w:val="restart"/>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排放标准</w:t>
                  </w:r>
                </w:p>
              </w:tc>
              <w:tc>
                <w:tcPr>
                  <w:tcW w:w="9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1"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12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84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12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排放浓度</w:t>
                  </w:r>
                  <w:r>
                    <w:rPr>
                      <w:rFonts w:eastAsiaTheme="minorEastAsia"/>
                      <w:color w:val="000000" w:themeColor="text1"/>
                      <w:szCs w:val="21"/>
                    </w:rPr>
                    <w:t>mg/m³</w:t>
                  </w:r>
                </w:p>
              </w:tc>
              <w:tc>
                <w:tcPr>
                  <w:tcW w:w="983" w:type="dxa"/>
                  <w:tcBorders>
                    <w:top w:val="single" w:color="000000"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排放量t</w:t>
                  </w:r>
                  <w:r>
                    <w:rPr>
                      <w:rFonts w:eastAsiaTheme="minorEastAsia"/>
                      <w:color w:val="000000" w:themeColor="text1"/>
                      <w:szCs w:val="21"/>
                    </w:rPr>
                    <w:t>/a</w:t>
                  </w:r>
                </w:p>
              </w:tc>
              <w:tc>
                <w:tcPr>
                  <w:tcW w:w="844" w:type="dxa"/>
                  <w:vMerge w:val="continue"/>
                  <w:tcBorders>
                    <w:top w:val="single" w:color="000000" w:sz="8" w:space="0"/>
                    <w:left w:val="nil"/>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11"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1"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0"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967"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1254</w:t>
                  </w:r>
                  <w:r>
                    <w:rPr>
                      <w:rFonts w:eastAsiaTheme="minorEastAsia"/>
                      <w:color w:val="000000" w:themeColor="text1"/>
                      <w:szCs w:val="21"/>
                    </w:rPr>
                    <w:t>m³/a</w:t>
                  </w:r>
                </w:p>
              </w:tc>
              <w:tc>
                <w:tcPr>
                  <w:tcW w:w="2106" w:type="dxa"/>
                  <w:gridSpan w:val="2"/>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1254</w:t>
                  </w:r>
                  <w:r>
                    <w:rPr>
                      <w:rFonts w:eastAsiaTheme="minorEastAsia"/>
                      <w:color w:val="000000" w:themeColor="text1"/>
                      <w:szCs w:val="21"/>
                    </w:rPr>
                    <w:t>m³/a</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983"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0.44</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280</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0.35</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500</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220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0.28</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190</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0.24</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38</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0.05</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300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0.38</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160</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0.06</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40</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0.05</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0.13</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60</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11</w:t>
                  </w:r>
                </w:p>
              </w:tc>
              <w:tc>
                <w:tcPr>
                  <w:tcW w:w="98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20</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1"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3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16000</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12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8000</w:t>
                  </w:r>
                </w:p>
              </w:tc>
              <w:tc>
                <w:tcPr>
                  <w:tcW w:w="983" w:type="dxa"/>
                  <w:tcBorders>
                    <w:top w:val="nil"/>
                    <w:left w:val="nil"/>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84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由上表可知，经隔油池和化粪池处理</w:t>
            </w:r>
            <w:r>
              <w:rPr>
                <w:rFonts w:ascii="Times New Roman" w:hAnsi="Times New Roman" w:cs="Times New Roman"/>
                <w:color w:val="000000" w:themeColor="text1"/>
                <w:sz w:val="24"/>
                <w:szCs w:val="24"/>
              </w:rPr>
              <w:t>后</w:t>
            </w:r>
            <w:r>
              <w:rPr>
                <w:rFonts w:hint="eastAsia" w:ascii="Times New Roman" w:hAnsi="Times New Roman" w:cs="Times New Roman"/>
                <w:color w:val="000000" w:themeColor="text1"/>
                <w:sz w:val="24"/>
                <w:szCs w:val="24"/>
              </w:rPr>
              <w:t>的生活污水</w:t>
            </w:r>
            <w:r>
              <w:rPr>
                <w:rFonts w:ascii="Times New Roman" w:hAnsi="Times New Roman" w:cs="Times New Roman"/>
                <w:color w:val="000000" w:themeColor="text1"/>
                <w:sz w:val="24"/>
                <w:szCs w:val="24"/>
              </w:rPr>
              <w:t>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-2015）的B等级标准，通过园区污水管网进入四方地与碧谷园区污水处理厂处理。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④现有次氧化锌生产线水平衡</w:t>
            </w:r>
          </w:p>
          <w:p>
            <w:pPr>
              <w:pStyle w:val="41"/>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1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⑴</w:t>
            </w:r>
            <w:r>
              <w:rPr>
                <w:rFonts w:hAnsiTheme="minorEastAsia" w:eastAsiaTheme="minorEastAsia"/>
                <w:color w:val="000000" w:themeColor="text1"/>
                <w:szCs w:val="24"/>
              </w:rPr>
              <w:fldChar w:fldCharType="end"/>
            </w:r>
            <w:r>
              <w:rPr>
                <w:rFonts w:hint="eastAsia" w:hAnsiTheme="minorEastAsia" w:eastAsiaTheme="minorEastAsia"/>
                <w:color w:val="000000" w:themeColor="text1"/>
                <w:szCs w:val="24"/>
              </w:rPr>
              <w:t>现有次氧化锌生产线</w:t>
            </w:r>
            <w:r>
              <w:rPr>
                <w:rFonts w:hAnsiTheme="minorEastAsia"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5010150" cy="241427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6"/>
                          <a:srcRect/>
                          <a:stretch>
                            <a:fillRect/>
                          </a:stretch>
                        </pic:blipFill>
                        <pic:spPr>
                          <a:xfrm>
                            <a:off x="0" y="0"/>
                            <a:ext cx="5011314" cy="2415463"/>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w:t>
            </w:r>
            <w:r>
              <w:rPr>
                <w:rFonts w:hint="eastAsia" w:ascii="Times New Roman" w:hAnsi="Times New Roman" w:cs="Times New Roman"/>
                <w:b/>
                <w:bCs/>
                <w:color w:val="000000" w:themeColor="text1"/>
                <w:kern w:val="0"/>
              </w:rPr>
              <w:t>2.11.3-2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现有次氧化锌生产线</w:t>
            </w:r>
            <w:r>
              <w:rPr>
                <w:rFonts w:ascii="Times New Roman" w:hAnsi="Times New Roman" w:cs="Times New Roman"/>
                <w:b/>
                <w:bCs/>
                <w:color w:val="000000" w:themeColor="text1"/>
                <w:kern w:val="0"/>
              </w:rPr>
              <w:t>非雨天水水平衡图 m³/d</w:t>
            </w:r>
          </w:p>
          <w:p>
            <w:pPr>
              <w:pStyle w:val="41"/>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2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⑵</w:t>
            </w:r>
            <w:r>
              <w:rPr>
                <w:rFonts w:hAnsiTheme="minorEastAsia" w:eastAsiaTheme="minorEastAsia"/>
                <w:color w:val="000000" w:themeColor="text1"/>
                <w:szCs w:val="24"/>
              </w:rPr>
              <w:fldChar w:fldCharType="end"/>
            </w:r>
            <w:r>
              <w:rPr>
                <w:rFonts w:hint="eastAsia" w:hAnsiTheme="minorEastAsia" w:eastAsiaTheme="minorEastAsia"/>
                <w:color w:val="000000" w:themeColor="text1"/>
                <w:szCs w:val="24"/>
              </w:rPr>
              <w:t>现有次氧化锌生产线</w:t>
            </w:r>
            <w:r>
              <w:rPr>
                <w:rFonts w:hAnsiTheme="minorEastAsia" w:eastAsiaTheme="minorEastAsia"/>
                <w:color w:val="000000" w:themeColor="text1"/>
                <w:szCs w:val="24"/>
              </w:rPr>
              <w:t>雨天水平衡如下图所示。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4893310" cy="3722370"/>
                  <wp:effectExtent l="19050" t="0" r="2241"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7"/>
                          <a:srcRect/>
                          <a:stretch>
                            <a:fillRect/>
                          </a:stretch>
                        </pic:blipFill>
                        <pic:spPr>
                          <a:xfrm>
                            <a:off x="0" y="0"/>
                            <a:ext cx="4894746" cy="3723349"/>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w:t>
            </w:r>
            <w:r>
              <w:rPr>
                <w:rFonts w:hint="eastAsia" w:ascii="Times New Roman" w:hAnsi="Times New Roman" w:cs="Times New Roman"/>
                <w:b/>
                <w:bCs/>
                <w:color w:val="000000" w:themeColor="text1"/>
                <w:kern w:val="0"/>
              </w:rPr>
              <w:t>2.11.3-3</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现有次氧化锌生产线</w:t>
            </w:r>
            <w:r>
              <w:rPr>
                <w:rFonts w:ascii="Times New Roman" w:hAnsi="Times New Roman" w:cs="Times New Roman"/>
                <w:b/>
                <w:bCs/>
                <w:color w:val="000000" w:themeColor="text1"/>
                <w:kern w:val="0"/>
              </w:rPr>
              <w:t>雨天水水平衡图 m³/d</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（3）现有次氧化锌生产线噪声污染源产排情况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现有次氧化锌生产线噪声主要为设备噪声，各噪声源强约为80-100</w:t>
            </w:r>
            <w:r>
              <w:rPr>
                <w:rFonts w:ascii="Times New Roman" w:hAnsi="Times New Roman" w:cs="Times New Roman"/>
                <w:color w:val="000000" w:themeColor="text1"/>
                <w:sz w:val="24"/>
                <w:szCs w:val="24"/>
              </w:rPr>
              <w:t>dB（A）</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2023年第一、二、三季度的自行监测报告。自行监测期间，现有次氧化锌生产线均满负荷运营，具体如下表所示。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表2.11.4-5 噪声检测结果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20"/>
              <w:gridCol w:w="1443"/>
              <w:gridCol w:w="1371"/>
              <w:gridCol w:w="1386"/>
              <w:gridCol w:w="134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983" w:type="dxa"/>
                  <w:gridSpan w:val="2"/>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监测时间</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厂界东</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厂界南</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厂界西</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厂界北</w:t>
                  </w:r>
                </w:p>
              </w:tc>
              <w:tc>
                <w:tcPr>
                  <w:tcW w:w="108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2023/3/30</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2023/4/18</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58</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59</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2023/9/27</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58</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59</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46</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48</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49</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47</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由上表可知，现有次氧化锌生产线厂界噪声可达到</w:t>
            </w:r>
            <w:r>
              <w:rPr>
                <w:rFonts w:ascii="Times New Roman" w:hAnsi="Times New Roman" w:cs="Times New Roman"/>
                <w:color w:val="000000" w:themeColor="text1"/>
                <w:sz w:val="24"/>
                <w:szCs w:val="24"/>
              </w:rPr>
              <w:t>《工业企业厂界环境噪声排放标准》（GB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类标准</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（4）现有次氧化锌生产线固废污染源产排情况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产生的固体废物主要包括：氧化锌尾渣（水淬渣）、脱硫渣、废机油、</w:t>
            </w:r>
            <w:r>
              <w:rPr>
                <w:rFonts w:ascii="Times New Roman" w:hAnsi="Times New Roman" w:cs="Times New Roman"/>
                <w:color w:val="000000" w:themeColor="text1"/>
                <w:sz w:val="24"/>
                <w:szCs w:val="24"/>
              </w:rPr>
              <w:t>废弃沾油抹布</w:t>
            </w:r>
            <w:r>
              <w:rPr>
                <w:rFonts w:hint="eastAsia" w:ascii="Times New Roman" w:hAnsi="Times New Roman" w:cs="Times New Roman"/>
                <w:color w:val="000000" w:themeColor="text1"/>
                <w:sz w:val="24"/>
                <w:szCs w:val="24"/>
              </w:rPr>
              <w:t>和生活垃圾。根据建设单位的实际运行情况，现有次氧化锌生产线固体废物排放情况如下表所示。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2.11.4-6</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现有次氧化锌生产线</w:t>
            </w:r>
            <w:r>
              <w:rPr>
                <w:rFonts w:ascii="Times New Roman" w:hAnsi="Times New Roman" w:eastAsia="宋体" w:cs="Times New Roman"/>
                <w:b/>
                <w:color w:val="000000" w:themeColor="text1"/>
                <w:szCs w:val="24"/>
              </w:rPr>
              <w:t>固体废物环境影响和保护措施分析一览表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1276"/>
              <w:gridCol w:w="850"/>
              <w:gridCol w:w="1134"/>
              <w:gridCol w:w="3842"/>
              <w:gridCol w:w="9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序号</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名称</w:t>
                  </w:r>
                </w:p>
              </w:tc>
              <w:tc>
                <w:tcPr>
                  <w:tcW w:w="85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属性</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w:t>
                  </w:r>
                </w:p>
              </w:tc>
              <w:tc>
                <w:tcPr>
                  <w:tcW w:w="3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1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处置率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color w:val="000000" w:themeColor="text1"/>
                      <w:szCs w:val="24"/>
                    </w:rPr>
                  </w:pPr>
                  <w:r>
                    <w:rPr>
                      <w:color w:val="000000" w:themeColor="text1"/>
                      <w:szCs w:val="24"/>
                    </w:rPr>
                    <w:t>1</w:t>
                  </w:r>
                </w:p>
              </w:tc>
              <w:tc>
                <w:tcPr>
                  <w:tcW w:w="1276" w:type="dxa"/>
                  <w:vAlign w:val="center"/>
                </w:tcPr>
                <w:p>
                  <w:pPr>
                    <w:pStyle w:val="33"/>
                    <w:spacing w:line="360" w:lineRule="exact"/>
                    <w:rPr>
                      <w:color w:val="000000" w:themeColor="text1"/>
                      <w:szCs w:val="24"/>
                    </w:rPr>
                  </w:pPr>
                  <w:r>
                    <w:rPr>
                      <w:color w:val="000000" w:themeColor="text1"/>
                      <w:szCs w:val="24"/>
                    </w:rPr>
                    <w:t>氧化锌尾渣（水淬渣）</w:t>
                  </w:r>
                </w:p>
              </w:tc>
              <w:tc>
                <w:tcPr>
                  <w:tcW w:w="850" w:type="dxa"/>
                  <w:vAlign w:val="center"/>
                </w:tcPr>
                <w:p>
                  <w:pPr>
                    <w:pStyle w:val="33"/>
                    <w:spacing w:line="360" w:lineRule="exact"/>
                    <w:rPr>
                      <w:color w:val="000000" w:themeColor="text1"/>
                      <w:szCs w:val="24"/>
                    </w:rPr>
                  </w:pPr>
                  <w:r>
                    <w:rPr>
                      <w:color w:val="000000" w:themeColor="text1"/>
                      <w:szCs w:val="24"/>
                    </w:rPr>
                    <w:t>一般工业固废</w:t>
                  </w:r>
                </w:p>
              </w:tc>
              <w:tc>
                <w:tcPr>
                  <w:tcW w:w="1134" w:type="dxa"/>
                  <w:vAlign w:val="center"/>
                </w:tcPr>
                <w:p>
                  <w:pPr>
                    <w:pStyle w:val="33"/>
                    <w:spacing w:line="360" w:lineRule="exact"/>
                    <w:rPr>
                      <w:color w:val="000000" w:themeColor="text1"/>
                      <w:szCs w:val="24"/>
                    </w:rPr>
                  </w:pPr>
                  <w:r>
                    <w:rPr>
                      <w:color w:val="000000" w:themeColor="text1"/>
                      <w:szCs w:val="24"/>
                    </w:rPr>
                    <w:t>16.5万t/a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部分委托</w:t>
                  </w:r>
                  <w:r>
                    <w:fldChar w:fldCharType="begin"/>
                  </w:r>
                  <w:r>
                    <w:instrText xml:space="preserve"> HYPERLINK "https://www.sogou.com/link?url=hedJjaC291M_2lEHL_hBkhpzLdgvwAszOq3pNAh0XAyHPQnptSLbsq3mlRzfPLR2" \t "_blank" </w:instrText>
                  </w:r>
                  <w:r>
                    <w:fldChar w:fldCharType="separate"/>
                  </w:r>
                  <w:r>
                    <w:rPr>
                      <w:rFonts w:eastAsiaTheme="minorEastAsia"/>
                      <w:color w:val="000000" w:themeColor="text1"/>
                      <w:szCs w:val="24"/>
                    </w:rPr>
                    <w:t>华新水泥（昆明东川）有限公司</w:t>
                  </w:r>
                  <w:r>
                    <w:rPr>
                      <w:rFonts w:eastAsiaTheme="minorEastAsia"/>
                      <w:color w:val="000000" w:themeColor="text1"/>
                      <w:szCs w:val="24"/>
                    </w:rPr>
                    <w:fldChar w:fldCharType="end"/>
                  </w:r>
                  <w:r>
                    <w:rPr>
                      <w:rFonts w:hint="eastAsia" w:eastAsiaTheme="minorEastAsia"/>
                      <w:color w:val="000000" w:themeColor="text1"/>
                      <w:szCs w:val="24"/>
                    </w:rPr>
                    <w:t>作为生产原料，部分委托会泽领优建材有限责任公司制砖，剩余部分</w:t>
                  </w:r>
                  <w:r>
                    <w:rPr>
                      <w:rFonts w:eastAsiaTheme="minorEastAsia"/>
                      <w:color w:val="000000" w:themeColor="text1"/>
                      <w:szCs w:val="24"/>
                    </w:rPr>
                    <w:t>委托四方地工业园区弃渣场处置</w:t>
                  </w:r>
                  <w:r>
                    <w:rPr>
                      <w:rFonts w:hint="eastAsia" w:eastAsiaTheme="minorEastAsia"/>
                      <w:color w:val="000000" w:themeColor="text1"/>
                      <w:szCs w:val="24"/>
                    </w:rPr>
                    <w:t>。</w:t>
                  </w:r>
                </w:p>
              </w:tc>
              <w:tc>
                <w:tcPr>
                  <w:tcW w:w="91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w:t>
                  </w:r>
                </w:p>
              </w:tc>
              <w:tc>
                <w:tcPr>
                  <w:tcW w:w="1276" w:type="dxa"/>
                  <w:vAlign w:val="center"/>
                </w:tcPr>
                <w:p>
                  <w:pPr>
                    <w:pStyle w:val="33"/>
                    <w:spacing w:line="360" w:lineRule="exact"/>
                    <w:rPr>
                      <w:rFonts w:eastAsiaTheme="minorEastAsia"/>
                      <w:color w:val="000000" w:themeColor="text1"/>
                      <w:szCs w:val="21"/>
                    </w:rPr>
                  </w:pPr>
                  <w:r>
                    <w:rPr>
                      <w:color w:val="000000" w:themeColor="text1"/>
                      <w:szCs w:val="24"/>
                    </w:rPr>
                    <w:t>脱硫渣</w:t>
                  </w:r>
                </w:p>
              </w:tc>
              <w:tc>
                <w:tcPr>
                  <w:tcW w:w="850" w:type="dxa"/>
                  <w:vAlign w:val="center"/>
                </w:tcPr>
                <w:p>
                  <w:pPr>
                    <w:pStyle w:val="33"/>
                    <w:spacing w:line="360" w:lineRule="exact"/>
                    <w:rPr>
                      <w:rFonts w:eastAsiaTheme="minorEastAsia"/>
                      <w:color w:val="000000" w:themeColor="text1"/>
                      <w:szCs w:val="21"/>
                    </w:rPr>
                  </w:pPr>
                  <w:r>
                    <w:rPr>
                      <w:color w:val="000000" w:themeColor="text1"/>
                      <w:szCs w:val="24"/>
                    </w:rPr>
                    <w:t>一般工业固废</w:t>
                  </w:r>
                </w:p>
              </w:tc>
              <w:tc>
                <w:tcPr>
                  <w:tcW w:w="1134" w:type="dxa"/>
                  <w:vAlign w:val="center"/>
                </w:tcPr>
                <w:p>
                  <w:pPr>
                    <w:pStyle w:val="33"/>
                    <w:spacing w:line="360" w:lineRule="exact"/>
                    <w:rPr>
                      <w:rFonts w:eastAsiaTheme="minorEastAsia"/>
                      <w:color w:val="000000" w:themeColor="text1"/>
                      <w:szCs w:val="21"/>
                    </w:rPr>
                  </w:pPr>
                  <w:r>
                    <w:rPr>
                      <w:color w:val="000000" w:themeColor="text1"/>
                      <w:szCs w:val="24"/>
                    </w:rPr>
                    <w:t>15.7t/a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运输至四方地工业园区弃渣场堆放处理。</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850"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现有次氧化锌生产线产生的</w:t>
                  </w:r>
                  <w:r>
                    <w:rPr>
                      <w:rFonts w:eastAsiaTheme="minorEastAsia"/>
                      <w:color w:val="000000" w:themeColor="text1"/>
                      <w:szCs w:val="24"/>
                    </w:rPr>
                    <w:t>废机油委托云南大地丰源环保有限公司处置。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0" w:type="dxa"/>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现有次氧化锌生产线产生的</w:t>
                  </w:r>
                  <w:r>
                    <w:rPr>
                      <w:rFonts w:eastAsiaTheme="minorEastAsia"/>
                      <w:color w:val="000000" w:themeColor="text1"/>
                      <w:szCs w:val="24"/>
                    </w:rPr>
                    <w:t>废弃沾油抹布未单独收集，混入生活垃圾委托环卫部门定期清运处置。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w:t>
                  </w:r>
                </w:p>
              </w:tc>
              <w:tc>
                <w:tcPr>
                  <w:tcW w:w="127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85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生活固废</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16.5t/a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w:t>
                  </w:r>
                </w:p>
              </w:tc>
              <w:tc>
                <w:tcPr>
                  <w:tcW w:w="127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餐厨废物</w:t>
                  </w:r>
                </w:p>
              </w:tc>
              <w:tc>
                <w:tcPr>
                  <w:tcW w:w="850" w:type="dxa"/>
                  <w:vMerge w:val="continue"/>
                  <w:vAlign w:val="center"/>
                </w:tcPr>
                <w:p>
                  <w:pPr>
                    <w:pStyle w:val="33"/>
                    <w:spacing w:line="360" w:lineRule="exact"/>
                    <w:rPr>
                      <w:rFonts w:eastAsiaTheme="minorEastAsia"/>
                      <w:color w:val="000000" w:themeColor="text1"/>
                      <w:szCs w:val="21"/>
                    </w:rPr>
                  </w:pP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综上，现有次氧化锌生产线固体废物处置率为100%。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 拟扩建次氧化锌生产线基本情况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根据调查，目前拟扩建的次氧化锌生产线还在设计过程，还未办理环境影响评价手续。其建设进度根据环评审批情况而定，预计建设时间为2025年底-2026年底。</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2.13 本次建设项目原有概况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次建设项目于2021年初开始建设，属于未批先建项目，2021年5月23日昆明市生态环境局下达《责令改正违法行为决定书》（昆生环改【“绿剑”2021】05-02-02号），要求建设单位立即停止项目建设。建设单位按照管理部门的相关要求停止了项目建设，办理了环评手续，并于</w:t>
            </w:r>
            <w:r>
              <w:rPr>
                <w:rFonts w:ascii="Times New Roman" w:hAnsi="Times New Roman" w:cs="Times New Roman"/>
                <w:color w:val="000000" w:themeColor="text1"/>
                <w:sz w:val="24"/>
                <w:szCs w:val="24"/>
              </w:rPr>
              <w:t>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，建设单位根据新增项目重新申请了排污许可，并于2022年3月8日取得昆明市生态环境局下发的《排污许可证》（证书编号：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项目取得批复后，又立即开工建设，并于2022年3月建设完成。在建设和调试过程中发现项目区未配套设置天然气供应管道，回收碳工艺不成熟，通过重选方式回收氧化锌尾渣（水淬渣）中的碳的效果低于预期，因此拟对其进行调整。</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2.14 与原有项目有关的主要环境问题及整改措施</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2.13.1 存在的主要问题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本项目为项目通过审批后发生重大变动重新报批项目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本项目于2021年编制完成《昆明合旺有色金属有限公司固体废物综合利用项目环境影响报告表》，于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rPr>
              <w:t>项目已建成了</w:t>
            </w:r>
            <w:r>
              <w:rPr>
                <w:rFonts w:ascii="Times New Roman" w:hAnsi="Times New Roman" w:cs="Times New Roman"/>
                <w:color w:val="000000" w:themeColor="text1"/>
                <w:sz w:val="24"/>
              </w:rPr>
              <w:t>厂房</w:t>
            </w:r>
            <w:r>
              <w:rPr>
                <w:rFonts w:hint="eastAsia" w:ascii="Times New Roman" w:hAnsi="Times New Roman" w:cs="Times New Roman"/>
                <w:color w:val="000000" w:themeColor="text1"/>
                <w:sz w:val="24"/>
              </w:rPr>
              <w:t>、水淬渣暂存库、</w:t>
            </w:r>
            <w:r>
              <w:rPr>
                <w:rFonts w:ascii="Times New Roman" w:hAnsi="Times New Roman" w:cs="Times New Roman"/>
                <w:color w:val="000000" w:themeColor="text1"/>
                <w:sz w:val="24"/>
              </w:rPr>
              <w:t>废渣暂存库、</w:t>
            </w:r>
            <w:r>
              <w:rPr>
                <w:rFonts w:hint="eastAsia" w:ascii="Times New Roman" w:hAnsi="Times New Roman" w:cs="Times New Roman"/>
                <w:color w:val="000000" w:themeColor="text1"/>
                <w:sz w:val="24"/>
              </w:rPr>
              <w:t>部分生产设施、部分环保设施，由于项目建设方案发生变动，</w:t>
            </w:r>
            <w:r>
              <w:rPr>
                <w:rFonts w:hint="eastAsia" w:ascii="Times New Roman" w:hAnsi="Times New Roman" w:cs="Times New Roman"/>
                <w:color w:val="000000" w:themeColor="text1"/>
                <w:sz w:val="24"/>
                <w:szCs w:val="24"/>
              </w:rPr>
              <w:t>本项目涉及变动的部分建设内容尚未动工，原已建设的</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系统的设备调试已暂停。建设单位待本次环评批复后方继续建设。根据调查，项目存在的主要环境问题如下：</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①根据调查，厂区现有的废渣暂存库设有顶棚和三面围挡，但存在围挡破损情况。</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②</w:t>
            </w:r>
            <w:r>
              <w:rPr>
                <w:rFonts w:ascii="Times New Roman" w:hAnsi="Times New Roman" w:cs="Times New Roman"/>
                <w:color w:val="000000" w:themeColor="text1"/>
                <w:sz w:val="24"/>
              </w:rPr>
              <w:t>根据调查，厂区已设置的两个初期雨水收集池容积可满足收集区域，但其设置位置无法将厂区</w:t>
            </w:r>
            <w:r>
              <w:rPr>
                <w:rFonts w:hint="eastAsia" w:ascii="Times New Roman" w:hAnsi="Times New Roman" w:cs="Times New Roman"/>
                <w:color w:val="000000" w:themeColor="text1"/>
                <w:sz w:val="24"/>
              </w:rPr>
              <w:t>下游部分道路区</w:t>
            </w:r>
            <w:r>
              <w:rPr>
                <w:rFonts w:ascii="Times New Roman" w:hAnsi="Times New Roman" w:cs="Times New Roman"/>
                <w:color w:val="000000" w:themeColor="text1"/>
                <w:sz w:val="24"/>
              </w:rPr>
              <w:t>的初期雨水进行收集</w:t>
            </w:r>
            <w:r>
              <w:rPr>
                <w:rFonts w:hint="eastAsia" w:ascii="Times New Roman" w:hAnsi="Times New Roman" w:cs="Times New Roman"/>
                <w:color w:val="000000" w:themeColor="text1"/>
                <w:sz w:val="24"/>
              </w:rPr>
              <w:t>。</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③目前项目产生的氧化锌尾渣（水淬渣）部分委托</w:t>
            </w:r>
            <w:bookmarkStart w:id="8" w:name="dttl"/>
            <w:r>
              <w:rPr>
                <w:rFonts w:ascii="Times New Roman" w:hAnsi="Times New Roman" w:cs="Times New Roman"/>
                <w:color w:val="000000" w:themeColor="text1"/>
                <w:sz w:val="24"/>
              </w:rPr>
              <w:fldChar w:fldCharType="begin"/>
            </w:r>
            <w:r>
              <w:rPr>
                <w:rFonts w:ascii="Times New Roman" w:hAnsi="Times New Roman" w:cs="Times New Roman"/>
                <w:color w:val="000000" w:themeColor="text1"/>
                <w:sz w:val="24"/>
              </w:rPr>
              <w:instrText xml:space="preserve"> HYPERLINK "https://www.sogou.com/link?url=hedJjaC291M_2lEHL_hBkhpzLdgvwAszOq3pNAh0XAyHPQnptSLbsq3mlRzfPLR2" \t "_blank" </w:instrText>
            </w:r>
            <w:r>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华新水泥（昆明东川）有限公司</w:t>
            </w:r>
            <w:r>
              <w:rPr>
                <w:rFonts w:ascii="Times New Roman" w:hAnsi="Times New Roman" w:cs="Times New Roman"/>
                <w:color w:val="000000" w:themeColor="text1"/>
                <w:sz w:val="24"/>
              </w:rPr>
              <w:fldChar w:fldCharType="end"/>
            </w:r>
            <w:bookmarkEnd w:id="8"/>
            <w:r>
              <w:rPr>
                <w:rFonts w:hint="eastAsia" w:ascii="Times New Roman" w:hAnsi="Times New Roman" w:cs="Times New Roman"/>
                <w:color w:val="000000" w:themeColor="text1"/>
                <w:sz w:val="24"/>
              </w:rPr>
              <w:t>作为生产原料，部分委托会泽领优建材有限责任公司制砖，剩余部分</w:t>
            </w:r>
            <w:r>
              <w:rPr>
                <w:rFonts w:ascii="Times New Roman" w:hAnsi="Times New Roman" w:cs="Times New Roman"/>
                <w:color w:val="000000" w:themeColor="text1"/>
                <w:sz w:val="24"/>
              </w:rPr>
              <w:t>委托四方地工业园区弃渣场处置</w:t>
            </w:r>
            <w:r>
              <w:rPr>
                <w:rFonts w:hint="eastAsia" w:ascii="Times New Roman" w:hAnsi="Times New Roman" w:cs="Times New Roman"/>
                <w:color w:val="000000" w:themeColor="text1"/>
                <w:sz w:val="24"/>
              </w:rPr>
              <w:t>，无有效期内的处置委托协议，管理不规范。</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2.13.2 整改措施</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①针对厂区现有的废渣暂存库围挡破损情况，应对其进行修善。</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②</w:t>
            </w:r>
            <w:r>
              <w:rPr>
                <w:rFonts w:ascii="Times New Roman" w:hAnsi="Times New Roman" w:cs="Times New Roman"/>
                <w:color w:val="000000" w:themeColor="text1"/>
                <w:sz w:val="24"/>
              </w:rPr>
              <w:t>环评提出拟在厂区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处再建设一个有效容积为5m³的初期雨水收集池</w:t>
            </w:r>
            <w:r>
              <w:rPr>
                <w:rFonts w:hint="eastAsia" w:ascii="Times New Roman" w:hAnsi="Times New Roman" w:cs="Times New Roman"/>
                <w:color w:val="000000" w:themeColor="text1"/>
                <w:sz w:val="24"/>
              </w:rPr>
              <w:t>（编号为3#）将</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下游部分道路区的初期雨水进行收集。</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③建设单位将项目产生的一般工业固体废物委托</w:t>
            </w:r>
            <w:r>
              <w:fldChar w:fldCharType="begin"/>
            </w:r>
            <w:r>
              <w:instrText xml:space="preserve"> HYPERLINK "https://www.sogou.com/link?url=hedJjaC291M_2lEHL_hBkhpzLdgvwAszOq3pNAh0XAyHPQnptSLbsq3mlRzfPLR2" \t "_blank" </w:instrText>
            </w:r>
            <w:r>
              <w:fldChar w:fldCharType="separate"/>
            </w:r>
            <w:r>
              <w:rPr>
                <w:rFonts w:ascii="Times New Roman" w:hAnsi="Times New Roman" w:cs="Times New Roman"/>
                <w:color w:val="000000" w:themeColor="text1"/>
                <w:sz w:val="24"/>
              </w:rPr>
              <w:t>华新水泥（昆明东川）有限公司</w:t>
            </w:r>
            <w:r>
              <w:rPr>
                <w:rFonts w:ascii="Times New Roman" w:hAnsi="Times New Roman" w:cs="Times New Roman"/>
                <w:color w:val="000000" w:themeColor="text1"/>
                <w:sz w:val="24"/>
              </w:rPr>
              <w:fldChar w:fldCharType="end"/>
            </w:r>
            <w:r>
              <w:rPr>
                <w:rFonts w:hint="eastAsia" w:ascii="Times New Roman" w:hAnsi="Times New Roman" w:cs="Times New Roman"/>
                <w:color w:val="000000" w:themeColor="text1"/>
                <w:sz w:val="24"/>
              </w:rPr>
              <w:t>、会泽领优建材有限责任公司及</w:t>
            </w:r>
            <w:r>
              <w:rPr>
                <w:rFonts w:ascii="Times New Roman" w:hAnsi="Times New Roman" w:cs="Times New Roman"/>
                <w:color w:val="000000" w:themeColor="text1"/>
                <w:sz w:val="24"/>
              </w:rPr>
              <w:t>四方地工业园区弃渣场处置</w:t>
            </w:r>
            <w:r>
              <w:rPr>
                <w:rFonts w:hint="eastAsia" w:ascii="Times New Roman" w:hAnsi="Times New Roman" w:cs="Times New Roman"/>
                <w:color w:val="000000" w:themeColor="text1"/>
                <w:sz w:val="24"/>
              </w:rPr>
              <w:t>过程，应完善其管理，补充委托处置协议。</w:t>
            </w: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bookmarkStart w:id="9" w:name="_Toc151133520"/>
      <w:r>
        <w:rPr>
          <w:rFonts w:ascii="Times New Roman" w:hAnsi="Times New Roman" w:cs="Times New Roman"/>
          <w:b/>
          <w:color w:val="000000" w:themeColor="text1"/>
          <w:sz w:val="28"/>
          <w:szCs w:val="20"/>
        </w:rPr>
        <w:t>三、区域环境质量现状、环境保护目标及评价标准</w:t>
      </w:r>
      <w:bookmarkEnd w:id="9"/>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1"/>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1"/>
              <w:ind w:firstLine="480"/>
              <w:rPr>
                <w:color w:val="000000" w:themeColor="text1"/>
                <w:szCs w:val="24"/>
              </w:rPr>
            </w:pPr>
            <w:r>
              <w:rPr>
                <w:rFonts w:hint="eastAsia"/>
                <w:color w:val="000000" w:themeColor="text1"/>
                <w:szCs w:val="24"/>
              </w:rPr>
              <w:t>本项目位于</w:t>
            </w:r>
            <w:r>
              <w:rPr>
                <w:color w:val="000000" w:themeColor="text1"/>
                <w:szCs w:val="24"/>
              </w:rPr>
              <w:t>云南东川产业园区四方地片区昆明合旺有色金属有限公司厂区内</w:t>
            </w:r>
            <w:r>
              <w:rPr>
                <w:rFonts w:hint="eastAsia"/>
                <w:color w:val="000000" w:themeColor="text1"/>
                <w:szCs w:val="24"/>
              </w:rPr>
              <w:t>，</w:t>
            </w:r>
            <w:r>
              <w:rPr>
                <w:color w:val="000000" w:themeColor="text1"/>
                <w:szCs w:val="24"/>
              </w:rPr>
              <w:t>属于环境空气二类区，执行《环境空气质量标准》（GB</w:t>
            </w:r>
            <w:r>
              <w:rPr>
                <w:rFonts w:hint="eastAsia"/>
                <w:color w:val="000000" w:themeColor="text1"/>
                <w:szCs w:val="24"/>
                <w:lang w:eastAsia="zh-CN"/>
              </w:rPr>
              <w:t>****</w:t>
            </w:r>
            <w:r>
              <w:rPr>
                <w:color w:val="000000" w:themeColor="text1"/>
                <w:szCs w:val="24"/>
              </w:rPr>
              <w:t>-2012）二级标准</w:t>
            </w:r>
            <w:r>
              <w:rPr>
                <w:rFonts w:hint="eastAsia"/>
                <w:color w:val="000000" w:themeColor="text1"/>
                <w:szCs w:val="24"/>
              </w:rPr>
              <w:t>；</w:t>
            </w:r>
            <w:r>
              <w:rPr>
                <w:color w:val="000000" w:themeColor="text1"/>
                <w:szCs w:val="24"/>
              </w:rPr>
              <w:t>根据《202</w:t>
            </w:r>
            <w:r>
              <w:rPr>
                <w:rFonts w:hint="eastAsia"/>
                <w:color w:val="000000" w:themeColor="text1"/>
                <w:szCs w:val="24"/>
              </w:rPr>
              <w:t>2</w:t>
            </w:r>
            <w:r>
              <w:rPr>
                <w:color w:val="000000" w:themeColor="text1"/>
                <w:szCs w:val="24"/>
              </w:rPr>
              <w:t>年度昆明市生态环境状况公报》，</w:t>
            </w:r>
            <w:r>
              <w:rPr>
                <w:rFonts w:hint="eastAsia"/>
                <w:color w:val="000000" w:themeColor="text1"/>
                <w:szCs w:val="24"/>
              </w:rPr>
              <w:t>各县（市）区环境空气质量总体保持良好。与2021年相比，东川区环境空气综合污染指数有所上升。</w:t>
            </w:r>
            <w:r>
              <w:rPr>
                <w:color w:val="000000" w:themeColor="text1"/>
                <w:szCs w:val="24"/>
              </w:rPr>
              <w:t>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1"/>
              <w:ind w:firstLine="480"/>
              <w:rPr>
                <w:rFonts w:eastAsiaTheme="minorEastAsia"/>
                <w:color w:val="000000" w:themeColor="text1"/>
                <w:szCs w:val="24"/>
              </w:rPr>
            </w:pPr>
            <w:r>
              <w:rPr>
                <w:rFonts w:eastAsiaTheme="minorEastAsia"/>
                <w:color w:val="000000" w:themeColor="text1"/>
                <w:szCs w:val="24"/>
              </w:rPr>
              <w:t>根据项目特点，本项目排放的特征污染物为</w:t>
            </w:r>
            <w:r>
              <w:rPr>
                <w:rFonts w:hint="eastAsia" w:eastAsiaTheme="minorEastAsia"/>
                <w:color w:val="000000" w:themeColor="text1"/>
                <w:szCs w:val="24"/>
              </w:rPr>
              <w:t>颗粒物和NOx</w:t>
            </w: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color w:val="000000" w:themeColor="text1"/>
                <w:szCs w:val="24"/>
              </w:rPr>
              <w:t>根据调查，</w:t>
            </w:r>
            <w:r>
              <w:rPr>
                <w:rFonts w:eastAsiaTheme="minorEastAsia"/>
                <w:color w:val="000000" w:themeColor="text1"/>
                <w:szCs w:val="24"/>
              </w:rPr>
              <w:t>昆明龙凤锌业开发有限公司</w:t>
            </w:r>
            <w:r>
              <w:rPr>
                <w:rFonts w:hint="eastAsia" w:eastAsiaTheme="minorEastAsia"/>
                <w:color w:val="000000" w:themeColor="text1"/>
                <w:szCs w:val="24"/>
              </w:rPr>
              <w:t>在组织编制</w:t>
            </w:r>
            <w:r>
              <w:rPr>
                <w:rFonts w:eastAsiaTheme="minorEastAsia"/>
                <w:color w:val="000000" w:themeColor="text1"/>
                <w:szCs w:val="24"/>
              </w:rPr>
              <w:t>《昆明龙凤锌业开发有限公司生产工艺改造项目环境影响报告书》</w:t>
            </w:r>
            <w:r>
              <w:rPr>
                <w:rFonts w:hint="eastAsia" w:eastAsiaTheme="minorEastAsia"/>
                <w:color w:val="000000" w:themeColor="text1"/>
                <w:szCs w:val="24"/>
              </w:rPr>
              <w:t>时，委托</w:t>
            </w:r>
            <w:r>
              <w:rPr>
                <w:rFonts w:eastAsiaTheme="minorEastAsia"/>
                <w:color w:val="000000" w:themeColor="text1"/>
                <w:szCs w:val="24"/>
              </w:rPr>
              <w:t>云南华都生态环境监测有限公司</w:t>
            </w:r>
            <w:r>
              <w:rPr>
                <w:rFonts w:hint="eastAsia" w:eastAsiaTheme="minorEastAsia"/>
                <w:color w:val="000000" w:themeColor="text1"/>
                <w:szCs w:val="24"/>
              </w:rPr>
              <w:t>于</w:t>
            </w:r>
            <w:r>
              <w:rPr>
                <w:rFonts w:eastAsiaTheme="minorEastAsia"/>
                <w:color w:val="000000" w:themeColor="text1"/>
                <w:szCs w:val="24"/>
              </w:rPr>
              <w:t>2022年5月4日</w:t>
            </w:r>
            <w:r>
              <w:rPr>
                <w:rFonts w:hint="eastAsia" w:eastAsiaTheme="minorEastAsia"/>
                <w:color w:val="000000" w:themeColor="text1"/>
                <w:szCs w:val="24"/>
              </w:rPr>
              <w:t>-</w:t>
            </w:r>
            <w:r>
              <w:rPr>
                <w:rFonts w:eastAsiaTheme="minorEastAsia"/>
                <w:color w:val="000000" w:themeColor="text1"/>
                <w:szCs w:val="24"/>
              </w:rPr>
              <w:t>2022年5月11日</w:t>
            </w:r>
            <w:r>
              <w:rPr>
                <w:rFonts w:hint="eastAsia" w:eastAsiaTheme="minorEastAsia"/>
                <w:color w:val="000000" w:themeColor="text1"/>
                <w:szCs w:val="24"/>
              </w:rPr>
              <w:t>对区域TSP、NOx于进行了连续7天的现状监测，该监测点位位于本次建设项目东侧约400m处，可满足引用要求，</w:t>
            </w:r>
            <w:r>
              <w:rPr>
                <w:rFonts w:eastAsiaTheme="minorEastAsia"/>
                <w:color w:val="000000" w:themeColor="text1"/>
                <w:szCs w:val="24"/>
              </w:rPr>
              <w:t>具体如下。</w:t>
            </w:r>
          </w:p>
          <w:p>
            <w:pPr>
              <w:pStyle w:val="41"/>
              <w:ind w:firstLine="482"/>
              <w:rPr>
                <w:rFonts w:eastAsiaTheme="minorEastAsia"/>
                <w:b/>
                <w:color w:val="000000" w:themeColor="text1"/>
                <w:szCs w:val="24"/>
              </w:rPr>
            </w:pPr>
            <w:r>
              <w:rPr>
                <w:rFonts w:eastAsiaTheme="minorEastAsia"/>
                <w:b/>
                <w:color w:val="000000" w:themeColor="text1"/>
                <w:szCs w:val="24"/>
              </w:rPr>
              <w:t>①</w:t>
            </w:r>
            <w:r>
              <w:rPr>
                <w:rFonts w:hint="eastAsia" w:eastAsiaTheme="minorEastAsia"/>
                <w:b/>
                <w:color w:val="000000" w:themeColor="text1"/>
                <w:szCs w:val="24"/>
              </w:rPr>
              <w:t>引用</w:t>
            </w:r>
            <w:r>
              <w:rPr>
                <w:rFonts w:eastAsiaTheme="minorEastAsia"/>
                <w:b/>
                <w:color w:val="000000" w:themeColor="text1"/>
                <w:szCs w:val="24"/>
              </w:rPr>
              <w:t>环境空气现状监测参数设置</w:t>
            </w:r>
          </w:p>
          <w:p>
            <w:pPr>
              <w:pStyle w:val="41"/>
              <w:ind w:firstLine="480"/>
              <w:rPr>
                <w:rFonts w:eastAsiaTheme="minorEastAsia"/>
                <w:color w:val="000000" w:themeColor="text1"/>
                <w:szCs w:val="24"/>
              </w:rPr>
            </w:pPr>
            <w:r>
              <w:rPr>
                <w:rFonts w:hint="eastAsia" w:eastAsiaTheme="minorEastAsia"/>
                <w:color w:val="000000" w:themeColor="text1"/>
                <w:szCs w:val="24"/>
              </w:rPr>
              <w:t>引用</w:t>
            </w:r>
            <w:r>
              <w:rPr>
                <w:rFonts w:eastAsiaTheme="minorEastAsia"/>
                <w:color w:val="000000" w:themeColor="text1"/>
                <w:szCs w:val="24"/>
              </w:rPr>
              <w:t>监测参数如下表所示。</w:t>
            </w:r>
          </w:p>
          <w:p>
            <w:pPr>
              <w:jc w:val="center"/>
              <w:rPr>
                <w:rFonts w:asci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b/>
                <w:color w:val="000000" w:themeColor="text1"/>
                <w:szCs w:val="24"/>
              </w:rPr>
              <w:t>监测参数一览表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2"/>
              <w:gridCol w:w="1353"/>
              <w:gridCol w:w="6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序号</w:t>
                  </w:r>
                </w:p>
              </w:tc>
              <w:tc>
                <w:tcPr>
                  <w:tcW w:w="1417" w:type="dxa"/>
                  <w:vAlign w:val="center"/>
                </w:tcPr>
                <w:p>
                  <w:pPr>
                    <w:pStyle w:val="33"/>
                    <w:spacing w:line="360" w:lineRule="exact"/>
                    <w:rPr>
                      <w:color w:val="000000" w:themeColor="text1"/>
                    </w:rPr>
                  </w:pPr>
                  <w:r>
                    <w:rPr>
                      <w:color w:val="000000" w:themeColor="text1"/>
                    </w:rPr>
                    <w:t>项目</w:t>
                  </w:r>
                </w:p>
              </w:tc>
              <w:tc>
                <w:tcPr>
                  <w:tcW w:w="6988" w:type="dxa"/>
                  <w:vAlign w:val="center"/>
                </w:tcPr>
                <w:p>
                  <w:pPr>
                    <w:pStyle w:val="33"/>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1</w:t>
                  </w:r>
                </w:p>
              </w:tc>
              <w:tc>
                <w:tcPr>
                  <w:tcW w:w="1417" w:type="dxa"/>
                  <w:vAlign w:val="center"/>
                </w:tcPr>
                <w:p>
                  <w:pPr>
                    <w:pStyle w:val="33"/>
                    <w:spacing w:line="360" w:lineRule="exact"/>
                    <w:rPr>
                      <w:color w:val="000000" w:themeColor="text1"/>
                    </w:rPr>
                  </w:pPr>
                  <w:r>
                    <w:rPr>
                      <w:color w:val="000000" w:themeColor="text1"/>
                    </w:rPr>
                    <w:t>监测点位</w:t>
                  </w:r>
                </w:p>
              </w:tc>
              <w:tc>
                <w:tcPr>
                  <w:tcW w:w="6988" w:type="dxa"/>
                  <w:vAlign w:val="center"/>
                </w:tcPr>
                <w:p>
                  <w:pPr>
                    <w:pStyle w:val="33"/>
                    <w:spacing w:line="360" w:lineRule="exact"/>
                    <w:ind w:firstLine="210" w:firstLineChars="100"/>
                    <w:jc w:val="both"/>
                    <w:rPr>
                      <w:color w:val="000000" w:themeColor="text1"/>
                    </w:rPr>
                  </w:pPr>
                  <w:r>
                    <w:rPr>
                      <w:color w:val="000000" w:themeColor="text1"/>
                    </w:rPr>
                    <w:t>昆明龙凤锌业开发有限公司办公室</w:t>
                  </w:r>
                  <w:r>
                    <w:rPr>
                      <w:rFonts w:hint="eastAsia"/>
                      <w:color w:val="000000" w:themeColor="text1"/>
                    </w:rPr>
                    <w:t>（项目东侧约400m处）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2</w:t>
                  </w:r>
                </w:p>
              </w:tc>
              <w:tc>
                <w:tcPr>
                  <w:tcW w:w="1417" w:type="dxa"/>
                  <w:vAlign w:val="center"/>
                </w:tcPr>
                <w:p>
                  <w:pPr>
                    <w:pStyle w:val="33"/>
                    <w:spacing w:line="360" w:lineRule="exact"/>
                    <w:rPr>
                      <w:color w:val="000000" w:themeColor="text1"/>
                    </w:rPr>
                  </w:pPr>
                  <w:r>
                    <w:rPr>
                      <w:color w:val="000000" w:themeColor="text1"/>
                    </w:rPr>
                    <w:t>监测项目</w:t>
                  </w:r>
                </w:p>
              </w:tc>
              <w:tc>
                <w:tcPr>
                  <w:tcW w:w="6988" w:type="dxa"/>
                  <w:vAlign w:val="center"/>
                </w:tcPr>
                <w:p>
                  <w:pPr>
                    <w:pStyle w:val="33"/>
                    <w:spacing w:line="360" w:lineRule="exact"/>
                    <w:ind w:firstLine="210" w:firstLineChars="100"/>
                    <w:jc w:val="both"/>
                    <w:rPr>
                      <w:color w:val="000000" w:themeColor="text1"/>
                    </w:rPr>
                  </w:pPr>
                  <w:r>
                    <w:rPr>
                      <w:color w:val="000000" w:themeColor="text1"/>
                    </w:rPr>
                    <w:t>TSP、</w:t>
                  </w:r>
                  <w:r>
                    <w:rPr>
                      <w:rFonts w:hint="eastAsia"/>
                      <w:color w:val="000000" w:themeColor="text1"/>
                    </w:rPr>
                    <w:t>NOx</w:t>
                  </w:r>
                  <w:r>
                    <w:rPr>
                      <w:color w:val="000000" w:themeColor="text1"/>
                    </w:rPr>
                    <w:t>，共2项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3</w:t>
                  </w:r>
                </w:p>
              </w:tc>
              <w:tc>
                <w:tcPr>
                  <w:tcW w:w="1417" w:type="dxa"/>
                  <w:vAlign w:val="center"/>
                </w:tcPr>
                <w:p>
                  <w:pPr>
                    <w:pStyle w:val="33"/>
                    <w:spacing w:line="360" w:lineRule="exact"/>
                    <w:rPr>
                      <w:color w:val="000000" w:themeColor="text1"/>
                    </w:rPr>
                  </w:pPr>
                  <w:r>
                    <w:rPr>
                      <w:color w:val="000000" w:themeColor="text1"/>
                    </w:rPr>
                    <w:t>监测频次</w:t>
                  </w:r>
                </w:p>
              </w:tc>
              <w:tc>
                <w:tcPr>
                  <w:tcW w:w="6988" w:type="dxa"/>
                  <w:vAlign w:val="center"/>
                </w:tcPr>
                <w:p>
                  <w:pPr>
                    <w:pStyle w:val="33"/>
                    <w:spacing w:line="360" w:lineRule="exact"/>
                    <w:ind w:firstLine="210" w:firstLineChars="100"/>
                    <w:jc w:val="both"/>
                    <w:rPr>
                      <w:color w:val="000000" w:themeColor="text1"/>
                    </w:rPr>
                  </w:pPr>
                  <w:r>
                    <w:rPr>
                      <w:color w:val="000000" w:themeColor="text1"/>
                    </w:rPr>
                    <w:t>连续检测7天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4</w:t>
                  </w:r>
                </w:p>
              </w:tc>
              <w:tc>
                <w:tcPr>
                  <w:tcW w:w="1417" w:type="dxa"/>
                  <w:vAlign w:val="center"/>
                </w:tcPr>
                <w:p>
                  <w:pPr>
                    <w:pStyle w:val="33"/>
                    <w:spacing w:line="360" w:lineRule="exact"/>
                    <w:rPr>
                      <w:color w:val="000000" w:themeColor="text1"/>
                    </w:rPr>
                  </w:pPr>
                  <w:r>
                    <w:rPr>
                      <w:color w:val="000000" w:themeColor="text1"/>
                    </w:rPr>
                    <w:t>采样时间</w:t>
                  </w:r>
                </w:p>
              </w:tc>
              <w:tc>
                <w:tcPr>
                  <w:tcW w:w="6988" w:type="dxa"/>
                  <w:vAlign w:val="center"/>
                </w:tcPr>
                <w:p>
                  <w:pPr>
                    <w:pStyle w:val="33"/>
                    <w:spacing w:line="360" w:lineRule="exact"/>
                    <w:ind w:firstLine="210" w:firstLineChars="100"/>
                    <w:jc w:val="both"/>
                    <w:rPr>
                      <w:color w:val="000000" w:themeColor="text1"/>
                    </w:rPr>
                  </w:pPr>
                  <w:r>
                    <w:rPr>
                      <w:color w:val="000000" w:themeColor="text1"/>
                    </w:rPr>
                    <w:t>2022年5月4日</w:t>
                  </w:r>
                  <w:r>
                    <w:rPr>
                      <w:rFonts w:hint="eastAsia"/>
                      <w:color w:val="000000" w:themeColor="text1"/>
                    </w:rPr>
                    <w:t>-</w:t>
                  </w:r>
                  <w:r>
                    <w:rPr>
                      <w:color w:val="000000" w:themeColor="text1"/>
                    </w:rPr>
                    <w:t>2022年5月11日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5</w:t>
                  </w:r>
                </w:p>
              </w:tc>
              <w:tc>
                <w:tcPr>
                  <w:tcW w:w="1417" w:type="dxa"/>
                  <w:vAlign w:val="center"/>
                </w:tcPr>
                <w:p>
                  <w:pPr>
                    <w:pStyle w:val="33"/>
                    <w:spacing w:line="360" w:lineRule="exact"/>
                    <w:rPr>
                      <w:color w:val="000000" w:themeColor="text1"/>
                    </w:rPr>
                  </w:pPr>
                  <w:r>
                    <w:rPr>
                      <w:color w:val="000000" w:themeColor="text1"/>
                    </w:rPr>
                    <w:t>监测方法</w:t>
                  </w:r>
                </w:p>
              </w:tc>
              <w:tc>
                <w:tcPr>
                  <w:tcW w:w="6988" w:type="dxa"/>
                  <w:vAlign w:val="center"/>
                </w:tcPr>
                <w:p>
                  <w:pPr>
                    <w:pStyle w:val="33"/>
                    <w:spacing w:line="360" w:lineRule="exact"/>
                    <w:ind w:firstLine="210" w:firstLineChars="100"/>
                    <w:jc w:val="both"/>
                    <w:rPr>
                      <w:color w:val="000000" w:themeColor="text1"/>
                    </w:rPr>
                  </w:pPr>
                  <w:r>
                    <w:rPr>
                      <w:color w:val="000000" w:themeColor="text1"/>
                    </w:rPr>
                    <w:t>按照国家相关要求进行</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②</w:t>
            </w:r>
            <w:r>
              <w:rPr>
                <w:rFonts w:hint="eastAsia" w:eastAsiaTheme="minorEastAsia"/>
                <w:b/>
                <w:color w:val="000000" w:themeColor="text1"/>
                <w:szCs w:val="24"/>
              </w:rPr>
              <w:t>引用</w:t>
            </w:r>
            <w:r>
              <w:rPr>
                <w:rFonts w:eastAsiaTheme="minorEastAsia"/>
                <w:b/>
                <w:color w:val="000000" w:themeColor="text1"/>
                <w:szCs w:val="24"/>
              </w:rPr>
              <w:t>环境空气监测结果</w:t>
            </w:r>
          </w:p>
          <w:p>
            <w:pPr>
              <w:pStyle w:val="41"/>
              <w:ind w:firstLine="480"/>
              <w:rPr>
                <w:rFonts w:eastAsiaTheme="minorEastAsia"/>
                <w:color w:val="000000" w:themeColor="text1"/>
                <w:szCs w:val="24"/>
              </w:rPr>
            </w:pPr>
            <w:r>
              <w:rPr>
                <w:rFonts w:hint="eastAsia" w:eastAsiaTheme="minorEastAsia"/>
                <w:color w:val="000000" w:themeColor="text1"/>
                <w:szCs w:val="24"/>
              </w:rPr>
              <w:t>引用</w:t>
            </w:r>
            <w:r>
              <w:rPr>
                <w:rFonts w:eastAsiaTheme="minorEastAsia"/>
                <w:color w:val="000000" w:themeColor="text1"/>
                <w:szCs w:val="24"/>
              </w:rPr>
              <w:t>环境空气监测结果如下表所示。</w:t>
            </w:r>
          </w:p>
          <w:p>
            <w:pPr>
              <w:pStyle w:val="41"/>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 xml:space="preserve">3.1.1-2 </w:t>
            </w:r>
            <w:r>
              <w:rPr>
                <w:rFonts w:ascii="Times New Roman" w:cs="Times New Roman"/>
                <w:b/>
                <w:color w:val="000000" w:themeColor="text1"/>
                <w:szCs w:val="24"/>
              </w:rPr>
              <w:t>项目区域</w:t>
            </w:r>
            <w:r>
              <w:rPr>
                <w:rFonts w:hint="eastAsia" w:ascii="Times New Roman" w:hAnsi="Times New Roman" w:cs="Times New Roman"/>
                <w:b/>
                <w:color w:val="000000" w:themeColor="text1"/>
                <w:szCs w:val="24"/>
              </w:rPr>
              <w:t>引用</w:t>
            </w:r>
            <w:r>
              <w:rPr>
                <w:rFonts w:ascii="Times New Roman" w:cs="Times New Roman"/>
                <w:b/>
                <w:color w:val="000000" w:themeColor="text1"/>
                <w:szCs w:val="24"/>
              </w:rPr>
              <w:t>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5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749"/>
              <w:gridCol w:w="1662"/>
              <w:gridCol w:w="933"/>
              <w:gridCol w:w="1845"/>
              <w:gridCol w:w="992"/>
              <w:gridCol w:w="784"/>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80" w:type="dxa"/>
                  <w:vAlign w:val="center"/>
                </w:tcPr>
                <w:p>
                  <w:pPr>
                    <w:pStyle w:val="33"/>
                    <w:spacing w:line="360" w:lineRule="exact"/>
                    <w:rPr>
                      <w:color w:val="000000" w:themeColor="text1"/>
                      <w:sz w:val="21"/>
                      <w:lang w:eastAsia="zh-CN"/>
                    </w:rPr>
                  </w:pPr>
                  <w:r>
                    <w:rPr>
                      <w:color w:val="000000" w:themeColor="text1"/>
                      <w:sz w:val="21"/>
                      <w:lang w:eastAsia="zh-CN"/>
                    </w:rPr>
                    <w:t>监测点</w:t>
                  </w:r>
                </w:p>
              </w:tc>
              <w:tc>
                <w:tcPr>
                  <w:tcW w:w="750" w:type="dxa"/>
                  <w:vAlign w:val="center"/>
                </w:tcPr>
                <w:p>
                  <w:pPr>
                    <w:pStyle w:val="33"/>
                    <w:spacing w:line="360" w:lineRule="exact"/>
                    <w:rPr>
                      <w:color w:val="000000" w:themeColor="text1"/>
                      <w:sz w:val="21"/>
                      <w:lang w:eastAsia="zh-CN"/>
                    </w:rPr>
                  </w:pPr>
                  <w:r>
                    <w:rPr>
                      <w:color w:val="000000" w:themeColor="text1"/>
                      <w:sz w:val="21"/>
                      <w:lang w:eastAsia="zh-CN"/>
                    </w:rPr>
                    <w:t>污染物</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监测时间</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标准值</w:t>
                  </w:r>
                </w:p>
                <w:p>
                  <w:pPr>
                    <w:pStyle w:val="33"/>
                    <w:spacing w:line="360" w:lineRule="exact"/>
                    <w:rPr>
                      <w:color w:val="000000" w:themeColor="text1"/>
                      <w:sz w:val="21"/>
                      <w:lang w:eastAsia="zh-CN"/>
                    </w:rPr>
                  </w:pPr>
                  <w:r>
                    <w:rPr>
                      <w:color w:val="000000" w:themeColor="text1"/>
                      <w:sz w:val="21"/>
                      <w:lang w:eastAsia="zh-CN"/>
                    </w:rPr>
                    <w:t>（μg/m³）</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监测浓度范围</w:t>
                  </w:r>
                </w:p>
                <w:p>
                  <w:pPr>
                    <w:pStyle w:val="33"/>
                    <w:spacing w:line="360" w:lineRule="exact"/>
                    <w:rPr>
                      <w:color w:val="000000" w:themeColor="text1"/>
                      <w:sz w:val="21"/>
                      <w:lang w:eastAsia="zh-CN"/>
                    </w:rPr>
                  </w:pPr>
                  <w:r>
                    <w:rPr>
                      <w:color w:val="000000" w:themeColor="text1"/>
                      <w:sz w:val="21"/>
                      <w:lang w:eastAsia="zh-CN"/>
                    </w:rPr>
                    <w:t>（μg/m³）</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最大浓度占标率</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超标率</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0" w:type="dxa"/>
                  <w:vMerge w:val="restart"/>
                  <w:vAlign w:val="center"/>
                </w:tcPr>
                <w:p>
                  <w:pPr>
                    <w:pStyle w:val="33"/>
                    <w:spacing w:line="360" w:lineRule="exact"/>
                    <w:rPr>
                      <w:color w:val="000000" w:themeColor="text1"/>
                      <w:sz w:val="21"/>
                      <w:lang w:eastAsia="zh-CN"/>
                    </w:rPr>
                  </w:pPr>
                  <w:r>
                    <w:rPr>
                      <w:color w:val="000000" w:themeColor="text1"/>
                      <w:sz w:val="21"/>
                      <w:lang w:eastAsia="zh-CN"/>
                    </w:rPr>
                    <w:t>昆明龙凤锌业开发有限公司办公室</w:t>
                  </w:r>
                </w:p>
              </w:tc>
              <w:tc>
                <w:tcPr>
                  <w:tcW w:w="750" w:type="dxa"/>
                  <w:vMerge w:val="restart"/>
                  <w:vAlign w:val="center"/>
                </w:tcPr>
                <w:p>
                  <w:pPr>
                    <w:pStyle w:val="33"/>
                    <w:spacing w:line="360" w:lineRule="exact"/>
                    <w:rPr>
                      <w:color w:val="000000" w:themeColor="text1"/>
                      <w:sz w:val="21"/>
                      <w:lang w:eastAsia="zh-CN"/>
                    </w:rPr>
                  </w:pPr>
                  <w:r>
                    <w:rPr>
                      <w:color w:val="000000" w:themeColor="text1"/>
                      <w:sz w:val="21"/>
                      <w:lang w:eastAsia="zh-CN"/>
                    </w:rPr>
                    <w:t>NOx</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1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250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19-27</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10.80%</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0" w:type="dxa"/>
                  <w:vMerge w:val="continue"/>
                  <w:tcBorders>
                    <w:top w:val="nil"/>
                  </w:tcBorders>
                  <w:vAlign w:val="center"/>
                </w:tcPr>
                <w:p>
                  <w:pPr>
                    <w:pStyle w:val="33"/>
                    <w:spacing w:line="360" w:lineRule="exact"/>
                    <w:rPr>
                      <w:color w:val="000000" w:themeColor="text1"/>
                      <w:sz w:val="21"/>
                      <w:lang w:eastAsia="zh-CN"/>
                    </w:rPr>
                  </w:pPr>
                </w:p>
              </w:tc>
              <w:tc>
                <w:tcPr>
                  <w:tcW w:w="750" w:type="dxa"/>
                  <w:vMerge w:val="continue"/>
                  <w:tcBorders>
                    <w:top w:val="nil"/>
                  </w:tcBorders>
                  <w:vAlign w:val="center"/>
                </w:tcPr>
                <w:p>
                  <w:pPr>
                    <w:pStyle w:val="33"/>
                    <w:spacing w:line="360" w:lineRule="exact"/>
                    <w:rPr>
                      <w:color w:val="000000" w:themeColor="text1"/>
                      <w:sz w:val="21"/>
                      <w:lang w:eastAsia="zh-CN"/>
                    </w:rPr>
                  </w:pP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24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100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0.006</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6.00%</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80" w:type="dxa"/>
                  <w:vMerge w:val="continue"/>
                  <w:tcBorders>
                    <w:top w:val="nil"/>
                  </w:tcBorders>
                  <w:vAlign w:val="center"/>
                </w:tcPr>
                <w:p>
                  <w:pPr>
                    <w:pStyle w:val="33"/>
                    <w:spacing w:line="360" w:lineRule="exact"/>
                    <w:rPr>
                      <w:color w:val="000000" w:themeColor="text1"/>
                      <w:sz w:val="21"/>
                      <w:lang w:eastAsia="zh-CN"/>
                    </w:rPr>
                  </w:pPr>
                </w:p>
              </w:tc>
              <w:tc>
                <w:tcPr>
                  <w:tcW w:w="750" w:type="dxa"/>
                  <w:vAlign w:val="center"/>
                </w:tcPr>
                <w:p>
                  <w:pPr>
                    <w:pStyle w:val="33"/>
                    <w:spacing w:line="360" w:lineRule="exact"/>
                    <w:rPr>
                      <w:color w:val="000000" w:themeColor="text1"/>
                      <w:sz w:val="21"/>
                      <w:lang w:eastAsia="zh-CN"/>
                    </w:rPr>
                  </w:pPr>
                  <w:r>
                    <w:rPr>
                      <w:color w:val="000000" w:themeColor="text1"/>
                      <w:sz w:val="21"/>
                      <w:lang w:eastAsia="zh-CN"/>
                    </w:rPr>
                    <w:t>TSP</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24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300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235</w:t>
                  </w:r>
                  <w:r>
                    <w:rPr>
                      <w:rFonts w:hint="eastAsia"/>
                      <w:color w:val="000000" w:themeColor="text1"/>
                      <w:sz w:val="21"/>
                      <w:lang w:eastAsia="zh-CN"/>
                    </w:rPr>
                    <w:t>-</w:t>
                  </w:r>
                  <w:r>
                    <w:rPr>
                      <w:color w:val="000000" w:themeColor="text1"/>
                      <w:sz w:val="21"/>
                      <w:lang w:eastAsia="zh-CN"/>
                    </w:rPr>
                    <w:t>241</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80.33%</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bl>
          <w:p>
            <w:pPr>
              <w:pStyle w:val="41"/>
              <w:spacing w:beforeLines="50"/>
              <w:ind w:firstLine="480"/>
              <w:rPr>
                <w:color w:val="000000" w:themeColor="text1"/>
                <w:szCs w:val="24"/>
              </w:rPr>
            </w:pPr>
            <w:r>
              <w:rPr>
                <w:color w:val="000000" w:themeColor="text1"/>
                <w:szCs w:val="24"/>
              </w:rPr>
              <w:t>根据以上监测结果可知，项目评价范围内TSP</w:t>
            </w:r>
            <w:r>
              <w:rPr>
                <w:rFonts w:hint="eastAsia"/>
                <w:color w:val="000000" w:themeColor="text1"/>
                <w:szCs w:val="24"/>
              </w:rPr>
              <w:t>、NOx</w:t>
            </w:r>
            <w:r>
              <w:rPr>
                <w:color w:val="000000" w:themeColor="text1"/>
                <w:szCs w:val="24"/>
              </w:rPr>
              <w:t>可达到《环境空气质量标准》（GB</w:t>
            </w:r>
            <w:r>
              <w:rPr>
                <w:rFonts w:hint="eastAsia"/>
                <w:color w:val="000000" w:themeColor="text1"/>
                <w:szCs w:val="24"/>
                <w:lang w:eastAsia="zh-CN"/>
              </w:rPr>
              <w:t>****</w:t>
            </w:r>
            <w:r>
              <w:rPr>
                <w:color w:val="000000" w:themeColor="text1"/>
                <w:szCs w:val="24"/>
              </w:rPr>
              <w:t>-2012）二级标准限值要求。</w:t>
            </w:r>
          </w:p>
          <w:p>
            <w:pPr>
              <w:pStyle w:val="41"/>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1"/>
              <w:ind w:firstLine="480"/>
              <w:rPr>
                <w:color w:val="000000" w:themeColor="text1"/>
                <w:szCs w:val="24"/>
              </w:rPr>
            </w:pPr>
            <w:r>
              <w:rPr>
                <w:color w:val="000000" w:themeColor="text1"/>
                <w:szCs w:val="24"/>
              </w:rPr>
              <w:t>本项目区属于小江的汇水范围，小江位于项目区西南侧1085m。</w:t>
            </w:r>
            <w:r>
              <w:rPr>
                <w:rFonts w:hint="eastAsia"/>
                <w:color w:val="000000" w:themeColor="text1"/>
                <w:szCs w:val="24"/>
              </w:rPr>
              <w:t>根据云南省水利厅发布的《云南省水功能区划》（2014版），小江（清水海-入金沙江口段）到2030年的水质目标为III类水体，</w:t>
            </w:r>
            <w:r>
              <w:rPr>
                <w:color w:val="000000" w:themeColor="text1"/>
                <w:szCs w:val="24"/>
              </w:rPr>
              <w:t>执行《地表水环境质量标准》（GB</w:t>
            </w:r>
            <w:r>
              <w:rPr>
                <w:rFonts w:hint="eastAsia"/>
                <w:color w:val="000000" w:themeColor="text1"/>
                <w:szCs w:val="24"/>
                <w:lang w:eastAsia="zh-CN"/>
              </w:rPr>
              <w:t>****</w:t>
            </w:r>
            <w:r>
              <w:rPr>
                <w:color w:val="000000" w:themeColor="text1"/>
                <w:szCs w:val="24"/>
              </w:rPr>
              <w:t>-2002）I</w:t>
            </w:r>
            <w:r>
              <w:rPr>
                <w:rFonts w:hint="eastAsia"/>
                <w:color w:val="000000" w:themeColor="text1"/>
                <w:szCs w:val="24"/>
              </w:rPr>
              <w:t>II</w:t>
            </w:r>
            <w:r>
              <w:rPr>
                <w:color w:val="000000" w:themeColor="text1"/>
                <w:szCs w:val="24"/>
              </w:rPr>
              <w:t>类水标准。</w:t>
            </w:r>
          </w:p>
          <w:p>
            <w:pPr>
              <w:pStyle w:val="41"/>
              <w:ind w:firstLine="480"/>
              <w:rPr>
                <w:color w:val="000000" w:themeColor="text1"/>
                <w:szCs w:val="24"/>
              </w:rPr>
            </w:pPr>
            <w:r>
              <w:rPr>
                <w:color w:val="000000" w:themeColor="text1"/>
                <w:szCs w:val="24"/>
              </w:rPr>
              <w:t>在评价期间，</w:t>
            </w:r>
            <w:r>
              <w:rPr>
                <w:rFonts w:hint="eastAsia"/>
                <w:color w:val="000000" w:themeColor="text1"/>
                <w:szCs w:val="24"/>
              </w:rPr>
              <w:t>收集了</w:t>
            </w:r>
            <w:r>
              <w:rPr>
                <w:color w:val="000000" w:themeColor="text1"/>
                <w:szCs w:val="24"/>
              </w:rPr>
              <w:t>2021年《昆明市东川区环境质量报告书》的</w:t>
            </w:r>
            <w:r>
              <w:rPr>
                <w:rFonts w:hint="eastAsia"/>
                <w:color w:val="000000" w:themeColor="text1"/>
                <w:szCs w:val="24"/>
              </w:rPr>
              <w:t>小江</w:t>
            </w:r>
            <w:r>
              <w:rPr>
                <w:color w:val="000000" w:themeColor="text1"/>
                <w:szCs w:val="24"/>
              </w:rPr>
              <w:t>板河口断面水质监测结果，</w:t>
            </w:r>
            <w:r>
              <w:rPr>
                <w:rFonts w:hint="eastAsia"/>
                <w:color w:val="000000" w:themeColor="text1"/>
                <w:szCs w:val="24"/>
              </w:rPr>
              <w:t>具体如下表所示。</w:t>
            </w:r>
            <w:r>
              <w:rPr>
                <w:color w:val="000000" w:themeColor="text1"/>
                <w:szCs w:val="24"/>
              </w:rPr>
              <w:t xml:space="preserve"> </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22"/>
              <w:tblW w:w="5000" w:type="pct"/>
              <w:tblInd w:w="0" w:type="dxa"/>
              <w:tblLayout w:type="autofit"/>
              <w:tblCellMar>
                <w:top w:w="0" w:type="dxa"/>
                <w:left w:w="108" w:type="dxa"/>
                <w:bottom w:w="0" w:type="dxa"/>
                <w:right w:w="108" w:type="dxa"/>
              </w:tblCellMar>
            </w:tblPr>
            <w:tblGrid>
              <w:gridCol w:w="1076"/>
              <w:gridCol w:w="2370"/>
              <w:gridCol w:w="1786"/>
              <w:gridCol w:w="1459"/>
              <w:gridCol w:w="1927"/>
            </w:tblGrid>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pH（无量纲）</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8.16-8.52</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6-9</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2</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CODcr</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7</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20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BOD</w:t>
                  </w:r>
                  <w:r>
                    <w:rPr>
                      <w:rFonts w:hAnsiTheme="minorEastAsia" w:eastAsiaTheme="minorEastAsia"/>
                      <w:color w:val="000000" w:themeColor="text1"/>
                      <w:sz w:val="20"/>
                      <w:szCs w:val="21"/>
                      <w:vertAlign w:val="subscript"/>
                    </w:rPr>
                    <w:t>5</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4</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氨氮</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0.23</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6</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总磷</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0.12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砷</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0.032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8</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氟化物</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0.30</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9</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挥发酚</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0.0003L</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0.005</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10</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氰化物</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11</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总汞</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0.0001</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12</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六价铬</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13</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铅</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0.002L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243"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14</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镉</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0.0001L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int="eastAsia" w:eastAsiaTheme="minorEastAsia"/>
                      <w:color w:val="000000" w:themeColor="text1"/>
                      <w:szCs w:val="21"/>
                    </w:rPr>
                    <w:t>15</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石油类</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0.01L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pStyle w:val="41"/>
              <w:spacing w:beforeLines="50"/>
              <w:ind w:firstLine="480"/>
              <w:rPr>
                <w:color w:val="000000" w:themeColor="text1"/>
                <w:szCs w:val="24"/>
              </w:rPr>
            </w:pPr>
            <w:r>
              <w:rPr>
                <w:color w:val="000000" w:themeColor="text1"/>
                <w:szCs w:val="24"/>
              </w:rPr>
              <w:t>根据以上监测结果可知，本项目地表水小江</w:t>
            </w:r>
            <w:r>
              <w:rPr>
                <w:rFonts w:hint="eastAsia"/>
                <w:color w:val="000000" w:themeColor="text1"/>
                <w:szCs w:val="24"/>
              </w:rPr>
              <w:t>板河口断面上述指标</w:t>
            </w:r>
            <w:r>
              <w:rPr>
                <w:color w:val="000000" w:themeColor="text1"/>
                <w:szCs w:val="24"/>
              </w:rPr>
              <w:t>水质可达到《地表水环境质量标准》（GB</w:t>
            </w:r>
            <w:r>
              <w:rPr>
                <w:rFonts w:hint="eastAsia"/>
                <w:color w:val="000000" w:themeColor="text1"/>
                <w:szCs w:val="24"/>
                <w:lang w:eastAsia="zh-CN"/>
              </w:rPr>
              <w:t>****</w:t>
            </w:r>
            <w:r>
              <w:rPr>
                <w:color w:val="000000" w:themeColor="text1"/>
                <w:szCs w:val="24"/>
              </w:rPr>
              <w:t>-2002）I</w:t>
            </w:r>
            <w:r>
              <w:rPr>
                <w:rFonts w:hint="eastAsia"/>
                <w:color w:val="000000" w:themeColor="text1"/>
                <w:szCs w:val="24"/>
              </w:rPr>
              <w:t>II</w:t>
            </w:r>
            <w:r>
              <w:rPr>
                <w:color w:val="000000" w:themeColor="text1"/>
                <w:szCs w:val="24"/>
              </w:rPr>
              <w:t>类标准。</w:t>
            </w:r>
          </w:p>
          <w:p>
            <w:pPr>
              <w:pStyle w:val="41"/>
              <w:ind w:firstLine="482"/>
              <w:rPr>
                <w:rFonts w:eastAsiaTheme="minorEastAsia"/>
                <w:b/>
                <w:color w:val="000000" w:themeColor="text1"/>
                <w:szCs w:val="24"/>
              </w:rPr>
            </w:pPr>
            <w:r>
              <w:rPr>
                <w:rFonts w:eastAsiaTheme="minorEastAsia"/>
                <w:b/>
                <w:color w:val="000000" w:themeColor="text1"/>
                <w:szCs w:val="24"/>
              </w:rPr>
              <w:t>3.1.3 声环境质量现状</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w:t>
            </w:r>
            <w:r>
              <w:rPr>
                <w:rFonts w:hint="eastAsia"/>
                <w:color w:val="000000" w:themeColor="text1"/>
                <w:szCs w:val="24"/>
              </w:rPr>
              <w:t>根据</w:t>
            </w:r>
            <w:r>
              <w:rPr>
                <w:color w:val="000000" w:themeColor="text1"/>
                <w:szCs w:val="24"/>
              </w:rPr>
              <w:t>《云南东川产业园区总体规划修编（2021-2035）环境影响报告书》</w:t>
            </w:r>
            <w:r>
              <w:rPr>
                <w:rFonts w:hint="eastAsia"/>
                <w:color w:val="000000" w:themeColor="text1"/>
                <w:szCs w:val="24"/>
              </w:rPr>
              <w:t>，</w:t>
            </w:r>
            <w:r>
              <w:rPr>
                <w:rFonts w:eastAsiaTheme="minorEastAsia"/>
                <w:color w:val="000000" w:themeColor="text1"/>
                <w:szCs w:val="24"/>
              </w:rPr>
              <w:t>项目区域为3类区。在项目区50m范围内无声环境保护目标；根据《建设项目环境影响报告表编制技术指南》（污染影响类）（试行）的要求，可不进行声环境质量现状调查。</w:t>
            </w:r>
          </w:p>
          <w:p>
            <w:pPr>
              <w:pStyle w:val="41"/>
              <w:ind w:firstLine="482"/>
              <w:rPr>
                <w:rFonts w:eastAsiaTheme="minorEastAsia"/>
                <w:b/>
                <w:color w:val="000000" w:themeColor="text1"/>
                <w:szCs w:val="24"/>
              </w:rPr>
            </w:pPr>
            <w:bookmarkStart w:id="10" w:name="_Toc248077256"/>
            <w:r>
              <w:rPr>
                <w:rFonts w:eastAsiaTheme="minorEastAsia"/>
                <w:b/>
                <w:color w:val="000000" w:themeColor="text1"/>
                <w:szCs w:val="24"/>
              </w:rPr>
              <w:t>3.1.4 生态环境质量现状</w:t>
            </w:r>
            <w:bookmarkEnd w:id="10"/>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41"/>
              <w:ind w:firstLine="482"/>
              <w:rPr>
                <w:rFonts w:eastAsiaTheme="minorEastAsia"/>
                <w:b/>
                <w:color w:val="000000" w:themeColor="text1"/>
                <w:szCs w:val="24"/>
              </w:rPr>
            </w:pPr>
            <w:r>
              <w:rPr>
                <w:rFonts w:eastAsiaTheme="minorEastAsia"/>
                <w:b/>
                <w:color w:val="000000" w:themeColor="text1"/>
                <w:szCs w:val="24"/>
              </w:rPr>
              <w:t>3.1.5 地下水、土壤环境</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（1）地下水质量现状</w:t>
            </w:r>
          </w:p>
          <w:p>
            <w:pPr>
              <w:pStyle w:val="41"/>
              <w:ind w:firstLine="480"/>
              <w:rPr>
                <w:rFonts w:eastAsiaTheme="minorEastAsia"/>
                <w:color w:val="000000" w:themeColor="text1"/>
                <w:szCs w:val="24"/>
              </w:rPr>
            </w:pPr>
            <w:r>
              <w:rPr>
                <w:rFonts w:eastAsiaTheme="minorEastAsia"/>
                <w:color w:val="000000" w:themeColor="text1"/>
                <w:szCs w:val="24"/>
              </w:rPr>
              <w:t>本项目为“</w:t>
            </w:r>
            <w:r>
              <w:rPr>
                <w:rFonts w:hint="eastAsia" w:eastAsiaTheme="minorEastAsia"/>
                <w:color w:val="000000" w:themeColor="text1"/>
                <w:szCs w:val="24"/>
              </w:rPr>
              <w:t>一般工业固体废物（含污水处理污泥）综合利用</w:t>
            </w:r>
            <w:r>
              <w:rPr>
                <w:rFonts w:eastAsiaTheme="minorEastAsia"/>
                <w:color w:val="000000" w:themeColor="text1"/>
                <w:szCs w:val="24"/>
              </w:rPr>
              <w:t>”类项目，</w:t>
            </w:r>
            <w:r>
              <w:rPr>
                <w:rFonts w:hint="eastAsia" w:eastAsiaTheme="minorEastAsia"/>
                <w:color w:val="000000" w:themeColor="text1"/>
                <w:szCs w:val="24"/>
              </w:rPr>
              <w:t>属于《环境影响评价技术导则 地下水环境》（</w:t>
            </w:r>
            <w:r>
              <w:rPr>
                <w:rFonts w:eastAsiaTheme="minorEastAsia"/>
                <w:color w:val="000000" w:themeColor="text1"/>
                <w:szCs w:val="24"/>
              </w:rPr>
              <w:t>HJ610-2016</w:t>
            </w:r>
            <w:r>
              <w:rPr>
                <w:rFonts w:hint="eastAsia" w:eastAsiaTheme="minorEastAsia"/>
                <w:color w:val="000000" w:themeColor="text1"/>
                <w:szCs w:val="24"/>
              </w:rPr>
              <w:t>）行业分类表中的III类项目，因此</w:t>
            </w:r>
            <w:r>
              <w:rPr>
                <w:rFonts w:eastAsiaTheme="minorEastAsia"/>
                <w:color w:val="000000" w:themeColor="text1"/>
                <w:szCs w:val="24"/>
              </w:rPr>
              <w:t>存在地下水环境污染途径，</w:t>
            </w:r>
            <w:r>
              <w:rPr>
                <w:rFonts w:hint="eastAsia" w:eastAsiaTheme="minorEastAsia"/>
                <w:color w:val="000000" w:themeColor="text1"/>
                <w:szCs w:val="24"/>
              </w:rPr>
              <w:t>但根据调查，</w:t>
            </w:r>
            <w:r>
              <w:rPr>
                <w:rFonts w:eastAsiaTheme="minorEastAsia"/>
                <w:color w:val="000000" w:themeColor="text1"/>
                <w:szCs w:val="24"/>
              </w:rPr>
              <w:t>厂界外500m范围内不涉及集中式饮用水水源和热水、矿泉水、温泉等特殊地下水资源，</w:t>
            </w:r>
            <w:r>
              <w:rPr>
                <w:rFonts w:hint="eastAsia" w:eastAsiaTheme="minorEastAsia"/>
                <w:color w:val="000000" w:themeColor="text1"/>
                <w:szCs w:val="24"/>
              </w:rPr>
              <w:t>因此环评引用项目区下游地下水监测数据对其进行评价。</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调查，项目所在区域的地下水主要功能为工农业用水，属于地下水质量III类。根据项目区域水文地质概况，区域地下水流向为由东北方向流向西北方向。根据项目区水文地质图，凉水井村位于项目区东北侧</w:t>
            </w:r>
            <w:r>
              <w:rPr>
                <w:rFonts w:hint="eastAsia" w:eastAsiaTheme="minorEastAsia"/>
                <w:color w:val="000000" w:themeColor="text1"/>
                <w:szCs w:val="24"/>
              </w:rPr>
              <w:t>796</w:t>
            </w:r>
            <w:r>
              <w:rPr>
                <w:rFonts w:eastAsiaTheme="minorEastAsia"/>
                <w:color w:val="000000" w:themeColor="text1"/>
                <w:szCs w:val="24"/>
              </w:rPr>
              <w:t>m处</w:t>
            </w:r>
            <w:r>
              <w:rPr>
                <w:rFonts w:hint="eastAsia" w:eastAsiaTheme="minorEastAsia"/>
                <w:color w:val="000000" w:themeColor="text1"/>
                <w:szCs w:val="24"/>
              </w:rPr>
              <w:t>（位于项目区上游）</w:t>
            </w:r>
            <w:r>
              <w:rPr>
                <w:rFonts w:eastAsiaTheme="minorEastAsia"/>
                <w:color w:val="000000" w:themeColor="text1"/>
                <w:szCs w:val="24"/>
              </w:rPr>
              <w:t>，其村庄内有一个泉点和本次建设项目位于同一水文地址单元内，因此本环评拟采用《云南东川产业园区总体规划修编（2021-2035）环境影响报告书》编制过程中委托云南中科检测技术有限公司于2022年3月3日-4日连续2天对凉水井泉点的监测数据对区域地下水进行评价。</w:t>
            </w:r>
          </w:p>
          <w:p>
            <w:pPr>
              <w:spacing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①地下水现状监测参数设置</w:t>
            </w:r>
          </w:p>
          <w:p>
            <w:pPr>
              <w:spacing w:line="360" w:lineRule="auto"/>
              <w:ind w:firstLine="480" w:firstLineChars="200"/>
              <w:rPr>
                <w:rFonts w:hint="eastAsia" w:ascii="Times New Roman" w:hAnsi="Times New Roman" w:cs="Times New Roman"/>
                <w:color w:val="000000" w:themeColor="text1"/>
                <w:sz w:val="24"/>
                <w:szCs w:val="32"/>
              </w:rPr>
            </w:pPr>
            <w:r>
              <w:rPr>
                <w:rFonts w:ascii="Times New Roman" w:hAnsi="Times New Roman" w:cs="Times New Roman"/>
                <w:color w:val="000000" w:themeColor="text1"/>
                <w:sz w:val="24"/>
                <w:szCs w:val="32"/>
              </w:rPr>
              <w:t>监测数据中监测参数如下表所示。</w:t>
            </w:r>
          </w:p>
          <w:p>
            <w:pPr>
              <w:spacing w:line="360" w:lineRule="auto"/>
              <w:ind w:firstLine="480" w:firstLineChars="200"/>
              <w:rPr>
                <w:rFonts w:hint="eastAsia" w:ascii="Times New Roman" w:hAnsi="Times New Roman" w:cs="Times New Roman"/>
                <w:color w:val="000000" w:themeColor="text1"/>
                <w:sz w:val="24"/>
                <w:szCs w:val="32"/>
              </w:rPr>
            </w:pPr>
          </w:p>
          <w:p>
            <w:pPr>
              <w:pStyle w:val="35"/>
              <w:widowControl/>
              <w:tabs>
                <w:tab w:val="left" w:pos="540"/>
                <w:tab w:val="left" w:pos="851"/>
                <w:tab w:val="left" w:pos="994"/>
                <w:tab w:val="left" w:pos="1260"/>
                <w:tab w:val="left" w:pos="3108"/>
                <w:tab w:val="left" w:pos="3150"/>
              </w:tabs>
              <w:snapToGrid/>
              <w:spacing w:beforeLines="0"/>
              <w:textAlignment w:val="auto"/>
              <w:rPr>
                <w:rFonts w:hint="eastAsia" w:hAnsi="Times New Roman" w:eastAsia="宋体"/>
                <w:bCs/>
                <w:snapToGrid w:val="0"/>
                <w:color w:val="000000" w:themeColor="text1"/>
                <w:sz w:val="21"/>
                <w:szCs w:val="21"/>
              </w:rPr>
            </w:pP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.1.5-1  监测参数一览表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5"/>
              <w:gridCol w:w="1259"/>
              <w:gridCol w:w="6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Align w:val="center"/>
                </w:tcPr>
                <w:p>
                  <w:pPr>
                    <w:pStyle w:val="33"/>
                    <w:spacing w:line="360" w:lineRule="exact"/>
                    <w:rPr>
                      <w:color w:val="000000" w:themeColor="text1"/>
                      <w:szCs w:val="21"/>
                    </w:rPr>
                  </w:pPr>
                  <w:r>
                    <w:rPr>
                      <w:color w:val="000000" w:themeColor="text1"/>
                      <w:szCs w:val="21"/>
                    </w:rPr>
                    <w:t>序号</w:t>
                  </w:r>
                </w:p>
              </w:tc>
              <w:tc>
                <w:tcPr>
                  <w:tcW w:w="1259" w:type="dxa"/>
                  <w:vAlign w:val="center"/>
                </w:tcPr>
                <w:p>
                  <w:pPr>
                    <w:pStyle w:val="33"/>
                    <w:spacing w:line="360" w:lineRule="exact"/>
                    <w:rPr>
                      <w:color w:val="000000" w:themeColor="text1"/>
                      <w:szCs w:val="21"/>
                    </w:rPr>
                  </w:pPr>
                  <w:r>
                    <w:rPr>
                      <w:color w:val="000000" w:themeColor="text1"/>
                      <w:szCs w:val="21"/>
                    </w:rPr>
                    <w:t>项目</w:t>
                  </w:r>
                </w:p>
              </w:tc>
              <w:tc>
                <w:tcPr>
                  <w:tcW w:w="6611" w:type="dxa"/>
                  <w:vAlign w:val="center"/>
                </w:tcPr>
                <w:p>
                  <w:pPr>
                    <w:pStyle w:val="33"/>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Align w:val="center"/>
                </w:tcPr>
                <w:p>
                  <w:pPr>
                    <w:pStyle w:val="33"/>
                    <w:spacing w:line="360" w:lineRule="exact"/>
                    <w:rPr>
                      <w:color w:val="000000" w:themeColor="text1"/>
                      <w:szCs w:val="21"/>
                    </w:rPr>
                  </w:pPr>
                  <w:r>
                    <w:rPr>
                      <w:color w:val="000000" w:themeColor="text1"/>
                      <w:szCs w:val="21"/>
                    </w:rPr>
                    <w:t>1</w:t>
                  </w:r>
                </w:p>
              </w:tc>
              <w:tc>
                <w:tcPr>
                  <w:tcW w:w="1259" w:type="dxa"/>
                  <w:vAlign w:val="center"/>
                </w:tcPr>
                <w:p>
                  <w:pPr>
                    <w:pStyle w:val="33"/>
                    <w:spacing w:line="360" w:lineRule="exact"/>
                    <w:rPr>
                      <w:color w:val="000000" w:themeColor="text1"/>
                      <w:szCs w:val="21"/>
                    </w:rPr>
                  </w:pPr>
                  <w:r>
                    <w:rPr>
                      <w:color w:val="000000" w:themeColor="text1"/>
                      <w:szCs w:val="21"/>
                    </w:rPr>
                    <w:t>监测点位</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凉水井泉点，凉水井村位于项目区东北侧</w:t>
                  </w:r>
                  <w:r>
                    <w:rPr>
                      <w:rFonts w:hint="eastAsia" w:eastAsiaTheme="minorEastAsia"/>
                      <w:color w:val="000000" w:themeColor="text1"/>
                      <w:szCs w:val="24"/>
                    </w:rPr>
                    <w:t>796</w:t>
                  </w:r>
                  <w:r>
                    <w:rPr>
                      <w:rFonts w:eastAsiaTheme="minorEastAsia"/>
                      <w:color w:val="000000" w:themeColor="text1"/>
                      <w:szCs w:val="24"/>
                    </w:rPr>
                    <w:t>m处，泉点位于项目区东北侧约</w:t>
                  </w:r>
                  <w:r>
                    <w:rPr>
                      <w:rFonts w:hint="eastAsia" w:eastAsiaTheme="minorEastAsia"/>
                      <w:color w:val="000000" w:themeColor="text1"/>
                      <w:szCs w:val="24"/>
                    </w:rPr>
                    <w:t>896</w:t>
                  </w:r>
                  <w:r>
                    <w:rPr>
                      <w:rFonts w:eastAsiaTheme="minorEastAsia"/>
                      <w:color w:val="000000" w:themeColor="text1"/>
                      <w:szCs w:val="24"/>
                    </w:rPr>
                    <w:t>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2</w:t>
                  </w:r>
                </w:p>
              </w:tc>
              <w:tc>
                <w:tcPr>
                  <w:tcW w:w="1259" w:type="dxa"/>
                  <w:vAlign w:val="center"/>
                </w:tcPr>
                <w:p>
                  <w:pPr>
                    <w:pStyle w:val="33"/>
                    <w:spacing w:line="360" w:lineRule="exact"/>
                    <w:rPr>
                      <w:color w:val="000000" w:themeColor="text1"/>
                      <w:szCs w:val="21"/>
                    </w:rPr>
                  </w:pPr>
                  <w:r>
                    <w:rPr>
                      <w:color w:val="000000" w:themeColor="text1"/>
                      <w:szCs w:val="21"/>
                    </w:rPr>
                    <w:t>监测项目</w:t>
                  </w:r>
                </w:p>
              </w:tc>
              <w:tc>
                <w:tcPr>
                  <w:tcW w:w="6611" w:type="dxa"/>
                  <w:vAlign w:val="center"/>
                </w:tcPr>
                <w:p>
                  <w:pPr>
                    <w:pStyle w:val="33"/>
                    <w:spacing w:line="360" w:lineRule="exact"/>
                    <w:ind w:firstLine="210" w:firstLineChars="100"/>
                    <w:jc w:val="both"/>
                    <w:rPr>
                      <w:color w:val="000000" w:themeColor="text1"/>
                      <w:szCs w:val="21"/>
                    </w:rPr>
                  </w:pPr>
                  <w:r>
                    <w:rPr>
                      <w:color w:val="000000" w:themeColor="text1"/>
                      <w:szCs w:val="21"/>
                    </w:rPr>
                    <w:t>K</w:t>
                  </w:r>
                  <w:r>
                    <w:rPr>
                      <w:color w:val="000000" w:themeColor="text1"/>
                      <w:szCs w:val="21"/>
                      <w:vertAlign w:val="superscript"/>
                    </w:rPr>
                    <w:t>+</w:t>
                  </w:r>
                  <w:r>
                    <w:rPr>
                      <w:color w:val="000000" w:themeColor="text1"/>
                      <w:szCs w:val="21"/>
                    </w:rPr>
                    <w:t>、Na</w:t>
                  </w:r>
                  <w:r>
                    <w:rPr>
                      <w:color w:val="000000" w:themeColor="text1"/>
                      <w:szCs w:val="21"/>
                      <w:vertAlign w:val="superscript"/>
                    </w:rPr>
                    <w:t>+</w:t>
                  </w:r>
                  <w:r>
                    <w:rPr>
                      <w:color w:val="000000" w:themeColor="text1"/>
                      <w:szCs w:val="21"/>
                    </w:rPr>
                    <w:t>、Ca</w:t>
                  </w:r>
                  <w:r>
                    <w:rPr>
                      <w:color w:val="000000" w:themeColor="text1"/>
                      <w:szCs w:val="21"/>
                      <w:vertAlign w:val="superscript"/>
                    </w:rPr>
                    <w:t>2+</w:t>
                  </w:r>
                  <w:r>
                    <w:rPr>
                      <w:color w:val="000000" w:themeColor="text1"/>
                      <w:szCs w:val="21"/>
                    </w:rPr>
                    <w:t>、Mg</w:t>
                  </w:r>
                  <w:r>
                    <w:rPr>
                      <w:color w:val="000000" w:themeColor="text1"/>
                      <w:szCs w:val="21"/>
                      <w:vertAlign w:val="superscript"/>
                    </w:rPr>
                    <w:t>2+</w:t>
                  </w:r>
                  <w:r>
                    <w:rPr>
                      <w:color w:val="000000" w:themeColor="text1"/>
                      <w:szCs w:val="21"/>
                    </w:rPr>
                    <w:t>、CO</w:t>
                  </w:r>
                  <w:r>
                    <w:rPr>
                      <w:color w:val="000000" w:themeColor="text1"/>
                      <w:szCs w:val="21"/>
                      <w:vertAlign w:val="subscript"/>
                    </w:rPr>
                    <w:t>3</w:t>
                  </w:r>
                  <w:r>
                    <w:rPr>
                      <w:color w:val="000000" w:themeColor="text1"/>
                      <w:szCs w:val="21"/>
                      <w:vertAlign w:val="superscript"/>
                    </w:rPr>
                    <w:t>2-</w:t>
                  </w:r>
                  <w:r>
                    <w:rPr>
                      <w:color w:val="000000" w:themeColor="text1"/>
                      <w:szCs w:val="21"/>
                    </w:rPr>
                    <w:t>、Cl</w:t>
                  </w:r>
                  <w:r>
                    <w:rPr>
                      <w:color w:val="000000" w:themeColor="text1"/>
                      <w:szCs w:val="21"/>
                      <w:vertAlign w:val="superscript"/>
                    </w:rPr>
                    <w:t>-</w:t>
                  </w:r>
                  <w:r>
                    <w:rPr>
                      <w:color w:val="000000" w:themeColor="text1"/>
                      <w:szCs w:val="21"/>
                    </w:rPr>
                    <w:t>、SO</w:t>
                  </w:r>
                  <w:r>
                    <w:rPr>
                      <w:color w:val="000000" w:themeColor="text1"/>
                      <w:szCs w:val="21"/>
                      <w:vertAlign w:val="subscript"/>
                    </w:rPr>
                    <w:t>4</w:t>
                  </w:r>
                  <w:r>
                    <w:rPr>
                      <w:color w:val="000000" w:themeColor="text1"/>
                      <w:szCs w:val="21"/>
                      <w:vertAlign w:val="superscript"/>
                    </w:rPr>
                    <w:t>2-</w:t>
                  </w:r>
                  <w:r>
                    <w:rPr>
                      <w:color w:val="000000" w:themeColor="text1"/>
                      <w:szCs w:val="21"/>
                    </w:rPr>
                    <w:t>、pH、水温、色度、嗅和味、肉眼可见物、总硬度、溶解性总固体、硫酸盐、氯化物、铁、锰、铜、锌、挥发酚类、阴离子表面活性剂、耗氧量、氨氮、硫化物、总大肠菌群、菌落总数、亚硝酸盐氮、硝酸盐氮、氰化物、氟化物、汞、砷、镉、铬（六价）、铅、镍、、总磷、溶解氧，共39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3</w:t>
                  </w:r>
                </w:p>
              </w:tc>
              <w:tc>
                <w:tcPr>
                  <w:tcW w:w="1259" w:type="dxa"/>
                  <w:vAlign w:val="center"/>
                </w:tcPr>
                <w:p>
                  <w:pPr>
                    <w:pStyle w:val="33"/>
                    <w:spacing w:line="360" w:lineRule="exact"/>
                    <w:rPr>
                      <w:color w:val="000000" w:themeColor="text1"/>
                      <w:szCs w:val="21"/>
                    </w:rPr>
                  </w:pPr>
                  <w:r>
                    <w:rPr>
                      <w:color w:val="000000" w:themeColor="text1"/>
                      <w:szCs w:val="21"/>
                    </w:rPr>
                    <w:t>监测频次</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4</w:t>
                  </w:r>
                </w:p>
              </w:tc>
              <w:tc>
                <w:tcPr>
                  <w:tcW w:w="1259" w:type="dxa"/>
                  <w:vAlign w:val="center"/>
                </w:tcPr>
                <w:p>
                  <w:pPr>
                    <w:pStyle w:val="33"/>
                    <w:spacing w:line="360" w:lineRule="exact"/>
                    <w:rPr>
                      <w:color w:val="000000" w:themeColor="text1"/>
                      <w:szCs w:val="21"/>
                    </w:rPr>
                  </w:pPr>
                  <w:r>
                    <w:rPr>
                      <w:color w:val="000000" w:themeColor="text1"/>
                      <w:szCs w:val="21"/>
                    </w:rPr>
                    <w:t>采样时间</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2022年3月3日-4日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5</w:t>
                  </w:r>
                </w:p>
              </w:tc>
              <w:tc>
                <w:tcPr>
                  <w:tcW w:w="1259" w:type="dxa"/>
                  <w:vAlign w:val="center"/>
                </w:tcPr>
                <w:p>
                  <w:pPr>
                    <w:pStyle w:val="33"/>
                    <w:spacing w:line="360" w:lineRule="exact"/>
                    <w:rPr>
                      <w:color w:val="000000" w:themeColor="text1"/>
                      <w:szCs w:val="21"/>
                    </w:rPr>
                  </w:pPr>
                  <w:r>
                    <w:rPr>
                      <w:color w:val="000000" w:themeColor="text1"/>
                      <w:szCs w:val="21"/>
                    </w:rPr>
                    <w:t>监测方法</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按照国家相关要求进行。</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②地下水监测结果</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地下水主要监测结果见下表。</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表3.1.5-2 项目区域地下水质检测结果一览表单位：mg/L</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704"/>
              <w:gridCol w:w="1704"/>
              <w:gridCol w:w="141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31" w:type="dxa"/>
                  <w:vMerge w:val="restart"/>
                  <w:tcBorders>
                    <w:top w:val="single" w:color="auto" w:sz="8" w:space="0"/>
                    <w:left w:val="single" w:color="auto" w:sz="8" w:space="0"/>
                    <w:tl2br w:val="single" w:color="auto" w:sz="8" w:space="0"/>
                  </w:tcBorders>
                  <w:vAlign w:val="center"/>
                </w:tcPr>
                <w:p>
                  <w:pPr>
                    <w:pStyle w:val="33"/>
                    <w:spacing w:line="360" w:lineRule="exact"/>
                    <w:rPr>
                      <w:color w:val="000000" w:themeColor="text1"/>
                      <w:szCs w:val="21"/>
                    </w:rPr>
                  </w:pPr>
                  <w:r>
                    <w:rPr>
                      <w:color w:val="000000" w:themeColor="text1"/>
                      <w:szCs w:val="21"/>
                    </w:rPr>
                    <w:t xml:space="preserve">          时间/点位</w:t>
                  </w:r>
                </w:p>
                <w:p>
                  <w:pPr>
                    <w:pStyle w:val="33"/>
                    <w:spacing w:line="360" w:lineRule="exact"/>
                    <w:jc w:val="left"/>
                    <w:rPr>
                      <w:color w:val="000000" w:themeColor="text1"/>
                      <w:szCs w:val="21"/>
                    </w:rPr>
                  </w:pPr>
                  <w:r>
                    <w:rPr>
                      <w:color w:val="000000" w:themeColor="text1"/>
                      <w:szCs w:val="21"/>
                    </w:rPr>
                    <w:t>检测项目</w:t>
                  </w:r>
                </w:p>
              </w:tc>
              <w:tc>
                <w:tcPr>
                  <w:tcW w:w="3402" w:type="dxa"/>
                  <w:gridSpan w:val="2"/>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凉水井泉点</w:t>
                  </w:r>
                </w:p>
              </w:tc>
              <w:tc>
                <w:tcPr>
                  <w:tcW w:w="1417" w:type="dxa"/>
                  <w:vMerge w:val="restart"/>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标准值</w:t>
                  </w:r>
                </w:p>
              </w:tc>
              <w:tc>
                <w:tcPr>
                  <w:tcW w:w="1345" w:type="dxa"/>
                  <w:vMerge w:val="restart"/>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31" w:type="dxa"/>
                  <w:vMerge w:val="continue"/>
                  <w:tcBorders>
                    <w:left w:val="single" w:color="auto" w:sz="8" w:space="0"/>
                    <w:tl2br w:val="single" w:color="auto" w:sz="8" w:space="0"/>
                  </w:tcBorders>
                  <w:vAlign w:val="center"/>
                </w:tcPr>
                <w:p>
                  <w:pPr>
                    <w:pStyle w:val="33"/>
                    <w:spacing w:line="360" w:lineRule="exact"/>
                    <w:rPr>
                      <w:color w:val="000000" w:themeColor="text1"/>
                      <w:szCs w:val="21"/>
                    </w:rPr>
                  </w:pP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监测均值</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标准指数</w:t>
                  </w:r>
                </w:p>
              </w:tc>
              <w:tc>
                <w:tcPr>
                  <w:tcW w:w="1417" w:type="dxa"/>
                  <w:vMerge w:val="continue"/>
                  <w:tcBorders>
                    <w:left w:val="single" w:color="auto" w:sz="4" w:space="0"/>
                    <w:right w:val="single" w:color="auto" w:sz="4" w:space="0"/>
                  </w:tcBorders>
                  <w:vAlign w:val="center"/>
                </w:tcPr>
                <w:p>
                  <w:pPr>
                    <w:pStyle w:val="33"/>
                    <w:spacing w:line="360" w:lineRule="exact"/>
                    <w:rPr>
                      <w:color w:val="000000" w:themeColor="text1"/>
                      <w:szCs w:val="21"/>
                    </w:rPr>
                  </w:pPr>
                </w:p>
              </w:tc>
              <w:tc>
                <w:tcPr>
                  <w:tcW w:w="1345" w:type="dxa"/>
                  <w:vMerge w:val="continue"/>
                  <w:tcBorders>
                    <w:left w:val="single" w:color="auto" w:sz="4" w:space="0"/>
                    <w:right w:val="single" w:color="auto" w:sz="8"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pH（无量纲）</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6.5~8.5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水温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13.2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色度（度）</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0.33</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浑浊度（NTU）</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嗅和味</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肉眼可见物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总硬度</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304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450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溶解性总固体</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469</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0.47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硫酸盐</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0.22</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氯化物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18.6</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铁</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0.03L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锰</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铜</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锌</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6.7×10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挥发酚类</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阴离子表面活性剂</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0.050L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耗氧量</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0.25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氨氮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硫化物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总大肠菌群（MPNb/100mL）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菌落总数（CFU/mL）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93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0.93</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亚硝酸盐氮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0.037</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硝酸盐氮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0.50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氰化物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氟化物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汞</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砷</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1.5×10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0.15</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镉</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7.5×10</w:t>
                  </w:r>
                  <w:r>
                    <w:rPr>
                      <w:color w:val="000000" w:themeColor="text1"/>
                      <w:szCs w:val="21"/>
                      <w:vertAlign w:val="superscript"/>
                    </w:rPr>
                    <w:t>-5</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铬（六价）（mg/L）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0.004L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铅</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1.4×10</w:t>
                  </w:r>
                  <w:r>
                    <w:rPr>
                      <w:color w:val="000000" w:themeColor="text1"/>
                      <w:szCs w:val="21"/>
                      <w:vertAlign w:val="superscript"/>
                    </w:rPr>
                    <w:t>-4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镍</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3.72×10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0.19</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K</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1.23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Na</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8.51</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Ca</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94.9</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Mg</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30.1</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CO</w:t>
                  </w:r>
                  <w:r>
                    <w:rPr>
                      <w:color w:val="000000" w:themeColor="text1"/>
                      <w:szCs w:val="21"/>
                      <w:vertAlign w:val="subscript"/>
                    </w:rPr>
                    <w:t>3</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HCO</w:t>
                  </w:r>
                  <w:r>
                    <w:rPr>
                      <w:color w:val="000000" w:themeColor="text1"/>
                      <w:szCs w:val="21"/>
                      <w:vertAlign w:val="subscript"/>
                    </w:rPr>
                    <w:t>3</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372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Cl</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16.3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33"/>
                    <w:spacing w:line="360" w:lineRule="exact"/>
                    <w:rPr>
                      <w:color w:val="000000" w:themeColor="text1"/>
                      <w:szCs w:val="21"/>
                    </w:rPr>
                  </w:pPr>
                  <w:r>
                    <w:rPr>
                      <w:color w:val="000000" w:themeColor="text1"/>
                      <w:szCs w:val="21"/>
                    </w:rPr>
                    <w:t>SO</w:t>
                  </w:r>
                  <w:r>
                    <w:rPr>
                      <w:color w:val="000000" w:themeColor="text1"/>
                      <w:szCs w:val="21"/>
                      <w:vertAlign w:val="subscript"/>
                    </w:rPr>
                    <w:t>4</w:t>
                  </w:r>
                  <w:r>
                    <w:rPr>
                      <w:color w:val="000000" w:themeColor="text1"/>
                      <w:szCs w:val="21"/>
                      <w:vertAlign w:val="superscript"/>
                    </w:rPr>
                    <w:t>2-</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52.9</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33"/>
                    <w:spacing w:line="360" w:lineRule="exact"/>
                    <w:rPr>
                      <w:color w:val="000000" w:themeColor="text1"/>
                      <w:szCs w:val="21"/>
                    </w:rPr>
                  </w:pPr>
                  <w:r>
                    <w:rPr>
                      <w:color w:val="000000" w:themeColor="text1"/>
                      <w:szCs w:val="21"/>
                    </w:rPr>
                    <w:t>总磷</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0.06L</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溶解氧</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7.8</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③地下水监测结果及地下水现状分析</w:t>
            </w:r>
          </w:p>
          <w:p>
            <w:pPr>
              <w:pStyle w:val="41"/>
              <w:ind w:firstLine="480"/>
              <w:rPr>
                <w:rFonts w:eastAsiaTheme="minorEastAsia"/>
                <w:color w:val="000000" w:themeColor="text1"/>
                <w:szCs w:val="24"/>
              </w:rPr>
            </w:pPr>
            <w:r>
              <w:rPr>
                <w:rFonts w:eastAsiaTheme="minorEastAsia"/>
                <w:color w:val="000000" w:themeColor="text1"/>
                <w:szCs w:val="24"/>
              </w:rPr>
              <w:t>根据以上监测结果可知，评价区域的上述监测因子均达到《地下水质量标准》（GB/T14848-2017）III类标准。</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（2）土壤环境质量现状</w:t>
            </w:r>
          </w:p>
          <w:p>
            <w:pPr>
              <w:pStyle w:val="41"/>
              <w:ind w:firstLine="480"/>
              <w:rPr>
                <w:color w:val="000000" w:themeColor="text1"/>
                <w:szCs w:val="32"/>
              </w:rPr>
            </w:pPr>
            <w:r>
              <w:rPr>
                <w:color w:val="000000" w:themeColor="text1"/>
                <w:szCs w:val="32"/>
              </w:rPr>
              <w:t>本项目为“一般工业固体废物（含污水处理污泥）综合利用”类项目，</w:t>
            </w:r>
            <w:r>
              <w:rPr>
                <w:rFonts w:hint="eastAsia"/>
                <w:color w:val="000000" w:themeColor="text1"/>
                <w:szCs w:val="32"/>
              </w:rPr>
              <w:t>属于《环境影响评价技术导则 土壤环境（试行）》（HJ964-2018）项目类别中的II类项目，因此</w:t>
            </w:r>
            <w:r>
              <w:rPr>
                <w:color w:val="000000" w:themeColor="text1"/>
                <w:szCs w:val="32"/>
              </w:rPr>
              <w:t>存在土壤环境污染途径，本项目存在土壤、地下水环境污染途径的，拟在昆明合旺有色金属有限公司厂区内开展现状调查以留作背景值。为此建设单位委托云南环普检测科技有限公司对项目区域土壤进行了环境质量现状监测，具体监测情况如下。</w:t>
            </w:r>
          </w:p>
          <w:p>
            <w:pPr>
              <w:pStyle w:val="41"/>
              <w:ind w:firstLine="482"/>
              <w:rPr>
                <w:b/>
                <w:color w:val="000000" w:themeColor="text1"/>
                <w:szCs w:val="32"/>
              </w:rPr>
            </w:pPr>
            <w:r>
              <w:rPr>
                <w:rFonts w:hint="eastAsia"/>
                <w:b/>
                <w:color w:val="000000" w:themeColor="text1"/>
                <w:szCs w:val="32"/>
              </w:rPr>
              <w:t>①</w:t>
            </w:r>
            <w:r>
              <w:rPr>
                <w:b/>
                <w:color w:val="000000" w:themeColor="text1"/>
                <w:szCs w:val="32"/>
              </w:rPr>
              <w:t>监测参数设置</w:t>
            </w:r>
          </w:p>
          <w:p>
            <w:pPr>
              <w:pStyle w:val="41"/>
              <w:ind w:firstLine="480"/>
              <w:rPr>
                <w:color w:val="000000" w:themeColor="text1"/>
                <w:szCs w:val="32"/>
              </w:rPr>
            </w:pPr>
            <w:r>
              <w:rPr>
                <w:color w:val="000000" w:themeColor="text1"/>
                <w:szCs w:val="32"/>
              </w:rPr>
              <w:t>监测参数如下表所示。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表3.1.5-3 土壤质量现状监测情况一览表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88"/>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szCs w:val="21"/>
                    </w:rPr>
                  </w:pPr>
                  <w:r>
                    <w:rPr>
                      <w:color w:val="000000" w:themeColor="text1"/>
                      <w:szCs w:val="21"/>
                    </w:rPr>
                    <w:t>--</w:t>
                  </w:r>
                </w:p>
              </w:tc>
              <w:tc>
                <w:tcPr>
                  <w:tcW w:w="1134" w:type="dxa"/>
                  <w:vAlign w:val="center"/>
                </w:tcPr>
                <w:p>
                  <w:pPr>
                    <w:pStyle w:val="33"/>
                    <w:spacing w:line="360" w:lineRule="exact"/>
                    <w:rPr>
                      <w:color w:val="000000" w:themeColor="text1"/>
                      <w:szCs w:val="21"/>
                    </w:rPr>
                  </w:pPr>
                  <w:r>
                    <w:rPr>
                      <w:color w:val="000000" w:themeColor="text1"/>
                      <w:szCs w:val="21"/>
                    </w:rPr>
                    <w:t>项目</w:t>
                  </w:r>
                </w:p>
              </w:tc>
              <w:tc>
                <w:tcPr>
                  <w:tcW w:w="7271" w:type="dxa"/>
                  <w:vAlign w:val="center"/>
                </w:tcPr>
                <w:p>
                  <w:pPr>
                    <w:pStyle w:val="33"/>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33"/>
                    <w:spacing w:line="360" w:lineRule="exact"/>
                    <w:rPr>
                      <w:color w:val="000000" w:themeColor="text1"/>
                      <w:szCs w:val="21"/>
                    </w:rPr>
                  </w:pPr>
                  <w:r>
                    <w:rPr>
                      <w:color w:val="000000" w:themeColor="text1"/>
                      <w:szCs w:val="21"/>
                    </w:rPr>
                    <w:t>土壤</w:t>
                  </w:r>
                </w:p>
              </w:tc>
              <w:tc>
                <w:tcPr>
                  <w:tcW w:w="1134" w:type="dxa"/>
                  <w:vAlign w:val="center"/>
                </w:tcPr>
                <w:p>
                  <w:pPr>
                    <w:pStyle w:val="33"/>
                    <w:spacing w:line="360" w:lineRule="exact"/>
                    <w:rPr>
                      <w:color w:val="000000" w:themeColor="text1"/>
                      <w:szCs w:val="21"/>
                    </w:rPr>
                  </w:pPr>
                  <w:r>
                    <w:rPr>
                      <w:color w:val="000000" w:themeColor="text1"/>
                      <w:szCs w:val="21"/>
                    </w:rPr>
                    <w:t>监测项目</w:t>
                  </w:r>
                </w:p>
              </w:tc>
              <w:tc>
                <w:tcPr>
                  <w:tcW w:w="7271" w:type="dxa"/>
                  <w:vAlign w:val="center"/>
                </w:tcPr>
                <w:p>
                  <w:pPr>
                    <w:pStyle w:val="33"/>
                    <w:spacing w:line="360" w:lineRule="exact"/>
                    <w:ind w:firstLine="210" w:firstLineChars="100"/>
                    <w:jc w:val="both"/>
                    <w:rPr>
                      <w:color w:val="000000" w:themeColor="text1"/>
                      <w:szCs w:val="21"/>
                    </w:rPr>
                  </w:pPr>
                  <w:r>
                    <w:rPr>
                      <w:color w:val="000000" w:themeColor="text1"/>
                      <w:szCs w:val="21"/>
                    </w:rPr>
                    <w:t>四氯化碳、氯仿、氯甲烷、1,1-二氯乙烷、1,2-二氯乙烷、1,1-二氯乙烯、顺式-1,2-二氯乙烯、反式-1,2-二氯乙烯、二氯甲烷、1,2-二氯丙烷、1,1,1,2-四氯乙烷、1,1,2,2-四氯乙烷、四氯乙烯、1,1,1-三氯乙烷、1,1,2-三氯乙烷、三氯乙烯、1,2,3-三氯丙烷、氯乙烯、苯、氯苯、1,2-二氯苯、1,4-二氯苯、乙苯、苯乙烯、甲苯、间二甲苯+对二甲苯、邻二甲苯、硝基苯、苯胺、2-氯苯酚、苯并[a]蒽、苯并[a]芘、苯并[b]荧蒽、苯并[k]荧蒽、䓛、二苯并[a,h]蒽、茚并[1,2,3-cd]芘、萘、pH、阳离子交换量、氧化还原电位、饱和导水率、土壤容重、孔隙度、砷、镉、六价铬、铜、铅、汞、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tabs>
                      <w:tab w:val="center" w:pos="540"/>
                    </w:tabs>
                    <w:spacing w:line="360" w:lineRule="exact"/>
                    <w:rPr>
                      <w:color w:val="000000" w:themeColor="text1"/>
                      <w:szCs w:val="21"/>
                    </w:rPr>
                  </w:pPr>
                  <w:r>
                    <w:rPr>
                      <w:color w:val="000000" w:themeColor="text1"/>
                      <w:szCs w:val="21"/>
                    </w:rPr>
                    <w:t>采样频率</w:t>
                  </w:r>
                </w:p>
              </w:tc>
              <w:tc>
                <w:tcPr>
                  <w:tcW w:w="7271" w:type="dxa"/>
                  <w:vAlign w:val="center"/>
                </w:tcPr>
                <w:p>
                  <w:pPr>
                    <w:pStyle w:val="33"/>
                    <w:spacing w:line="360" w:lineRule="exact"/>
                    <w:ind w:firstLine="210" w:firstLineChars="100"/>
                    <w:jc w:val="left"/>
                    <w:rPr>
                      <w:color w:val="000000" w:themeColor="text1"/>
                      <w:szCs w:val="21"/>
                    </w:rPr>
                  </w:pPr>
                  <w:r>
                    <w:rPr>
                      <w:color w:val="000000" w:themeColor="text1"/>
                      <w:szCs w:val="21"/>
                    </w:rPr>
                    <w:t>取样1次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tabs>
                      <w:tab w:val="center" w:pos="540"/>
                    </w:tabs>
                    <w:spacing w:line="360" w:lineRule="exact"/>
                    <w:rPr>
                      <w:color w:val="000000" w:themeColor="text1"/>
                      <w:szCs w:val="21"/>
                    </w:rPr>
                  </w:pPr>
                  <w:r>
                    <w:rPr>
                      <w:rFonts w:hint="eastAsia"/>
                      <w:color w:val="000000" w:themeColor="text1"/>
                      <w:szCs w:val="21"/>
                    </w:rPr>
                    <w:t>监测日期</w:t>
                  </w:r>
                </w:p>
              </w:tc>
              <w:tc>
                <w:tcPr>
                  <w:tcW w:w="7271"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2023年9月15日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spacing w:line="360" w:lineRule="exact"/>
                    <w:rPr>
                      <w:color w:val="000000" w:themeColor="text1"/>
                      <w:szCs w:val="21"/>
                    </w:rPr>
                  </w:pPr>
                  <w:r>
                    <w:rPr>
                      <w:color w:val="000000" w:themeColor="text1"/>
                      <w:szCs w:val="21"/>
                    </w:rPr>
                    <w:t>采样地点</w:t>
                  </w:r>
                </w:p>
              </w:tc>
              <w:tc>
                <w:tcPr>
                  <w:tcW w:w="7271" w:type="dxa"/>
                  <w:vAlign w:val="center"/>
                </w:tcPr>
                <w:p>
                  <w:pPr>
                    <w:pStyle w:val="33"/>
                    <w:spacing w:line="360" w:lineRule="exact"/>
                    <w:ind w:firstLine="210" w:firstLineChars="100"/>
                    <w:jc w:val="left"/>
                    <w:rPr>
                      <w:color w:val="000000" w:themeColor="text1"/>
                      <w:szCs w:val="21"/>
                    </w:rPr>
                  </w:pPr>
                  <w:r>
                    <w:rPr>
                      <w:color w:val="000000" w:themeColor="text1"/>
                      <w:szCs w:val="21"/>
                    </w:rPr>
                    <w:t>昆明合旺有色金属有限公司厂区内设置1个点。</w:t>
                  </w:r>
                </w:p>
              </w:tc>
            </w:tr>
          </w:tbl>
          <w:p>
            <w:pPr>
              <w:pStyle w:val="41"/>
              <w:spacing w:beforeLines="50"/>
              <w:ind w:firstLine="482"/>
              <w:rPr>
                <w:b/>
                <w:color w:val="000000" w:themeColor="text1"/>
                <w:szCs w:val="32"/>
              </w:rPr>
            </w:pPr>
            <w:r>
              <w:rPr>
                <w:b/>
                <w:color w:val="000000" w:themeColor="text1"/>
                <w:szCs w:val="32"/>
              </w:rPr>
              <w:t>②土壤监测结果</w:t>
            </w:r>
          </w:p>
          <w:p>
            <w:pPr>
              <w:pStyle w:val="41"/>
              <w:ind w:firstLine="480"/>
              <w:rPr>
                <w:color w:val="000000" w:themeColor="text1"/>
                <w:szCs w:val="32"/>
              </w:rPr>
            </w:pPr>
            <w:r>
              <w:rPr>
                <w:color w:val="000000" w:themeColor="text1"/>
                <w:szCs w:val="32"/>
              </w:rPr>
              <w:t>土壤理化性质如下表所示。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表3.1.5-4 土壤理化性质检测结果一览表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864"/>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采样日期</w:t>
                  </w:r>
                </w:p>
              </w:tc>
              <w:tc>
                <w:tcPr>
                  <w:tcW w:w="4586" w:type="dxa"/>
                  <w:vAlign w:val="center"/>
                </w:tcPr>
                <w:p>
                  <w:pPr>
                    <w:pStyle w:val="33"/>
                    <w:spacing w:line="360" w:lineRule="exact"/>
                    <w:rPr>
                      <w:color w:val="000000" w:themeColor="text1"/>
                      <w:szCs w:val="21"/>
                    </w:rPr>
                  </w:pPr>
                  <w:r>
                    <w:rPr>
                      <w:color w:val="000000" w:themeColor="text1"/>
                      <w:szCs w:val="21"/>
                    </w:rPr>
                    <w:t>2023.09.15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监测点位</w:t>
                  </w:r>
                </w:p>
              </w:tc>
              <w:tc>
                <w:tcPr>
                  <w:tcW w:w="4586" w:type="dxa"/>
                  <w:vAlign w:val="center"/>
                </w:tcPr>
                <w:p>
                  <w:pPr>
                    <w:pStyle w:val="33"/>
                    <w:spacing w:line="360" w:lineRule="exact"/>
                    <w:rPr>
                      <w:color w:val="000000" w:themeColor="text1"/>
                      <w:szCs w:val="21"/>
                    </w:rPr>
                  </w:pPr>
                  <w:r>
                    <w:rPr>
                      <w:color w:val="000000" w:themeColor="text1"/>
                      <w:szCs w:val="21"/>
                    </w:rPr>
                    <w:t>昆明合旺有色金属有限公司厂区内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经纬度</w:t>
                  </w:r>
                </w:p>
              </w:tc>
              <w:tc>
                <w:tcPr>
                  <w:tcW w:w="4586" w:type="dxa"/>
                  <w:vAlign w:val="center"/>
                </w:tcPr>
                <w:p>
                  <w:pPr>
                    <w:pStyle w:val="33"/>
                    <w:spacing w:line="360" w:lineRule="exact"/>
                    <w:rPr>
                      <w:color w:val="000000" w:themeColor="text1"/>
                      <w:szCs w:val="21"/>
                    </w:rPr>
                  </w:pPr>
                  <w:r>
                    <w:rPr>
                      <w:color w:val="000000" w:themeColor="text1"/>
                      <w:szCs w:val="21"/>
                    </w:rPr>
                    <w:t>E:103.1244250  N:26.1777445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取样深度</w:t>
                  </w:r>
                </w:p>
              </w:tc>
              <w:tc>
                <w:tcPr>
                  <w:tcW w:w="4586" w:type="dxa"/>
                  <w:vAlign w:val="center"/>
                </w:tcPr>
                <w:p>
                  <w:pPr>
                    <w:pStyle w:val="33"/>
                    <w:spacing w:line="360" w:lineRule="exact"/>
                    <w:rPr>
                      <w:color w:val="000000" w:themeColor="text1"/>
                      <w:szCs w:val="21"/>
                    </w:rPr>
                  </w:pPr>
                  <w:r>
                    <w:rPr>
                      <w:color w:val="000000" w:themeColor="text1"/>
                      <w:szCs w:val="21"/>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样品编号</w:t>
                  </w:r>
                </w:p>
              </w:tc>
              <w:tc>
                <w:tcPr>
                  <w:tcW w:w="4586" w:type="dxa"/>
                  <w:vAlign w:val="center"/>
                </w:tcPr>
                <w:p>
                  <w:pPr>
                    <w:pStyle w:val="33"/>
                    <w:spacing w:line="360" w:lineRule="exact"/>
                    <w:rPr>
                      <w:color w:val="000000" w:themeColor="text1"/>
                      <w:szCs w:val="21"/>
                    </w:rPr>
                  </w:pPr>
                  <w:r>
                    <w:rPr>
                      <w:color w:val="000000" w:themeColor="text1"/>
                      <w:szCs w:val="21"/>
                    </w:rPr>
                    <w:t>23091306F101-3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33"/>
                    <w:spacing w:line="360" w:lineRule="exact"/>
                    <w:rPr>
                      <w:color w:val="000000" w:themeColor="text1"/>
                      <w:szCs w:val="21"/>
                    </w:rPr>
                  </w:pPr>
                  <w:r>
                    <w:rPr>
                      <w:color w:val="000000" w:themeColor="text1"/>
                      <w:szCs w:val="21"/>
                    </w:rPr>
                    <w:t>现场记录</w:t>
                  </w:r>
                </w:p>
              </w:tc>
              <w:tc>
                <w:tcPr>
                  <w:tcW w:w="2835" w:type="dxa"/>
                  <w:vAlign w:val="center"/>
                </w:tcPr>
                <w:p>
                  <w:pPr>
                    <w:pStyle w:val="33"/>
                    <w:spacing w:line="360" w:lineRule="exact"/>
                    <w:rPr>
                      <w:color w:val="000000" w:themeColor="text1"/>
                      <w:szCs w:val="21"/>
                    </w:rPr>
                  </w:pPr>
                  <w:r>
                    <w:rPr>
                      <w:color w:val="000000" w:themeColor="text1"/>
                      <w:szCs w:val="21"/>
                    </w:rPr>
                    <w:t>颜色</w:t>
                  </w:r>
                </w:p>
              </w:tc>
              <w:tc>
                <w:tcPr>
                  <w:tcW w:w="4586" w:type="dxa"/>
                  <w:vAlign w:val="center"/>
                </w:tcPr>
                <w:p>
                  <w:pPr>
                    <w:pStyle w:val="33"/>
                    <w:spacing w:line="360" w:lineRule="exact"/>
                    <w:rPr>
                      <w:color w:val="000000" w:themeColor="text1"/>
                      <w:szCs w:val="21"/>
                    </w:rPr>
                  </w:pPr>
                  <w:r>
                    <w:rPr>
                      <w:color w:val="000000" w:themeColor="text1"/>
                      <w:szCs w:val="21"/>
                    </w:rPr>
                    <w:t>红棕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质地</w:t>
                  </w:r>
                </w:p>
              </w:tc>
              <w:tc>
                <w:tcPr>
                  <w:tcW w:w="4586" w:type="dxa"/>
                  <w:vAlign w:val="center"/>
                </w:tcPr>
                <w:p>
                  <w:pPr>
                    <w:pStyle w:val="33"/>
                    <w:spacing w:line="360" w:lineRule="exact"/>
                    <w:rPr>
                      <w:color w:val="000000" w:themeColor="text1"/>
                      <w:szCs w:val="21"/>
                    </w:rPr>
                  </w:pPr>
                  <w:r>
                    <w:rPr>
                      <w:color w:val="000000" w:themeColor="text1"/>
                      <w:szCs w:val="21"/>
                    </w:rPr>
                    <w:t>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砂砾含量</w:t>
                  </w:r>
                </w:p>
              </w:tc>
              <w:tc>
                <w:tcPr>
                  <w:tcW w:w="458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33"/>
                    <w:spacing w:line="360" w:lineRule="exact"/>
                    <w:rPr>
                      <w:color w:val="000000" w:themeColor="text1"/>
                      <w:szCs w:val="21"/>
                    </w:rPr>
                  </w:pPr>
                  <w:r>
                    <w:rPr>
                      <w:color w:val="000000" w:themeColor="text1"/>
                      <w:szCs w:val="21"/>
                    </w:rPr>
                    <w:t>实验室测定</w:t>
                  </w:r>
                </w:p>
              </w:tc>
              <w:tc>
                <w:tcPr>
                  <w:tcW w:w="2835" w:type="dxa"/>
                  <w:vAlign w:val="center"/>
                </w:tcPr>
                <w:p>
                  <w:pPr>
                    <w:pStyle w:val="33"/>
                    <w:spacing w:line="360" w:lineRule="exact"/>
                    <w:rPr>
                      <w:color w:val="000000" w:themeColor="text1"/>
                      <w:szCs w:val="21"/>
                    </w:rPr>
                  </w:pPr>
                  <w:r>
                    <w:rPr>
                      <w:color w:val="000000" w:themeColor="text1"/>
                      <w:szCs w:val="21"/>
                    </w:rPr>
                    <w:t>pH值（无量纲）</w:t>
                  </w:r>
                </w:p>
              </w:tc>
              <w:tc>
                <w:tcPr>
                  <w:tcW w:w="4586" w:type="dxa"/>
                  <w:vAlign w:val="center"/>
                </w:tcPr>
                <w:p>
                  <w:pPr>
                    <w:pStyle w:val="33"/>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阳离子交换量(cmol/kg)</w:t>
                  </w:r>
                </w:p>
              </w:tc>
              <w:tc>
                <w:tcPr>
                  <w:tcW w:w="4586" w:type="dxa"/>
                  <w:vAlign w:val="center"/>
                </w:tcPr>
                <w:p>
                  <w:pPr>
                    <w:pStyle w:val="33"/>
                    <w:spacing w:line="360" w:lineRule="exact"/>
                    <w:rPr>
                      <w:color w:val="000000" w:themeColor="text1"/>
                      <w:szCs w:val="21"/>
                    </w:rPr>
                  </w:pPr>
                  <w:r>
                    <w:rPr>
                      <w:color w:val="000000" w:themeColor="text1"/>
                      <w:szCs w:val="21"/>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孔隙度（%）</w:t>
                  </w:r>
                </w:p>
              </w:tc>
              <w:tc>
                <w:tcPr>
                  <w:tcW w:w="4586" w:type="dxa"/>
                  <w:vAlign w:val="center"/>
                </w:tcPr>
                <w:p>
                  <w:pPr>
                    <w:pStyle w:val="33"/>
                    <w:spacing w:line="360" w:lineRule="exact"/>
                    <w:rPr>
                      <w:color w:val="000000" w:themeColor="text1"/>
                      <w:szCs w:val="21"/>
                    </w:rPr>
                  </w:pPr>
                  <w:r>
                    <w:rPr>
                      <w:color w:val="000000" w:themeColor="text1"/>
                      <w:szCs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饱和导水率（mm/min）</w:t>
                  </w:r>
                </w:p>
              </w:tc>
              <w:tc>
                <w:tcPr>
                  <w:tcW w:w="4586" w:type="dxa"/>
                  <w:vAlign w:val="center"/>
                </w:tcPr>
                <w:p>
                  <w:pPr>
                    <w:pStyle w:val="33"/>
                    <w:spacing w:line="360" w:lineRule="exact"/>
                    <w:rPr>
                      <w:color w:val="000000" w:themeColor="text1"/>
                      <w:szCs w:val="21"/>
                    </w:rPr>
                  </w:pPr>
                  <w:r>
                    <w:rPr>
                      <w:color w:val="000000" w:themeColor="text1"/>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容重（g/cm3）</w:t>
                  </w:r>
                </w:p>
              </w:tc>
              <w:tc>
                <w:tcPr>
                  <w:tcW w:w="4586" w:type="dxa"/>
                  <w:vAlign w:val="center"/>
                </w:tcPr>
                <w:p>
                  <w:pPr>
                    <w:pStyle w:val="33"/>
                    <w:spacing w:line="360" w:lineRule="exact"/>
                    <w:rPr>
                      <w:color w:val="000000" w:themeColor="text1"/>
                      <w:szCs w:val="21"/>
                    </w:rPr>
                  </w:pPr>
                  <w:r>
                    <w:rPr>
                      <w:color w:val="000000" w:themeColor="text1"/>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氧化还原电位（mV）</w:t>
                  </w:r>
                </w:p>
              </w:tc>
              <w:tc>
                <w:tcPr>
                  <w:tcW w:w="4586" w:type="dxa"/>
                  <w:vAlign w:val="center"/>
                </w:tcPr>
                <w:p>
                  <w:pPr>
                    <w:pStyle w:val="33"/>
                    <w:spacing w:line="360" w:lineRule="exact"/>
                    <w:rPr>
                      <w:color w:val="000000" w:themeColor="text1"/>
                      <w:szCs w:val="21"/>
                    </w:rPr>
                  </w:pPr>
                  <w:r>
                    <w:rPr>
                      <w:color w:val="000000" w:themeColor="text1"/>
                      <w:szCs w:val="21"/>
                    </w:rPr>
                    <w:t>438</w:t>
                  </w:r>
                </w:p>
              </w:tc>
            </w:tr>
          </w:tbl>
          <w:p>
            <w:pPr>
              <w:pStyle w:val="41"/>
              <w:spacing w:beforeLines="50"/>
              <w:ind w:firstLine="480"/>
              <w:rPr>
                <w:rFonts w:hint="eastAsia"/>
                <w:color w:val="000000" w:themeColor="text1"/>
                <w:szCs w:val="32"/>
              </w:rPr>
            </w:pPr>
            <w:r>
              <w:rPr>
                <w:color w:val="000000" w:themeColor="text1"/>
                <w:szCs w:val="32"/>
              </w:rPr>
              <w:t>土壤监测结果见下表。</w:t>
            </w:r>
          </w:p>
          <w:p>
            <w:pPr>
              <w:pStyle w:val="41"/>
              <w:spacing w:beforeLines="50"/>
              <w:ind w:firstLine="480"/>
              <w:rPr>
                <w:rFonts w:hint="eastAsia"/>
                <w:color w:val="000000" w:themeColor="text1"/>
                <w:szCs w:val="32"/>
              </w:rPr>
            </w:pPr>
          </w:p>
          <w:p>
            <w:pPr>
              <w:pStyle w:val="35"/>
              <w:widowControl/>
              <w:tabs>
                <w:tab w:val="left" w:pos="540"/>
                <w:tab w:val="left" w:pos="851"/>
                <w:tab w:val="left" w:pos="994"/>
                <w:tab w:val="left" w:pos="1260"/>
                <w:tab w:val="left" w:pos="3108"/>
                <w:tab w:val="left" w:pos="3150"/>
              </w:tabs>
              <w:snapToGrid/>
              <w:spacing w:beforeLines="0"/>
              <w:textAlignment w:val="auto"/>
              <w:rPr>
                <w:rFonts w:hint="eastAsia" w:hAnsi="Times New Roman" w:eastAsia="宋体"/>
                <w:bCs/>
                <w:snapToGrid w:val="0"/>
                <w:color w:val="000000" w:themeColor="text1"/>
                <w:sz w:val="21"/>
                <w:szCs w:val="21"/>
              </w:rPr>
            </w:pP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表3.1.5-6  土壤监测结果表 单位：mg/kg</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3101"/>
              <w:gridCol w:w="2278"/>
              <w:gridCol w:w="156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03" w:type="dxa"/>
                  <w:vAlign w:val="center"/>
                </w:tcPr>
                <w:p>
                  <w:pPr>
                    <w:pStyle w:val="33"/>
                    <w:spacing w:line="360" w:lineRule="exact"/>
                    <w:rPr>
                      <w:color w:val="000000" w:themeColor="text1"/>
                      <w:szCs w:val="21"/>
                    </w:rPr>
                  </w:pPr>
                  <w:r>
                    <w:rPr>
                      <w:color w:val="000000" w:themeColor="text1"/>
                      <w:szCs w:val="21"/>
                    </w:rPr>
                    <w:t>序号</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检测值</w:t>
                  </w:r>
                </w:p>
                <w:p>
                  <w:pPr>
                    <w:pStyle w:val="33"/>
                    <w:spacing w:line="360" w:lineRule="exact"/>
                    <w:rPr>
                      <w:rFonts w:eastAsiaTheme="minorEastAsia"/>
                      <w:color w:val="000000" w:themeColor="text1"/>
                      <w:szCs w:val="21"/>
                    </w:rPr>
                  </w:pPr>
                  <w:r>
                    <w:rPr>
                      <w:rFonts w:eastAsiaTheme="minorEastAsia"/>
                      <w:color w:val="000000" w:themeColor="text1"/>
                      <w:szCs w:val="21"/>
                    </w:rPr>
                    <w:t>分析指标</w:t>
                  </w:r>
                </w:p>
              </w:tc>
              <w:tc>
                <w:tcPr>
                  <w:tcW w:w="22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昆明合旺有色金属有限公司厂区内</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第二类用地筛选值</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1</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砷（mg/kg）</w:t>
                  </w:r>
                </w:p>
              </w:tc>
              <w:tc>
                <w:tcPr>
                  <w:tcW w:w="22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51.1</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2</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镉（mg/kg）</w:t>
                  </w:r>
                </w:p>
              </w:tc>
              <w:tc>
                <w:tcPr>
                  <w:tcW w:w="22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7.26</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65</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3</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六价铬（mg/kg）</w:t>
                  </w:r>
                </w:p>
              </w:tc>
              <w:tc>
                <w:tcPr>
                  <w:tcW w:w="2201" w:type="dxa"/>
                  <w:vAlign w:val="center"/>
                </w:tcPr>
                <w:p>
                  <w:pPr>
                    <w:pStyle w:val="33"/>
                    <w:spacing w:line="360" w:lineRule="exact"/>
                    <w:rPr>
                      <w:color w:val="000000" w:themeColor="text1"/>
                      <w:szCs w:val="21"/>
                    </w:rPr>
                  </w:pPr>
                  <w:r>
                    <w:rPr>
                      <w:color w:val="000000" w:themeColor="text1"/>
                      <w:szCs w:val="21"/>
                    </w:rPr>
                    <w:t>0.5L</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5.7</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铜（mg/kg）</w:t>
                  </w:r>
                </w:p>
              </w:tc>
              <w:tc>
                <w:tcPr>
                  <w:tcW w:w="2201" w:type="dxa"/>
                  <w:vAlign w:val="center"/>
                </w:tcPr>
                <w:p>
                  <w:pPr>
                    <w:pStyle w:val="33"/>
                    <w:spacing w:line="360" w:lineRule="exact"/>
                    <w:rPr>
                      <w:color w:val="000000" w:themeColor="text1"/>
                      <w:szCs w:val="21"/>
                    </w:rPr>
                  </w:pPr>
                  <w:r>
                    <w:rPr>
                      <w:color w:val="000000" w:themeColor="text1"/>
                      <w:szCs w:val="21"/>
                    </w:rPr>
                    <w:t>530</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18000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5</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铅（mg/kg）</w:t>
                  </w:r>
                </w:p>
              </w:tc>
              <w:tc>
                <w:tcPr>
                  <w:tcW w:w="2201" w:type="dxa"/>
                  <w:vAlign w:val="center"/>
                </w:tcPr>
                <w:p>
                  <w:pPr>
                    <w:pStyle w:val="33"/>
                    <w:spacing w:line="360" w:lineRule="exact"/>
                    <w:rPr>
                      <w:color w:val="000000" w:themeColor="text1"/>
                      <w:szCs w:val="21"/>
                    </w:rPr>
                  </w:pPr>
                  <w:r>
                    <w:rPr>
                      <w:color w:val="000000" w:themeColor="text1"/>
                      <w:szCs w:val="21"/>
                    </w:rPr>
                    <w:t>332</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6</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汞（mg/kg）</w:t>
                  </w:r>
                </w:p>
              </w:tc>
              <w:tc>
                <w:tcPr>
                  <w:tcW w:w="2201" w:type="dxa"/>
                  <w:vAlign w:val="center"/>
                </w:tcPr>
                <w:p>
                  <w:pPr>
                    <w:pStyle w:val="33"/>
                    <w:spacing w:line="360" w:lineRule="exact"/>
                    <w:rPr>
                      <w:color w:val="000000" w:themeColor="text1"/>
                      <w:szCs w:val="21"/>
                    </w:rPr>
                  </w:pPr>
                  <w:r>
                    <w:rPr>
                      <w:color w:val="000000" w:themeColor="text1"/>
                      <w:szCs w:val="21"/>
                    </w:rPr>
                    <w:t>0.586</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38</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7</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镍（mg/kg）</w:t>
                  </w:r>
                </w:p>
              </w:tc>
              <w:tc>
                <w:tcPr>
                  <w:tcW w:w="2201" w:type="dxa"/>
                  <w:vAlign w:val="center"/>
                </w:tcPr>
                <w:p>
                  <w:pPr>
                    <w:pStyle w:val="33"/>
                    <w:spacing w:line="360" w:lineRule="exact"/>
                    <w:rPr>
                      <w:color w:val="000000" w:themeColor="text1"/>
                      <w:szCs w:val="21"/>
                    </w:rPr>
                  </w:pPr>
                  <w:r>
                    <w:rPr>
                      <w:color w:val="000000" w:themeColor="text1"/>
                      <w:szCs w:val="21"/>
                    </w:rPr>
                    <w:t>78</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8</w:t>
                  </w:r>
                </w:p>
              </w:tc>
              <w:tc>
                <w:tcPr>
                  <w:tcW w:w="2996" w:type="dxa"/>
                  <w:vAlign w:val="center"/>
                </w:tcPr>
                <w:p>
                  <w:pPr>
                    <w:pStyle w:val="33"/>
                    <w:spacing w:line="360" w:lineRule="exact"/>
                    <w:rPr>
                      <w:color w:val="000000" w:themeColor="text1"/>
                      <w:szCs w:val="21"/>
                    </w:rPr>
                  </w:pPr>
                  <w:r>
                    <w:rPr>
                      <w:color w:val="000000" w:themeColor="text1"/>
                      <w:szCs w:val="21"/>
                    </w:rPr>
                    <w:t>四氯化碳（μg/kg）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9</w:t>
                  </w:r>
                </w:p>
              </w:tc>
              <w:tc>
                <w:tcPr>
                  <w:tcW w:w="2996" w:type="dxa"/>
                  <w:vAlign w:val="center"/>
                </w:tcPr>
                <w:p>
                  <w:pPr>
                    <w:pStyle w:val="33"/>
                    <w:spacing w:line="360" w:lineRule="exact"/>
                    <w:rPr>
                      <w:color w:val="000000" w:themeColor="text1"/>
                      <w:szCs w:val="21"/>
                    </w:rPr>
                  </w:pPr>
                  <w:r>
                    <w:rPr>
                      <w:color w:val="000000" w:themeColor="text1"/>
                      <w:szCs w:val="21"/>
                    </w:rPr>
                    <w:t>氯仿（μg/kg）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0.9</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10</w:t>
                  </w:r>
                </w:p>
              </w:tc>
              <w:tc>
                <w:tcPr>
                  <w:tcW w:w="2996" w:type="dxa"/>
                  <w:vAlign w:val="center"/>
                </w:tcPr>
                <w:p>
                  <w:pPr>
                    <w:pStyle w:val="33"/>
                    <w:spacing w:line="360" w:lineRule="exact"/>
                    <w:rPr>
                      <w:color w:val="000000" w:themeColor="text1"/>
                      <w:szCs w:val="21"/>
                    </w:rPr>
                  </w:pPr>
                  <w:r>
                    <w:rPr>
                      <w:color w:val="000000" w:themeColor="text1"/>
                      <w:szCs w:val="21"/>
                    </w:rPr>
                    <w:t>氯甲烷（μg/kg）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37</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11</w:t>
                  </w:r>
                </w:p>
              </w:tc>
              <w:tc>
                <w:tcPr>
                  <w:tcW w:w="2996" w:type="dxa"/>
                  <w:vAlign w:val="center"/>
                </w:tcPr>
                <w:p>
                  <w:pPr>
                    <w:pStyle w:val="33"/>
                    <w:spacing w:line="360" w:lineRule="exact"/>
                    <w:rPr>
                      <w:color w:val="000000" w:themeColor="text1"/>
                      <w:szCs w:val="21"/>
                    </w:rPr>
                  </w:pPr>
                  <w:r>
                    <w:rPr>
                      <w:color w:val="000000" w:themeColor="text1"/>
                      <w:szCs w:val="21"/>
                    </w:rPr>
                    <w:t>1,1-二氯乙烷（μg/kg）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9</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12</w:t>
                  </w:r>
                </w:p>
              </w:tc>
              <w:tc>
                <w:tcPr>
                  <w:tcW w:w="2996" w:type="dxa"/>
                  <w:vAlign w:val="center"/>
                </w:tcPr>
                <w:p>
                  <w:pPr>
                    <w:pStyle w:val="33"/>
                    <w:spacing w:line="360" w:lineRule="exact"/>
                    <w:rPr>
                      <w:color w:val="000000" w:themeColor="text1"/>
                      <w:szCs w:val="21"/>
                    </w:rPr>
                  </w:pPr>
                  <w:r>
                    <w:rPr>
                      <w:color w:val="000000" w:themeColor="text1"/>
                      <w:szCs w:val="21"/>
                    </w:rPr>
                    <w:t>1,2-二氯乙烷（μg/kg）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13</w:t>
                  </w:r>
                </w:p>
              </w:tc>
              <w:tc>
                <w:tcPr>
                  <w:tcW w:w="2996" w:type="dxa"/>
                  <w:vAlign w:val="center"/>
                </w:tcPr>
                <w:p>
                  <w:pPr>
                    <w:pStyle w:val="33"/>
                    <w:spacing w:line="360" w:lineRule="exact"/>
                    <w:rPr>
                      <w:color w:val="000000" w:themeColor="text1"/>
                      <w:szCs w:val="21"/>
                    </w:rPr>
                  </w:pPr>
                  <w:r>
                    <w:rPr>
                      <w:color w:val="000000" w:themeColor="text1"/>
                      <w:szCs w:val="21"/>
                    </w:rPr>
                    <w:t>1,1-二氯乙烯（ug/kg）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14</w:t>
                  </w:r>
                </w:p>
              </w:tc>
              <w:tc>
                <w:tcPr>
                  <w:tcW w:w="2996" w:type="dxa"/>
                  <w:vAlign w:val="center"/>
                </w:tcPr>
                <w:p>
                  <w:pPr>
                    <w:pStyle w:val="33"/>
                    <w:spacing w:line="360" w:lineRule="exact"/>
                    <w:rPr>
                      <w:color w:val="000000" w:themeColor="text1"/>
                      <w:szCs w:val="21"/>
                    </w:rPr>
                  </w:pPr>
                  <w:r>
                    <w:rPr>
                      <w:color w:val="000000" w:themeColor="text1"/>
                      <w:szCs w:val="21"/>
                    </w:rPr>
                    <w:t>顺式-1,2-二氯乙烯（ug/kg）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596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15</w:t>
                  </w:r>
                </w:p>
              </w:tc>
              <w:tc>
                <w:tcPr>
                  <w:tcW w:w="2996" w:type="dxa"/>
                  <w:vAlign w:val="center"/>
                </w:tcPr>
                <w:p>
                  <w:pPr>
                    <w:pStyle w:val="33"/>
                    <w:spacing w:line="360" w:lineRule="exact"/>
                    <w:rPr>
                      <w:color w:val="000000" w:themeColor="text1"/>
                      <w:szCs w:val="21"/>
                    </w:rPr>
                  </w:pPr>
                  <w:r>
                    <w:rPr>
                      <w:color w:val="000000" w:themeColor="text1"/>
                      <w:szCs w:val="21"/>
                    </w:rPr>
                    <w:t>反式-1,2-二氯乙烯（ug/kg）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54</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16</w:t>
                  </w:r>
                </w:p>
              </w:tc>
              <w:tc>
                <w:tcPr>
                  <w:tcW w:w="2996" w:type="dxa"/>
                  <w:vAlign w:val="center"/>
                </w:tcPr>
                <w:p>
                  <w:pPr>
                    <w:pStyle w:val="33"/>
                    <w:spacing w:line="360" w:lineRule="exact"/>
                    <w:rPr>
                      <w:color w:val="000000" w:themeColor="text1"/>
                      <w:szCs w:val="21"/>
                    </w:rPr>
                  </w:pPr>
                  <w:r>
                    <w:rPr>
                      <w:color w:val="000000" w:themeColor="text1"/>
                      <w:szCs w:val="21"/>
                    </w:rPr>
                    <w:t>二氯甲烷（ug/kg）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616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17</w:t>
                  </w:r>
                </w:p>
              </w:tc>
              <w:tc>
                <w:tcPr>
                  <w:tcW w:w="2996" w:type="dxa"/>
                  <w:vAlign w:val="center"/>
                </w:tcPr>
                <w:p>
                  <w:pPr>
                    <w:pStyle w:val="33"/>
                    <w:spacing w:line="360" w:lineRule="exact"/>
                    <w:rPr>
                      <w:color w:val="000000" w:themeColor="text1"/>
                      <w:szCs w:val="21"/>
                    </w:rPr>
                  </w:pPr>
                  <w:r>
                    <w:rPr>
                      <w:color w:val="000000" w:themeColor="text1"/>
                      <w:szCs w:val="21"/>
                    </w:rPr>
                    <w:t>1,2-二氯丙烷（ug/kg）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18</w:t>
                  </w:r>
                </w:p>
              </w:tc>
              <w:tc>
                <w:tcPr>
                  <w:tcW w:w="2996" w:type="dxa"/>
                  <w:vAlign w:val="center"/>
                </w:tcPr>
                <w:p>
                  <w:pPr>
                    <w:pStyle w:val="33"/>
                    <w:spacing w:line="360" w:lineRule="exact"/>
                    <w:rPr>
                      <w:color w:val="000000" w:themeColor="text1"/>
                      <w:szCs w:val="21"/>
                    </w:rPr>
                  </w:pPr>
                  <w:r>
                    <w:rPr>
                      <w:color w:val="000000" w:themeColor="text1"/>
                      <w:szCs w:val="21"/>
                    </w:rPr>
                    <w:t>1,1,1,2-四氯乙烷（ug/kg）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19</w:t>
                  </w:r>
                </w:p>
              </w:tc>
              <w:tc>
                <w:tcPr>
                  <w:tcW w:w="2996" w:type="dxa"/>
                  <w:vAlign w:val="center"/>
                </w:tcPr>
                <w:p>
                  <w:pPr>
                    <w:pStyle w:val="33"/>
                    <w:spacing w:line="360" w:lineRule="exact"/>
                    <w:rPr>
                      <w:color w:val="000000" w:themeColor="text1"/>
                      <w:szCs w:val="21"/>
                    </w:rPr>
                  </w:pPr>
                  <w:r>
                    <w:rPr>
                      <w:color w:val="000000" w:themeColor="text1"/>
                      <w:szCs w:val="21"/>
                    </w:rPr>
                    <w:t>1,1,2,2-四氯乙烷（ug/kg）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20</w:t>
                  </w:r>
                </w:p>
              </w:tc>
              <w:tc>
                <w:tcPr>
                  <w:tcW w:w="2996" w:type="dxa"/>
                  <w:vAlign w:val="center"/>
                </w:tcPr>
                <w:p>
                  <w:pPr>
                    <w:pStyle w:val="33"/>
                    <w:spacing w:line="360" w:lineRule="exact"/>
                    <w:rPr>
                      <w:color w:val="000000" w:themeColor="text1"/>
                      <w:szCs w:val="21"/>
                    </w:rPr>
                  </w:pPr>
                  <w:r>
                    <w:rPr>
                      <w:color w:val="000000" w:themeColor="text1"/>
                      <w:szCs w:val="21"/>
                    </w:rPr>
                    <w:t>四氯乙烯（ug/kg）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21</w:t>
                  </w:r>
                </w:p>
              </w:tc>
              <w:tc>
                <w:tcPr>
                  <w:tcW w:w="2996" w:type="dxa"/>
                  <w:vAlign w:val="center"/>
                </w:tcPr>
                <w:p>
                  <w:pPr>
                    <w:pStyle w:val="33"/>
                    <w:spacing w:line="360" w:lineRule="exact"/>
                    <w:rPr>
                      <w:color w:val="000000" w:themeColor="text1"/>
                      <w:szCs w:val="21"/>
                    </w:rPr>
                  </w:pPr>
                  <w:r>
                    <w:rPr>
                      <w:color w:val="000000" w:themeColor="text1"/>
                      <w:szCs w:val="21"/>
                    </w:rPr>
                    <w:t>1,1,1-三氯乙烷（ug/kg）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840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22</w:t>
                  </w:r>
                </w:p>
              </w:tc>
              <w:tc>
                <w:tcPr>
                  <w:tcW w:w="2996" w:type="dxa"/>
                  <w:vAlign w:val="center"/>
                </w:tcPr>
                <w:p>
                  <w:pPr>
                    <w:pStyle w:val="33"/>
                    <w:spacing w:line="360" w:lineRule="exact"/>
                    <w:rPr>
                      <w:color w:val="000000" w:themeColor="text1"/>
                      <w:szCs w:val="21"/>
                    </w:rPr>
                  </w:pPr>
                  <w:r>
                    <w:rPr>
                      <w:color w:val="000000" w:themeColor="text1"/>
                      <w:szCs w:val="21"/>
                    </w:rPr>
                    <w:t>1,1,2-三氯乙烷（ug/kg）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23</w:t>
                  </w:r>
                </w:p>
              </w:tc>
              <w:tc>
                <w:tcPr>
                  <w:tcW w:w="2996" w:type="dxa"/>
                  <w:vAlign w:val="center"/>
                </w:tcPr>
                <w:p>
                  <w:pPr>
                    <w:pStyle w:val="33"/>
                    <w:spacing w:line="360" w:lineRule="exact"/>
                    <w:rPr>
                      <w:color w:val="000000" w:themeColor="text1"/>
                      <w:szCs w:val="21"/>
                    </w:rPr>
                  </w:pPr>
                  <w:r>
                    <w:rPr>
                      <w:color w:val="000000" w:themeColor="text1"/>
                      <w:szCs w:val="21"/>
                    </w:rPr>
                    <w:t>三氯乙烯（ug/kg）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24</w:t>
                  </w:r>
                </w:p>
              </w:tc>
              <w:tc>
                <w:tcPr>
                  <w:tcW w:w="2996" w:type="dxa"/>
                  <w:vAlign w:val="center"/>
                </w:tcPr>
                <w:p>
                  <w:pPr>
                    <w:pStyle w:val="33"/>
                    <w:spacing w:line="360" w:lineRule="exact"/>
                    <w:rPr>
                      <w:color w:val="000000" w:themeColor="text1"/>
                      <w:szCs w:val="21"/>
                    </w:rPr>
                  </w:pPr>
                  <w:r>
                    <w:rPr>
                      <w:color w:val="000000" w:themeColor="text1"/>
                      <w:szCs w:val="21"/>
                    </w:rPr>
                    <w:t>1,2,3-三氯丙烷（ug/kg）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25</w:t>
                  </w:r>
                </w:p>
              </w:tc>
              <w:tc>
                <w:tcPr>
                  <w:tcW w:w="2996" w:type="dxa"/>
                  <w:vAlign w:val="center"/>
                </w:tcPr>
                <w:p>
                  <w:pPr>
                    <w:pStyle w:val="33"/>
                    <w:spacing w:line="360" w:lineRule="exact"/>
                    <w:rPr>
                      <w:color w:val="000000" w:themeColor="text1"/>
                      <w:szCs w:val="21"/>
                    </w:rPr>
                  </w:pPr>
                  <w:r>
                    <w:rPr>
                      <w:color w:val="000000" w:themeColor="text1"/>
                      <w:szCs w:val="21"/>
                    </w:rPr>
                    <w:t>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0.43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26</w:t>
                  </w:r>
                </w:p>
              </w:tc>
              <w:tc>
                <w:tcPr>
                  <w:tcW w:w="2996" w:type="dxa"/>
                  <w:vAlign w:val="center"/>
                </w:tcPr>
                <w:p>
                  <w:pPr>
                    <w:pStyle w:val="33"/>
                    <w:spacing w:line="360" w:lineRule="exact"/>
                    <w:rPr>
                      <w:color w:val="000000" w:themeColor="text1"/>
                      <w:szCs w:val="21"/>
                    </w:rPr>
                  </w:pPr>
                  <w:r>
                    <w:rPr>
                      <w:color w:val="000000" w:themeColor="text1"/>
                      <w:szCs w:val="21"/>
                    </w:rPr>
                    <w:t>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4</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27</w:t>
                  </w:r>
                </w:p>
              </w:tc>
              <w:tc>
                <w:tcPr>
                  <w:tcW w:w="2996" w:type="dxa"/>
                  <w:vAlign w:val="center"/>
                </w:tcPr>
                <w:p>
                  <w:pPr>
                    <w:pStyle w:val="33"/>
                    <w:spacing w:line="360" w:lineRule="exact"/>
                    <w:rPr>
                      <w:color w:val="000000" w:themeColor="text1"/>
                      <w:szCs w:val="21"/>
                    </w:rPr>
                  </w:pPr>
                  <w:r>
                    <w:rPr>
                      <w:color w:val="000000" w:themeColor="text1"/>
                      <w:szCs w:val="21"/>
                    </w:rPr>
                    <w:t>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270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28</w:t>
                  </w:r>
                </w:p>
              </w:tc>
              <w:tc>
                <w:tcPr>
                  <w:tcW w:w="2996" w:type="dxa"/>
                  <w:vAlign w:val="center"/>
                </w:tcPr>
                <w:p>
                  <w:pPr>
                    <w:pStyle w:val="33"/>
                    <w:spacing w:line="360" w:lineRule="exact"/>
                    <w:rPr>
                      <w:color w:val="000000" w:themeColor="text1"/>
                      <w:szCs w:val="21"/>
                    </w:rPr>
                  </w:pPr>
                  <w:r>
                    <w:rPr>
                      <w:color w:val="000000" w:themeColor="text1"/>
                      <w:szCs w:val="21"/>
                    </w:rPr>
                    <w:t>1,2-二氯苯（ug/kg）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560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29</w:t>
                  </w:r>
                </w:p>
              </w:tc>
              <w:tc>
                <w:tcPr>
                  <w:tcW w:w="2996" w:type="dxa"/>
                  <w:vAlign w:val="center"/>
                </w:tcPr>
                <w:p>
                  <w:pPr>
                    <w:pStyle w:val="33"/>
                    <w:spacing w:line="360" w:lineRule="exact"/>
                    <w:rPr>
                      <w:color w:val="000000" w:themeColor="text1"/>
                      <w:szCs w:val="21"/>
                    </w:rPr>
                  </w:pPr>
                  <w:r>
                    <w:rPr>
                      <w:color w:val="000000" w:themeColor="text1"/>
                      <w:szCs w:val="21"/>
                    </w:rPr>
                    <w:t>1,4-二氯苯（ug/kg）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30</w:t>
                  </w:r>
                </w:p>
              </w:tc>
              <w:tc>
                <w:tcPr>
                  <w:tcW w:w="2996" w:type="dxa"/>
                  <w:vAlign w:val="center"/>
                </w:tcPr>
                <w:p>
                  <w:pPr>
                    <w:pStyle w:val="33"/>
                    <w:spacing w:line="360" w:lineRule="exact"/>
                    <w:rPr>
                      <w:color w:val="000000" w:themeColor="text1"/>
                      <w:szCs w:val="21"/>
                    </w:rPr>
                  </w:pPr>
                  <w:r>
                    <w:rPr>
                      <w:color w:val="000000" w:themeColor="text1"/>
                      <w:szCs w:val="21"/>
                    </w:rPr>
                    <w:t>乙苯（ug/kg）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31</w:t>
                  </w:r>
                </w:p>
              </w:tc>
              <w:tc>
                <w:tcPr>
                  <w:tcW w:w="2996" w:type="dxa"/>
                  <w:vAlign w:val="center"/>
                </w:tcPr>
                <w:p>
                  <w:pPr>
                    <w:pStyle w:val="33"/>
                    <w:spacing w:line="360" w:lineRule="exact"/>
                    <w:rPr>
                      <w:color w:val="000000" w:themeColor="text1"/>
                      <w:szCs w:val="21"/>
                    </w:rPr>
                  </w:pPr>
                  <w:r>
                    <w:rPr>
                      <w:color w:val="000000" w:themeColor="text1"/>
                      <w:szCs w:val="21"/>
                    </w:rPr>
                    <w:t>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1290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32</w:t>
                  </w:r>
                </w:p>
              </w:tc>
              <w:tc>
                <w:tcPr>
                  <w:tcW w:w="2996" w:type="dxa"/>
                  <w:vAlign w:val="center"/>
                </w:tcPr>
                <w:p>
                  <w:pPr>
                    <w:pStyle w:val="33"/>
                    <w:spacing w:line="360" w:lineRule="exact"/>
                    <w:rPr>
                      <w:color w:val="000000" w:themeColor="text1"/>
                      <w:szCs w:val="21"/>
                    </w:rPr>
                  </w:pPr>
                  <w:r>
                    <w:rPr>
                      <w:color w:val="000000" w:themeColor="text1"/>
                      <w:szCs w:val="21"/>
                    </w:rPr>
                    <w:t>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1200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33</w:t>
                  </w:r>
                </w:p>
              </w:tc>
              <w:tc>
                <w:tcPr>
                  <w:tcW w:w="2996" w:type="dxa"/>
                  <w:vAlign w:val="center"/>
                </w:tcPr>
                <w:p>
                  <w:pPr>
                    <w:pStyle w:val="33"/>
                    <w:spacing w:line="360" w:lineRule="exact"/>
                    <w:rPr>
                      <w:color w:val="000000" w:themeColor="text1"/>
                      <w:szCs w:val="21"/>
                    </w:rPr>
                  </w:pPr>
                  <w:r>
                    <w:rPr>
                      <w:color w:val="000000" w:themeColor="text1"/>
                      <w:szCs w:val="21"/>
                    </w:rPr>
                    <w:t>间二甲苯+对二甲苯（ug/kg）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570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34</w:t>
                  </w:r>
                </w:p>
              </w:tc>
              <w:tc>
                <w:tcPr>
                  <w:tcW w:w="2996" w:type="dxa"/>
                  <w:vAlign w:val="center"/>
                </w:tcPr>
                <w:p>
                  <w:pPr>
                    <w:pStyle w:val="33"/>
                    <w:spacing w:line="360" w:lineRule="exact"/>
                    <w:rPr>
                      <w:color w:val="000000" w:themeColor="text1"/>
                      <w:szCs w:val="21"/>
                    </w:rPr>
                  </w:pPr>
                  <w:r>
                    <w:rPr>
                      <w:color w:val="000000" w:themeColor="text1"/>
                      <w:szCs w:val="21"/>
                    </w:rPr>
                    <w:t>邻-二甲苯（ug/kg）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640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35</w:t>
                  </w:r>
                </w:p>
              </w:tc>
              <w:tc>
                <w:tcPr>
                  <w:tcW w:w="2996" w:type="dxa"/>
                  <w:vAlign w:val="center"/>
                </w:tcPr>
                <w:p>
                  <w:pPr>
                    <w:pStyle w:val="33"/>
                    <w:spacing w:line="360" w:lineRule="exact"/>
                    <w:rPr>
                      <w:color w:val="000000" w:themeColor="text1"/>
                      <w:szCs w:val="21"/>
                    </w:rPr>
                  </w:pPr>
                  <w:r>
                    <w:rPr>
                      <w:color w:val="000000" w:themeColor="text1"/>
                      <w:szCs w:val="21"/>
                    </w:rPr>
                    <w:t>硝基苯</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76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36</w:t>
                  </w:r>
                </w:p>
              </w:tc>
              <w:tc>
                <w:tcPr>
                  <w:tcW w:w="2996" w:type="dxa"/>
                  <w:vAlign w:val="center"/>
                </w:tcPr>
                <w:p>
                  <w:pPr>
                    <w:pStyle w:val="33"/>
                    <w:spacing w:line="360" w:lineRule="exact"/>
                    <w:rPr>
                      <w:color w:val="000000" w:themeColor="text1"/>
                      <w:szCs w:val="21"/>
                    </w:rPr>
                  </w:pPr>
                  <w:r>
                    <w:rPr>
                      <w:color w:val="000000" w:themeColor="text1"/>
                      <w:szCs w:val="21"/>
                    </w:rPr>
                    <w:t>苯胺</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260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37</w:t>
                  </w:r>
                </w:p>
              </w:tc>
              <w:tc>
                <w:tcPr>
                  <w:tcW w:w="2996" w:type="dxa"/>
                  <w:vAlign w:val="center"/>
                </w:tcPr>
                <w:p>
                  <w:pPr>
                    <w:pStyle w:val="33"/>
                    <w:spacing w:line="360" w:lineRule="exact"/>
                    <w:rPr>
                      <w:color w:val="000000" w:themeColor="text1"/>
                      <w:szCs w:val="21"/>
                    </w:rPr>
                  </w:pPr>
                  <w:r>
                    <w:rPr>
                      <w:color w:val="000000" w:themeColor="text1"/>
                      <w:szCs w:val="21"/>
                    </w:rPr>
                    <w:t>2-氯酚</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2256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38</w:t>
                  </w:r>
                </w:p>
              </w:tc>
              <w:tc>
                <w:tcPr>
                  <w:tcW w:w="2996" w:type="dxa"/>
                  <w:vAlign w:val="center"/>
                </w:tcPr>
                <w:p>
                  <w:pPr>
                    <w:pStyle w:val="33"/>
                    <w:spacing w:line="360" w:lineRule="exact"/>
                    <w:rPr>
                      <w:color w:val="000000" w:themeColor="text1"/>
                      <w:szCs w:val="21"/>
                    </w:rPr>
                  </w:pPr>
                  <w:r>
                    <w:rPr>
                      <w:color w:val="000000" w:themeColor="text1"/>
                      <w:szCs w:val="21"/>
                    </w:rPr>
                    <w:t>苯并[a]蒽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39</w:t>
                  </w:r>
                </w:p>
              </w:tc>
              <w:tc>
                <w:tcPr>
                  <w:tcW w:w="2996" w:type="dxa"/>
                  <w:vAlign w:val="center"/>
                </w:tcPr>
                <w:p>
                  <w:pPr>
                    <w:pStyle w:val="33"/>
                    <w:spacing w:line="360" w:lineRule="exact"/>
                    <w:rPr>
                      <w:color w:val="000000" w:themeColor="text1"/>
                      <w:szCs w:val="21"/>
                    </w:rPr>
                  </w:pPr>
                  <w:r>
                    <w:rPr>
                      <w:color w:val="000000" w:themeColor="text1"/>
                      <w:szCs w:val="21"/>
                    </w:rPr>
                    <w:t>苯并[a]芘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40</w:t>
                  </w:r>
                </w:p>
              </w:tc>
              <w:tc>
                <w:tcPr>
                  <w:tcW w:w="2996" w:type="dxa"/>
                  <w:vAlign w:val="center"/>
                </w:tcPr>
                <w:p>
                  <w:pPr>
                    <w:pStyle w:val="33"/>
                    <w:spacing w:line="360" w:lineRule="exact"/>
                    <w:rPr>
                      <w:color w:val="000000" w:themeColor="text1"/>
                      <w:szCs w:val="21"/>
                    </w:rPr>
                  </w:pPr>
                  <w:r>
                    <w:rPr>
                      <w:color w:val="000000" w:themeColor="text1"/>
                      <w:szCs w:val="21"/>
                    </w:rPr>
                    <w:t>苯并[b]荧蒽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41</w:t>
                  </w:r>
                </w:p>
              </w:tc>
              <w:tc>
                <w:tcPr>
                  <w:tcW w:w="2996" w:type="dxa"/>
                  <w:vAlign w:val="center"/>
                </w:tcPr>
                <w:p>
                  <w:pPr>
                    <w:pStyle w:val="33"/>
                    <w:spacing w:line="360" w:lineRule="exact"/>
                    <w:rPr>
                      <w:color w:val="000000" w:themeColor="text1"/>
                      <w:szCs w:val="21"/>
                    </w:rPr>
                  </w:pPr>
                  <w:r>
                    <w:rPr>
                      <w:color w:val="000000" w:themeColor="text1"/>
                      <w:szCs w:val="21"/>
                    </w:rPr>
                    <w:t>苯并[k]荧蒽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151</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42</w:t>
                  </w:r>
                </w:p>
              </w:tc>
              <w:tc>
                <w:tcPr>
                  <w:tcW w:w="2996" w:type="dxa"/>
                  <w:vAlign w:val="center"/>
                </w:tcPr>
                <w:p>
                  <w:pPr>
                    <w:pStyle w:val="33"/>
                    <w:spacing w:line="360" w:lineRule="exact"/>
                    <w:rPr>
                      <w:color w:val="000000" w:themeColor="text1"/>
                      <w:szCs w:val="21"/>
                    </w:rPr>
                  </w:pPr>
                  <w:r>
                    <w:rPr>
                      <w:color w:val="000000" w:themeColor="text1"/>
                      <w:szCs w:val="21"/>
                    </w:rPr>
                    <w:t>䓛</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1293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43</w:t>
                  </w:r>
                </w:p>
              </w:tc>
              <w:tc>
                <w:tcPr>
                  <w:tcW w:w="2996" w:type="dxa"/>
                  <w:vAlign w:val="center"/>
                </w:tcPr>
                <w:p>
                  <w:pPr>
                    <w:pStyle w:val="33"/>
                    <w:spacing w:line="360" w:lineRule="exact"/>
                    <w:rPr>
                      <w:color w:val="000000" w:themeColor="text1"/>
                      <w:szCs w:val="21"/>
                    </w:rPr>
                  </w:pPr>
                  <w:r>
                    <w:rPr>
                      <w:color w:val="000000" w:themeColor="text1"/>
                      <w:szCs w:val="21"/>
                    </w:rPr>
                    <w:t>二苯并[a,h]蒽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44</w:t>
                  </w:r>
                </w:p>
              </w:tc>
              <w:tc>
                <w:tcPr>
                  <w:tcW w:w="2996" w:type="dxa"/>
                  <w:vAlign w:val="center"/>
                </w:tcPr>
                <w:p>
                  <w:pPr>
                    <w:pStyle w:val="33"/>
                    <w:spacing w:line="360" w:lineRule="exact"/>
                    <w:rPr>
                      <w:color w:val="000000" w:themeColor="text1"/>
                      <w:szCs w:val="21"/>
                    </w:rPr>
                  </w:pPr>
                  <w:r>
                    <w:rPr>
                      <w:color w:val="000000" w:themeColor="text1"/>
                      <w:szCs w:val="21"/>
                    </w:rPr>
                    <w:t>茚并[1,2,3-cd]芘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3" w:type="dxa"/>
                  <w:vAlign w:val="center"/>
                </w:tcPr>
                <w:p>
                  <w:pPr>
                    <w:pStyle w:val="33"/>
                    <w:spacing w:line="360" w:lineRule="exact"/>
                    <w:rPr>
                      <w:color w:val="000000" w:themeColor="text1"/>
                      <w:szCs w:val="21"/>
                    </w:rPr>
                  </w:pPr>
                  <w:r>
                    <w:rPr>
                      <w:color w:val="000000" w:themeColor="text1"/>
                      <w:szCs w:val="21"/>
                    </w:rPr>
                    <w:t>45</w:t>
                  </w:r>
                </w:p>
              </w:tc>
              <w:tc>
                <w:tcPr>
                  <w:tcW w:w="2996" w:type="dxa"/>
                  <w:vAlign w:val="center"/>
                </w:tcPr>
                <w:p>
                  <w:pPr>
                    <w:pStyle w:val="33"/>
                    <w:spacing w:line="360" w:lineRule="exact"/>
                    <w:rPr>
                      <w:color w:val="000000" w:themeColor="text1"/>
                      <w:szCs w:val="21"/>
                    </w:rPr>
                  </w:pPr>
                  <w:r>
                    <w:rPr>
                      <w:color w:val="000000" w:themeColor="text1"/>
                      <w:szCs w:val="21"/>
                    </w:rPr>
                    <w:t>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70</w:t>
                  </w:r>
                </w:p>
              </w:tc>
              <w:tc>
                <w:tcPr>
                  <w:tcW w:w="1003" w:type="dxa"/>
                  <w:vAlign w:val="center"/>
                </w:tcPr>
                <w:p>
                  <w:pPr>
                    <w:pStyle w:val="33"/>
                    <w:spacing w:line="360" w:lineRule="exact"/>
                    <w:rPr>
                      <w:color w:val="000000" w:themeColor="text1"/>
                      <w:szCs w:val="21"/>
                    </w:rPr>
                  </w:pPr>
                  <w:r>
                    <w:rPr>
                      <w:color w:val="000000" w:themeColor="text1"/>
                      <w:szCs w:val="21"/>
                    </w:rPr>
                    <w:t>达标</w:t>
                  </w:r>
                </w:p>
              </w:tc>
            </w:tr>
          </w:tbl>
          <w:p>
            <w:pPr>
              <w:pStyle w:val="41"/>
              <w:spacing w:beforeLines="50"/>
              <w:ind w:firstLine="480"/>
              <w:rPr>
                <w:color w:val="000000" w:themeColor="text1"/>
                <w:szCs w:val="32"/>
              </w:rPr>
            </w:pPr>
            <w:r>
              <w:rPr>
                <w:color w:val="000000" w:themeColor="text1"/>
                <w:szCs w:val="32"/>
              </w:rPr>
              <w:t>由上表可知，本项目昆明合旺有色金属有限公司厂区内土壤上述污染因子可达到《土壤环境质量 建设用地土壤污染风险管控质量标准（试行）》（GB</w:t>
            </w:r>
            <w:r>
              <w:rPr>
                <w:rFonts w:hint="eastAsia"/>
                <w:color w:val="000000" w:themeColor="text1"/>
                <w:szCs w:val="32"/>
                <w:lang w:eastAsia="zh-CN"/>
              </w:rPr>
              <w:t>*****</w:t>
            </w:r>
            <w:r>
              <w:rPr>
                <w:color w:val="000000" w:themeColor="text1"/>
                <w:szCs w:val="32"/>
              </w:rPr>
              <w:t>-2018）表1中建设用地（第二类用地）筛选值要求。</w:t>
            </w:r>
          </w:p>
          <w:p>
            <w:pPr>
              <w:pStyle w:val="41"/>
              <w:ind w:firstLine="480"/>
              <w:rPr>
                <w:rFonts w:eastAsiaTheme="minorEastAsia"/>
                <w:color w:val="000000" w:themeColor="text1"/>
                <w:szCs w:val="24"/>
              </w:rPr>
            </w:pPr>
            <w:r>
              <w:rPr>
                <w:rFonts w:hint="eastAsia"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1"/>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1"/>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本项目位于云南东川产业园区四方地片区昆明合旺有色金属有限公司厂区内，根据调查，本项目厂界外500m范围内</w:t>
            </w:r>
            <w:r>
              <w:rPr>
                <w:rFonts w:hint="eastAsia" w:eastAsiaTheme="minorEastAsia"/>
                <w:color w:val="000000" w:themeColor="text1"/>
                <w:szCs w:val="24"/>
              </w:rPr>
              <w:t>无大气环境保护目标。</w:t>
            </w:r>
          </w:p>
          <w:p>
            <w:pPr>
              <w:pStyle w:val="41"/>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1"/>
              <w:ind w:firstLine="480"/>
              <w:rPr>
                <w:rFonts w:hint="eastAsia"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根据《建设项目环境影响报告表编制技术指南》（污染影响类）（试行）的要求，未要求设施地表水环境保护目标；根据调查，但项目所在区域属于</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eastAsiaTheme="minorEastAsia"/>
                <w:color w:val="000000" w:themeColor="text1"/>
                <w:szCs w:val="24"/>
              </w:rPr>
              <w:t>小江</w:t>
            </w:r>
            <w:r>
              <w:rPr>
                <w:rFonts w:eastAsiaTheme="minorEastAsia"/>
                <w:color w:val="000000" w:themeColor="text1"/>
                <w:szCs w:val="24"/>
              </w:rPr>
              <w:t>列入本项目水环境保护目标。具体如下表所示。</w:t>
            </w:r>
          </w:p>
          <w:p>
            <w:pPr>
              <w:pStyle w:val="41"/>
              <w:ind w:firstLine="480"/>
              <w:rPr>
                <w:rFonts w:hint="eastAsia" w:eastAsiaTheme="minorEastAsia"/>
                <w:color w:val="000000" w:themeColor="text1"/>
                <w:szCs w:val="24"/>
              </w:rPr>
            </w:pPr>
          </w:p>
          <w:p>
            <w:pPr>
              <w:pStyle w:val="41"/>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992"/>
              <w:gridCol w:w="2693"/>
              <w:gridCol w:w="1276"/>
              <w:gridCol w:w="85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8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保护目标</w:t>
                  </w:r>
                </w:p>
              </w:tc>
              <w:tc>
                <w:tcPr>
                  <w:tcW w:w="2693"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坐标</w:t>
                  </w:r>
                </w:p>
              </w:tc>
              <w:tc>
                <w:tcPr>
                  <w:tcW w:w="1276"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与项目区的方位及距离</w:t>
                  </w: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0" w:type="dxa"/>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地表水</w:t>
                  </w:r>
                </w:p>
              </w:tc>
              <w:tc>
                <w:tcPr>
                  <w:tcW w:w="992" w:type="dxa"/>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bCs w:val="0"/>
                      <w:color w:val="000000" w:themeColor="text1"/>
                      <w:szCs w:val="24"/>
                    </w:rPr>
                    <w:t>小江</w:t>
                  </w:r>
                </w:p>
              </w:tc>
              <w:tc>
                <w:tcPr>
                  <w:tcW w:w="2693" w:type="dxa"/>
                  <w:tcBorders>
                    <w:top w:val="single" w:color="auto" w:sz="4" w:space="0"/>
                    <w:left w:val="single" w:color="auto" w:sz="4" w:space="0"/>
                    <w:right w:val="single" w:color="auto" w:sz="4" w:space="0"/>
                  </w:tcBorders>
                  <w:vAlign w:val="center"/>
                </w:tcPr>
                <w:p>
                  <w:pPr>
                    <w:pStyle w:val="33"/>
                    <w:spacing w:line="360" w:lineRule="exact"/>
                    <w:ind w:firstLine="210" w:firstLineChars="100"/>
                    <w:jc w:val="left"/>
                    <w:rPr>
                      <w:color w:val="000000" w:themeColor="text1"/>
                      <w:szCs w:val="21"/>
                    </w:rPr>
                  </w:pPr>
                  <w:r>
                    <w:rPr>
                      <w:color w:val="000000" w:themeColor="text1"/>
                      <w:szCs w:val="21"/>
                    </w:rPr>
                    <w:t>起点：东经103°0</w:t>
                  </w:r>
                  <w:r>
                    <w:rPr>
                      <w:rFonts w:hint="eastAsia"/>
                      <w:color w:val="000000" w:themeColor="text1"/>
                      <w:szCs w:val="21"/>
                    </w:rPr>
                    <w:t>7</w:t>
                  </w:r>
                  <w:r>
                    <w:rPr>
                      <w:color w:val="000000" w:themeColor="text1"/>
                      <w:szCs w:val="21"/>
                    </w:rPr>
                    <w:t>′</w:t>
                  </w:r>
                  <w:r>
                    <w:rPr>
                      <w:rFonts w:hint="eastAsia"/>
                      <w:color w:val="000000" w:themeColor="text1"/>
                      <w:szCs w:val="21"/>
                    </w:rPr>
                    <w:t>6.56</w:t>
                  </w:r>
                  <w:r>
                    <w:rPr>
                      <w:color w:val="000000" w:themeColor="text1"/>
                      <w:szCs w:val="21"/>
                    </w:rPr>
                    <w:t>″，北纬26°0</w:t>
                  </w:r>
                  <w:r>
                    <w:rPr>
                      <w:rFonts w:hint="eastAsia"/>
                      <w:color w:val="000000" w:themeColor="text1"/>
                      <w:szCs w:val="21"/>
                    </w:rPr>
                    <w:t>9</w:t>
                  </w:r>
                  <w:r>
                    <w:rPr>
                      <w:color w:val="000000" w:themeColor="text1"/>
                      <w:szCs w:val="21"/>
                    </w:rPr>
                    <w:t>′</w:t>
                  </w:r>
                  <w:r>
                    <w:rPr>
                      <w:rFonts w:hint="eastAsia"/>
                      <w:color w:val="000000" w:themeColor="text1"/>
                      <w:szCs w:val="21"/>
                    </w:rPr>
                    <w:t>58.83</w:t>
                  </w:r>
                  <w:r>
                    <w:rPr>
                      <w:color w:val="000000" w:themeColor="text1"/>
                      <w:szCs w:val="21"/>
                    </w:rPr>
                    <w:t>″；</w:t>
                  </w:r>
                </w:p>
                <w:p>
                  <w:pPr>
                    <w:pStyle w:val="33"/>
                    <w:spacing w:line="360" w:lineRule="exact"/>
                    <w:ind w:firstLine="210" w:firstLineChars="100"/>
                    <w:jc w:val="left"/>
                    <w:rPr>
                      <w:color w:val="000000" w:themeColor="text1"/>
                      <w:szCs w:val="21"/>
                    </w:rPr>
                  </w:pPr>
                  <w:r>
                    <w:rPr>
                      <w:color w:val="000000" w:themeColor="text1"/>
                      <w:szCs w:val="21"/>
                    </w:rPr>
                    <w:t>终点：东经103°06′</w:t>
                  </w:r>
                  <w:r>
                    <w:rPr>
                      <w:rFonts w:hint="eastAsia"/>
                      <w:color w:val="000000" w:themeColor="text1"/>
                      <w:szCs w:val="21"/>
                    </w:rPr>
                    <w:t>5.69</w:t>
                  </w:r>
                  <w:r>
                    <w:rPr>
                      <w:color w:val="000000" w:themeColor="text1"/>
                      <w:szCs w:val="21"/>
                    </w:rPr>
                    <w:t>″，北纬26°10′</w:t>
                  </w:r>
                  <w:r>
                    <w:rPr>
                      <w:rFonts w:hint="eastAsia"/>
                      <w:color w:val="000000" w:themeColor="text1"/>
                      <w:szCs w:val="21"/>
                    </w:rPr>
                    <w:t>59.86</w:t>
                  </w:r>
                  <w:r>
                    <w:rPr>
                      <w:color w:val="000000" w:themeColor="text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bCs w:val="0"/>
                      <w:color w:val="000000" w:themeColor="text1"/>
                      <w:szCs w:val="24"/>
                    </w:rPr>
                    <w:t>西南侧1085m</w:t>
                  </w: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415</w:t>
                  </w:r>
                  <w:r>
                    <w:rPr>
                      <w:color w:val="000000" w:themeColor="text1"/>
                      <w:szCs w:val="21"/>
                    </w:rPr>
                    <w:t>m</w:t>
                  </w:r>
                </w:p>
              </w:tc>
              <w:tc>
                <w:tcPr>
                  <w:tcW w:w="1917" w:type="dxa"/>
                  <w:tcBorders>
                    <w:top w:val="single" w:color="auto" w:sz="4" w:space="0"/>
                    <w:left w:val="single" w:color="auto" w:sz="4" w:space="0"/>
                    <w:right w:val="single" w:color="auto" w:sz="4" w:space="0"/>
                  </w:tcBorders>
                  <w:vAlign w:val="center"/>
                </w:tcPr>
                <w:p>
                  <w:pPr>
                    <w:pStyle w:val="33"/>
                    <w:spacing w:line="360" w:lineRule="exact"/>
                    <w:ind w:firstLine="210" w:firstLineChars="100"/>
                    <w:jc w:val="left"/>
                    <w:rPr>
                      <w:color w:val="000000" w:themeColor="text1"/>
                      <w:szCs w:val="21"/>
                    </w:rPr>
                  </w:pPr>
                  <w:r>
                    <w:rPr>
                      <w:color w:val="000000" w:themeColor="text1"/>
                      <w:szCs w:val="21"/>
                    </w:rPr>
                    <w:t>《地表水环境质量标准》（GB</w:t>
                  </w:r>
                  <w:r>
                    <w:rPr>
                      <w:rFonts w:hint="eastAsia"/>
                      <w:color w:val="000000" w:themeColor="text1"/>
                      <w:szCs w:val="21"/>
                      <w:lang w:eastAsia="zh-CN"/>
                    </w:rPr>
                    <w:t>****</w:t>
                  </w:r>
                  <w:r>
                    <w:rPr>
                      <w:color w:val="000000" w:themeColor="text1"/>
                      <w:szCs w:val="21"/>
                    </w:rPr>
                    <w:t>-2002）I</w:t>
                  </w:r>
                  <w:r>
                    <w:rPr>
                      <w:rFonts w:hint="eastAsia"/>
                      <w:color w:val="000000" w:themeColor="text1"/>
                      <w:szCs w:val="21"/>
                    </w:rPr>
                    <w:t>II</w:t>
                  </w:r>
                  <w:r>
                    <w:rPr>
                      <w:color w:val="000000" w:themeColor="text1"/>
                      <w:szCs w:val="21"/>
                    </w:rPr>
                    <w:t>类标准</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东川产业园区四方地片区昆明合旺有色金属有限公司厂区内，本项目选址不涉及到地下水集中式饮用水水源和热水、矿泉水、温泉等特殊地下水资源。</w:t>
            </w:r>
          </w:p>
          <w:p>
            <w:pPr>
              <w:pStyle w:val="41"/>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41"/>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东川产业园区四方地片区昆明合旺有色金属有限公司厂区内，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1"/>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1"/>
              <w:ind w:firstLine="482"/>
              <w:rPr>
                <w:rFonts w:eastAsiaTheme="minorEastAsia"/>
                <w:b/>
                <w:color w:val="000000" w:themeColor="text1"/>
                <w:szCs w:val="24"/>
              </w:rPr>
            </w:pPr>
            <w:r>
              <w:rPr>
                <w:rFonts w:eastAsiaTheme="minorEastAsia"/>
                <w:b/>
                <w:color w:val="000000" w:themeColor="text1"/>
                <w:szCs w:val="24"/>
              </w:rPr>
              <w:t>3.3.1 废气排放标准</w:t>
            </w:r>
          </w:p>
          <w:p>
            <w:pPr>
              <w:pStyle w:val="41"/>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-1996）表2中无组织排放浓度排放限值。标准值如下表所示。</w:t>
            </w:r>
          </w:p>
          <w:p>
            <w:pPr>
              <w:jc w:val="center"/>
              <w:rPr>
                <w:rFonts w:hint="eastAsia"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39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33"/>
                    <w:spacing w:line="360" w:lineRule="exact"/>
                    <w:rPr>
                      <w:color w:val="000000" w:themeColor="text1"/>
                      <w:szCs w:val="21"/>
                    </w:rPr>
                  </w:pPr>
                  <w:r>
                    <w:rPr>
                      <w:color w:val="000000" w:themeColor="text1"/>
                      <w:szCs w:val="21"/>
                    </w:rPr>
                    <w:t>污染物</w:t>
                  </w:r>
                </w:p>
              </w:tc>
              <w:tc>
                <w:tcPr>
                  <w:tcW w:w="3577" w:type="dxa"/>
                </w:tcPr>
                <w:p>
                  <w:pPr>
                    <w:pStyle w:val="33"/>
                    <w:spacing w:line="360" w:lineRule="exact"/>
                    <w:rPr>
                      <w:color w:val="000000" w:themeColor="text1"/>
                      <w:szCs w:val="21"/>
                    </w:rPr>
                  </w:pPr>
                  <w:r>
                    <w:rPr>
                      <w:color w:val="000000" w:themeColor="text1"/>
                      <w:szCs w:val="21"/>
                    </w:rPr>
                    <w:t>最高允许排放浓度</w:t>
                  </w:r>
                </w:p>
              </w:tc>
              <w:tc>
                <w:tcPr>
                  <w:tcW w:w="3291" w:type="dxa"/>
                </w:tcPr>
                <w:p>
                  <w:pPr>
                    <w:pStyle w:val="33"/>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3"/>
                    <w:spacing w:line="360" w:lineRule="exact"/>
                    <w:rPr>
                      <w:color w:val="000000" w:themeColor="text1"/>
                      <w:szCs w:val="21"/>
                    </w:rPr>
                  </w:pPr>
                  <w:r>
                    <w:rPr>
                      <w:color w:val="000000" w:themeColor="text1"/>
                      <w:szCs w:val="21"/>
                    </w:rPr>
                    <w:t>颗粒物</w:t>
                  </w:r>
                </w:p>
              </w:tc>
              <w:tc>
                <w:tcPr>
                  <w:tcW w:w="3577" w:type="dxa"/>
                </w:tcPr>
                <w:p>
                  <w:pPr>
                    <w:pStyle w:val="33"/>
                    <w:spacing w:line="360" w:lineRule="exact"/>
                    <w:rPr>
                      <w:color w:val="000000" w:themeColor="text1"/>
                      <w:szCs w:val="21"/>
                    </w:rPr>
                  </w:pPr>
                  <w:r>
                    <w:rPr>
                      <w:color w:val="000000" w:themeColor="text1"/>
                      <w:szCs w:val="21"/>
                    </w:rPr>
                    <w:t>--</w:t>
                  </w:r>
                </w:p>
              </w:tc>
              <w:tc>
                <w:tcPr>
                  <w:tcW w:w="3291" w:type="dxa"/>
                </w:tcPr>
                <w:p>
                  <w:pPr>
                    <w:pStyle w:val="33"/>
                    <w:spacing w:line="360" w:lineRule="exact"/>
                    <w:rPr>
                      <w:color w:val="000000" w:themeColor="text1"/>
                      <w:szCs w:val="21"/>
                    </w:rPr>
                  </w:pPr>
                  <w:r>
                    <w:rPr>
                      <w:color w:val="000000" w:themeColor="text1"/>
                      <w:szCs w:val="21"/>
                    </w:rPr>
                    <w:t>1.0</w:t>
                  </w:r>
                </w:p>
              </w:tc>
            </w:tr>
          </w:tbl>
          <w:p>
            <w:pPr>
              <w:pStyle w:val="41"/>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根据调查，本项目产生的废气包括烘干机生物质燃料燃烧产生的燃烧烟气、烘干线烘干过程产生的烘干粉尘和水淬渣暂存库和废渣暂存库扬尘。具体执行标准如下。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①燃烧烟气执行标准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根据设计，本项目烘干系统设置了1套RFL型圆筒型热风炉，使用生物质燃料提供高温热气（烟气）间接加热空气介质，热交换后的洁净热空气进入烘干机内与单质铁逆流接触进行烘干。</w:t>
            </w:r>
            <w:r>
              <w:rPr>
                <w:rFonts w:hint="eastAsia" w:ascii="Times New Roman" w:hAnsi="Times New Roman" w:cs="Times New Roman"/>
                <w:color w:val="000000" w:themeColor="text1"/>
                <w:sz w:val="24"/>
                <w:szCs w:val="24"/>
              </w:rPr>
              <w:t>燃烧烟气主要为生物质燃料燃烧产生，其污染物类型包括颗粒物、SO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、NOx，针对燃烧烟气，项目拟设置1套燃烧烟气处理系统对其进行处理，该系统由低氮燃烧+非催化还原（SNCR）脱硝技术+袋式除尘器组成，燃烧烟气经低氮燃烧+非催化还原（SNCR）脱硝技术+袋式除尘器处理后通过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w:t>
            </w:r>
            <w:r>
              <w:rPr>
                <w:rFonts w:hint="eastAsia" w:ascii="Times New Roman" w:hAnsi="Times New Roman" w:cs="Times New Roman"/>
                <w:bCs/>
                <w:color w:val="000000" w:themeColor="text1"/>
                <w:sz w:val="24"/>
                <w:szCs w:val="24"/>
              </w:rPr>
              <w:t>项目设置的RFL型圆筒型热风炉的工作原理和锅炉工作原理一致，因此执行《锅炉大气污染物排放标准》（GB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-2014）表2标准限值。</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新建锅炉大气污染物排放浓度</w:t>
            </w:r>
            <w:r>
              <w:rPr>
                <w:rFonts w:ascii="Times New Roman" w:hAnsi="Times New Roman" w:cs="Times New Roman"/>
                <w:b/>
                <w:color w:val="000000" w:themeColor="text1"/>
                <w:szCs w:val="24"/>
              </w:rPr>
              <w:t>限值  单位：mg/m³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148"/>
              <w:gridCol w:w="2835"/>
              <w:gridCol w:w="26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污染物项目</w:t>
                  </w:r>
                </w:p>
              </w:tc>
              <w:tc>
                <w:tcPr>
                  <w:tcW w:w="2835" w:type="dxa"/>
                  <w:vAlign w:val="center"/>
                </w:tcPr>
                <w:p>
                  <w:pPr>
                    <w:pStyle w:val="33"/>
                    <w:spacing w:line="360" w:lineRule="exact"/>
                    <w:rPr>
                      <w:color w:val="000000" w:themeColor="text1"/>
                      <w:szCs w:val="21"/>
                    </w:rPr>
                  </w:pPr>
                  <w:r>
                    <w:rPr>
                      <w:rFonts w:hint="eastAsia"/>
                      <w:color w:val="000000" w:themeColor="text1"/>
                      <w:szCs w:val="21"/>
                    </w:rPr>
                    <w:t>燃煤锅炉限值</w:t>
                  </w:r>
                </w:p>
              </w:tc>
              <w:tc>
                <w:tcPr>
                  <w:tcW w:w="2625" w:type="dxa"/>
                  <w:vAlign w:val="center"/>
                </w:tcPr>
                <w:p>
                  <w:pPr>
                    <w:pStyle w:val="33"/>
                    <w:spacing w:line="360" w:lineRule="exact"/>
                    <w:rPr>
                      <w:color w:val="000000" w:themeColor="text1"/>
                      <w:szCs w:val="21"/>
                    </w:rPr>
                  </w:pPr>
                  <w:r>
                    <w:rPr>
                      <w:rFonts w:hint="eastAsia"/>
                      <w:color w:val="000000" w:themeColor="text1"/>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颗粒物</w:t>
                  </w:r>
                </w:p>
              </w:tc>
              <w:tc>
                <w:tcPr>
                  <w:tcW w:w="2835" w:type="dxa"/>
                  <w:vAlign w:val="center"/>
                </w:tcPr>
                <w:p>
                  <w:pPr>
                    <w:pStyle w:val="33"/>
                    <w:spacing w:line="360" w:lineRule="exact"/>
                    <w:rPr>
                      <w:color w:val="000000" w:themeColor="text1"/>
                      <w:szCs w:val="21"/>
                    </w:rPr>
                  </w:pPr>
                  <w:r>
                    <w:rPr>
                      <w:rFonts w:hint="eastAsia"/>
                      <w:color w:val="000000" w:themeColor="text1"/>
                      <w:szCs w:val="21"/>
                    </w:rPr>
                    <w:t>50</w:t>
                  </w:r>
                </w:p>
              </w:tc>
              <w:tc>
                <w:tcPr>
                  <w:tcW w:w="2625" w:type="dxa"/>
                  <w:vMerge w:val="restart"/>
                  <w:vAlign w:val="center"/>
                </w:tcPr>
                <w:p>
                  <w:pPr>
                    <w:pStyle w:val="33"/>
                    <w:spacing w:line="360" w:lineRule="exact"/>
                    <w:rPr>
                      <w:color w:val="000000" w:themeColor="text1"/>
                      <w:szCs w:val="21"/>
                    </w:rPr>
                  </w:pPr>
                  <w:r>
                    <w:rPr>
                      <w:rFonts w:hint="eastAsia"/>
                      <w:color w:val="000000" w:themeColor="text1"/>
                      <w:szCs w:val="21"/>
                    </w:rPr>
                    <w:t>烟囱或烟道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二氧化硫</w:t>
                  </w:r>
                </w:p>
              </w:tc>
              <w:tc>
                <w:tcPr>
                  <w:tcW w:w="2835" w:type="dxa"/>
                  <w:vAlign w:val="center"/>
                </w:tcPr>
                <w:p>
                  <w:pPr>
                    <w:pStyle w:val="33"/>
                    <w:spacing w:line="360" w:lineRule="exact"/>
                    <w:rPr>
                      <w:color w:val="000000" w:themeColor="text1"/>
                      <w:szCs w:val="21"/>
                    </w:rPr>
                  </w:pPr>
                  <w:r>
                    <w:rPr>
                      <w:rFonts w:hint="eastAsia"/>
                      <w:color w:val="000000" w:themeColor="text1"/>
                      <w:szCs w:val="21"/>
                    </w:rPr>
                    <w:t>300</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氮氧化物</w:t>
                  </w:r>
                </w:p>
              </w:tc>
              <w:tc>
                <w:tcPr>
                  <w:tcW w:w="2835" w:type="dxa"/>
                  <w:vAlign w:val="center"/>
                </w:tcPr>
                <w:p>
                  <w:pPr>
                    <w:pStyle w:val="33"/>
                    <w:spacing w:line="360" w:lineRule="exact"/>
                    <w:rPr>
                      <w:color w:val="000000" w:themeColor="text1"/>
                      <w:szCs w:val="21"/>
                    </w:rPr>
                  </w:pPr>
                  <w:r>
                    <w:rPr>
                      <w:rFonts w:hint="eastAsia"/>
                      <w:color w:val="000000" w:themeColor="text1"/>
                      <w:szCs w:val="21"/>
                    </w:rPr>
                    <w:t>300</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汞及其化合物</w:t>
                  </w:r>
                </w:p>
              </w:tc>
              <w:tc>
                <w:tcPr>
                  <w:tcW w:w="2835" w:type="dxa"/>
                  <w:vAlign w:val="center"/>
                </w:tcPr>
                <w:p>
                  <w:pPr>
                    <w:pStyle w:val="33"/>
                    <w:spacing w:line="360" w:lineRule="exact"/>
                    <w:rPr>
                      <w:color w:val="000000" w:themeColor="text1"/>
                      <w:szCs w:val="21"/>
                    </w:rPr>
                  </w:pPr>
                  <w:r>
                    <w:rPr>
                      <w:rFonts w:hint="eastAsia"/>
                      <w:color w:val="000000" w:themeColor="text1"/>
                      <w:szCs w:val="21"/>
                    </w:rPr>
                    <w:t>0.05</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烟气黑度（林格曼黑度，级）</w:t>
                  </w:r>
                </w:p>
              </w:tc>
              <w:tc>
                <w:tcPr>
                  <w:tcW w:w="2835" w:type="dxa"/>
                  <w:vAlign w:val="center"/>
                </w:tcPr>
                <w:p>
                  <w:pPr>
                    <w:pStyle w:val="33"/>
                    <w:spacing w:line="360" w:lineRule="exact"/>
                    <w:rPr>
                      <w:color w:val="000000" w:themeColor="text1"/>
                      <w:szCs w:val="21"/>
                    </w:rPr>
                  </w:pPr>
                  <w:r>
                    <w:rPr>
                      <w:rFonts w:hint="eastAsia"/>
                      <w:color w:val="000000" w:themeColor="text1"/>
                      <w:szCs w:val="21"/>
                    </w:rPr>
                    <w:t>≤1</w:t>
                  </w:r>
                </w:p>
              </w:tc>
              <w:tc>
                <w:tcPr>
                  <w:tcW w:w="2625" w:type="dxa"/>
                  <w:vAlign w:val="center"/>
                </w:tcPr>
                <w:p>
                  <w:pPr>
                    <w:pStyle w:val="33"/>
                    <w:spacing w:line="360" w:lineRule="exact"/>
                    <w:rPr>
                      <w:color w:val="000000" w:themeColor="text1"/>
                      <w:szCs w:val="21"/>
                    </w:rPr>
                  </w:pPr>
                  <w:r>
                    <w:rPr>
                      <w:rFonts w:hint="eastAsia"/>
                      <w:color w:val="000000" w:themeColor="text1"/>
                      <w:szCs w:val="21"/>
                    </w:rPr>
                    <w:t>烟囱排放口</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根据生态环境部《关于执行《锅炉大气污染物排放标准》（GB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-2014）有关问题的复函》（环大气函〔2016〕172号）的要求：“一、对于新建锅炉，必须满足《锅炉大气污染物排放标准》（GB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-2014）中烟囱最低允许高度限值要求。”因此本项目拟执行烟囱最低允许高度限制要求。本项目设置的RFL型圆筒型热风炉的功率为37KW＜0.7MW。根据要求，锅炉房装机总容量＜0.7MW的，烟囱最低允许高度为20m。</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②烘干粉尘执行标准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bCs/>
                <w:color w:val="000000" w:themeColor="text1"/>
                <w:sz w:val="24"/>
                <w:szCs w:val="24"/>
              </w:rPr>
              <w:t>烘干粉尘为洁净热空气进入烘干机烘干过程产生的烘干粉尘（颗粒物），烘干粉尘通过旋风除尘+袋式除尘器处理，后通过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15</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排气筒（DA004）</w:t>
            </w:r>
            <w:r>
              <w:rPr>
                <w:rFonts w:hint="eastAsia" w:ascii="Times New Roman" w:hAnsi="Times New Roman" w:cs="Times New Roman"/>
                <w:bCs/>
                <w:color w:val="000000" w:themeColor="text1"/>
                <w:sz w:val="24"/>
                <w:szCs w:val="24"/>
              </w:rPr>
              <w:t>外排；</w:t>
            </w:r>
            <w:r>
              <w:rPr>
                <w:rFonts w:hint="eastAsia" w:ascii="Times New Roman" w:hAnsi="Times New Roman" w:cs="Times New Roman"/>
                <w:color w:val="000000" w:themeColor="text1"/>
                <w:sz w:val="24"/>
                <w:szCs w:val="24"/>
              </w:rPr>
              <w:t>执行</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中二级标准限值。该排气筒未高于周围200m半径范围的建筑5m，应按其高度对应的表列排放速率标准值严格50%执行。</w:t>
            </w: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3.3.1-3 </w:t>
            </w:r>
            <w:r>
              <w:rPr>
                <w:rFonts w:ascii="Times New Roman" w:hAnsi="Times New Roman" w:cs="Times New Roman"/>
                <w:b/>
                <w:color w:val="000000" w:themeColor="text1"/>
                <w:szCs w:val="24"/>
              </w:rPr>
              <w:t xml:space="preserve"> 《大气污染物综合排放标准》</w:t>
            </w:r>
            <w:r>
              <w:rPr>
                <w:rFonts w:hint="eastAsia" w:ascii="Times New Roman" w:hAnsi="Times New Roman" w:cs="Times New Roman"/>
                <w:b/>
                <w:color w:val="000000" w:themeColor="text1"/>
                <w:szCs w:val="24"/>
              </w:rPr>
              <w:t>二级标准</w:t>
            </w:r>
            <w:r>
              <w:rPr>
                <w:rFonts w:ascii="Times New Roman" w:hAnsi="Times New Roman" w:cs="Times New Roman"/>
                <w:b/>
                <w:color w:val="000000" w:themeColor="text1"/>
                <w:szCs w:val="24"/>
              </w:rPr>
              <w:t>排放限值</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35"/>
              <w:gridCol w:w="199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restart"/>
                  <w:vAlign w:val="center"/>
                </w:tcPr>
                <w:p>
                  <w:pPr>
                    <w:pStyle w:val="33"/>
                    <w:spacing w:line="360" w:lineRule="exact"/>
                    <w:rPr>
                      <w:color w:val="000000" w:themeColor="text1"/>
                      <w:szCs w:val="21"/>
                    </w:rPr>
                  </w:pPr>
                  <w:r>
                    <w:rPr>
                      <w:color w:val="000000" w:themeColor="text1"/>
                      <w:szCs w:val="21"/>
                    </w:rPr>
                    <w:t>项目</w:t>
                  </w:r>
                </w:p>
              </w:tc>
              <w:tc>
                <w:tcPr>
                  <w:tcW w:w="2135" w:type="dxa"/>
                  <w:vMerge w:val="restart"/>
                  <w:vAlign w:val="center"/>
                </w:tcPr>
                <w:p>
                  <w:pPr>
                    <w:pStyle w:val="33"/>
                    <w:spacing w:line="360" w:lineRule="exact"/>
                    <w:rPr>
                      <w:color w:val="000000" w:themeColor="text1"/>
                      <w:szCs w:val="21"/>
                    </w:rPr>
                  </w:pPr>
                  <w:r>
                    <w:rPr>
                      <w:color w:val="000000" w:themeColor="text1"/>
                      <w:szCs w:val="21"/>
                    </w:rPr>
                    <w:t>最高允许排放浓度mg/m³</w:t>
                  </w:r>
                </w:p>
              </w:tc>
              <w:tc>
                <w:tcPr>
                  <w:tcW w:w="4331" w:type="dxa"/>
                  <w:gridSpan w:val="2"/>
                  <w:vAlign w:val="center"/>
                </w:tcPr>
                <w:p>
                  <w:pPr>
                    <w:pStyle w:val="33"/>
                    <w:spacing w:line="360" w:lineRule="exact"/>
                    <w:rPr>
                      <w:color w:val="000000" w:themeColor="text1"/>
                      <w:szCs w:val="21"/>
                    </w:rPr>
                  </w:pPr>
                  <w:r>
                    <w:rPr>
                      <w:rFonts w:hint="eastAsia"/>
                      <w:color w:val="000000" w:themeColor="text1"/>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continue"/>
                  <w:vAlign w:val="center"/>
                </w:tcPr>
                <w:p>
                  <w:pPr>
                    <w:pStyle w:val="33"/>
                    <w:spacing w:line="360" w:lineRule="exact"/>
                    <w:rPr>
                      <w:color w:val="000000" w:themeColor="text1"/>
                      <w:szCs w:val="21"/>
                    </w:rPr>
                  </w:pPr>
                </w:p>
              </w:tc>
              <w:tc>
                <w:tcPr>
                  <w:tcW w:w="2135" w:type="dxa"/>
                  <w:vMerge w:val="continue"/>
                  <w:vAlign w:val="center"/>
                </w:tcPr>
                <w:p>
                  <w:pPr>
                    <w:pStyle w:val="33"/>
                    <w:spacing w:line="360" w:lineRule="exact"/>
                    <w:rPr>
                      <w:color w:val="000000" w:themeColor="text1"/>
                      <w:szCs w:val="21"/>
                    </w:rPr>
                  </w:pPr>
                </w:p>
              </w:tc>
              <w:tc>
                <w:tcPr>
                  <w:tcW w:w="1994" w:type="dxa"/>
                  <w:vAlign w:val="center"/>
                </w:tcPr>
                <w:p>
                  <w:pPr>
                    <w:pStyle w:val="33"/>
                    <w:spacing w:line="360" w:lineRule="exact"/>
                    <w:rPr>
                      <w:color w:val="000000" w:themeColor="text1"/>
                      <w:szCs w:val="21"/>
                    </w:rPr>
                  </w:pPr>
                  <w:r>
                    <w:rPr>
                      <w:rFonts w:hint="eastAsia"/>
                      <w:color w:val="000000" w:themeColor="text1"/>
                      <w:szCs w:val="21"/>
                    </w:rPr>
                    <w:t>排气筒高度m</w:t>
                  </w:r>
                </w:p>
              </w:tc>
              <w:tc>
                <w:tcPr>
                  <w:tcW w:w="2337" w:type="dxa"/>
                  <w:vAlign w:val="center"/>
                </w:tcPr>
                <w:p>
                  <w:pPr>
                    <w:pStyle w:val="33"/>
                    <w:spacing w:line="360" w:lineRule="exact"/>
                    <w:rPr>
                      <w:color w:val="000000" w:themeColor="text1"/>
                      <w:szCs w:val="21"/>
                    </w:rPr>
                  </w:pPr>
                  <w:r>
                    <w:rPr>
                      <w:rFonts w:hint="eastAsia"/>
                      <w:color w:val="000000" w:themeColor="text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pPr>
                    <w:pStyle w:val="33"/>
                    <w:spacing w:line="360" w:lineRule="exact"/>
                    <w:rPr>
                      <w:color w:val="000000" w:themeColor="text1"/>
                      <w:szCs w:val="21"/>
                    </w:rPr>
                  </w:pPr>
                  <w:r>
                    <w:rPr>
                      <w:rFonts w:hint="eastAsia"/>
                      <w:color w:val="000000" w:themeColor="text1"/>
                      <w:szCs w:val="21"/>
                    </w:rPr>
                    <w:t>颗粒物</w:t>
                  </w:r>
                </w:p>
              </w:tc>
              <w:tc>
                <w:tcPr>
                  <w:tcW w:w="2135"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120</w:t>
                  </w:r>
                </w:p>
              </w:tc>
              <w:tc>
                <w:tcPr>
                  <w:tcW w:w="1994" w:type="dxa"/>
                  <w:vAlign w:val="center"/>
                </w:tcPr>
                <w:p>
                  <w:pPr>
                    <w:pStyle w:val="33"/>
                    <w:spacing w:line="360" w:lineRule="exact"/>
                    <w:rPr>
                      <w:color w:val="000000" w:themeColor="text1"/>
                      <w:szCs w:val="21"/>
                    </w:rPr>
                  </w:pPr>
                  <w:r>
                    <w:rPr>
                      <w:rFonts w:hint="eastAsia"/>
                      <w:color w:val="000000" w:themeColor="text1"/>
                      <w:szCs w:val="21"/>
                    </w:rPr>
                    <w:t>15</w:t>
                  </w:r>
                </w:p>
              </w:tc>
              <w:tc>
                <w:tcPr>
                  <w:tcW w:w="2337" w:type="dxa"/>
                  <w:vAlign w:val="center"/>
                </w:tcPr>
                <w:p>
                  <w:pPr>
                    <w:pStyle w:val="33"/>
                    <w:spacing w:line="360" w:lineRule="exact"/>
                    <w:rPr>
                      <w:color w:val="000000" w:themeColor="text1"/>
                      <w:szCs w:val="21"/>
                    </w:rPr>
                  </w:pPr>
                  <w:r>
                    <w:rPr>
                      <w:rFonts w:hint="eastAsia"/>
                      <w:color w:val="000000" w:themeColor="text1"/>
                      <w:szCs w:val="21"/>
                    </w:rPr>
                    <w:t>1.75</w:t>
                  </w:r>
                </w:p>
              </w:tc>
            </w:tr>
          </w:tbl>
          <w:p>
            <w:pPr>
              <w:pStyle w:val="41"/>
              <w:spacing w:beforeLines="50"/>
              <w:ind w:firstLine="482"/>
              <w:rPr>
                <w:rFonts w:eastAsiaTheme="minorEastAsia"/>
                <w:b/>
                <w:color w:val="000000" w:themeColor="text1"/>
                <w:szCs w:val="24"/>
              </w:rPr>
            </w:pPr>
            <w:r>
              <w:rPr>
                <w:rFonts w:hint="eastAsia" w:eastAsiaTheme="minorEastAsia"/>
                <w:b/>
                <w:color w:val="000000" w:themeColor="text1"/>
                <w:szCs w:val="24"/>
              </w:rPr>
              <w:t>③水淬渣暂存库和废渣暂存库扬尘执行标准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项目水淬渣暂存库和废渣暂存库产生的扬尘执行</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3.3.1-4 </w:t>
            </w:r>
            <w:r>
              <w:rPr>
                <w:rFonts w:ascii="Times New Roman" w:hAnsi="Times New Roman" w:cs="Times New Roman"/>
                <w:b/>
                <w:color w:val="000000" w:themeColor="text1"/>
                <w:szCs w:val="24"/>
              </w:rPr>
              <w:t xml:space="preserve"> 《大气污染物综合排放标准》</w:t>
            </w:r>
            <w:r>
              <w:rPr>
                <w:rFonts w:hint="eastAsia" w:ascii="Times New Roman" w:hAnsi="Times New Roman" w:cs="Times New Roman"/>
                <w:b/>
                <w:color w:val="000000" w:themeColor="text1"/>
                <w:szCs w:val="24"/>
              </w:rPr>
              <w:t>无组织</w:t>
            </w:r>
            <w:r>
              <w:rPr>
                <w:rFonts w:ascii="Times New Roman" w:hAnsi="Times New Roman" w:cs="Times New Roman"/>
                <w:b/>
                <w:color w:val="000000" w:themeColor="text1"/>
                <w:szCs w:val="24"/>
              </w:rPr>
              <w:t>排放限值 单位mg/Nm³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351"/>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3"/>
                    <w:spacing w:line="360" w:lineRule="exact"/>
                    <w:rPr>
                      <w:color w:val="000000" w:themeColor="text1"/>
                      <w:szCs w:val="21"/>
                    </w:rPr>
                  </w:pPr>
                  <w:r>
                    <w:rPr>
                      <w:color w:val="000000" w:themeColor="text1"/>
                      <w:szCs w:val="21"/>
                    </w:rPr>
                    <w:t>项目</w:t>
                  </w:r>
                </w:p>
              </w:tc>
              <w:tc>
                <w:tcPr>
                  <w:tcW w:w="2350" w:type="dxa"/>
                  <w:vAlign w:val="center"/>
                </w:tcPr>
                <w:p>
                  <w:pPr>
                    <w:pStyle w:val="33"/>
                    <w:spacing w:line="360" w:lineRule="exact"/>
                    <w:rPr>
                      <w:color w:val="000000" w:themeColor="text1"/>
                      <w:szCs w:val="21"/>
                    </w:rPr>
                  </w:pPr>
                  <w:r>
                    <w:rPr>
                      <w:color w:val="000000" w:themeColor="text1"/>
                      <w:szCs w:val="21"/>
                    </w:rPr>
                    <w:t>最高允许排放浓度限值</w:t>
                  </w:r>
                </w:p>
              </w:tc>
              <w:tc>
                <w:tcPr>
                  <w:tcW w:w="4116" w:type="dxa"/>
                  <w:vAlign w:val="center"/>
                </w:tcPr>
                <w:p>
                  <w:pPr>
                    <w:pStyle w:val="33"/>
                    <w:spacing w:line="360" w:lineRule="exact"/>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3"/>
                    <w:spacing w:line="360" w:lineRule="exact"/>
                    <w:rPr>
                      <w:color w:val="000000" w:themeColor="text1"/>
                      <w:szCs w:val="21"/>
                    </w:rPr>
                  </w:pPr>
                  <w:r>
                    <w:rPr>
                      <w:rFonts w:hint="eastAsia"/>
                      <w:color w:val="000000" w:themeColor="text1"/>
                      <w:szCs w:val="21"/>
                    </w:rPr>
                    <w:t>颗粒物</w:t>
                  </w:r>
                </w:p>
              </w:tc>
              <w:tc>
                <w:tcPr>
                  <w:tcW w:w="2350" w:type="dxa"/>
                  <w:vAlign w:val="center"/>
                </w:tcPr>
                <w:p>
                  <w:pPr>
                    <w:pStyle w:val="33"/>
                    <w:spacing w:line="360" w:lineRule="exact"/>
                    <w:rPr>
                      <w:color w:val="000000" w:themeColor="text1"/>
                      <w:szCs w:val="21"/>
                    </w:rPr>
                  </w:pPr>
                  <w:r>
                    <w:rPr>
                      <w:color w:val="000000" w:themeColor="text1"/>
                      <w:szCs w:val="21"/>
                    </w:rPr>
                    <w:t>≤1.0</w:t>
                  </w:r>
                </w:p>
              </w:tc>
              <w:tc>
                <w:tcPr>
                  <w:tcW w:w="4116" w:type="dxa"/>
                  <w:vAlign w:val="center"/>
                </w:tcPr>
                <w:p>
                  <w:pPr>
                    <w:pStyle w:val="33"/>
                    <w:spacing w:line="360" w:lineRule="exact"/>
                    <w:rPr>
                      <w:color w:val="000000" w:themeColor="text1"/>
                      <w:szCs w:val="21"/>
                    </w:rPr>
                  </w:pPr>
                  <w:r>
                    <w:rPr>
                      <w:color w:val="000000" w:themeColor="text1"/>
                      <w:szCs w:val="21"/>
                    </w:rPr>
                    <w:t>周外界浓度</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项目运营期废水包括生产废水、初期雨水和生活污水。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①生产废水和初期雨水执行标准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项目产生的生产废水经收集后进入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r>
              <w:rPr>
                <w:rFonts w:hint="eastAsia" w:ascii="Times New Roman" w:hAnsi="Times New Roman" w:cs="Times New Roman"/>
                <w:color w:val="000000" w:themeColor="text1"/>
                <w:sz w:val="24"/>
                <w:szCs w:val="24"/>
              </w:rPr>
              <w:t>；初期雨水经初期雨水收集池</w:t>
            </w:r>
            <w:r>
              <w:rPr>
                <w:rFonts w:ascii="Times New Roman" w:hAnsi="Times New Roman" w:cs="Times New Roman"/>
                <w:color w:val="000000" w:themeColor="text1"/>
                <w:sz w:val="24"/>
                <w:szCs w:val="24"/>
              </w:rPr>
              <w:t>收集后，</w:t>
            </w:r>
            <w:r>
              <w:rPr>
                <w:rFonts w:hint="eastAsia" w:ascii="Times New Roman" w:hAnsi="Times New Roman" w:cs="Times New Roman"/>
                <w:color w:val="000000" w:themeColor="text1"/>
                <w:sz w:val="24"/>
                <w:szCs w:val="24"/>
              </w:rPr>
              <w:t>用于次氧化锌生产线</w:t>
            </w:r>
            <w:r>
              <w:rPr>
                <w:rFonts w:ascii="Times New Roman" w:hAnsi="Times New Roman" w:cs="Times New Roman"/>
                <w:color w:val="000000" w:themeColor="text1"/>
                <w:sz w:val="24"/>
                <w:szCs w:val="24"/>
              </w:rPr>
              <w:t>原料堆场</w:t>
            </w:r>
            <w:r>
              <w:rPr>
                <w:rFonts w:hint="eastAsia" w:ascii="Times New Roman" w:hAnsi="Times New Roman" w:cs="Times New Roman"/>
                <w:color w:val="000000" w:themeColor="text1"/>
                <w:sz w:val="24"/>
                <w:szCs w:val="24"/>
              </w:rPr>
              <w:t>、厂区道路等区域进行洒水抑尘，不外排。不设置排放标准。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区生活污水经隔油池、化粪池处理后，通过园区污水管网进入四方地与碧谷园区污水处理厂处理。四方地与碧谷园区污水处理厂采用二级处理工艺，生活污水经隔油池、化粪池处理后，通过园区污水管网进入四方地与碧谷园区污水处理厂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-2015）的B等级标准。标准限值详见下表。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3.3.2-1</w:t>
            </w:r>
            <w:r>
              <w:rPr>
                <w:rFonts w:ascii="Times New Roman" w:hAnsi="Times New Roman" w:cs="Times New Roman"/>
                <w:b/>
                <w:color w:val="000000" w:themeColor="text1"/>
                <w:szCs w:val="24"/>
              </w:rPr>
              <w:t xml:space="preserve"> 污水排入城镇下水道水质控制项目限值  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5"/>
              <w:gridCol w:w="883"/>
              <w:gridCol w:w="885"/>
              <w:gridCol w:w="781"/>
              <w:gridCol w:w="677"/>
              <w:gridCol w:w="676"/>
              <w:gridCol w:w="656"/>
              <w:gridCol w:w="811"/>
              <w:gridCol w:w="698"/>
              <w:gridCol w:w="677"/>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89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pH</w:t>
                  </w:r>
                </w:p>
              </w:tc>
              <w:tc>
                <w:tcPr>
                  <w:tcW w:w="89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792"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氨氮</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总氮</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851"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动植物油</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SS</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1176"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B等级</w:t>
                  </w:r>
                </w:p>
              </w:tc>
              <w:tc>
                <w:tcPr>
                  <w:tcW w:w="89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6.5-9.5</w:t>
                  </w:r>
                </w:p>
              </w:tc>
              <w:tc>
                <w:tcPr>
                  <w:tcW w:w="89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≤500</w:t>
                  </w:r>
                </w:p>
              </w:tc>
              <w:tc>
                <w:tcPr>
                  <w:tcW w:w="792"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≤350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≤45</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≤8</w:t>
                  </w:r>
                </w:p>
              </w:tc>
              <w:tc>
                <w:tcPr>
                  <w:tcW w:w="851"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≤100</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≤400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15</w:t>
                  </w:r>
                </w:p>
              </w:tc>
              <w:tc>
                <w:tcPr>
                  <w:tcW w:w="1176"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-1 建筑施工场界噪声标准限值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3"/>
                    <w:spacing w:line="360" w:lineRule="exact"/>
                    <w:ind w:left="11"/>
                    <w:rPr>
                      <w:rFonts w:eastAsiaTheme="minorEastAsia"/>
                      <w:color w:val="000000" w:themeColor="text1"/>
                      <w:szCs w:val="21"/>
                    </w:rPr>
                  </w:pPr>
                </w:p>
              </w:tc>
              <w:tc>
                <w:tcPr>
                  <w:tcW w:w="2977"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项目位于云南东川产业园区四方地片区昆明合旺有色金属有限公司厂区内，本项目噪声执行《工业企业厂界环境噪声排放标准》（GB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《工业企业厂界环境噪声排放标准》  Leq[dB（A）</w:t>
            </w:r>
          </w:p>
          <w:tbl>
            <w:tblPr>
              <w:tblStyle w:val="22"/>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922"/>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3"/>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41"/>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color w:val="000000" w:themeColor="text1"/>
                <w:szCs w:val="24"/>
              </w:rPr>
              <w:t>①</w:t>
            </w:r>
            <w:r>
              <w:rPr>
                <w:color w:val="000000" w:themeColor="text1"/>
                <w:szCs w:val="24"/>
              </w:rPr>
              <w:fldChar w:fldCharType="end"/>
            </w:r>
            <w:r>
              <w:rPr>
                <w:color w:val="000000" w:themeColor="text1"/>
                <w:szCs w:val="24"/>
              </w:rPr>
              <w:t>危险废物执行《危险废物贮存污染控制标准》（GB</w:t>
            </w:r>
            <w:r>
              <w:rPr>
                <w:rFonts w:hint="eastAsia"/>
                <w:color w:val="000000" w:themeColor="text1"/>
                <w:szCs w:val="24"/>
                <w:lang w:eastAsia="zh-CN"/>
              </w:rPr>
              <w:t>*****</w:t>
            </w:r>
            <w:r>
              <w:rPr>
                <w:color w:val="000000" w:themeColor="text1"/>
                <w:szCs w:val="24"/>
              </w:rPr>
              <w:t>-2023）。</w:t>
            </w:r>
          </w:p>
          <w:p>
            <w:pPr>
              <w:pStyle w:val="41"/>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w:t>
            </w:r>
            <w:r>
              <w:rPr>
                <w:rFonts w:hint="eastAsia"/>
                <w:color w:val="000000" w:themeColor="text1"/>
                <w:szCs w:val="24"/>
                <w:lang w:eastAsia="zh-CN"/>
              </w:rPr>
              <w:t>*****</w:t>
            </w:r>
            <w:r>
              <w:rPr>
                <w:color w:val="000000" w:themeColor="text1"/>
                <w:szCs w:val="24"/>
              </w:rPr>
              <w:t>-2020）。</w:t>
            </w:r>
          </w:p>
          <w:p>
            <w:pPr>
              <w:pStyle w:val="41"/>
              <w:ind w:firstLine="480"/>
              <w:rPr>
                <w:color w:val="000000" w:themeColor="text1"/>
                <w:szCs w:val="24"/>
              </w:rPr>
            </w:pPr>
            <w:r>
              <w:rPr>
                <w:rFonts w:hint="eastAsia"/>
                <w:color w:val="000000" w:themeColor="text1"/>
                <w:szCs w:val="24"/>
              </w:rPr>
              <w:t>③氧化锌尾渣（水淬渣）及废渣</w:t>
            </w:r>
            <w:r>
              <w:rPr>
                <w:color w:val="000000" w:themeColor="text1"/>
                <w:szCs w:val="24"/>
              </w:rPr>
              <w:t>属性判断标准如下：氧化锌尾渣（水淬渣）及废渣执行《危险废物鉴别标准 腐蚀性鉴别》（GB5085.1-2007）和《危险废物鉴别标准 浸出毒性鉴别》（GB5085.3-2007）标准要求</w:t>
            </w:r>
            <w:r>
              <w:rPr>
                <w:rFonts w:hint="eastAsia"/>
                <w:color w:val="000000" w:themeColor="text1"/>
                <w:szCs w:val="24"/>
              </w:rPr>
              <w:t>。</w:t>
            </w:r>
          </w:p>
          <w:p>
            <w:pPr>
              <w:pStyle w:val="41"/>
              <w:ind w:firstLine="480"/>
              <w:rPr>
                <w:rFonts w:hint="eastAsia"/>
                <w:color w:val="000000" w:themeColor="text1"/>
                <w:szCs w:val="24"/>
              </w:rPr>
            </w:pPr>
            <w:r>
              <w:rPr>
                <w:color w:val="000000" w:themeColor="text1"/>
                <w:szCs w:val="24"/>
              </w:rPr>
              <w:t>标准值如下表所示。</w:t>
            </w:r>
          </w:p>
          <w:p>
            <w:pPr>
              <w:jc w:val="center"/>
              <w:rPr>
                <w:rFonts w:hint="eastAsia"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3.3.4-1</w:t>
            </w:r>
            <w:r>
              <w:rPr>
                <w:rFonts w:ascii="Times New Roman" w:hAnsi="Times New Roman" w:cs="Times New Roman"/>
                <w:b/>
                <w:color w:val="000000" w:themeColor="text1"/>
                <w:szCs w:val="24"/>
              </w:rPr>
              <w:t xml:space="preserve">  腐蚀性、浸出毒性限值一览表 mg/L</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60"/>
              <w:gridCol w:w="1137"/>
              <w:gridCol w:w="2839"/>
              <w:gridCol w:w="2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Align w:val="center"/>
                </w:tcPr>
                <w:p>
                  <w:pPr>
                    <w:pStyle w:val="33"/>
                    <w:spacing w:line="360" w:lineRule="exact"/>
                    <w:rPr>
                      <w:color w:val="000000" w:themeColor="text1"/>
                      <w:szCs w:val="21"/>
                    </w:rPr>
                  </w:pPr>
                  <w:r>
                    <w:rPr>
                      <w:color w:val="000000" w:themeColor="text1"/>
                      <w:szCs w:val="21"/>
                    </w:rPr>
                    <w:t>鉴别标准</w:t>
                  </w:r>
                </w:p>
              </w:tc>
              <w:tc>
                <w:tcPr>
                  <w:tcW w:w="1126" w:type="dxa"/>
                  <w:vAlign w:val="center"/>
                </w:tcPr>
                <w:p>
                  <w:pPr>
                    <w:pStyle w:val="33"/>
                    <w:spacing w:line="360" w:lineRule="exact"/>
                    <w:rPr>
                      <w:color w:val="000000" w:themeColor="text1"/>
                      <w:szCs w:val="21"/>
                    </w:rPr>
                  </w:pPr>
                  <w:r>
                    <w:rPr>
                      <w:color w:val="000000" w:themeColor="text1"/>
                      <w:szCs w:val="21"/>
                    </w:rPr>
                    <w:t>序号</w:t>
                  </w:r>
                </w:p>
              </w:tc>
              <w:tc>
                <w:tcPr>
                  <w:tcW w:w="2811" w:type="dxa"/>
                  <w:vAlign w:val="center"/>
                </w:tcPr>
                <w:p>
                  <w:pPr>
                    <w:pStyle w:val="33"/>
                    <w:spacing w:line="360" w:lineRule="exact"/>
                    <w:rPr>
                      <w:color w:val="000000" w:themeColor="text1"/>
                      <w:szCs w:val="21"/>
                    </w:rPr>
                  </w:pPr>
                  <w:r>
                    <w:rPr>
                      <w:color w:val="000000" w:themeColor="text1"/>
                      <w:szCs w:val="21"/>
                    </w:rPr>
                    <w:t>污染因子</w:t>
                  </w:r>
                </w:p>
              </w:tc>
              <w:tc>
                <w:tcPr>
                  <w:tcW w:w="2744" w:type="dxa"/>
                  <w:vAlign w:val="center"/>
                </w:tcPr>
                <w:p>
                  <w:pPr>
                    <w:pStyle w:val="33"/>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Align w:val="center"/>
                </w:tcPr>
                <w:p>
                  <w:pPr>
                    <w:pStyle w:val="33"/>
                    <w:spacing w:line="360" w:lineRule="exact"/>
                    <w:rPr>
                      <w:color w:val="000000" w:themeColor="text1"/>
                      <w:szCs w:val="21"/>
                    </w:rPr>
                  </w:pPr>
                  <w:r>
                    <w:rPr>
                      <w:color w:val="000000" w:themeColor="text1"/>
                      <w:szCs w:val="21"/>
                    </w:rPr>
                    <w:t>腐蚀性鉴别</w:t>
                  </w:r>
                </w:p>
              </w:tc>
              <w:tc>
                <w:tcPr>
                  <w:tcW w:w="1126" w:type="dxa"/>
                  <w:vAlign w:val="center"/>
                </w:tcPr>
                <w:p>
                  <w:pPr>
                    <w:pStyle w:val="33"/>
                    <w:spacing w:line="360" w:lineRule="exact"/>
                    <w:rPr>
                      <w:color w:val="000000" w:themeColor="text1"/>
                      <w:szCs w:val="21"/>
                    </w:rPr>
                  </w:pPr>
                  <w:r>
                    <w:rPr>
                      <w:color w:val="000000" w:themeColor="text1"/>
                      <w:szCs w:val="21"/>
                    </w:rPr>
                    <w:t>1</w:t>
                  </w:r>
                </w:p>
              </w:tc>
              <w:tc>
                <w:tcPr>
                  <w:tcW w:w="2811" w:type="dxa"/>
                  <w:vAlign w:val="center"/>
                </w:tcPr>
                <w:p>
                  <w:pPr>
                    <w:pStyle w:val="33"/>
                    <w:spacing w:line="360" w:lineRule="exact"/>
                    <w:rPr>
                      <w:color w:val="000000" w:themeColor="text1"/>
                      <w:szCs w:val="21"/>
                    </w:rPr>
                  </w:pPr>
                  <w:r>
                    <w:rPr>
                      <w:color w:val="000000" w:themeColor="text1"/>
                      <w:szCs w:val="21"/>
                    </w:rPr>
                    <w:t>pH值</w:t>
                  </w:r>
                </w:p>
              </w:tc>
              <w:tc>
                <w:tcPr>
                  <w:tcW w:w="2744" w:type="dxa"/>
                  <w:vAlign w:val="center"/>
                </w:tcPr>
                <w:p>
                  <w:pPr>
                    <w:pStyle w:val="33"/>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restart"/>
                  <w:vAlign w:val="center"/>
                </w:tcPr>
                <w:p>
                  <w:pPr>
                    <w:pStyle w:val="33"/>
                    <w:spacing w:line="360" w:lineRule="exact"/>
                    <w:rPr>
                      <w:color w:val="000000" w:themeColor="text1"/>
                      <w:szCs w:val="21"/>
                    </w:rPr>
                  </w:pPr>
                  <w:r>
                    <w:rPr>
                      <w:color w:val="000000" w:themeColor="text1"/>
                      <w:szCs w:val="21"/>
                    </w:rPr>
                    <w:t>浸出毒性鉴别</w:t>
                  </w:r>
                </w:p>
              </w:tc>
              <w:tc>
                <w:tcPr>
                  <w:tcW w:w="1126" w:type="dxa"/>
                  <w:vAlign w:val="center"/>
                </w:tcPr>
                <w:p>
                  <w:pPr>
                    <w:pStyle w:val="33"/>
                    <w:spacing w:line="360" w:lineRule="exact"/>
                    <w:rPr>
                      <w:color w:val="000000" w:themeColor="text1"/>
                      <w:szCs w:val="21"/>
                    </w:rPr>
                  </w:pPr>
                  <w:r>
                    <w:rPr>
                      <w:color w:val="000000" w:themeColor="text1"/>
                      <w:szCs w:val="21"/>
                    </w:rPr>
                    <w:t>1</w:t>
                  </w:r>
                </w:p>
              </w:tc>
              <w:tc>
                <w:tcPr>
                  <w:tcW w:w="2811" w:type="dxa"/>
                  <w:vAlign w:val="center"/>
                </w:tcPr>
                <w:p>
                  <w:pPr>
                    <w:pStyle w:val="33"/>
                    <w:spacing w:line="360" w:lineRule="exact"/>
                    <w:rPr>
                      <w:color w:val="000000" w:themeColor="text1"/>
                      <w:szCs w:val="21"/>
                    </w:rPr>
                  </w:pPr>
                  <w:r>
                    <w:rPr>
                      <w:color w:val="000000" w:themeColor="text1"/>
                      <w:szCs w:val="21"/>
                    </w:rPr>
                    <w:t>氟化物</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2</w:t>
                  </w:r>
                </w:p>
              </w:tc>
              <w:tc>
                <w:tcPr>
                  <w:tcW w:w="2811" w:type="dxa"/>
                  <w:vAlign w:val="center"/>
                </w:tcPr>
                <w:p>
                  <w:pPr>
                    <w:pStyle w:val="33"/>
                    <w:spacing w:line="360" w:lineRule="exact"/>
                    <w:rPr>
                      <w:color w:val="000000" w:themeColor="text1"/>
                      <w:szCs w:val="21"/>
                    </w:rPr>
                  </w:pPr>
                  <w:r>
                    <w:rPr>
                      <w:color w:val="000000" w:themeColor="text1"/>
                      <w:szCs w:val="21"/>
                    </w:rPr>
                    <w:t>氰化物</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3</w:t>
                  </w:r>
                </w:p>
              </w:tc>
              <w:tc>
                <w:tcPr>
                  <w:tcW w:w="2811" w:type="dxa"/>
                  <w:vAlign w:val="center"/>
                </w:tcPr>
                <w:p>
                  <w:pPr>
                    <w:pStyle w:val="33"/>
                    <w:spacing w:line="360" w:lineRule="exact"/>
                    <w:rPr>
                      <w:color w:val="000000" w:themeColor="text1"/>
                      <w:szCs w:val="21"/>
                    </w:rPr>
                  </w:pPr>
                  <w:r>
                    <w:rPr>
                      <w:color w:val="000000" w:themeColor="text1"/>
                      <w:szCs w:val="21"/>
                    </w:rPr>
                    <w:t>六价铬</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4</w:t>
                  </w:r>
                </w:p>
              </w:tc>
              <w:tc>
                <w:tcPr>
                  <w:tcW w:w="2811" w:type="dxa"/>
                  <w:vAlign w:val="center"/>
                </w:tcPr>
                <w:p>
                  <w:pPr>
                    <w:pStyle w:val="33"/>
                    <w:spacing w:line="360" w:lineRule="exact"/>
                    <w:rPr>
                      <w:color w:val="000000" w:themeColor="text1"/>
                      <w:szCs w:val="21"/>
                    </w:rPr>
                  </w:pPr>
                  <w:r>
                    <w:rPr>
                      <w:color w:val="000000" w:themeColor="text1"/>
                      <w:szCs w:val="21"/>
                    </w:rPr>
                    <w:t>铜</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5</w:t>
                  </w:r>
                </w:p>
              </w:tc>
              <w:tc>
                <w:tcPr>
                  <w:tcW w:w="2811" w:type="dxa"/>
                  <w:vAlign w:val="center"/>
                </w:tcPr>
                <w:p>
                  <w:pPr>
                    <w:pStyle w:val="33"/>
                    <w:spacing w:line="360" w:lineRule="exact"/>
                    <w:rPr>
                      <w:color w:val="000000" w:themeColor="text1"/>
                      <w:szCs w:val="21"/>
                    </w:rPr>
                  </w:pPr>
                  <w:r>
                    <w:rPr>
                      <w:color w:val="000000" w:themeColor="text1"/>
                      <w:szCs w:val="21"/>
                    </w:rPr>
                    <w:t>锌</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6</w:t>
                  </w:r>
                </w:p>
              </w:tc>
              <w:tc>
                <w:tcPr>
                  <w:tcW w:w="2811" w:type="dxa"/>
                  <w:vAlign w:val="center"/>
                </w:tcPr>
                <w:p>
                  <w:pPr>
                    <w:pStyle w:val="33"/>
                    <w:spacing w:line="360" w:lineRule="exact"/>
                    <w:rPr>
                      <w:color w:val="000000" w:themeColor="text1"/>
                      <w:szCs w:val="21"/>
                    </w:rPr>
                  </w:pPr>
                  <w:r>
                    <w:rPr>
                      <w:color w:val="000000" w:themeColor="text1"/>
                      <w:szCs w:val="21"/>
                    </w:rPr>
                    <w:t>砷</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7</w:t>
                  </w:r>
                </w:p>
              </w:tc>
              <w:tc>
                <w:tcPr>
                  <w:tcW w:w="2811" w:type="dxa"/>
                  <w:vAlign w:val="center"/>
                </w:tcPr>
                <w:p>
                  <w:pPr>
                    <w:pStyle w:val="33"/>
                    <w:spacing w:line="360" w:lineRule="exact"/>
                    <w:rPr>
                      <w:color w:val="000000" w:themeColor="text1"/>
                      <w:szCs w:val="21"/>
                    </w:rPr>
                  </w:pPr>
                  <w:r>
                    <w:rPr>
                      <w:color w:val="000000" w:themeColor="text1"/>
                      <w:szCs w:val="21"/>
                    </w:rPr>
                    <w:t>镉</w:t>
                  </w:r>
                </w:p>
              </w:tc>
              <w:tc>
                <w:tcPr>
                  <w:tcW w:w="2744"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8</w:t>
                  </w:r>
                </w:p>
              </w:tc>
              <w:tc>
                <w:tcPr>
                  <w:tcW w:w="2811" w:type="dxa"/>
                  <w:vAlign w:val="center"/>
                </w:tcPr>
                <w:p>
                  <w:pPr>
                    <w:pStyle w:val="33"/>
                    <w:spacing w:line="360" w:lineRule="exact"/>
                    <w:rPr>
                      <w:color w:val="000000" w:themeColor="text1"/>
                      <w:szCs w:val="21"/>
                    </w:rPr>
                  </w:pPr>
                  <w:r>
                    <w:rPr>
                      <w:color w:val="000000" w:themeColor="text1"/>
                      <w:szCs w:val="21"/>
                    </w:rPr>
                    <w:t>铅</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9</w:t>
                  </w:r>
                </w:p>
              </w:tc>
              <w:tc>
                <w:tcPr>
                  <w:tcW w:w="2811" w:type="dxa"/>
                  <w:vAlign w:val="center"/>
                </w:tcPr>
                <w:p>
                  <w:pPr>
                    <w:pStyle w:val="33"/>
                    <w:spacing w:line="360" w:lineRule="exact"/>
                    <w:rPr>
                      <w:color w:val="000000" w:themeColor="text1"/>
                      <w:szCs w:val="21"/>
                    </w:rPr>
                  </w:pPr>
                  <w:r>
                    <w:rPr>
                      <w:color w:val="000000" w:themeColor="text1"/>
                      <w:szCs w:val="21"/>
                    </w:rPr>
                    <w:t>硒</w:t>
                  </w:r>
                </w:p>
              </w:tc>
              <w:tc>
                <w:tcPr>
                  <w:tcW w:w="2744"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10</w:t>
                  </w:r>
                </w:p>
              </w:tc>
              <w:tc>
                <w:tcPr>
                  <w:tcW w:w="2811" w:type="dxa"/>
                  <w:vAlign w:val="center"/>
                </w:tcPr>
                <w:p>
                  <w:pPr>
                    <w:pStyle w:val="33"/>
                    <w:spacing w:line="360" w:lineRule="exact"/>
                    <w:rPr>
                      <w:color w:val="000000" w:themeColor="text1"/>
                      <w:szCs w:val="21"/>
                    </w:rPr>
                  </w:pPr>
                  <w:r>
                    <w:rPr>
                      <w:color w:val="000000" w:themeColor="text1"/>
                      <w:szCs w:val="21"/>
                    </w:rPr>
                    <w:t>汞</w:t>
                  </w:r>
                </w:p>
              </w:tc>
              <w:tc>
                <w:tcPr>
                  <w:tcW w:w="2744"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11</w:t>
                  </w:r>
                </w:p>
              </w:tc>
              <w:tc>
                <w:tcPr>
                  <w:tcW w:w="2811" w:type="dxa"/>
                  <w:vAlign w:val="center"/>
                </w:tcPr>
                <w:p>
                  <w:pPr>
                    <w:pStyle w:val="33"/>
                    <w:spacing w:line="360" w:lineRule="exact"/>
                    <w:rPr>
                      <w:color w:val="000000" w:themeColor="text1"/>
                      <w:szCs w:val="21"/>
                    </w:rPr>
                  </w:pPr>
                  <w:r>
                    <w:rPr>
                      <w:color w:val="000000" w:themeColor="text1"/>
                      <w:szCs w:val="21"/>
                    </w:rPr>
                    <w:t>铍</w:t>
                  </w:r>
                </w:p>
              </w:tc>
              <w:tc>
                <w:tcPr>
                  <w:tcW w:w="2744" w:type="dxa"/>
                  <w:vAlign w:val="center"/>
                </w:tcPr>
                <w:p>
                  <w:pPr>
                    <w:pStyle w:val="33"/>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12</w:t>
                  </w:r>
                </w:p>
              </w:tc>
              <w:tc>
                <w:tcPr>
                  <w:tcW w:w="2811" w:type="dxa"/>
                  <w:vAlign w:val="center"/>
                </w:tcPr>
                <w:p>
                  <w:pPr>
                    <w:pStyle w:val="33"/>
                    <w:spacing w:line="360" w:lineRule="exact"/>
                    <w:rPr>
                      <w:color w:val="000000" w:themeColor="text1"/>
                      <w:szCs w:val="21"/>
                    </w:rPr>
                  </w:pPr>
                  <w:r>
                    <w:rPr>
                      <w:color w:val="000000" w:themeColor="text1"/>
                      <w:szCs w:val="21"/>
                    </w:rPr>
                    <w:t>镍</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13</w:t>
                  </w:r>
                </w:p>
              </w:tc>
              <w:tc>
                <w:tcPr>
                  <w:tcW w:w="2811" w:type="dxa"/>
                  <w:vAlign w:val="center"/>
                </w:tcPr>
                <w:p>
                  <w:pPr>
                    <w:pStyle w:val="33"/>
                    <w:spacing w:line="360" w:lineRule="exact"/>
                    <w:rPr>
                      <w:color w:val="000000" w:themeColor="text1"/>
                      <w:szCs w:val="21"/>
                    </w:rPr>
                  </w:pPr>
                  <w:r>
                    <w:rPr>
                      <w:color w:val="000000" w:themeColor="text1"/>
                      <w:szCs w:val="21"/>
                    </w:rPr>
                    <w:t>钡</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14</w:t>
                  </w:r>
                </w:p>
              </w:tc>
              <w:tc>
                <w:tcPr>
                  <w:tcW w:w="2811" w:type="dxa"/>
                  <w:vAlign w:val="center"/>
                </w:tcPr>
                <w:p>
                  <w:pPr>
                    <w:pStyle w:val="33"/>
                    <w:spacing w:line="360" w:lineRule="exact"/>
                    <w:rPr>
                      <w:color w:val="000000" w:themeColor="text1"/>
                      <w:szCs w:val="21"/>
                    </w:rPr>
                  </w:pPr>
                  <w:r>
                    <w:rPr>
                      <w:color w:val="000000" w:themeColor="text1"/>
                      <w:szCs w:val="21"/>
                    </w:rPr>
                    <w:t>银</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15</w:t>
                  </w:r>
                </w:p>
              </w:tc>
              <w:tc>
                <w:tcPr>
                  <w:tcW w:w="2811" w:type="dxa"/>
                  <w:vAlign w:val="center"/>
                </w:tcPr>
                <w:p>
                  <w:pPr>
                    <w:pStyle w:val="33"/>
                    <w:spacing w:line="360" w:lineRule="exact"/>
                    <w:rPr>
                      <w:color w:val="000000" w:themeColor="text1"/>
                      <w:szCs w:val="21"/>
                    </w:rPr>
                  </w:pPr>
                  <w:r>
                    <w:rPr>
                      <w:color w:val="000000" w:themeColor="text1"/>
                      <w:szCs w:val="21"/>
                    </w:rPr>
                    <w:t>总铬</w:t>
                  </w:r>
                </w:p>
              </w:tc>
              <w:tc>
                <w:tcPr>
                  <w:tcW w:w="2744"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16</w:t>
                  </w:r>
                </w:p>
              </w:tc>
              <w:tc>
                <w:tcPr>
                  <w:tcW w:w="2811" w:type="dxa"/>
                  <w:vAlign w:val="center"/>
                </w:tcPr>
                <w:p>
                  <w:pPr>
                    <w:pStyle w:val="33"/>
                    <w:spacing w:line="360" w:lineRule="exact"/>
                    <w:rPr>
                      <w:color w:val="000000" w:themeColor="text1"/>
                      <w:szCs w:val="21"/>
                    </w:rPr>
                  </w:pPr>
                  <w:r>
                    <w:rPr>
                      <w:color w:val="000000" w:themeColor="text1"/>
                      <w:szCs w:val="21"/>
                    </w:rPr>
                    <w:t>烷基汞</w:t>
                  </w:r>
                </w:p>
              </w:tc>
              <w:tc>
                <w:tcPr>
                  <w:tcW w:w="2744" w:type="dxa"/>
                  <w:vAlign w:val="center"/>
                </w:tcPr>
                <w:p>
                  <w:pPr>
                    <w:pStyle w:val="33"/>
                    <w:spacing w:line="360" w:lineRule="exact"/>
                    <w:rPr>
                      <w:color w:val="000000" w:themeColor="text1"/>
                      <w:szCs w:val="21"/>
                    </w:rPr>
                  </w:pPr>
                  <w:r>
                    <w:rPr>
                      <w:color w:val="000000" w:themeColor="text1"/>
                      <w:szCs w:val="21"/>
                    </w:rPr>
                    <w:t>不得检出</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若浸出液中任何一种污染物的浓度均未超过上表限值，则该废物不是危险废物。判断固体废物不属于危险废物后，再将浸出液和《污水综合排放标准》（GB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-1996）一级标准限值进行对照，达到其标准限值，且pH值在6-9范围之内的一般工业固体废物为第I类一般工业固体废物；反之则一般工业固体废物为第II类一般工业固体废物。《污水综合排放标准》（GB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-1996）一级标准</w:t>
            </w:r>
            <w:r>
              <w:rPr>
                <w:rFonts w:hint="eastAsia" w:ascii="Times New Roman" w:hAnsi="Times New Roman" w:cs="Times New Roman"/>
                <w:color w:val="000000" w:themeColor="text1"/>
                <w:sz w:val="24"/>
                <w:szCs w:val="24"/>
              </w:rPr>
              <w:t>。</w:t>
            </w:r>
          </w:p>
          <w:p>
            <w:pPr>
              <w:pStyle w:val="41"/>
              <w:ind w:firstLine="480"/>
              <w:rPr>
                <w:color w:val="000000" w:themeColor="text1"/>
                <w:szCs w:val="24"/>
              </w:rPr>
            </w:pPr>
            <w:r>
              <w:rPr>
                <w:rFonts w:hint="eastAsia"/>
                <w:color w:val="000000" w:themeColor="text1"/>
                <w:szCs w:val="24"/>
              </w:rPr>
              <w:t>标准</w:t>
            </w:r>
            <w:r>
              <w:rPr>
                <w:color w:val="000000" w:themeColor="text1"/>
                <w:szCs w:val="24"/>
              </w:rPr>
              <w:t>限值如下表所示。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4-2</w:t>
            </w:r>
            <w:r>
              <w:rPr>
                <w:rFonts w:ascii="Times New Roman" w:hAnsi="Times New Roman" w:cs="Times New Roman"/>
                <w:b/>
                <w:color w:val="000000" w:themeColor="text1"/>
                <w:szCs w:val="24"/>
              </w:rPr>
              <w:t xml:space="preserve">  污水综合排放标准排放限值  （单位： mg/L，pH除外）</w:t>
            </w:r>
          </w:p>
          <w:tbl>
            <w:tblPr>
              <w:tblStyle w:val="22"/>
              <w:tblW w:w="5000" w:type="pct"/>
              <w:tblInd w:w="0" w:type="dxa"/>
              <w:tblLayout w:type="autofit"/>
              <w:tblCellMar>
                <w:top w:w="0" w:type="dxa"/>
                <w:left w:w="108" w:type="dxa"/>
                <w:bottom w:w="0" w:type="dxa"/>
                <w:right w:w="108" w:type="dxa"/>
              </w:tblCellMar>
            </w:tblPr>
            <w:tblGrid>
              <w:gridCol w:w="1633"/>
              <w:gridCol w:w="1131"/>
              <w:gridCol w:w="1115"/>
              <w:gridCol w:w="1131"/>
              <w:gridCol w:w="1111"/>
              <w:gridCol w:w="1111"/>
              <w:gridCol w:w="1386"/>
            </w:tblGrid>
            <w:tr>
              <w:tblPrEx>
                <w:tblCellMar>
                  <w:top w:w="0" w:type="dxa"/>
                  <w:left w:w="108" w:type="dxa"/>
                  <w:bottom w:w="0" w:type="dxa"/>
                  <w:right w:w="108" w:type="dxa"/>
                </w:tblCellMar>
              </w:tblPrEx>
              <w:trPr>
                <w:trHeight w:val="280" w:hRule="atLeast"/>
              </w:trPr>
              <w:tc>
                <w:tcPr>
                  <w:tcW w:w="1756" w:type="dxa"/>
                  <w:tcBorders>
                    <w:top w:val="single" w:color="000000" w:sz="4"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pH</w:t>
                  </w:r>
                </w:p>
              </w:tc>
              <w:tc>
                <w:tcPr>
                  <w:tcW w:w="1180"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总铜</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总锌</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总铅</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总镉</w:t>
                  </w:r>
                </w:p>
              </w:tc>
              <w:tc>
                <w:tcPr>
                  <w:tcW w:w="1479" w:type="dxa"/>
                  <w:tcBorders>
                    <w:top w:val="single" w:color="000000" w:sz="4"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color w:val="000000" w:themeColor="text1"/>
                      <w:szCs w:val="21"/>
                    </w:rPr>
                    <w:t>六价铬</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6-9</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2.0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0.1</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color w:val="000000" w:themeColor="text1"/>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总铬</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总银</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总砷</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氟化物</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总氰化合物</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1.5</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总汞</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烷基汞</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硒</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4"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1180"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不得检出</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0.005</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479" w:type="dxa"/>
                  <w:tcBorders>
                    <w:top w:val="single" w:color="000000" w:sz="6" w:space="0"/>
                    <w:left w:val="single" w:color="000000" w:sz="6" w:space="0"/>
                    <w:bottom w:val="single" w:color="000000" w:sz="4"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w:t>
                  </w:r>
                </w:p>
              </w:tc>
            </w:tr>
          </w:tbl>
          <w:p>
            <w:pPr>
              <w:pStyle w:val="41"/>
              <w:ind w:firstLine="480"/>
              <w:rPr>
                <w:rFonts w:hint="eastAsia"/>
                <w:color w:val="000000" w:themeColor="text1"/>
                <w:szCs w:val="24"/>
              </w:rPr>
            </w:pPr>
            <w:r>
              <w:rPr>
                <w:rFonts w:hint="eastAsia"/>
                <w:color w:val="000000" w:themeColor="text1"/>
                <w:szCs w:val="24"/>
              </w:rPr>
              <w:t xml:space="preserve">   </w:t>
            </w:r>
          </w:p>
          <w:p>
            <w:pPr>
              <w:pStyle w:val="41"/>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有组织排放废气：废气量6960万m³/a，颗粒物：0.112t/a，SO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：1.36t/a，NOx：0.56t/a。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无组织排放废气：颗粒物：32.09t/a。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①生产废水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项目生产废水产生量为435778.2m³/a，项目废水处理系统</w:t>
            </w:r>
            <w:r>
              <w:rPr>
                <w:rFonts w:hint="eastAsia" w:ascii="Times New Roman" w:hAnsi="Times New Roman" w:cs="Times New Roman"/>
                <w:bCs/>
                <w:color w:val="000000" w:themeColor="text1"/>
                <w:sz w:val="24"/>
                <w:szCs w:val="24"/>
              </w:rPr>
              <w:t>循环沉淀过滤处理后回用于生产，不外排。</w:t>
            </w:r>
            <w:r>
              <w:rPr>
                <w:rFonts w:ascii="Times New Roman" w:hAnsi="Times New Roman" w:cs="Times New Roman"/>
                <w:bCs/>
                <w:color w:val="000000" w:themeColor="text1"/>
                <w:sz w:val="24"/>
                <w:szCs w:val="24"/>
              </w:rPr>
              <w:t>。不进行总量控制。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项目生活污水产生量及排放量为422.4m³/a，CODcr产生量为0.15t/a、排放量为0.12t/a；BOD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产生量为0.09t/a、排放量为0.08t/a；NH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-N产生量为0.02t/a、排放量为0.01t/a；SS产生量为0.13t/a、排放量为0.07t/a；总磷产生量为0.003</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t/a、排放量为0.003t/a；总氮产生量为0.019t/a、排放量为0.017t/a；</w:t>
            </w:r>
            <w:r>
              <w:rPr>
                <w:rFonts w:hint="eastAsia" w:ascii="Times New Roman" w:hAnsi="Times New Roman" w:cs="Times New Roman"/>
                <w:color w:val="000000" w:themeColor="text1"/>
                <w:sz w:val="24"/>
                <w:szCs w:val="24"/>
              </w:rPr>
              <w:t>动植物油</w:t>
            </w:r>
            <w:r>
              <w:rPr>
                <w:rFonts w:ascii="Times New Roman" w:hAnsi="Times New Roman" w:cs="Times New Roman"/>
                <w:color w:val="000000" w:themeColor="text1"/>
                <w:sz w:val="24"/>
                <w:szCs w:val="24"/>
              </w:rPr>
              <w:t>产生量为0.0</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t/a、排放量为0.0</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t/a；阴离子表面活性剂产生量为0.01t/a、排放量为0.0</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t/a。生活污水经隔油池、化粪池处理后可达到《污水排入城镇下水道水质标准》（GB/T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-2015）B等级标准后，通过园区污水管网进入四方地与碧谷园区污水处理厂处理，因此总量纳入四方地与碧谷园区污水处理厂进行管理。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11" w:name="_Toc151133521"/>
      <w:r>
        <w:rPr>
          <w:rFonts w:ascii="Times New Roman" w:hAnsi="Times New Roman" w:cs="Times New Roman"/>
          <w:b/>
          <w:color w:val="000000" w:themeColor="text1"/>
          <w:sz w:val="28"/>
          <w:szCs w:val="20"/>
        </w:rPr>
        <w:t>四、主要环境影响和保护措施</w:t>
      </w:r>
      <w:bookmarkEnd w:id="11"/>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1"/>
              <w:ind w:firstLine="482"/>
              <w:rPr>
                <w:rFonts w:eastAsiaTheme="minorEastAsia"/>
                <w:b/>
                <w:color w:val="000000" w:themeColor="text1"/>
                <w:szCs w:val="24"/>
              </w:rPr>
            </w:pPr>
            <w:r>
              <w:rPr>
                <w:rFonts w:eastAsiaTheme="minorEastAsia"/>
                <w:b/>
                <w:color w:val="000000" w:themeColor="text1"/>
                <w:szCs w:val="24"/>
              </w:rPr>
              <w:t xml:space="preserve">4.1.1 </w:t>
            </w:r>
            <w:r>
              <w:rPr>
                <w:rFonts w:hint="eastAsia" w:eastAsiaTheme="minorEastAsia"/>
                <w:b/>
                <w:color w:val="000000" w:themeColor="text1"/>
                <w:szCs w:val="24"/>
              </w:rPr>
              <w:t>已施工工程污染防治措施调查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hint="eastAsia" w:ascii="Times New Roman" w:hAnsi="Times New Roman" w:cs="Times New Roman"/>
                <w:color w:val="000000" w:themeColor="text1"/>
                <w:sz w:val="24"/>
                <w:szCs w:val="24"/>
              </w:rPr>
              <w:t>，根据业主介绍，其已采取的污染防治措施如下：</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（1）已施工工程</w:t>
            </w:r>
            <w:r>
              <w:rPr>
                <w:rFonts w:eastAsiaTheme="minorEastAsia"/>
                <w:b/>
                <w:color w:val="000000" w:themeColor="text1"/>
                <w:szCs w:val="24"/>
              </w:rPr>
              <w:t>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项目施工期已采取的扬尘防治措施主要包括：</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1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①</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在施工场地</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安排员工定期对施工场地洒水以减少扬尘量，</w:t>
            </w:r>
            <w:r>
              <w:rPr>
                <w:rFonts w:hint="eastAsia" w:ascii="Times New Roman" w:cs="Times New Roman" w:hAnsiTheme="minorEastAsia"/>
                <w:color w:val="000000" w:themeColor="text1"/>
                <w:sz w:val="24"/>
                <w:szCs w:val="24"/>
              </w:rPr>
              <w:t>并在</w:t>
            </w:r>
            <w:r>
              <w:rPr>
                <w:rFonts w:ascii="Times New Roman" w:cs="Times New Roman" w:hAnsiTheme="minorEastAsia"/>
                <w:color w:val="000000" w:themeColor="text1"/>
                <w:sz w:val="24"/>
                <w:szCs w:val="24"/>
              </w:rPr>
              <w:t>遇到大风或干燥天气可适当增加洒水次数；采取遮阴网覆盖等措施降低扬尘产生；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2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在大风天气下</w:t>
            </w:r>
            <w:r>
              <w:rPr>
                <w:rFonts w:hint="eastAsia" w:ascii="Times New Roman" w:cs="Times New Roman" w:hAnsiTheme="minorEastAsia"/>
                <w:color w:val="000000" w:themeColor="text1"/>
                <w:sz w:val="24"/>
                <w:szCs w:val="24"/>
              </w:rPr>
              <w:t>未</w:t>
            </w:r>
            <w:r>
              <w:rPr>
                <w:rFonts w:ascii="Times New Roman" w:cs="Times New Roman" w:hAnsiTheme="minorEastAsia"/>
                <w:color w:val="000000" w:themeColor="text1"/>
                <w:sz w:val="24"/>
                <w:szCs w:val="24"/>
              </w:rPr>
              <w:t>施工作业。</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3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w:t>
            </w:r>
            <w:r>
              <w:rPr>
                <w:rFonts w:hint="eastAsia" w:ascii="Times New Roman" w:cs="Times New Roman" w:hAnsiTheme="minorEastAsia"/>
                <w:color w:val="000000" w:themeColor="text1"/>
                <w:sz w:val="24"/>
                <w:szCs w:val="24"/>
              </w:rPr>
              <w:t>均</w:t>
            </w:r>
            <w:r>
              <w:rPr>
                <w:rFonts w:ascii="Times New Roman" w:cs="Times New Roman" w:hAnsiTheme="minorEastAsia"/>
                <w:color w:val="000000" w:themeColor="text1"/>
                <w:sz w:val="24"/>
                <w:szCs w:val="24"/>
              </w:rPr>
              <w:t>车身整洁，装载车厢完好，装载货物堆码整齐，未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（2）已施工工程</w:t>
            </w:r>
            <w:r>
              <w:rPr>
                <w:rFonts w:eastAsiaTheme="minorEastAsia"/>
                <w:b/>
                <w:color w:val="000000" w:themeColor="text1"/>
                <w:szCs w:val="24"/>
              </w:rPr>
              <w:t>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施工</w:t>
            </w:r>
            <w:r>
              <w:rPr>
                <w:rFonts w:hint="eastAsia" w:ascii="Times New Roman" w:cs="Times New Roman" w:hAnsiTheme="minorEastAsia"/>
                <w:color w:val="000000" w:themeColor="text1"/>
                <w:sz w:val="24"/>
                <w:szCs w:val="24"/>
              </w:rPr>
              <w:t>工程期间</w:t>
            </w:r>
            <w:r>
              <w:rPr>
                <w:rFonts w:ascii="Times New Roman" w:cs="Times New Roman" w:hAnsiTheme="minorEastAsia"/>
                <w:color w:val="000000" w:themeColor="text1"/>
                <w:sz w:val="24"/>
                <w:szCs w:val="24"/>
              </w:rPr>
              <w:t>施工人员生活污水经</w:t>
            </w:r>
            <w:r>
              <w:rPr>
                <w:rFonts w:hint="eastAsia" w:ascii="Times New Roman" w:cs="Times New Roman" w:hAnsiTheme="minorEastAsia"/>
                <w:color w:val="000000" w:themeColor="text1"/>
                <w:sz w:val="24"/>
                <w:szCs w:val="24"/>
              </w:rPr>
              <w:t>厂区</w:t>
            </w:r>
            <w:r>
              <w:rPr>
                <w:rFonts w:ascii="Times New Roman" w:cs="Times New Roman" w:hAnsiTheme="minorEastAsia"/>
                <w:color w:val="000000" w:themeColor="text1"/>
                <w:sz w:val="24"/>
                <w:szCs w:val="24"/>
              </w:rPr>
              <w:t>隔油池、化粪池处理后可达到《污水排入城镇下水道水质标准》（GB/T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-2015）B等级标准后，通过园区污水管网进入四方地与碧谷园区污水处理厂处理。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②项目在雨季施工</w:t>
            </w:r>
            <w:r>
              <w:rPr>
                <w:rFonts w:hint="eastAsia" w:ascii="Times New Roman" w:cs="Times New Roman" w:hAnsiTheme="minorEastAsia"/>
                <w:color w:val="000000" w:themeColor="text1"/>
                <w:sz w:val="24"/>
                <w:szCs w:val="24"/>
              </w:rPr>
              <w:t>期间</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针对施工地表径流，已采取措施如下：</w:t>
            </w:r>
            <w:r>
              <w:rPr>
                <w:rFonts w:ascii="Times New Roman" w:cs="Times New Roman" w:hAnsiTheme="minorEastAsia"/>
                <w:color w:val="000000" w:themeColor="text1"/>
                <w:sz w:val="24"/>
                <w:szCs w:val="24"/>
              </w:rPr>
              <w:t>施工期已在施工场地内设置临时截洪沟，引排施工场地雨天产生的地表径流水，施工场地</w:t>
            </w:r>
            <w:r>
              <w:rPr>
                <w:rFonts w:hint="eastAsia" w:ascii="Times New Roman" w:cs="Times New Roman" w:hAnsiTheme="minorEastAsia"/>
                <w:color w:val="000000" w:themeColor="text1"/>
                <w:sz w:val="24"/>
                <w:szCs w:val="24"/>
              </w:rPr>
              <w:t>地表径流</w:t>
            </w:r>
            <w:r>
              <w:rPr>
                <w:rFonts w:ascii="Times New Roman" w:cs="Times New Roman" w:hAnsiTheme="minorEastAsia"/>
                <w:color w:val="000000" w:themeColor="text1"/>
                <w:sz w:val="24"/>
                <w:szCs w:val="24"/>
              </w:rPr>
              <w:t>经施工</w:t>
            </w:r>
            <w:r>
              <w:rPr>
                <w:rFonts w:hint="eastAsia" w:ascii="Times New Roman" w:hAnsi="Times New Roman" w:cs="Times New Roman"/>
                <w:color w:val="000000" w:themeColor="text1"/>
                <w:sz w:val="24"/>
                <w:szCs w:val="24"/>
              </w:rPr>
              <w:t>废水收集循环池</w:t>
            </w:r>
            <w:r>
              <w:rPr>
                <w:rFonts w:ascii="Times New Roman" w:cs="Times New Roman" w:hAnsiTheme="minorEastAsia"/>
                <w:color w:val="000000" w:themeColor="text1"/>
                <w:sz w:val="24"/>
                <w:szCs w:val="24"/>
              </w:rPr>
              <w:t>沉淀后回用。</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（3）已施工工程</w:t>
            </w:r>
            <w:r>
              <w:rPr>
                <w:rFonts w:eastAsiaTheme="minorEastAsia"/>
                <w:b/>
                <w:color w:val="000000" w:themeColor="text1"/>
                <w:szCs w:val="24"/>
              </w:rPr>
              <w:t>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①施工期操作规范；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②运输车辆进出施工场地时已控制车速，禁止鸣笛，减少车辆在施工场地的停留时间，减小运输噪声对环境的影响；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③与周围居民的沟通</w:t>
            </w:r>
            <w:r>
              <w:rPr>
                <w:rFonts w:hint="eastAsia" w:ascii="Times New Roman" w:cs="Times New Roman" w:hAnsiTheme="minorEastAsia"/>
                <w:color w:val="000000" w:themeColor="text1"/>
                <w:sz w:val="24"/>
                <w:szCs w:val="24"/>
              </w:rPr>
              <w:t>良好</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无</w:t>
            </w:r>
            <w:r>
              <w:rPr>
                <w:rFonts w:ascii="Times New Roman" w:cs="Times New Roman" w:hAnsiTheme="minorEastAsia"/>
                <w:color w:val="000000" w:themeColor="text1"/>
                <w:sz w:val="24"/>
                <w:szCs w:val="24"/>
              </w:rPr>
              <w:t>扰民事件发生。</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④合理安排施工工序及时间，禁止夜间施工。</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（4）已施工工程</w:t>
            </w:r>
            <w:r>
              <w:rPr>
                <w:rFonts w:eastAsiaTheme="minorEastAsia"/>
                <w:b/>
                <w:color w:val="000000" w:themeColor="text1"/>
                <w:szCs w:val="24"/>
              </w:rPr>
              <w:t>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w:t>
            </w:r>
            <w:r>
              <w:rPr>
                <w:rFonts w:hint="eastAsia" w:ascii="Times New Roman" w:cs="Times New Roman" w:hAnsiTheme="minorEastAsia"/>
                <w:color w:val="000000" w:themeColor="text1"/>
                <w:sz w:val="24"/>
                <w:szCs w:val="24"/>
              </w:rPr>
              <w:t>、废土石方</w:t>
            </w:r>
            <w:r>
              <w:rPr>
                <w:rFonts w:ascii="Times New Roman" w:cs="Times New Roman" w:hAnsiTheme="minorEastAsia"/>
                <w:color w:val="000000" w:themeColor="text1"/>
                <w:sz w:val="24"/>
                <w:szCs w:val="24"/>
              </w:rPr>
              <w:t>和施工人员产生的生活垃圾。主要采取的施工固废防治措施如下：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运至管理部门指定地点进行合理处置。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w:t>
            </w:r>
            <w:r>
              <w:rPr>
                <w:rFonts w:hint="eastAsia" w:ascii="Times New Roman" w:cs="Times New Roman" w:hAnsiTheme="minorEastAsia"/>
                <w:color w:val="000000" w:themeColor="text1"/>
                <w:sz w:val="24"/>
                <w:szCs w:val="24"/>
              </w:rPr>
              <w:t>产生的少量废土石方已</w:t>
            </w:r>
            <w:r>
              <w:rPr>
                <w:rFonts w:ascii="Times New Roman" w:cs="Times New Roman" w:hAnsiTheme="minorEastAsia"/>
                <w:color w:val="000000" w:themeColor="text1"/>
                <w:sz w:val="24"/>
                <w:szCs w:val="24"/>
              </w:rPr>
              <w:t>直接用于场地低洼处平整。</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t>生活垃圾</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委托环卫部门清运处置。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根据调查，项目已施工期间采取上述措施后，施工期环境影响较小，经我公司调查，现场未发现施工期遗留的大气环境污染问题，</w:t>
            </w:r>
            <w:r>
              <w:rPr>
                <w:rFonts w:ascii="Times New Roman" w:hAnsi="Times New Roman" w:cs="Times New Roman"/>
                <w:color w:val="000000" w:themeColor="text1"/>
                <w:sz w:val="24"/>
                <w:szCs w:val="24"/>
              </w:rPr>
              <w:t>未发生噪声扰</w:t>
            </w:r>
            <w:r>
              <w:rPr>
                <w:rFonts w:hint="eastAsia" w:ascii="Times New Roman" w:hAnsi="Times New Roman" w:cs="Times New Roman"/>
                <w:color w:val="000000" w:themeColor="text1"/>
                <w:sz w:val="24"/>
                <w:szCs w:val="24"/>
              </w:rPr>
              <w:t>民</w:t>
            </w:r>
            <w:r>
              <w:rPr>
                <w:rFonts w:ascii="Times New Roman" w:hAnsi="Times New Roman" w:cs="Times New Roman"/>
                <w:color w:val="000000" w:themeColor="text1"/>
                <w:sz w:val="24"/>
                <w:szCs w:val="24"/>
              </w:rPr>
              <w:t>投诉事件。</w:t>
            </w:r>
          </w:p>
          <w:p>
            <w:pPr>
              <w:pStyle w:val="41"/>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2</w:t>
            </w:r>
            <w:r>
              <w:rPr>
                <w:rFonts w:eastAsiaTheme="minorEastAsia"/>
                <w:b/>
                <w:color w:val="000000" w:themeColor="text1"/>
                <w:szCs w:val="24"/>
              </w:rPr>
              <w:t xml:space="preserve"> </w:t>
            </w:r>
            <w:r>
              <w:rPr>
                <w:rFonts w:hint="eastAsia" w:eastAsiaTheme="minorEastAsia"/>
                <w:b/>
                <w:color w:val="000000" w:themeColor="text1"/>
                <w:szCs w:val="24"/>
              </w:rPr>
              <w:t>未工程污染防治措施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项目未施工工程仅为部分设备和部分环保设施建设。施工量较小。其主要污染防治措施如下。</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（1）未施工工程</w:t>
            </w:r>
            <w:r>
              <w:rPr>
                <w:rFonts w:eastAsiaTheme="minorEastAsia"/>
                <w:b/>
                <w:color w:val="000000" w:themeColor="text1"/>
                <w:szCs w:val="24"/>
              </w:rPr>
              <w:t>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运输车辆严禁带泥上路，严禁超载。</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（2）未施工工程</w:t>
            </w:r>
            <w:r>
              <w:rPr>
                <w:rFonts w:eastAsiaTheme="minorEastAsia"/>
                <w:b/>
                <w:color w:val="000000" w:themeColor="text1"/>
                <w:szCs w:val="24"/>
              </w:rPr>
              <w:t>废水污染防治措施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施工人员生活污水经</w:t>
            </w:r>
            <w:r>
              <w:rPr>
                <w:rFonts w:hint="eastAsia" w:ascii="Times New Roman" w:hAnsi="Times New Roman" w:cs="Times New Roman"/>
                <w:color w:val="000000" w:themeColor="text1"/>
                <w:sz w:val="24"/>
                <w:szCs w:val="24"/>
              </w:rPr>
              <w:t>厂区</w:t>
            </w:r>
            <w:r>
              <w:rPr>
                <w:rFonts w:ascii="Times New Roman" w:hAnsi="Times New Roman" w:cs="Times New Roman"/>
                <w:color w:val="000000" w:themeColor="text1"/>
                <w:sz w:val="24"/>
                <w:szCs w:val="24"/>
              </w:rPr>
              <w:t>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-2015）B等级标准后，通过园区污水管网进入四方地与碧谷园区污水处理厂处理。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目前还需土建的工程仅为初期雨水收集池，土建量较小，可避开雨天施工，杜绝施工场地雨天产生的地表径流的产生。</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（3）未施工工程</w:t>
            </w:r>
            <w:r>
              <w:rPr>
                <w:rFonts w:eastAsiaTheme="minorEastAsia"/>
                <w:b/>
                <w:color w:val="000000" w:themeColor="text1"/>
                <w:szCs w:val="24"/>
              </w:rPr>
              <w:t>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①</w:t>
            </w:r>
            <w:r>
              <w:rPr>
                <w:rFonts w:ascii="Times New Roman" w:cs="Times New Roman" w:hAnsiTheme="minorEastAsia"/>
                <w:color w:val="000000" w:themeColor="text1"/>
                <w:sz w:val="24"/>
                <w:szCs w:val="24"/>
              </w:rPr>
              <w:t>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w:t>
            </w:r>
            <w:r>
              <w:rPr>
                <w:rFonts w:hint="eastAsia" w:ascii="Times New Roman" w:cs="Times New Roman" w:hAnsiTheme="minorEastAsia"/>
                <w:color w:val="000000" w:themeColor="text1"/>
                <w:sz w:val="24"/>
                <w:szCs w:val="24"/>
              </w:rPr>
              <w:t>合理安排施工工序及时间，禁止夜间施工。</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（4）未施工工程</w:t>
            </w:r>
            <w:r>
              <w:rPr>
                <w:rFonts w:eastAsiaTheme="minorEastAsia"/>
                <w:b/>
                <w:color w:val="000000" w:themeColor="text1"/>
                <w:szCs w:val="24"/>
              </w:rPr>
              <w:t>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燃烧烟气产排核算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根据设计，项目经过脱水后的</w:t>
            </w:r>
            <w:r>
              <w:rPr>
                <w:rFonts w:hint="eastAsia" w:ascii="Times New Roman" w:hAnsi="Times New Roman" w:cs="Times New Roman"/>
                <w:color w:val="000000" w:themeColor="text1"/>
                <w:sz w:val="24"/>
                <w:szCs w:val="24"/>
              </w:rPr>
              <w:t>单质铁</w:t>
            </w:r>
            <w:r>
              <w:rPr>
                <w:rFonts w:ascii="Times New Roman" w:hAnsi="Times New Roman" w:cs="Times New Roman"/>
                <w:color w:val="000000" w:themeColor="text1"/>
                <w:sz w:val="24"/>
                <w:szCs w:val="24"/>
              </w:rPr>
              <w:t>含水率约为15%，不能满足产品要求，因此脱水后的单质铁通过螺旋进料机进入烘干系统进行烘干，烘干系统由1套RFL型圆筒型热风炉、1台Φ1200*21000烘干机和风机组成，洁净热空气与热风炉提供的高温热气（烟气）进行热交换后变为热空气进入烘干机内与单质铁逆流接触进行烘干；使单质铁含水率≤1%。</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热风炉</w:t>
            </w:r>
            <w:r>
              <w:rPr>
                <w:rFonts w:hint="eastAsia" w:ascii="Times New Roman" w:hAnsi="Times New Roman" w:cs="Times New Roman"/>
                <w:color w:val="000000" w:themeColor="text1"/>
                <w:sz w:val="24"/>
                <w:szCs w:val="24"/>
              </w:rPr>
              <w:t>使用生物质作为燃料，其燃烧后的主要污染物包括：颗粒物、SO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、NOx。参考《排放源统计调查产排污核算方法和系数手册》中“4430工业锅炉（热力供应）行业系数手册”，生物质燃料污染物产物系数如下表所示。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w:t>
            </w:r>
            <w:r>
              <w:rPr>
                <w:rFonts w:ascii="Times New Roman" w:hAnsi="Times New Roman" w:eastAsia="宋体" w:cs="Times New Roman"/>
                <w:b/>
                <w:color w:val="000000" w:themeColor="text1"/>
                <w:szCs w:val="24"/>
              </w:rPr>
              <w:t>4.2.1-</w:t>
            </w:r>
            <w:r>
              <w:rPr>
                <w:rFonts w:hint="eastAsia" w:ascii="Times New Roman" w:hAnsi="Times New Roman" w:eastAsia="宋体" w:cs="Times New Roman"/>
                <w:b/>
                <w:color w:val="000000" w:themeColor="text1"/>
                <w:szCs w:val="24"/>
              </w:rPr>
              <w:t>1    4430工业锅炉（热力供应）行业系数表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7"/>
              <w:gridCol w:w="733"/>
              <w:gridCol w:w="718"/>
              <w:gridCol w:w="718"/>
              <w:gridCol w:w="1001"/>
              <w:gridCol w:w="1287"/>
              <w:gridCol w:w="717"/>
              <w:gridCol w:w="170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产品名称</w:t>
                  </w:r>
                </w:p>
              </w:tc>
              <w:tc>
                <w:tcPr>
                  <w:tcW w:w="733"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原料名称</w:t>
                  </w:r>
                </w:p>
              </w:tc>
              <w:tc>
                <w:tcPr>
                  <w:tcW w:w="718"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工艺名称</w:t>
                  </w:r>
                </w:p>
              </w:tc>
              <w:tc>
                <w:tcPr>
                  <w:tcW w:w="718"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规模等级</w:t>
                  </w: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污染物指标</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单位</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产污系数</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末端治理技术</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蒸汽/热水/其他</w:t>
                  </w:r>
                </w:p>
              </w:tc>
              <w:tc>
                <w:tcPr>
                  <w:tcW w:w="733"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生物质燃料</w:t>
                  </w:r>
                </w:p>
              </w:tc>
              <w:tc>
                <w:tcPr>
                  <w:tcW w:w="718"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层燃炉</w:t>
                  </w:r>
                </w:p>
              </w:tc>
              <w:tc>
                <w:tcPr>
                  <w:tcW w:w="718"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所有规模</w:t>
                  </w: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工业废气量</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标m³/t·原料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6240</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有末端治理</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颗粒物</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0.5</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袋式除尘器</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9</w:t>
                  </w:r>
                  <w:r>
                    <w:rPr>
                      <w:rFonts w:hint="eastAsia" w:ascii="Times New Roman" w:hAnsi="Times New Roman" w:eastAsia="宋体" w:cs="Times New Roman"/>
                      <w:bCs/>
                      <w:snapToGrid w:val="0"/>
                      <w:color w:val="000000" w:themeColor="text1"/>
                      <w:kern w:val="32"/>
                      <w:sz w:val="21"/>
                      <w:szCs w:val="21"/>
                      <w:lang w:val="zh-CN"/>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SO</w:t>
                  </w:r>
                  <w:r>
                    <w:rPr>
                      <w:rFonts w:ascii="Times New Roman" w:hAnsi="Times New Roman" w:eastAsia="宋体" w:cs="Times New Roman"/>
                      <w:bCs/>
                      <w:snapToGrid w:val="0"/>
                      <w:color w:val="000000" w:themeColor="text1"/>
                      <w:kern w:val="32"/>
                      <w:sz w:val="21"/>
                      <w:szCs w:val="21"/>
                      <w:vertAlign w:val="subscript"/>
                      <w:lang w:val="zh-CN"/>
                    </w:rPr>
                    <w:t>2</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17s</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NOx</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1.02</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低氮燃烧+选择性非催化还原（SNCR）脱硝</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45.4</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由上表可知，本项目生物质燃料使用量为1000t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该燃料的全硫量为0.08%；针对燃烧烟气，项目拟通过低氮燃烧+非催化还原（SNCR）脱硝技术+袋式除尘器处理，其中低氮燃烧+非催化还原（SNCR）脱硝的NOx去除效率为45.4%，1#布袋除尘除尘效率为99.7%，燃烧烟气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外排。则燃烧废气的产排情况如下表所示。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2   燃烧烟气</w:t>
            </w:r>
            <w:r>
              <w:rPr>
                <w:rFonts w:ascii="Times New Roman" w:hAnsi="Times New Roman" w:cs="Times New Roman"/>
                <w:b/>
                <w:color w:val="000000" w:themeColor="text1"/>
                <w:szCs w:val="24"/>
              </w:rPr>
              <w:t>污染物产排量一览表</w:t>
            </w:r>
          </w:p>
          <w:tbl>
            <w:tblPr>
              <w:tblStyle w:val="22"/>
              <w:tblW w:w="5000" w:type="pct"/>
              <w:jc w:val="center"/>
              <w:tblLayout w:type="fixed"/>
              <w:tblCellMar>
                <w:top w:w="0" w:type="dxa"/>
                <w:left w:w="108" w:type="dxa"/>
                <w:bottom w:w="0" w:type="dxa"/>
                <w:right w:w="108" w:type="dxa"/>
              </w:tblCellMar>
            </w:tblPr>
            <w:tblGrid>
              <w:gridCol w:w="1076"/>
              <w:gridCol w:w="1076"/>
              <w:gridCol w:w="1078"/>
              <w:gridCol w:w="1078"/>
              <w:gridCol w:w="1078"/>
              <w:gridCol w:w="1078"/>
              <w:gridCol w:w="1078"/>
              <w:gridCol w:w="1078"/>
            </w:tblGrid>
            <w:tr>
              <w:tblPrEx>
                <w:tblCellMar>
                  <w:top w:w="0" w:type="dxa"/>
                  <w:left w:w="108" w:type="dxa"/>
                  <w:bottom w:w="0" w:type="dxa"/>
                  <w:right w:w="108" w:type="dxa"/>
                </w:tblCellMar>
              </w:tblPrEx>
              <w:trPr>
                <w:trHeight w:val="324"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产排污环节</w:t>
                  </w:r>
                </w:p>
              </w:tc>
              <w:tc>
                <w:tcPr>
                  <w:tcW w:w="1080" w:type="dxa"/>
                  <w:vMerge w:val="restart"/>
                  <w:tcBorders>
                    <w:top w:val="single" w:color="000000" w:sz="8" w:space="0"/>
                    <w:left w:val="single" w:color="000000" w:sz="8" w:space="0"/>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污染物种类</w:t>
                  </w:r>
                </w:p>
              </w:tc>
              <w:tc>
                <w:tcPr>
                  <w:tcW w:w="3240" w:type="dxa"/>
                  <w:gridSpan w:val="3"/>
                  <w:tcBorders>
                    <w:top w:val="single" w:color="000000" w:sz="8" w:space="0"/>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污染物产生情况</w:t>
                  </w:r>
                </w:p>
              </w:tc>
              <w:tc>
                <w:tcPr>
                  <w:tcW w:w="3240" w:type="dxa"/>
                  <w:gridSpan w:val="3"/>
                  <w:tcBorders>
                    <w:top w:val="single" w:color="000000" w:sz="8" w:space="0"/>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污染物排放量和浓度</w:t>
                  </w:r>
                </w:p>
              </w:tc>
            </w:tr>
            <w:tr>
              <w:tblPrEx>
                <w:tblCellMar>
                  <w:top w:w="0" w:type="dxa"/>
                  <w:left w:w="108" w:type="dxa"/>
                  <w:bottom w:w="0" w:type="dxa"/>
                  <w:right w:w="108" w:type="dxa"/>
                </w:tblCellMar>
              </w:tblPrEx>
              <w:trPr>
                <w:trHeight w:val="576"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vMerge w:val="continue"/>
                  <w:tcBorders>
                    <w:top w:val="single" w:color="000000" w:sz="8" w:space="0"/>
                    <w:left w:val="single" w:color="000000" w:sz="8" w:space="0"/>
                    <w:bottom w:val="single" w:color="000000" w:sz="8" w:space="0"/>
                    <w:right w:val="single" w:color="auto"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产生浓度</w:t>
                  </w:r>
                  <w:r>
                    <w:rPr>
                      <w:rFonts w:ascii="Times New Roman" w:hAnsi="Times New Roman" w:eastAsia="宋体" w:cs="Times New Roman"/>
                      <w:bCs/>
                      <w:snapToGrid w:val="0"/>
                      <w:color w:val="000000" w:themeColor="text1"/>
                      <w:kern w:val="32"/>
                      <w:sz w:val="21"/>
                      <w:szCs w:val="21"/>
                    </w:rPr>
                    <w:t>mg/m³</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产生量</w:t>
                  </w:r>
                  <w:r>
                    <w:rPr>
                      <w:rFonts w:ascii="Times New Roman" w:hAnsi="Times New Roman" w:eastAsia="宋体" w:cs="Times New Roman"/>
                      <w:bCs/>
                      <w:snapToGrid w:val="0"/>
                      <w:color w:val="000000" w:themeColor="text1"/>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产生速率</w:t>
                  </w:r>
                  <w:r>
                    <w:rPr>
                      <w:rFonts w:ascii="Times New Roman" w:hAnsi="Times New Roman" w:eastAsia="宋体" w:cs="Times New Roman"/>
                      <w:bCs/>
                      <w:snapToGrid w:val="0"/>
                      <w:color w:val="000000" w:themeColor="text1"/>
                      <w:kern w:val="32"/>
                      <w:sz w:val="21"/>
                      <w:szCs w:val="21"/>
                    </w:rPr>
                    <w:t>kg/h</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排放浓度</w:t>
                  </w:r>
                  <w:r>
                    <w:rPr>
                      <w:rFonts w:ascii="Times New Roman" w:hAnsi="Times New Roman" w:eastAsia="宋体" w:cs="Times New Roman"/>
                      <w:bCs/>
                      <w:snapToGrid w:val="0"/>
                      <w:color w:val="000000" w:themeColor="text1"/>
                      <w:kern w:val="32"/>
                      <w:sz w:val="21"/>
                      <w:szCs w:val="21"/>
                    </w:rPr>
                    <w:t>mg/m³</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排放量</w:t>
                  </w:r>
                  <w:r>
                    <w:rPr>
                      <w:rFonts w:ascii="Times New Roman" w:hAnsi="Times New Roman" w:eastAsia="宋体" w:cs="Times New Roman"/>
                      <w:bCs/>
                      <w:snapToGrid w:val="0"/>
                      <w:color w:val="000000" w:themeColor="text1"/>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排放速率</w:t>
                  </w:r>
                  <w:r>
                    <w:rPr>
                      <w:rFonts w:ascii="Times New Roman" w:hAnsi="Times New Roman" w:eastAsia="宋体" w:cs="Times New Roman"/>
                      <w:bCs/>
                      <w:snapToGrid w:val="0"/>
                      <w:color w:val="000000" w:themeColor="text1"/>
                      <w:kern w:val="32"/>
                      <w:sz w:val="21"/>
                      <w:szCs w:val="21"/>
                    </w:rPr>
                    <w:t>kg/h</w:t>
                  </w:r>
                </w:p>
              </w:tc>
            </w:tr>
            <w:tr>
              <w:tblPrEx>
                <w:tblCellMar>
                  <w:top w:w="0" w:type="dxa"/>
                  <w:left w:w="108" w:type="dxa"/>
                  <w:bottom w:w="0" w:type="dxa"/>
                  <w:right w:w="108" w:type="dxa"/>
                </w:tblCellMar>
              </w:tblPrEx>
              <w:trPr>
                <w:trHeight w:val="324"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热风炉</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废气量</w:t>
                  </w:r>
                </w:p>
              </w:tc>
              <w:tc>
                <w:tcPr>
                  <w:tcW w:w="3240" w:type="dxa"/>
                  <w:gridSpan w:val="3"/>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　</w:t>
                  </w:r>
                  <w:r>
                    <w:rPr>
                      <w:rFonts w:ascii="Times New Roman" w:hAnsi="Times New Roman" w:eastAsia="宋体" w:cs="Times New Roman"/>
                      <w:bCs/>
                      <w:snapToGrid w:val="0"/>
                      <w:color w:val="000000" w:themeColor="text1"/>
                      <w:kern w:val="32"/>
                      <w:sz w:val="21"/>
                      <w:szCs w:val="21"/>
                    </w:rPr>
                    <w:t>624</w:t>
                  </w:r>
                  <w:r>
                    <w:rPr>
                      <w:rFonts w:ascii="Times New Roman" w:hAnsi="Times New Roman" w:eastAsia="宋体" w:cs="Times New Roman"/>
                      <w:bCs/>
                      <w:snapToGrid w:val="0"/>
                      <w:color w:val="000000" w:themeColor="text1"/>
                      <w:kern w:val="32"/>
                      <w:sz w:val="21"/>
                      <w:szCs w:val="21"/>
                      <w:lang w:val="zh-CN"/>
                    </w:rPr>
                    <w:t>万</w:t>
                  </w:r>
                  <w:r>
                    <w:rPr>
                      <w:rFonts w:ascii="Times New Roman" w:hAnsi="Times New Roman" w:eastAsia="宋体" w:cs="Times New Roman"/>
                      <w:bCs/>
                      <w:snapToGrid w:val="0"/>
                      <w:color w:val="000000" w:themeColor="text1"/>
                      <w:kern w:val="32"/>
                      <w:sz w:val="21"/>
                      <w:szCs w:val="21"/>
                    </w:rPr>
                    <w:t>m³/a</w:t>
                  </w:r>
                </w:p>
              </w:tc>
              <w:tc>
                <w:tcPr>
                  <w:tcW w:w="3240" w:type="dxa"/>
                  <w:gridSpan w:val="3"/>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　</w:t>
                  </w:r>
                  <w:r>
                    <w:rPr>
                      <w:rFonts w:ascii="Times New Roman" w:hAnsi="Times New Roman" w:eastAsia="宋体" w:cs="Times New Roman"/>
                      <w:bCs/>
                      <w:snapToGrid w:val="0"/>
                      <w:color w:val="000000" w:themeColor="text1"/>
                      <w:kern w:val="32"/>
                      <w:sz w:val="21"/>
                      <w:szCs w:val="21"/>
                    </w:rPr>
                    <w:t>624</w:t>
                  </w:r>
                  <w:r>
                    <w:rPr>
                      <w:rFonts w:ascii="Times New Roman" w:hAnsi="Times New Roman" w:eastAsia="宋体" w:cs="Times New Roman"/>
                      <w:bCs/>
                      <w:snapToGrid w:val="0"/>
                      <w:color w:val="000000" w:themeColor="text1"/>
                      <w:kern w:val="32"/>
                      <w:sz w:val="21"/>
                      <w:szCs w:val="21"/>
                      <w:lang w:val="zh-CN"/>
                    </w:rPr>
                    <w:t>万</w:t>
                  </w:r>
                  <w:r>
                    <w:rPr>
                      <w:rFonts w:ascii="Times New Roman" w:hAnsi="Times New Roman" w:eastAsia="宋体" w:cs="Times New Roman"/>
                      <w:bCs/>
                      <w:snapToGrid w:val="0"/>
                      <w:color w:val="000000" w:themeColor="text1"/>
                      <w:kern w:val="32"/>
                      <w:sz w:val="21"/>
                      <w:szCs w:val="21"/>
                    </w:rPr>
                    <w:t>m³/a</w:t>
                  </w:r>
                </w:p>
              </w:tc>
            </w:tr>
            <w:tr>
              <w:tblPrEx>
                <w:tblCellMar>
                  <w:top w:w="0" w:type="dxa"/>
                  <w:left w:w="108" w:type="dxa"/>
                  <w:bottom w:w="0" w:type="dxa"/>
                  <w:right w:w="108" w:type="dxa"/>
                </w:tblCellMar>
              </w:tblPrEx>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lang w:val="zh-CN"/>
                    </w:rPr>
                    <w:t>颗粒物</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80.13</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0.50</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0.06</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0.24</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0.002</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0.0002</w:t>
                  </w:r>
                </w:p>
              </w:tc>
            </w:tr>
            <w:tr>
              <w:tblPrEx>
                <w:tblCellMar>
                  <w:top w:w="0" w:type="dxa"/>
                  <w:left w:w="108" w:type="dxa"/>
                  <w:bottom w:w="0" w:type="dxa"/>
                  <w:right w:w="108" w:type="dxa"/>
                </w:tblCellMar>
              </w:tblPrEx>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SO2</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217.95</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1.36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0.17</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217.95</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1.36</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0.17</w:t>
                  </w:r>
                </w:p>
              </w:tc>
            </w:tr>
            <w:tr>
              <w:tblPrEx>
                <w:tblCellMar>
                  <w:top w:w="0" w:type="dxa"/>
                  <w:left w:w="108" w:type="dxa"/>
                  <w:bottom w:w="0" w:type="dxa"/>
                  <w:right w:w="108" w:type="dxa"/>
                </w:tblCellMar>
              </w:tblPrEx>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NOx</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163.46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1.02</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0.13</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89.25</w:t>
                  </w: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0.56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0.07</w:t>
                  </w:r>
                </w:p>
              </w:tc>
            </w:tr>
          </w:tbl>
          <w:p>
            <w:pPr>
              <w:spacing w:beforeLines="50"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②烘干粉尘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w:t>
            </w:r>
            <w:r>
              <w:rPr>
                <w:rFonts w:ascii="Times New Roman" w:hAnsi="Times New Roman" w:cs="Times New Roman"/>
                <w:color w:val="000000" w:themeColor="text1"/>
                <w:sz w:val="24"/>
                <w:szCs w:val="24"/>
              </w:rPr>
              <w:t>洁净热空气与热风炉提供的高温热气（烟气）进行热交换后变为热空气进入烘干机内与单质铁逆流接触进行烘干；烘干过程会有一定量的烘干粉尘产生，</w:t>
            </w:r>
            <w:r>
              <w:rPr>
                <w:rFonts w:hint="eastAsia" w:ascii="Times New Roman" w:hAnsi="Times New Roman" w:cs="Times New Roman"/>
                <w:color w:val="000000" w:themeColor="text1"/>
                <w:sz w:val="24"/>
                <w:szCs w:val="24"/>
              </w:rPr>
              <w:t>根据设计参数，</w:t>
            </w:r>
            <w:r>
              <w:rPr>
                <w:rFonts w:ascii="Times New Roman" w:hAnsi="Times New Roman" w:cs="Times New Roman"/>
                <w:color w:val="000000" w:themeColor="text1"/>
                <w:sz w:val="24"/>
                <w:szCs w:val="24"/>
              </w:rPr>
              <w:t>其粉尘产生系数为0.</w:t>
            </w:r>
            <w:r>
              <w:rPr>
                <w:rFonts w:hint="eastAsia" w:ascii="Times New Roman" w:hAnsi="Times New Roman" w:cs="Times New Roman"/>
                <w:color w:val="000000" w:themeColor="text1"/>
                <w:sz w:val="24"/>
                <w:szCs w:val="24"/>
              </w:rPr>
              <w:t>86</w:t>
            </w:r>
            <w:r>
              <w:rPr>
                <w:rFonts w:ascii="Times New Roman" w:hAnsi="Times New Roman" w:cs="Times New Roman"/>
                <w:color w:val="000000" w:themeColor="text1"/>
                <w:sz w:val="24"/>
                <w:szCs w:val="24"/>
              </w:rPr>
              <w:t>kg/t（烘干料），本项目铁粉</w:t>
            </w:r>
            <w:r>
              <w:rPr>
                <w:rFonts w:hint="eastAsia" w:ascii="Times New Roman" w:hAnsi="Times New Roman" w:cs="Times New Roman"/>
                <w:color w:val="000000" w:themeColor="text1"/>
                <w:sz w:val="24"/>
                <w:szCs w:val="24"/>
              </w:rPr>
              <w:t>产品</w:t>
            </w:r>
            <w:r>
              <w:rPr>
                <w:rFonts w:ascii="Times New Roman" w:hAnsi="Times New Roman" w:cs="Times New Roman"/>
                <w:color w:val="000000" w:themeColor="text1"/>
                <w:sz w:val="24"/>
                <w:szCs w:val="24"/>
              </w:rPr>
              <w:t>量为2.</w:t>
            </w:r>
            <w:r>
              <w:rPr>
                <w:rFonts w:hint="eastAsia"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万t/a，则烘干粉尘产生量为</w:t>
            </w:r>
            <w:r>
              <w:rPr>
                <w:rFonts w:hint="eastAsia" w:ascii="Times New Roman" w:hAnsi="Times New Roman" w:cs="Times New Roman"/>
                <w:color w:val="000000" w:themeColor="text1"/>
                <w:sz w:val="24"/>
                <w:szCs w:val="24"/>
              </w:rPr>
              <w:t>22.02t/a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通过旋风除尘+袋式除尘器处理，其中旋风除尘效率为70%，2#布袋除尘除尘效率为98.4%，则综合除尘效率约为99.5%，</w:t>
            </w:r>
            <w:r>
              <w:rPr>
                <w:rFonts w:ascii="Times New Roman" w:hAnsi="Times New Roman" w:cs="Times New Roman"/>
                <w:color w:val="000000" w:themeColor="text1"/>
                <w:sz w:val="24"/>
                <w:szCs w:val="24"/>
              </w:rPr>
              <w:t>该系统处理风量为</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000m³/h</w:t>
            </w:r>
            <w:r>
              <w:rPr>
                <w:rFonts w:hint="eastAsia" w:ascii="Times New Roman" w:hAnsi="Times New Roman" w:cs="Times New Roman"/>
                <w:color w:val="000000" w:themeColor="text1"/>
                <w:sz w:val="24"/>
                <w:szCs w:val="24"/>
              </w:rPr>
              <w:t>，则</w:t>
            </w:r>
            <w:r>
              <w:rPr>
                <w:rFonts w:ascii="Times New Roman" w:hAnsi="Times New Roman" w:cs="Times New Roman"/>
                <w:color w:val="000000" w:themeColor="text1"/>
                <w:sz w:val="24"/>
                <w:szCs w:val="24"/>
              </w:rPr>
              <w:t>烘干</w:t>
            </w:r>
            <w:r>
              <w:rPr>
                <w:rFonts w:hint="eastAsia" w:ascii="Times New Roman" w:hAnsi="Times New Roman" w:cs="Times New Roman"/>
                <w:color w:val="000000" w:themeColor="text1"/>
                <w:sz w:val="24"/>
                <w:szCs w:val="24"/>
              </w:rPr>
              <w:t>粉尘排放量为0.11t/a，产生浓度为347.54mg/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，排放浓度为1.74mg/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；烘干粉尘经处理后通过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③水淬渣暂存库和废渣暂存库扬尘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本项目已设置1个建筑面积约为315m²的水淬渣暂存库对拟综合利用的氧化锌尾渣（水淬渣）进行暂存。</w:t>
            </w:r>
            <w:r>
              <w:rPr>
                <w:rFonts w:ascii="Times New Roman" w:hAnsi="Times New Roman" w:cs="Times New Roman"/>
                <w:color w:val="000000" w:themeColor="text1"/>
                <w:sz w:val="24"/>
                <w:szCs w:val="24"/>
              </w:rPr>
              <w:t>已设置的600m²废渣暂存库对</w:t>
            </w:r>
            <w:r>
              <w:rPr>
                <w:rFonts w:hint="eastAsia" w:ascii="Times New Roman" w:hAnsi="Times New Roman" w:cs="Times New Roman"/>
                <w:color w:val="000000" w:themeColor="text1"/>
                <w:sz w:val="24"/>
                <w:szCs w:val="24"/>
              </w:rPr>
              <w:t>综合利用后的废渣</w:t>
            </w:r>
            <w:r>
              <w:rPr>
                <w:rFonts w:ascii="Times New Roman" w:hAnsi="Times New Roman" w:cs="Times New Roman"/>
                <w:color w:val="000000" w:themeColor="text1"/>
                <w:sz w:val="24"/>
                <w:szCs w:val="24"/>
              </w:rPr>
              <w:t>其进行暂存</w:t>
            </w:r>
            <w:r>
              <w:rPr>
                <w:rFonts w:hint="eastAsia" w:ascii="Times New Roman" w:hAnsi="Times New Roman" w:cs="Times New Roman"/>
                <w:color w:val="000000" w:themeColor="text1"/>
                <w:sz w:val="24"/>
                <w:szCs w:val="24"/>
              </w:rPr>
              <w:t>。该水淬渣暂存库设有三面围挡和顶棚设施。而废渣暂存库设有顶棚和三面围挡，但存在围挡破损情况，应对其进行修善。氧化锌尾渣（水淬渣）和</w:t>
            </w:r>
            <w:r>
              <w:rPr>
                <w:rFonts w:ascii="Times New Roman" w:hAnsi="Times New Roman" w:cs="Times New Roman"/>
                <w:color w:val="000000" w:themeColor="text1"/>
                <w:sz w:val="24"/>
                <w:szCs w:val="24"/>
              </w:rPr>
              <w:t>废渣在装卸暂存过程中会产生一定量的装卸及风蚀扬尘。</w:t>
            </w:r>
            <w:r>
              <w:rPr>
                <w:rFonts w:hint="eastAsia" w:ascii="Times New Roman" w:hAnsi="Times New Roman" w:cs="Times New Roman"/>
                <w:color w:val="000000" w:themeColor="text1"/>
                <w:sz w:val="24"/>
                <w:szCs w:val="24"/>
              </w:rPr>
              <w:t>本环评根据</w:t>
            </w:r>
            <w:r>
              <w:rPr>
                <w:rFonts w:ascii="Times New Roman" w:hAnsi="Times New Roman" w:cs="Times New Roman"/>
                <w:color w:val="000000" w:themeColor="text1"/>
                <w:sz w:val="24"/>
                <w:szCs w:val="24"/>
              </w:rPr>
              <w:t>《排放源统计调查产排污核算方法和系数手册》中“固体物料堆存颗粒物产排污核算系数手册”提供的数据进行核算。颗粒物产生量核算公式如下：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4"/>
                <w:vertAlign w:val="superscript"/>
              </w:rPr>
            </w:pPr>
            <w:r>
              <w:rPr>
                <w:rFonts w:ascii="Cambria Math" w:hAnsi="Cambria Math" w:cs="Cambria Math"/>
                <w:color w:val="000000" w:themeColor="text1"/>
                <w:kern w:val="0"/>
                <w:sz w:val="24"/>
                <w:szCs w:val="24"/>
              </w:rPr>
              <w:t>𝑃</w:t>
            </w:r>
            <w:r>
              <w:rPr>
                <w:rFonts w:ascii="Times New Roman" w:hAnsi="Times New Roman" w:cs="Times New Roman"/>
                <w:color w:val="000000" w:themeColor="text1"/>
                <w:kern w:val="0"/>
                <w:sz w:val="24"/>
                <w:szCs w:val="24"/>
              </w:rPr>
              <w:t>=ZCy+FCy={Nc×D×(a/b)+2×E</w:t>
            </w:r>
            <w:r>
              <w:rPr>
                <w:rFonts w:ascii="Times New Roman" w:hAnsi="Times New Roman" w:cs="Times New Roman"/>
                <w:color w:val="000000" w:themeColor="text1"/>
                <w:kern w:val="0"/>
                <w:sz w:val="24"/>
                <w:szCs w:val="24"/>
                <w:vertAlign w:val="subscript"/>
              </w:rPr>
              <w:t>f</w:t>
            </w:r>
            <w:r>
              <w:rPr>
                <w:rFonts w:ascii="Times New Roman" w:hAnsi="Times New Roman" w:cs="Times New Roman"/>
                <w:color w:val="000000" w:themeColor="text1"/>
                <w:kern w:val="0"/>
                <w:sz w:val="24"/>
                <w:szCs w:val="24"/>
              </w:rPr>
              <w:t>×</w:t>
            </w:r>
            <w:r>
              <w:rPr>
                <w:rFonts w:ascii="Cambria Math" w:hAnsi="Cambria Math" w:cs="Cambria Math"/>
                <w:color w:val="000000" w:themeColor="text1"/>
                <w:kern w:val="0"/>
                <w:sz w:val="24"/>
                <w:szCs w:val="24"/>
              </w:rPr>
              <w:t>𝑆</w:t>
            </w:r>
            <w:r>
              <w:rPr>
                <w:rFonts w:ascii="Times New Roman" w:hAnsi="Times New Roman" w:cs="Times New Roman"/>
                <w:color w:val="000000" w:themeColor="text1"/>
                <w:kern w:val="0"/>
                <w:sz w:val="24"/>
                <w:szCs w:val="24"/>
              </w:rPr>
              <w:t>}×10</w:t>
            </w:r>
            <w:r>
              <w:rPr>
                <w:rFonts w:ascii="Times New Roman" w:hAnsi="Times New Roman" w:cs="Times New Roman"/>
                <w:color w:val="000000" w:themeColor="text1"/>
                <w:kern w:val="0"/>
                <w:sz w:val="24"/>
                <w:szCs w:val="24"/>
                <w:vertAlign w:val="superscript"/>
              </w:rPr>
              <w:t>-3</w:t>
            </w:r>
          </w:p>
          <w:p>
            <w:pPr>
              <w:pStyle w:val="41"/>
              <w:ind w:firstLine="480"/>
              <w:rPr>
                <w:color w:val="000000" w:themeColor="text1"/>
              </w:rPr>
            </w:pPr>
            <w:r>
              <w:rPr>
                <w:color w:val="000000" w:themeColor="text1"/>
              </w:rPr>
              <w:t>式中：P：颗粒物产生量（吨）；</w:t>
            </w:r>
          </w:p>
          <w:p>
            <w:pPr>
              <w:pStyle w:val="41"/>
              <w:ind w:firstLine="480"/>
              <w:rPr>
                <w:color w:val="000000" w:themeColor="text1"/>
              </w:rPr>
            </w:pPr>
            <w:r>
              <w:rPr>
                <w:color w:val="000000" w:themeColor="text1"/>
              </w:rPr>
              <w:t xml:space="preserve">      ZCy：装卸扬尘产生量；</w:t>
            </w:r>
          </w:p>
          <w:p>
            <w:pPr>
              <w:pStyle w:val="41"/>
              <w:ind w:firstLine="480"/>
              <w:rPr>
                <w:color w:val="000000" w:themeColor="text1"/>
              </w:rPr>
            </w:pPr>
            <w:r>
              <w:rPr>
                <w:color w:val="000000" w:themeColor="text1"/>
              </w:rPr>
              <w:t xml:space="preserve">      FCy：风蚀扬尘产生量；</w:t>
            </w:r>
          </w:p>
          <w:p>
            <w:pPr>
              <w:pStyle w:val="41"/>
              <w:ind w:firstLine="480"/>
              <w:rPr>
                <w:color w:val="000000" w:themeColor="text1"/>
              </w:rPr>
            </w:pPr>
            <w:r>
              <w:rPr>
                <w:color w:val="000000" w:themeColor="text1"/>
              </w:rPr>
              <w:t xml:space="preserve">      Nc：年物料运载车次；</w:t>
            </w:r>
          </w:p>
          <w:p>
            <w:pPr>
              <w:pStyle w:val="41"/>
              <w:ind w:firstLine="480"/>
              <w:rPr>
                <w:color w:val="000000" w:themeColor="text1"/>
              </w:rPr>
            </w:pPr>
            <w:r>
              <w:rPr>
                <w:color w:val="000000" w:themeColor="text1"/>
              </w:rPr>
              <w:t xml:space="preserve">      D：单车平均运载量；</w:t>
            </w:r>
          </w:p>
          <w:p>
            <w:pPr>
              <w:pStyle w:val="41"/>
              <w:ind w:firstLine="480"/>
              <w:rPr>
                <w:color w:val="000000" w:themeColor="text1"/>
              </w:rPr>
            </w:pPr>
            <w:r>
              <w:rPr>
                <w:color w:val="000000" w:themeColor="text1"/>
              </w:rPr>
              <w:t xml:space="preserve">      a：各省风速概化系数；</w:t>
            </w:r>
          </w:p>
          <w:p>
            <w:pPr>
              <w:pStyle w:val="41"/>
              <w:ind w:firstLine="480"/>
              <w:rPr>
                <w:color w:val="000000" w:themeColor="text1"/>
              </w:rPr>
            </w:pPr>
            <w:r>
              <w:rPr>
                <w:color w:val="000000" w:themeColor="text1"/>
              </w:rPr>
              <w:t xml:space="preserve">      b：物料含水率概化系数；</w:t>
            </w:r>
          </w:p>
          <w:p>
            <w:pPr>
              <w:pStyle w:val="41"/>
              <w:ind w:firstLine="480"/>
              <w:rPr>
                <w:color w:val="000000" w:themeColor="text1"/>
              </w:rPr>
            </w:pPr>
            <w:r>
              <w:rPr>
                <w:color w:val="000000" w:themeColor="text1"/>
              </w:rPr>
              <w:t xml:space="preserve">      Ef：堆场风蚀扬尘概化系数；</w:t>
            </w:r>
          </w:p>
          <w:p>
            <w:pPr>
              <w:pStyle w:val="41"/>
              <w:ind w:firstLine="480"/>
              <w:rPr>
                <w:color w:val="000000" w:themeColor="text1"/>
              </w:rPr>
            </w:pPr>
            <w:r>
              <w:rPr>
                <w:color w:val="000000" w:themeColor="text1"/>
              </w:rPr>
              <w:t xml:space="preserve">      S：堆场占地面积。</w:t>
            </w:r>
          </w:p>
          <w:p>
            <w:pPr>
              <w:pStyle w:val="41"/>
              <w:ind w:firstLine="480"/>
              <w:rPr>
                <w:color w:val="000000" w:themeColor="text1"/>
              </w:rPr>
            </w:pPr>
            <w:r>
              <w:rPr>
                <w:color w:val="000000" w:themeColor="text1"/>
              </w:rPr>
              <w:t>工业企业固体物料堆场颗粒物排放量核算公式如下：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8"/>
              </w:rPr>
            </w:pPr>
            <w:r>
              <w:rPr>
                <w:rFonts w:ascii="Cambria Math" w:hAnsi="Cambria Math" w:cs="Cambria Math"/>
                <w:color w:val="000000" w:themeColor="text1"/>
                <w:kern w:val="0"/>
                <w:sz w:val="24"/>
                <w:szCs w:val="28"/>
              </w:rPr>
              <w:t>𝑈𝑐</w:t>
            </w:r>
            <w:r>
              <w:rPr>
                <w:rFonts w:ascii="Times New Roman" w:hAnsi="Times New Roman" w:cs="Times New Roman"/>
                <w:color w:val="000000" w:themeColor="text1"/>
                <w:kern w:val="0"/>
                <w:sz w:val="24"/>
                <w:szCs w:val="28"/>
              </w:rPr>
              <w:t>=</w:t>
            </w:r>
            <w:r>
              <w:rPr>
                <w:rFonts w:ascii="Cambria Math" w:hAnsi="Cambria Math" w:cs="Cambria Math"/>
                <w:color w:val="000000" w:themeColor="text1"/>
                <w:kern w:val="0"/>
                <w:sz w:val="24"/>
                <w:szCs w:val="28"/>
              </w:rPr>
              <w:t>𝑃</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𝐶𝑚</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𝑇𝑚</w:t>
            </w:r>
            <w:r>
              <w:rPr>
                <w:rFonts w:ascii="Times New Roman" w:hAnsi="Times New Roman" w:cs="Times New Roman"/>
                <w:color w:val="000000" w:themeColor="text1"/>
                <w:kern w:val="0"/>
                <w:sz w:val="24"/>
                <w:szCs w:val="28"/>
              </w:rPr>
              <w:t>)</w:t>
            </w:r>
          </w:p>
          <w:p>
            <w:pPr>
              <w:pStyle w:val="41"/>
              <w:ind w:firstLine="480"/>
              <w:rPr>
                <w:color w:val="000000" w:themeColor="text1"/>
              </w:rPr>
            </w:pPr>
            <w:r>
              <w:rPr>
                <w:color w:val="000000" w:themeColor="text1"/>
              </w:rPr>
              <w:t>式中：P：颗粒物产生量（单位：吨）；</w:t>
            </w:r>
          </w:p>
          <w:p>
            <w:pPr>
              <w:pStyle w:val="41"/>
              <w:ind w:firstLine="480"/>
              <w:rPr>
                <w:color w:val="000000" w:themeColor="text1"/>
              </w:rPr>
            </w:pPr>
            <w:r>
              <w:rPr>
                <w:color w:val="000000" w:themeColor="text1"/>
              </w:rPr>
              <w:t xml:space="preserve">      Uc：颗粒物排放量（单位：吨）；</w:t>
            </w:r>
          </w:p>
          <w:p>
            <w:pPr>
              <w:pStyle w:val="41"/>
              <w:ind w:firstLine="480"/>
              <w:rPr>
                <w:color w:val="000000" w:themeColor="text1"/>
              </w:rPr>
            </w:pPr>
            <w:r>
              <w:rPr>
                <w:color w:val="000000" w:themeColor="text1"/>
              </w:rPr>
              <w:t xml:space="preserve">      Cm：颗粒物控制措施控制效率；</w:t>
            </w:r>
          </w:p>
          <w:p>
            <w:pPr>
              <w:pStyle w:val="41"/>
              <w:ind w:firstLine="480"/>
              <w:rPr>
                <w:color w:val="000000" w:themeColor="text1"/>
              </w:rPr>
            </w:pPr>
            <w:r>
              <w:rPr>
                <w:color w:val="000000" w:themeColor="text1"/>
              </w:rPr>
              <w:t xml:space="preserve">      Tm：堆场类型控制效率。</w:t>
            </w:r>
          </w:p>
          <w:p>
            <w:pPr>
              <w:pStyle w:val="41"/>
              <w:ind w:firstLine="480"/>
              <w:rPr>
                <w:color w:val="000000" w:themeColor="text1"/>
              </w:rPr>
            </w:pPr>
            <w:r>
              <w:rPr>
                <w:color w:val="000000" w:themeColor="text1"/>
              </w:rPr>
              <w:t>项目</w:t>
            </w:r>
            <w:r>
              <w:rPr>
                <w:rFonts w:hint="eastAsia"/>
                <w:color w:val="000000" w:themeColor="text1"/>
              </w:rPr>
              <w:t>水淬渣暂存库和废渣暂存库</w:t>
            </w:r>
            <w:r>
              <w:rPr>
                <w:color w:val="000000" w:themeColor="text1"/>
              </w:rPr>
              <w:t>计算参数如下表所示。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w:t>
            </w:r>
            <w:r>
              <w:rPr>
                <w:rFonts w:hint="eastAsia" w:ascii="Times New Roman" w:hAnsi="Times New Roman" w:eastAsia="宋体" w:cs="Times New Roman"/>
                <w:b/>
                <w:color w:val="000000" w:themeColor="text1"/>
              </w:rPr>
              <w:t>2.1-3</w:t>
            </w:r>
            <w:r>
              <w:rPr>
                <w:rFonts w:ascii="Times New Roman" w:hAnsi="Times New Roman" w:eastAsia="宋体" w:cs="Times New Roman"/>
                <w:b/>
                <w:color w:val="000000" w:themeColor="text1"/>
              </w:rPr>
              <w:t xml:space="preserve"> </w:t>
            </w:r>
            <w:r>
              <w:rPr>
                <w:rFonts w:hint="eastAsia" w:ascii="Times New Roman" w:hAnsi="Times New Roman" w:eastAsia="宋体" w:cs="Times New Roman"/>
                <w:b/>
                <w:color w:val="000000" w:themeColor="text1"/>
              </w:rPr>
              <w:t>水淬渣暂存库和废渣暂存库</w:t>
            </w:r>
            <w:r>
              <w:rPr>
                <w:rFonts w:ascii="Times New Roman" w:hAnsi="Times New Roman" w:eastAsia="宋体" w:cs="Times New Roman"/>
                <w:b/>
                <w:color w:val="000000" w:themeColor="text1"/>
              </w:rPr>
              <w:t>装卸及风蚀扬尘计算参数一览表</w:t>
            </w:r>
          </w:p>
          <w:tbl>
            <w:tblPr>
              <w:tblStyle w:val="22"/>
              <w:tblW w:w="5000" w:type="pct"/>
              <w:jc w:val="center"/>
              <w:tblLayout w:type="fixed"/>
              <w:tblCellMar>
                <w:top w:w="0" w:type="dxa"/>
                <w:left w:w="108" w:type="dxa"/>
                <w:bottom w:w="0" w:type="dxa"/>
                <w:right w:w="108" w:type="dxa"/>
              </w:tblCellMar>
            </w:tblPr>
            <w:tblGrid>
              <w:gridCol w:w="1293"/>
              <w:gridCol w:w="861"/>
              <w:gridCol w:w="1032"/>
              <w:gridCol w:w="943"/>
              <w:gridCol w:w="944"/>
              <w:gridCol w:w="1075"/>
              <w:gridCol w:w="810"/>
              <w:gridCol w:w="810"/>
              <w:gridCol w:w="849"/>
            </w:tblGrid>
            <w:tr>
              <w:tblPrEx>
                <w:tblCellMar>
                  <w:top w:w="0" w:type="dxa"/>
                  <w:left w:w="108" w:type="dxa"/>
                  <w:bottom w:w="0" w:type="dxa"/>
                  <w:right w:w="108" w:type="dxa"/>
                </w:tblCellMar>
              </w:tblPrEx>
              <w:trPr>
                <w:jc w:val="center"/>
              </w:trPr>
              <w:tc>
                <w:tcPr>
                  <w:tcW w:w="1367"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物料种类</w:t>
                  </w:r>
                </w:p>
              </w:tc>
              <w:tc>
                <w:tcPr>
                  <w:tcW w:w="9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Nc（车）</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D（吨/车）</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a</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Ef（kg/m²）</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S（m²）</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Cm（%）</w:t>
                  </w:r>
                </w:p>
              </w:tc>
              <w:tc>
                <w:tcPr>
                  <w:tcW w:w="8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Tm（%）</w:t>
                  </w:r>
                </w:p>
              </w:tc>
            </w:tr>
            <w:tr>
              <w:tblPrEx>
                <w:tblCellMar>
                  <w:top w:w="0" w:type="dxa"/>
                  <w:left w:w="108" w:type="dxa"/>
                  <w:bottom w:w="0" w:type="dxa"/>
                  <w:right w:w="108" w:type="dxa"/>
                </w:tblCellMar>
              </w:tblPrEx>
              <w:trPr>
                <w:jc w:val="center"/>
              </w:trPr>
              <w:tc>
                <w:tcPr>
                  <w:tcW w:w="1367" w:type="dxa"/>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氧化锌尾渣（水淬渣）</w:t>
                  </w:r>
                </w:p>
              </w:tc>
              <w:tc>
                <w:tcPr>
                  <w:tcW w:w="905"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8250</w:t>
                  </w:r>
                </w:p>
              </w:tc>
              <w:tc>
                <w:tcPr>
                  <w:tcW w:w="1088"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93"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0.00163</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46.1652</w:t>
                  </w:r>
                </w:p>
              </w:tc>
              <w:tc>
                <w:tcPr>
                  <w:tcW w:w="850"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315</w:t>
                  </w:r>
                </w:p>
              </w:tc>
              <w:tc>
                <w:tcPr>
                  <w:tcW w:w="851"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8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r>
            <w:tr>
              <w:tblPrEx>
                <w:tblCellMar>
                  <w:top w:w="0" w:type="dxa"/>
                  <w:left w:w="108" w:type="dxa"/>
                  <w:bottom w:w="0" w:type="dxa"/>
                  <w:right w:w="108" w:type="dxa"/>
                </w:tblCellMar>
              </w:tblPrEx>
              <w:trPr>
                <w:trHeight w:val="66" w:hRule="atLeast"/>
                <w:jc w:val="center"/>
              </w:trPr>
              <w:tc>
                <w:tcPr>
                  <w:tcW w:w="1367" w:type="dxa"/>
                  <w:tcBorders>
                    <w:top w:val="single" w:color="auto" w:sz="4" w:space="0"/>
                    <w:left w:val="single" w:color="auto" w:sz="4" w:space="0"/>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废渣</w:t>
                  </w:r>
                </w:p>
              </w:tc>
              <w:tc>
                <w:tcPr>
                  <w:tcW w:w="905"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7525</w:t>
                  </w:r>
                </w:p>
              </w:tc>
              <w:tc>
                <w:tcPr>
                  <w:tcW w:w="1088"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93"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0.00543</w:t>
                  </w:r>
                </w:p>
              </w:tc>
              <w:tc>
                <w:tcPr>
                  <w:tcW w:w="1134"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46.1652</w:t>
                  </w:r>
                </w:p>
              </w:tc>
              <w:tc>
                <w:tcPr>
                  <w:tcW w:w="850"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600</w:t>
                  </w:r>
                </w:p>
              </w:tc>
              <w:tc>
                <w:tcPr>
                  <w:tcW w:w="851"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8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r>
            <w:tr>
              <w:tblPrEx>
                <w:tblCellMar>
                  <w:top w:w="0" w:type="dxa"/>
                  <w:left w:w="108" w:type="dxa"/>
                  <w:bottom w:w="0" w:type="dxa"/>
                  <w:right w:w="108" w:type="dxa"/>
                </w:tblCellMar>
              </w:tblPrEx>
              <w:trPr>
                <w:jc w:val="center"/>
              </w:trPr>
              <w:tc>
                <w:tcPr>
                  <w:tcW w:w="1367"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color w:val="000000" w:themeColor="text1"/>
                      <w:sz w:val="24"/>
                      <w:szCs w:val="24"/>
                    </w:rPr>
                  </w:pPr>
                </w:p>
              </w:tc>
              <w:tc>
                <w:tcPr>
                  <w:tcW w:w="90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1088"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9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5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51"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bl>
          <w:p>
            <w:pPr>
              <w:pStyle w:val="41"/>
              <w:spacing w:beforeLines="50"/>
              <w:ind w:firstLine="480"/>
              <w:rPr>
                <w:color w:val="000000" w:themeColor="text1"/>
              </w:rPr>
            </w:pPr>
            <w:r>
              <w:rPr>
                <w:color w:val="000000" w:themeColor="text1"/>
              </w:rPr>
              <w:t>由上述计算参数计算可知，项目</w:t>
            </w:r>
            <w:r>
              <w:rPr>
                <w:rFonts w:hint="eastAsia"/>
                <w:color w:val="000000" w:themeColor="text1"/>
              </w:rPr>
              <w:t>水淬渣暂存库扬尘</w:t>
            </w:r>
            <w:r>
              <w:rPr>
                <w:color w:val="000000" w:themeColor="text1"/>
              </w:rPr>
              <w:t>装卸及风蚀扬尘</w:t>
            </w:r>
            <w:r>
              <w:rPr>
                <w:rFonts w:hint="eastAsia"/>
                <w:color w:val="000000" w:themeColor="text1"/>
              </w:rPr>
              <w:t>产生量约为120.19</w:t>
            </w:r>
            <w:r>
              <w:rPr>
                <w:color w:val="000000" w:themeColor="text1"/>
              </w:rPr>
              <w:t>t/a</w:t>
            </w:r>
            <w:r>
              <w:rPr>
                <w:rFonts w:hint="eastAsia"/>
                <w:color w:val="000000" w:themeColor="text1"/>
              </w:rPr>
              <w:t>，排放量为19.23</w:t>
            </w:r>
            <w:r>
              <w:rPr>
                <w:color w:val="000000" w:themeColor="text1"/>
              </w:rPr>
              <w:t xml:space="preserve"> t/a</w:t>
            </w:r>
            <w:r>
              <w:rPr>
                <w:rFonts w:hint="eastAsia"/>
                <w:color w:val="000000" w:themeColor="text1"/>
              </w:rPr>
              <w:t>；废渣暂存库</w:t>
            </w:r>
            <w:r>
              <w:rPr>
                <w:color w:val="000000" w:themeColor="text1"/>
              </w:rPr>
              <w:t>装卸及风蚀扬尘产生量为</w:t>
            </w:r>
            <w:r>
              <w:rPr>
                <w:rFonts w:hint="eastAsia"/>
                <w:color w:val="000000" w:themeColor="text1"/>
              </w:rPr>
              <w:t>80.34</w:t>
            </w:r>
            <w:r>
              <w:rPr>
                <w:color w:val="000000" w:themeColor="text1"/>
              </w:rPr>
              <w:t>t/a，排放量为</w:t>
            </w:r>
            <w:r>
              <w:rPr>
                <w:rFonts w:hint="eastAsia"/>
                <w:color w:val="000000" w:themeColor="text1"/>
              </w:rPr>
              <w:t>12.85</w:t>
            </w:r>
            <w:r>
              <w:rPr>
                <w:color w:val="000000" w:themeColor="text1"/>
              </w:rPr>
              <w:t>t/a</w:t>
            </w:r>
            <w:r>
              <w:rPr>
                <w:rFonts w:hint="eastAsia"/>
                <w:color w:val="000000" w:themeColor="text1"/>
              </w:rPr>
              <w:t>；合计水淬渣暂存库和废渣暂存库扬尘</w:t>
            </w:r>
            <w:r>
              <w:rPr>
                <w:color w:val="000000" w:themeColor="text1"/>
              </w:rPr>
              <w:t>产</w:t>
            </w:r>
            <w:r>
              <w:rPr>
                <w:rFonts w:hint="eastAsia"/>
                <w:color w:val="000000" w:themeColor="text1"/>
              </w:rPr>
              <w:t>生量约为200.53</w:t>
            </w:r>
            <w:r>
              <w:rPr>
                <w:color w:val="000000" w:themeColor="text1"/>
              </w:rPr>
              <w:t>t/a</w:t>
            </w:r>
            <w:r>
              <w:rPr>
                <w:rFonts w:hint="eastAsia"/>
                <w:color w:val="000000" w:themeColor="text1"/>
              </w:rPr>
              <w:t>，排放量为32.09</w:t>
            </w:r>
            <w:r>
              <w:rPr>
                <w:color w:val="000000" w:themeColor="text1"/>
              </w:rPr>
              <w:t xml:space="preserve"> t/a</w:t>
            </w:r>
            <w:r>
              <w:rPr>
                <w:rFonts w:hint="eastAsia"/>
                <w:color w:val="000000" w:themeColor="text1"/>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 xml:space="preserve">4 </w:t>
            </w:r>
            <w:r>
              <w:rPr>
                <w:rFonts w:ascii="Times New Roman" w:hAnsi="Times New Roman" w:cs="Times New Roman"/>
                <w:b/>
                <w:color w:val="000000" w:themeColor="text1"/>
                <w:szCs w:val="24"/>
              </w:rPr>
              <w:t xml:space="preserve"> 废气污染物治理措施及排放方式一览表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919"/>
              <w:gridCol w:w="849"/>
              <w:gridCol w:w="3118"/>
              <w:gridCol w:w="710"/>
              <w:gridCol w:w="710"/>
              <w:gridCol w:w="16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5" w:type="dxa"/>
                  <w:gridSpan w:val="2"/>
                  <w:vAlign w:val="center"/>
                </w:tcPr>
                <w:p>
                  <w:pPr>
                    <w:pStyle w:val="33"/>
                    <w:spacing w:line="360" w:lineRule="exact"/>
                    <w:rPr>
                      <w:color w:val="000000" w:themeColor="text1"/>
                      <w:szCs w:val="21"/>
                    </w:rPr>
                  </w:pPr>
                  <w:r>
                    <w:rPr>
                      <w:color w:val="000000" w:themeColor="text1"/>
                      <w:szCs w:val="21"/>
                    </w:rPr>
                    <w:t>产排污环节</w:t>
                  </w:r>
                </w:p>
              </w:tc>
              <w:tc>
                <w:tcPr>
                  <w:tcW w:w="841" w:type="dxa"/>
                  <w:vAlign w:val="center"/>
                </w:tcPr>
                <w:p>
                  <w:pPr>
                    <w:pStyle w:val="33"/>
                    <w:spacing w:line="360" w:lineRule="exact"/>
                    <w:rPr>
                      <w:color w:val="000000" w:themeColor="text1"/>
                      <w:szCs w:val="21"/>
                    </w:rPr>
                  </w:pPr>
                  <w:r>
                    <w:rPr>
                      <w:color w:val="000000" w:themeColor="text1"/>
                      <w:szCs w:val="21"/>
                    </w:rPr>
                    <w:t>污染物种类</w:t>
                  </w:r>
                </w:p>
              </w:tc>
              <w:tc>
                <w:tcPr>
                  <w:tcW w:w="3087" w:type="dxa"/>
                  <w:vAlign w:val="center"/>
                </w:tcPr>
                <w:p>
                  <w:pPr>
                    <w:pStyle w:val="33"/>
                    <w:spacing w:line="360" w:lineRule="exact"/>
                    <w:rPr>
                      <w:color w:val="000000" w:themeColor="text1"/>
                      <w:szCs w:val="21"/>
                    </w:rPr>
                  </w:pPr>
                  <w:r>
                    <w:rPr>
                      <w:color w:val="000000" w:themeColor="text1"/>
                      <w:szCs w:val="21"/>
                    </w:rPr>
                    <w:t>治理设施及效率</w:t>
                  </w:r>
                </w:p>
              </w:tc>
              <w:tc>
                <w:tcPr>
                  <w:tcW w:w="703" w:type="dxa"/>
                  <w:vAlign w:val="center"/>
                </w:tcPr>
                <w:p>
                  <w:pPr>
                    <w:pStyle w:val="33"/>
                    <w:spacing w:line="360" w:lineRule="exact"/>
                    <w:rPr>
                      <w:color w:val="000000" w:themeColor="text1"/>
                      <w:szCs w:val="21"/>
                    </w:rPr>
                  </w:pPr>
                  <w:r>
                    <w:rPr>
                      <w:color w:val="000000" w:themeColor="text1"/>
                      <w:szCs w:val="21"/>
                    </w:rPr>
                    <w:t>排放形式</w:t>
                  </w:r>
                </w:p>
              </w:tc>
              <w:tc>
                <w:tcPr>
                  <w:tcW w:w="2316" w:type="dxa"/>
                  <w:gridSpan w:val="2"/>
                  <w:vAlign w:val="center"/>
                </w:tcPr>
                <w:p>
                  <w:pPr>
                    <w:pStyle w:val="33"/>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restart"/>
                  <w:vAlign w:val="center"/>
                </w:tcPr>
                <w:p>
                  <w:pPr>
                    <w:pStyle w:val="33"/>
                    <w:spacing w:line="360" w:lineRule="exact"/>
                    <w:rPr>
                      <w:color w:val="000000" w:themeColor="text1"/>
                      <w:szCs w:val="21"/>
                    </w:rPr>
                  </w:pPr>
                  <w:r>
                    <w:rPr>
                      <w:rFonts w:hint="eastAsia"/>
                      <w:color w:val="000000" w:themeColor="text1"/>
                      <w:szCs w:val="21"/>
                    </w:rPr>
                    <w:t>烘干系统</w:t>
                  </w:r>
                </w:p>
              </w:tc>
              <w:tc>
                <w:tcPr>
                  <w:tcW w:w="910" w:type="dxa"/>
                  <w:vMerge w:val="restart"/>
                  <w:vAlign w:val="center"/>
                </w:tcPr>
                <w:p>
                  <w:pPr>
                    <w:pStyle w:val="33"/>
                    <w:spacing w:line="360" w:lineRule="exact"/>
                    <w:rPr>
                      <w:color w:val="000000" w:themeColor="text1"/>
                      <w:szCs w:val="21"/>
                    </w:rPr>
                  </w:pPr>
                  <w:r>
                    <w:rPr>
                      <w:color w:val="000000" w:themeColor="text1"/>
                      <w:szCs w:val="21"/>
                    </w:rPr>
                    <w:t>热风炉</w:t>
                  </w:r>
                </w:p>
              </w:tc>
              <w:tc>
                <w:tcPr>
                  <w:tcW w:w="841" w:type="dxa"/>
                  <w:vMerge w:val="restart"/>
                  <w:vAlign w:val="center"/>
                </w:tcPr>
                <w:p>
                  <w:pPr>
                    <w:pStyle w:val="33"/>
                    <w:spacing w:line="360" w:lineRule="exact"/>
                    <w:rPr>
                      <w:color w:val="000000" w:themeColor="text1"/>
                      <w:szCs w:val="21"/>
                    </w:rPr>
                  </w:pPr>
                  <w:r>
                    <w:rPr>
                      <w:rFonts w:hint="eastAsia"/>
                      <w:color w:val="000000" w:themeColor="text1"/>
                      <w:szCs w:val="21"/>
                    </w:rPr>
                    <w:t>颗粒物、SO</w:t>
                  </w:r>
                  <w:r>
                    <w:rPr>
                      <w:rFonts w:hint="eastAsia"/>
                      <w:color w:val="000000" w:themeColor="text1"/>
                      <w:szCs w:val="21"/>
                      <w:vertAlign w:val="subscript"/>
                    </w:rPr>
                    <w:t>2</w:t>
                  </w:r>
                  <w:r>
                    <w:rPr>
                      <w:rFonts w:hint="eastAsia"/>
                      <w:color w:val="000000" w:themeColor="text1"/>
                      <w:szCs w:val="21"/>
                    </w:rPr>
                    <w:t>、NOx</w:t>
                  </w:r>
                </w:p>
              </w:tc>
              <w:tc>
                <w:tcPr>
                  <w:tcW w:w="3087" w:type="dxa"/>
                  <w:vMerge w:val="restar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针对燃烧烟气，项目拟通过低氮燃烧+非催化还原（SNCR）脱硝技术+袋式除尘器处理，其中低氮燃烧+非催化还原（SNCR）脱硝的NOx去除效率为45.4%，1#布袋除尘除尘效率为99.7%，燃烧烟气经处理后通过</w:t>
                  </w:r>
                  <w:r>
                    <w:rPr>
                      <w:color w:val="000000" w:themeColor="text1"/>
                      <w:szCs w:val="21"/>
                    </w:rPr>
                    <w:t>1根Φ</w:t>
                  </w:r>
                  <w:r>
                    <w:rPr>
                      <w:rFonts w:hint="eastAsia"/>
                      <w:color w:val="000000" w:themeColor="text1"/>
                      <w:szCs w:val="21"/>
                    </w:rPr>
                    <w:t>0.4</w:t>
                  </w:r>
                  <w:r>
                    <w:rPr>
                      <w:color w:val="000000" w:themeColor="text1"/>
                      <w:szCs w:val="21"/>
                    </w:rPr>
                    <w:t>m、高</w:t>
                  </w:r>
                  <w:r>
                    <w:rPr>
                      <w:rFonts w:hint="eastAsia"/>
                      <w:color w:val="000000" w:themeColor="text1"/>
                      <w:szCs w:val="21"/>
                    </w:rPr>
                    <w:t>20</w:t>
                  </w:r>
                  <w:r>
                    <w:rPr>
                      <w:color w:val="000000" w:themeColor="text1"/>
                      <w:szCs w:val="21"/>
                    </w:rPr>
                    <w:t>m</w:t>
                  </w:r>
                  <w:r>
                    <w:rPr>
                      <w:rFonts w:hint="eastAsia"/>
                      <w:color w:val="000000" w:themeColor="text1"/>
                      <w:szCs w:val="21"/>
                    </w:rPr>
                    <w:t>的</w:t>
                  </w:r>
                  <w:r>
                    <w:rPr>
                      <w:color w:val="000000" w:themeColor="text1"/>
                      <w:szCs w:val="21"/>
                    </w:rPr>
                    <w:t>排气筒（DA003）</w:t>
                  </w:r>
                  <w:r>
                    <w:rPr>
                      <w:rFonts w:hint="eastAsia"/>
                      <w:color w:val="000000" w:themeColor="text1"/>
                      <w:szCs w:val="21"/>
                    </w:rPr>
                    <w:t>外排。</w:t>
                  </w:r>
                </w:p>
              </w:tc>
              <w:tc>
                <w:tcPr>
                  <w:tcW w:w="703" w:type="dxa"/>
                  <w:vMerge w:val="restart"/>
                  <w:vAlign w:val="center"/>
                </w:tcPr>
                <w:p>
                  <w:pPr>
                    <w:pStyle w:val="33"/>
                    <w:spacing w:line="360" w:lineRule="exact"/>
                    <w:rPr>
                      <w:color w:val="000000" w:themeColor="text1"/>
                      <w:szCs w:val="21"/>
                    </w:rPr>
                  </w:pPr>
                  <w:r>
                    <w:rPr>
                      <w:color w:val="000000" w:themeColor="text1"/>
                      <w:szCs w:val="21"/>
                    </w:rPr>
                    <w:t>有组织</w:t>
                  </w:r>
                </w:p>
              </w:tc>
              <w:tc>
                <w:tcPr>
                  <w:tcW w:w="2316" w:type="dxa"/>
                  <w:gridSpan w:val="2"/>
                  <w:vAlign w:val="center"/>
                </w:tcPr>
                <w:p>
                  <w:pPr>
                    <w:pStyle w:val="33"/>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高度</w:t>
                  </w:r>
                </w:p>
              </w:tc>
              <w:tc>
                <w:tcPr>
                  <w:tcW w:w="1613" w:type="dxa"/>
                  <w:vAlign w:val="center"/>
                </w:tcPr>
                <w:p>
                  <w:pPr>
                    <w:pStyle w:val="33"/>
                    <w:spacing w:line="360" w:lineRule="exact"/>
                    <w:rPr>
                      <w:color w:val="000000" w:themeColor="text1"/>
                      <w:szCs w:val="21"/>
                    </w:rPr>
                  </w:pPr>
                  <w:r>
                    <w:rPr>
                      <w:rFonts w:hint="eastAsia"/>
                      <w:color w:val="000000" w:themeColor="text1"/>
                      <w:szCs w:val="21"/>
                    </w:rPr>
                    <w:t>20</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内径</w:t>
                  </w:r>
                </w:p>
              </w:tc>
              <w:tc>
                <w:tcPr>
                  <w:tcW w:w="1613" w:type="dxa"/>
                  <w:vAlign w:val="center"/>
                </w:tcPr>
                <w:p>
                  <w:pPr>
                    <w:pStyle w:val="33"/>
                    <w:spacing w:line="360" w:lineRule="exact"/>
                    <w:rPr>
                      <w:color w:val="000000" w:themeColor="text1"/>
                      <w:szCs w:val="21"/>
                    </w:rPr>
                  </w:pPr>
                  <w:r>
                    <w:rPr>
                      <w:color w:val="000000" w:themeColor="text1"/>
                      <w:szCs w:val="21"/>
                    </w:rPr>
                    <w:t>0.</w:t>
                  </w:r>
                  <w:r>
                    <w:rPr>
                      <w:rFonts w:hint="eastAsia"/>
                      <w:color w:val="000000" w:themeColor="text1"/>
                      <w:szCs w:val="21"/>
                    </w:rPr>
                    <w:t>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温度</w:t>
                  </w:r>
                </w:p>
              </w:tc>
              <w:tc>
                <w:tcPr>
                  <w:tcW w:w="1613" w:type="dxa"/>
                  <w:vAlign w:val="center"/>
                </w:tcPr>
                <w:p>
                  <w:pPr>
                    <w:pStyle w:val="33"/>
                    <w:spacing w:line="360" w:lineRule="exact"/>
                    <w:rPr>
                      <w:color w:val="000000" w:themeColor="text1"/>
                      <w:szCs w:val="21"/>
                    </w:rPr>
                  </w:pPr>
                  <w:r>
                    <w:rPr>
                      <w:rFonts w:hint="eastAsia"/>
                      <w:color w:val="000000" w:themeColor="text1"/>
                      <w:szCs w:val="21"/>
                    </w:rPr>
                    <w:t>60</w:t>
                  </w:r>
                  <w:r>
                    <w:rPr>
                      <w:color w:val="000000" w:themeColor="text1"/>
                      <w:szCs w:val="21"/>
                    </w:rPr>
                    <w:t>-</w:t>
                  </w:r>
                  <w:r>
                    <w:rPr>
                      <w:rFonts w:hint="eastAsia"/>
                      <w:color w:val="000000" w:themeColor="text1"/>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编号</w:t>
                  </w:r>
                </w:p>
              </w:tc>
              <w:tc>
                <w:tcPr>
                  <w:tcW w:w="1613" w:type="dxa"/>
                  <w:vAlign w:val="center"/>
                </w:tcPr>
                <w:p>
                  <w:pPr>
                    <w:pStyle w:val="33"/>
                    <w:spacing w:line="360" w:lineRule="exact"/>
                    <w:rPr>
                      <w:color w:val="000000" w:themeColor="text1"/>
                      <w:szCs w:val="21"/>
                    </w:rPr>
                  </w:pPr>
                  <w:r>
                    <w:rPr>
                      <w:color w:val="000000" w:themeColor="text1"/>
                      <w:szCs w:val="21"/>
                    </w:rPr>
                    <w:t>DA003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类型</w:t>
                  </w:r>
                </w:p>
              </w:tc>
              <w:tc>
                <w:tcPr>
                  <w:tcW w:w="1613"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坐标</w:t>
                  </w:r>
                </w:p>
              </w:tc>
              <w:tc>
                <w:tcPr>
                  <w:tcW w:w="1613" w:type="dxa"/>
                  <w:vAlign w:val="center"/>
                </w:tcPr>
                <w:p>
                  <w:pPr>
                    <w:pStyle w:val="33"/>
                    <w:spacing w:line="360" w:lineRule="exact"/>
                    <w:rPr>
                      <w:color w:val="000000" w:themeColor="text1"/>
                      <w:szCs w:val="21"/>
                    </w:rPr>
                  </w:pPr>
                  <w:r>
                    <w:rPr>
                      <w:color w:val="000000" w:themeColor="text1"/>
                      <w:szCs w:val="21"/>
                    </w:rPr>
                    <w:t>E103°</w:t>
                  </w:r>
                  <w:r>
                    <w:rPr>
                      <w:rFonts w:hint="eastAsia"/>
                      <w:color w:val="000000" w:themeColor="text1"/>
                      <w:szCs w:val="21"/>
                    </w:rPr>
                    <w:t>7</w:t>
                  </w:r>
                  <w:r>
                    <w:rPr>
                      <w:color w:val="000000" w:themeColor="text1"/>
                      <w:szCs w:val="21"/>
                    </w:rPr>
                    <w:t>'</w:t>
                  </w:r>
                  <w:r>
                    <w:rPr>
                      <w:rFonts w:hint="eastAsia"/>
                      <w:color w:val="000000" w:themeColor="text1"/>
                      <w:szCs w:val="21"/>
                    </w:rPr>
                    <w:t>27.58</w:t>
                  </w:r>
                  <w:r>
                    <w:rPr>
                      <w:color w:val="000000" w:themeColor="text1"/>
                      <w:szCs w:val="21"/>
                    </w:rPr>
                    <w:t>"、N25°</w:t>
                  </w:r>
                  <w:r>
                    <w:rPr>
                      <w:rFonts w:hint="eastAsia"/>
                      <w:color w:val="000000" w:themeColor="text1"/>
                      <w:szCs w:val="21"/>
                    </w:rPr>
                    <w:t>10</w:t>
                  </w:r>
                  <w:r>
                    <w:rPr>
                      <w:color w:val="000000" w:themeColor="text1"/>
                      <w:szCs w:val="21"/>
                    </w:rPr>
                    <w:t>'</w:t>
                  </w:r>
                  <w:r>
                    <w:rPr>
                      <w:rFonts w:hint="eastAsia"/>
                      <w:color w:val="000000" w:themeColor="text1"/>
                      <w:szCs w:val="21"/>
                    </w:rPr>
                    <w:t>45.95</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Merge w:val="continue"/>
                  <w:vAlign w:val="center"/>
                </w:tcPr>
                <w:p>
                  <w:pPr>
                    <w:pStyle w:val="33"/>
                    <w:spacing w:line="360" w:lineRule="exact"/>
                    <w:rPr>
                      <w:color w:val="000000" w:themeColor="text1"/>
                      <w:szCs w:val="21"/>
                    </w:rPr>
                  </w:pPr>
                </w:p>
              </w:tc>
              <w:tc>
                <w:tcPr>
                  <w:tcW w:w="910" w:type="dxa"/>
                  <w:vMerge w:val="restart"/>
                  <w:vAlign w:val="center"/>
                </w:tcPr>
                <w:p>
                  <w:pPr>
                    <w:pStyle w:val="33"/>
                    <w:spacing w:line="360" w:lineRule="exact"/>
                    <w:rPr>
                      <w:color w:val="000000" w:themeColor="text1"/>
                      <w:szCs w:val="21"/>
                    </w:rPr>
                  </w:pPr>
                  <w:r>
                    <w:rPr>
                      <w:rFonts w:hint="eastAsia"/>
                      <w:color w:val="000000" w:themeColor="text1"/>
                      <w:szCs w:val="21"/>
                    </w:rPr>
                    <w:t>烘干机</w:t>
                  </w:r>
                </w:p>
              </w:tc>
              <w:tc>
                <w:tcPr>
                  <w:tcW w:w="841" w:type="dxa"/>
                  <w:vMerge w:val="restart"/>
                  <w:vAlign w:val="center"/>
                </w:tcPr>
                <w:p>
                  <w:pPr>
                    <w:pStyle w:val="33"/>
                    <w:spacing w:line="360" w:lineRule="exact"/>
                    <w:rPr>
                      <w:color w:val="000000" w:themeColor="text1"/>
                      <w:szCs w:val="21"/>
                    </w:rPr>
                  </w:pPr>
                  <w:r>
                    <w:rPr>
                      <w:rFonts w:hint="eastAsia"/>
                      <w:color w:val="000000" w:themeColor="text1"/>
                      <w:szCs w:val="21"/>
                    </w:rPr>
                    <w:t>颗粒物</w:t>
                  </w:r>
                </w:p>
              </w:tc>
              <w:tc>
                <w:tcPr>
                  <w:tcW w:w="3087" w:type="dxa"/>
                  <w:vMerge w:val="restar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针对烘干粉尘，项目拟通过旋风除尘+袋式除尘器处理，其中旋风除尘效率为70%，2#布袋除尘除尘效率为98.4%，则综合除尘效率约为99.5%，烘干粉尘经处理后通过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703" w:type="dxa"/>
                  <w:vMerge w:val="restart"/>
                  <w:vAlign w:val="center"/>
                </w:tcPr>
                <w:p>
                  <w:pPr>
                    <w:pStyle w:val="33"/>
                    <w:spacing w:line="360" w:lineRule="exact"/>
                    <w:rPr>
                      <w:color w:val="000000" w:themeColor="text1"/>
                      <w:szCs w:val="21"/>
                    </w:rPr>
                  </w:pPr>
                  <w:r>
                    <w:rPr>
                      <w:color w:val="000000" w:themeColor="text1"/>
                      <w:szCs w:val="21"/>
                    </w:rPr>
                    <w:t>有组织</w:t>
                  </w:r>
                </w:p>
              </w:tc>
              <w:tc>
                <w:tcPr>
                  <w:tcW w:w="2316" w:type="dxa"/>
                  <w:gridSpan w:val="2"/>
                  <w:vAlign w:val="center"/>
                </w:tcPr>
                <w:p>
                  <w:pPr>
                    <w:pStyle w:val="33"/>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高度</w:t>
                  </w:r>
                </w:p>
              </w:tc>
              <w:tc>
                <w:tcPr>
                  <w:tcW w:w="1613" w:type="dxa"/>
                  <w:vAlign w:val="center"/>
                </w:tcPr>
                <w:p>
                  <w:pPr>
                    <w:pStyle w:val="33"/>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内径</w:t>
                  </w:r>
                </w:p>
              </w:tc>
              <w:tc>
                <w:tcPr>
                  <w:tcW w:w="1613" w:type="dxa"/>
                  <w:vAlign w:val="center"/>
                </w:tcPr>
                <w:p>
                  <w:pPr>
                    <w:pStyle w:val="33"/>
                    <w:spacing w:line="360" w:lineRule="exact"/>
                    <w:rPr>
                      <w:color w:val="000000" w:themeColor="text1"/>
                      <w:szCs w:val="21"/>
                    </w:rPr>
                  </w:pPr>
                  <w:r>
                    <w:rPr>
                      <w:color w:val="000000" w:themeColor="text1"/>
                      <w:szCs w:val="21"/>
                    </w:rPr>
                    <w:t>0.</w:t>
                  </w:r>
                  <w:r>
                    <w:rPr>
                      <w:rFonts w:hint="eastAsia"/>
                      <w:color w:val="000000" w:themeColor="text1"/>
                      <w:szCs w:val="21"/>
                    </w:rPr>
                    <w:t>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温度</w:t>
                  </w:r>
                </w:p>
              </w:tc>
              <w:tc>
                <w:tcPr>
                  <w:tcW w:w="1613" w:type="dxa"/>
                  <w:vAlign w:val="center"/>
                </w:tcPr>
                <w:p>
                  <w:pPr>
                    <w:pStyle w:val="33"/>
                    <w:spacing w:line="360" w:lineRule="exact"/>
                    <w:rPr>
                      <w:color w:val="000000" w:themeColor="text1"/>
                      <w:szCs w:val="21"/>
                    </w:rPr>
                  </w:pPr>
                  <w:r>
                    <w:rPr>
                      <w:rFonts w:hint="eastAsia"/>
                      <w:color w:val="000000" w:themeColor="text1"/>
                      <w:szCs w:val="21"/>
                    </w:rPr>
                    <w:t>60</w:t>
                  </w:r>
                  <w:r>
                    <w:rPr>
                      <w:color w:val="000000" w:themeColor="text1"/>
                      <w:szCs w:val="21"/>
                    </w:rPr>
                    <w:t>-</w:t>
                  </w:r>
                  <w:r>
                    <w:rPr>
                      <w:rFonts w:hint="eastAsia"/>
                      <w:color w:val="000000" w:themeColor="text1"/>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编号</w:t>
                  </w:r>
                </w:p>
              </w:tc>
              <w:tc>
                <w:tcPr>
                  <w:tcW w:w="1613" w:type="dxa"/>
                  <w:vAlign w:val="center"/>
                </w:tcPr>
                <w:p>
                  <w:pPr>
                    <w:pStyle w:val="33"/>
                    <w:spacing w:line="360" w:lineRule="exact"/>
                    <w:rPr>
                      <w:color w:val="000000" w:themeColor="text1"/>
                      <w:szCs w:val="21"/>
                    </w:rPr>
                  </w:pPr>
                  <w:r>
                    <w:rPr>
                      <w:color w:val="000000" w:themeColor="text1"/>
                      <w:szCs w:val="21"/>
                    </w:rPr>
                    <w:t>DA004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类型</w:t>
                  </w:r>
                </w:p>
              </w:tc>
              <w:tc>
                <w:tcPr>
                  <w:tcW w:w="1613"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坐标</w:t>
                  </w:r>
                </w:p>
              </w:tc>
              <w:tc>
                <w:tcPr>
                  <w:tcW w:w="1613" w:type="dxa"/>
                  <w:vAlign w:val="center"/>
                </w:tcPr>
                <w:p>
                  <w:pPr>
                    <w:pStyle w:val="33"/>
                    <w:spacing w:line="360" w:lineRule="exact"/>
                    <w:rPr>
                      <w:color w:val="000000" w:themeColor="text1"/>
                      <w:szCs w:val="21"/>
                    </w:rPr>
                  </w:pPr>
                  <w:r>
                    <w:rPr>
                      <w:color w:val="000000" w:themeColor="text1"/>
                      <w:szCs w:val="21"/>
                    </w:rPr>
                    <w:t>E103°</w:t>
                  </w:r>
                  <w:r>
                    <w:rPr>
                      <w:rFonts w:hint="eastAsia"/>
                      <w:color w:val="000000" w:themeColor="text1"/>
                      <w:szCs w:val="21"/>
                    </w:rPr>
                    <w:t>8</w:t>
                  </w:r>
                  <w:r>
                    <w:rPr>
                      <w:color w:val="000000" w:themeColor="text1"/>
                      <w:szCs w:val="21"/>
                    </w:rPr>
                    <w:t>'</w:t>
                  </w:r>
                  <w:r>
                    <w:rPr>
                      <w:rFonts w:hint="eastAsia"/>
                      <w:color w:val="000000" w:themeColor="text1"/>
                      <w:szCs w:val="21"/>
                    </w:rPr>
                    <w:t>26.15</w:t>
                  </w:r>
                  <w:r>
                    <w:rPr>
                      <w:color w:val="000000" w:themeColor="text1"/>
                      <w:szCs w:val="21"/>
                    </w:rPr>
                    <w:t>"、N25°</w:t>
                  </w:r>
                  <w:r>
                    <w:rPr>
                      <w:rFonts w:hint="eastAsia"/>
                      <w:color w:val="000000" w:themeColor="text1"/>
                      <w:szCs w:val="21"/>
                    </w:rPr>
                    <w:t>10</w:t>
                  </w:r>
                  <w:r>
                    <w:rPr>
                      <w:color w:val="000000" w:themeColor="text1"/>
                      <w:szCs w:val="21"/>
                    </w:rPr>
                    <w:t>'</w:t>
                  </w:r>
                  <w:r>
                    <w:rPr>
                      <w:rFonts w:hint="eastAsia"/>
                      <w:color w:val="000000" w:themeColor="text1"/>
                      <w:szCs w:val="21"/>
                    </w:rPr>
                    <w:t>21.3</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910"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41" w:type="dxa"/>
                  <w:vAlign w:val="center"/>
                </w:tcPr>
                <w:p>
                  <w:pPr>
                    <w:pStyle w:val="33"/>
                    <w:spacing w:line="360" w:lineRule="exact"/>
                    <w:rPr>
                      <w:color w:val="000000" w:themeColor="text1"/>
                      <w:szCs w:val="21"/>
                    </w:rPr>
                  </w:pPr>
                  <w:r>
                    <w:rPr>
                      <w:rFonts w:hint="eastAsia"/>
                      <w:color w:val="000000" w:themeColor="text1"/>
                      <w:szCs w:val="21"/>
                    </w:rPr>
                    <w:t>颗粒物</w:t>
                  </w:r>
                </w:p>
              </w:tc>
              <w:tc>
                <w:tcPr>
                  <w:tcW w:w="3087"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该水淬渣暂存库设有三面围挡和顶棚设施。而废渣暂存库设有顶棚和三面围挡，但存在围挡破损情况，应对其进行修善。</w:t>
                  </w:r>
                </w:p>
              </w:tc>
              <w:tc>
                <w:tcPr>
                  <w:tcW w:w="703" w:type="dxa"/>
                  <w:vAlign w:val="center"/>
                </w:tcPr>
                <w:p>
                  <w:pPr>
                    <w:pStyle w:val="33"/>
                    <w:spacing w:line="360" w:lineRule="exact"/>
                    <w:rPr>
                      <w:color w:val="000000" w:themeColor="text1"/>
                      <w:szCs w:val="21"/>
                    </w:rPr>
                  </w:pPr>
                  <w:r>
                    <w:rPr>
                      <w:color w:val="000000" w:themeColor="text1"/>
                      <w:szCs w:val="21"/>
                    </w:rPr>
                    <w:t>无组织</w:t>
                  </w:r>
                </w:p>
              </w:tc>
              <w:tc>
                <w:tcPr>
                  <w:tcW w:w="2316" w:type="dxa"/>
                  <w:gridSpan w:val="2"/>
                  <w:vAlign w:val="center"/>
                </w:tcPr>
                <w:p>
                  <w:pPr>
                    <w:pStyle w:val="33"/>
                    <w:spacing w:line="360" w:lineRule="exact"/>
                    <w:rPr>
                      <w:color w:val="000000" w:themeColor="text1"/>
                      <w:szCs w:val="21"/>
                    </w:rPr>
                  </w:pPr>
                  <w:r>
                    <w:rPr>
                      <w:rFonts w:hint="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850"/>
              <w:gridCol w:w="955"/>
              <w:gridCol w:w="867"/>
              <w:gridCol w:w="796"/>
              <w:gridCol w:w="781"/>
              <w:gridCol w:w="854"/>
              <w:gridCol w:w="1314"/>
              <w:gridCol w:w="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Merge w:val="restart"/>
                  <w:vAlign w:val="center"/>
                </w:tcPr>
                <w:p>
                  <w:pPr>
                    <w:pStyle w:val="33"/>
                    <w:spacing w:line="360" w:lineRule="exact"/>
                    <w:rPr>
                      <w:color w:val="000000" w:themeColor="text1"/>
                      <w:szCs w:val="21"/>
                    </w:rPr>
                  </w:pPr>
                  <w:r>
                    <w:rPr>
                      <w:color w:val="000000" w:themeColor="text1"/>
                      <w:szCs w:val="21"/>
                    </w:rPr>
                    <w:t>产排污环节</w:t>
                  </w:r>
                </w:p>
              </w:tc>
              <w:tc>
                <w:tcPr>
                  <w:tcW w:w="850" w:type="dxa"/>
                  <w:vMerge w:val="restart"/>
                  <w:vAlign w:val="center"/>
                </w:tcPr>
                <w:p>
                  <w:pPr>
                    <w:pStyle w:val="33"/>
                    <w:spacing w:line="360" w:lineRule="exact"/>
                    <w:rPr>
                      <w:color w:val="000000" w:themeColor="text1"/>
                      <w:szCs w:val="21"/>
                    </w:rPr>
                  </w:pPr>
                  <w:r>
                    <w:rPr>
                      <w:color w:val="000000" w:themeColor="text1"/>
                      <w:szCs w:val="21"/>
                    </w:rPr>
                    <w:t>污染物种类</w:t>
                  </w:r>
                </w:p>
              </w:tc>
              <w:tc>
                <w:tcPr>
                  <w:tcW w:w="1822" w:type="dxa"/>
                  <w:gridSpan w:val="2"/>
                  <w:vAlign w:val="center"/>
                </w:tcPr>
                <w:p>
                  <w:pPr>
                    <w:pStyle w:val="33"/>
                    <w:spacing w:line="360" w:lineRule="exact"/>
                    <w:rPr>
                      <w:color w:val="000000" w:themeColor="text1"/>
                      <w:szCs w:val="21"/>
                    </w:rPr>
                  </w:pPr>
                  <w:r>
                    <w:rPr>
                      <w:color w:val="000000" w:themeColor="text1"/>
                      <w:szCs w:val="21"/>
                    </w:rPr>
                    <w:t>污染物产生情况</w:t>
                  </w:r>
                </w:p>
              </w:tc>
              <w:tc>
                <w:tcPr>
                  <w:tcW w:w="243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31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7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Merge w:val="continue"/>
                  <w:vAlign w:val="center"/>
                </w:tcPr>
                <w:p>
                  <w:pPr>
                    <w:pStyle w:val="33"/>
                    <w:spacing w:line="360" w:lineRule="exact"/>
                    <w:rPr>
                      <w:color w:val="000000" w:themeColor="text1"/>
                      <w:szCs w:val="21"/>
                    </w:rPr>
                  </w:pPr>
                </w:p>
              </w:tc>
              <w:tc>
                <w:tcPr>
                  <w:tcW w:w="850" w:type="dxa"/>
                  <w:vMerge w:val="continue"/>
                  <w:vAlign w:val="center"/>
                </w:tcPr>
                <w:p>
                  <w:pPr>
                    <w:pStyle w:val="33"/>
                    <w:spacing w:line="360" w:lineRule="exact"/>
                    <w:rPr>
                      <w:color w:val="000000" w:themeColor="text1"/>
                      <w:szCs w:val="21"/>
                    </w:rPr>
                  </w:pPr>
                </w:p>
              </w:tc>
              <w:tc>
                <w:tcPr>
                  <w:tcW w:w="955" w:type="dxa"/>
                  <w:vAlign w:val="center"/>
                </w:tcPr>
                <w:p>
                  <w:pPr>
                    <w:pStyle w:val="33"/>
                    <w:spacing w:line="360" w:lineRule="exact"/>
                    <w:rPr>
                      <w:color w:val="000000" w:themeColor="text1"/>
                      <w:szCs w:val="21"/>
                    </w:rPr>
                  </w:pPr>
                  <w:r>
                    <w:rPr>
                      <w:color w:val="000000" w:themeColor="text1"/>
                      <w:szCs w:val="21"/>
                    </w:rPr>
                    <w:t>产生浓度mg/m³</w:t>
                  </w:r>
                </w:p>
              </w:tc>
              <w:tc>
                <w:tcPr>
                  <w:tcW w:w="867" w:type="dxa"/>
                  <w:vAlign w:val="center"/>
                </w:tcPr>
                <w:p>
                  <w:pPr>
                    <w:pStyle w:val="33"/>
                    <w:spacing w:line="360" w:lineRule="exact"/>
                    <w:rPr>
                      <w:color w:val="000000" w:themeColor="text1"/>
                      <w:szCs w:val="21"/>
                    </w:rPr>
                  </w:pPr>
                  <w:r>
                    <w:rPr>
                      <w:color w:val="000000" w:themeColor="text1"/>
                      <w:szCs w:val="21"/>
                    </w:rPr>
                    <w:t>产生量t/a</w:t>
                  </w:r>
                </w:p>
              </w:tc>
              <w:tc>
                <w:tcPr>
                  <w:tcW w:w="796" w:type="dxa"/>
                  <w:vAlign w:val="center"/>
                </w:tcPr>
                <w:p>
                  <w:pPr>
                    <w:pStyle w:val="33"/>
                    <w:spacing w:line="360" w:lineRule="exact"/>
                    <w:rPr>
                      <w:color w:val="000000" w:themeColor="text1"/>
                      <w:szCs w:val="21"/>
                    </w:rPr>
                  </w:pPr>
                  <w:r>
                    <w:rPr>
                      <w:color w:val="000000" w:themeColor="text1"/>
                      <w:szCs w:val="21"/>
                    </w:rPr>
                    <w:t>排放浓度mg/m³</w:t>
                  </w:r>
                </w:p>
              </w:tc>
              <w:tc>
                <w:tcPr>
                  <w:tcW w:w="781"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排放量t/a</w:t>
                  </w:r>
                </w:p>
              </w:tc>
              <w:tc>
                <w:tcPr>
                  <w:tcW w:w="854" w:type="dxa"/>
                  <w:tcBorders>
                    <w:top w:val="single" w:color="auto" w:sz="4" w:space="0"/>
                    <w:left w:val="single" w:color="auto" w:sz="4" w:space="0"/>
                  </w:tcBorders>
                  <w:vAlign w:val="center"/>
                </w:tcPr>
                <w:p>
                  <w:pPr>
                    <w:pStyle w:val="33"/>
                    <w:spacing w:line="360" w:lineRule="exact"/>
                    <w:rPr>
                      <w:color w:val="000000" w:themeColor="text1"/>
                      <w:szCs w:val="21"/>
                    </w:rPr>
                  </w:pPr>
                  <w:r>
                    <w:rPr>
                      <w:color w:val="000000" w:themeColor="text1"/>
                      <w:szCs w:val="21"/>
                    </w:rPr>
                    <w:t>排放速率kg/h</w:t>
                  </w:r>
                </w:p>
              </w:tc>
              <w:tc>
                <w:tcPr>
                  <w:tcW w:w="1314" w:type="dxa"/>
                  <w:vMerge w:val="continue"/>
                  <w:vAlign w:val="center"/>
                </w:tcPr>
                <w:p>
                  <w:pPr>
                    <w:pStyle w:val="33"/>
                    <w:spacing w:line="360" w:lineRule="exact"/>
                    <w:rPr>
                      <w:color w:val="000000" w:themeColor="text1"/>
                      <w:szCs w:val="21"/>
                    </w:rPr>
                  </w:pPr>
                </w:p>
              </w:tc>
              <w:tc>
                <w:tcPr>
                  <w:tcW w:w="74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3"/>
                    <w:spacing w:line="360" w:lineRule="exact"/>
                    <w:rPr>
                      <w:color w:val="000000" w:themeColor="text1"/>
                      <w:szCs w:val="21"/>
                    </w:rPr>
                  </w:pPr>
                  <w:r>
                    <w:rPr>
                      <w:rFonts w:hint="eastAsia"/>
                      <w:color w:val="000000" w:themeColor="text1"/>
                      <w:szCs w:val="21"/>
                    </w:rPr>
                    <w:t>烘干系统</w:t>
                  </w:r>
                </w:p>
              </w:tc>
              <w:tc>
                <w:tcPr>
                  <w:tcW w:w="709" w:type="dxa"/>
                  <w:vMerge w:val="restart"/>
                  <w:vAlign w:val="center"/>
                </w:tcPr>
                <w:p>
                  <w:pPr>
                    <w:pStyle w:val="33"/>
                    <w:spacing w:line="360" w:lineRule="exact"/>
                    <w:rPr>
                      <w:color w:val="000000" w:themeColor="text1"/>
                      <w:szCs w:val="21"/>
                    </w:rPr>
                  </w:pPr>
                  <w:r>
                    <w:rPr>
                      <w:color w:val="000000" w:themeColor="text1"/>
                      <w:szCs w:val="21"/>
                    </w:rPr>
                    <w:t>热风炉</w:t>
                  </w:r>
                </w:p>
              </w:tc>
              <w:tc>
                <w:tcPr>
                  <w:tcW w:w="850" w:type="dxa"/>
                  <w:vAlign w:val="center"/>
                </w:tcPr>
                <w:p>
                  <w:pPr>
                    <w:pStyle w:val="33"/>
                    <w:spacing w:line="360" w:lineRule="exact"/>
                    <w:rPr>
                      <w:color w:val="000000" w:themeColor="text1"/>
                      <w:szCs w:val="21"/>
                    </w:rPr>
                  </w:pPr>
                  <w:r>
                    <w:rPr>
                      <w:rFonts w:hint="eastAsia"/>
                      <w:color w:val="000000" w:themeColor="text1"/>
                      <w:szCs w:val="21"/>
                    </w:rPr>
                    <w:t>烟气量</w:t>
                  </w:r>
                </w:p>
              </w:tc>
              <w:tc>
                <w:tcPr>
                  <w:tcW w:w="1822"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　624万m³/a</w:t>
                  </w:r>
                </w:p>
              </w:tc>
              <w:tc>
                <w:tcPr>
                  <w:tcW w:w="2431" w:type="dxa"/>
                  <w:gridSpan w:val="3"/>
                  <w:vAlign w:val="center"/>
                </w:tcPr>
                <w:p>
                  <w:pPr>
                    <w:pStyle w:val="33"/>
                    <w:spacing w:line="360" w:lineRule="exact"/>
                    <w:rPr>
                      <w:color w:val="000000" w:themeColor="text1"/>
                      <w:szCs w:val="21"/>
                    </w:rPr>
                  </w:pPr>
                  <w:r>
                    <w:rPr>
                      <w:color w:val="000000" w:themeColor="text1"/>
                      <w:szCs w:val="21"/>
                    </w:rPr>
                    <w:t>　624万m³/a</w:t>
                  </w:r>
                </w:p>
              </w:tc>
              <w:tc>
                <w:tcPr>
                  <w:tcW w:w="1314" w:type="dxa"/>
                  <w:vAlign w:val="center"/>
                </w:tcPr>
                <w:p>
                  <w:pPr>
                    <w:pStyle w:val="33"/>
                    <w:spacing w:line="360" w:lineRule="exact"/>
                    <w:rPr>
                      <w:color w:val="000000" w:themeColor="text1"/>
                      <w:szCs w:val="21"/>
                    </w:rPr>
                  </w:pPr>
                  <w:r>
                    <w:rPr>
                      <w:rFonts w:hint="eastAsia"/>
                      <w:color w:val="000000" w:themeColor="text1"/>
                      <w:szCs w:val="21"/>
                    </w:rPr>
                    <w:t>--</w:t>
                  </w:r>
                </w:p>
              </w:tc>
              <w:tc>
                <w:tcPr>
                  <w:tcW w:w="744" w:type="dxa"/>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颗粒物</w:t>
                  </w:r>
                </w:p>
              </w:tc>
              <w:tc>
                <w:tcPr>
                  <w:tcW w:w="955" w:type="dxa"/>
                  <w:tcBorders>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80.13</w:t>
                  </w:r>
                </w:p>
              </w:tc>
              <w:tc>
                <w:tcPr>
                  <w:tcW w:w="867" w:type="dxa"/>
                  <w:tcBorders>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0.50</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0.24</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0.002</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rPr>
                    <w:t>0.0002</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5</w:t>
                  </w:r>
                  <w:r>
                    <w:rPr>
                      <w:color w:val="000000" w:themeColor="text1"/>
                      <w:szCs w:val="21"/>
                    </w:rPr>
                    <w:t>0mg/m³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955"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867"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1.36</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1.36</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0.17</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300</w:t>
                  </w:r>
                  <w:r>
                    <w:rPr>
                      <w:color w:val="000000" w:themeColor="text1"/>
                      <w:szCs w:val="21"/>
                    </w:rPr>
                    <w:t>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NOx</w:t>
                  </w:r>
                </w:p>
              </w:tc>
              <w:tc>
                <w:tcPr>
                  <w:tcW w:w="955"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163.46</w:t>
                  </w:r>
                </w:p>
              </w:tc>
              <w:tc>
                <w:tcPr>
                  <w:tcW w:w="867"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1.02</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89.25</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0.56</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0.07</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30</w:t>
                  </w:r>
                  <w:r>
                    <w:rPr>
                      <w:color w:val="000000" w:themeColor="text1"/>
                      <w:szCs w:val="21"/>
                    </w:rPr>
                    <w:t>0mg/m³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restart"/>
                  <w:vAlign w:val="center"/>
                </w:tcPr>
                <w:p>
                  <w:pPr>
                    <w:pStyle w:val="33"/>
                    <w:spacing w:line="360" w:lineRule="exact"/>
                    <w:rPr>
                      <w:color w:val="000000" w:themeColor="text1"/>
                      <w:szCs w:val="21"/>
                    </w:rPr>
                  </w:pPr>
                  <w:r>
                    <w:rPr>
                      <w:rFonts w:hint="eastAsia"/>
                      <w:color w:val="000000" w:themeColor="text1"/>
                      <w:szCs w:val="21"/>
                    </w:rPr>
                    <w:t>烘干机</w:t>
                  </w:r>
                </w:p>
              </w:tc>
              <w:tc>
                <w:tcPr>
                  <w:tcW w:w="850" w:type="dxa"/>
                  <w:vAlign w:val="center"/>
                </w:tcPr>
                <w:p>
                  <w:pPr>
                    <w:pStyle w:val="33"/>
                    <w:spacing w:line="360" w:lineRule="exact"/>
                    <w:rPr>
                      <w:color w:val="000000" w:themeColor="text1"/>
                      <w:szCs w:val="21"/>
                    </w:rPr>
                  </w:pPr>
                  <w:r>
                    <w:rPr>
                      <w:rFonts w:hint="eastAsia"/>
                      <w:color w:val="000000" w:themeColor="text1"/>
                      <w:szCs w:val="21"/>
                    </w:rPr>
                    <w:t>废气量</w:t>
                  </w:r>
                </w:p>
              </w:tc>
              <w:tc>
                <w:tcPr>
                  <w:tcW w:w="1822" w:type="dxa"/>
                  <w:gridSpan w:val="2"/>
                  <w:tcBorders>
                    <w:top w:val="single" w:color="auto" w:sz="4" w:space="0"/>
                    <w:bottom w:val="single" w:color="auto" w:sz="4" w:space="0"/>
                  </w:tcBorders>
                  <w:vAlign w:val="center"/>
                </w:tcPr>
                <w:p>
                  <w:pPr>
                    <w:pStyle w:val="33"/>
                    <w:spacing w:line="360" w:lineRule="exact"/>
                    <w:rPr>
                      <w:bCs w:val="0"/>
                      <w:color w:val="000000" w:themeColor="text1"/>
                      <w:szCs w:val="21"/>
                    </w:rPr>
                  </w:pPr>
                  <w:r>
                    <w:rPr>
                      <w:color w:val="000000" w:themeColor="text1"/>
                      <w:szCs w:val="21"/>
                    </w:rPr>
                    <w:t>6</w:t>
                  </w:r>
                  <w:r>
                    <w:rPr>
                      <w:rFonts w:hint="eastAsia"/>
                      <w:color w:val="000000" w:themeColor="text1"/>
                      <w:szCs w:val="21"/>
                    </w:rPr>
                    <w:t>636</w:t>
                  </w:r>
                  <w:r>
                    <w:rPr>
                      <w:color w:val="000000" w:themeColor="text1"/>
                      <w:szCs w:val="21"/>
                    </w:rPr>
                    <w:t>万m³/a</w:t>
                  </w:r>
                </w:p>
              </w:tc>
              <w:tc>
                <w:tcPr>
                  <w:tcW w:w="2431" w:type="dxa"/>
                  <w:gridSpan w:val="3"/>
                  <w:vAlign w:val="center"/>
                </w:tcPr>
                <w:p>
                  <w:pPr>
                    <w:pStyle w:val="33"/>
                    <w:spacing w:line="360" w:lineRule="exact"/>
                    <w:rPr>
                      <w:bCs w:val="0"/>
                      <w:color w:val="000000" w:themeColor="text1"/>
                      <w:szCs w:val="21"/>
                    </w:rPr>
                  </w:pPr>
                  <w:r>
                    <w:rPr>
                      <w:color w:val="000000" w:themeColor="text1"/>
                      <w:szCs w:val="21"/>
                    </w:rPr>
                    <w:t>6</w:t>
                  </w:r>
                  <w:r>
                    <w:rPr>
                      <w:rFonts w:hint="eastAsia"/>
                      <w:color w:val="000000" w:themeColor="text1"/>
                      <w:szCs w:val="21"/>
                    </w:rPr>
                    <w:t>636</w:t>
                  </w:r>
                  <w:r>
                    <w:rPr>
                      <w:color w:val="000000" w:themeColor="text1"/>
                      <w:szCs w:val="21"/>
                    </w:rPr>
                    <w:t>万m³/a</w:t>
                  </w:r>
                </w:p>
              </w:tc>
              <w:tc>
                <w:tcPr>
                  <w:tcW w:w="1314" w:type="dxa"/>
                  <w:vAlign w:val="center"/>
                </w:tcPr>
                <w:p>
                  <w:pPr>
                    <w:pStyle w:val="33"/>
                    <w:spacing w:line="360" w:lineRule="exact"/>
                    <w:rPr>
                      <w:color w:val="000000" w:themeColor="text1"/>
                      <w:szCs w:val="21"/>
                    </w:rPr>
                  </w:pPr>
                  <w:r>
                    <w:rPr>
                      <w:rFonts w:hint="eastAsia"/>
                      <w:color w:val="000000" w:themeColor="text1"/>
                      <w:szCs w:val="21"/>
                    </w:rPr>
                    <w:t>--</w:t>
                  </w:r>
                </w:p>
              </w:tc>
              <w:tc>
                <w:tcPr>
                  <w:tcW w:w="744" w:type="dxa"/>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color w:val="000000" w:themeColor="text1"/>
                      <w:szCs w:val="21"/>
                    </w:rPr>
                    <w:t>颗粒物</w:t>
                  </w:r>
                </w:p>
              </w:tc>
              <w:tc>
                <w:tcPr>
                  <w:tcW w:w="955" w:type="dxa"/>
                  <w:tcBorders>
                    <w:top w:val="single" w:color="auto" w:sz="4" w:space="0"/>
                    <w:bottom w:val="single" w:color="auto" w:sz="4" w:space="0"/>
                  </w:tcBorders>
                  <w:vAlign w:val="center"/>
                </w:tcPr>
                <w:p>
                  <w:pPr>
                    <w:pStyle w:val="33"/>
                    <w:spacing w:line="360" w:lineRule="exact"/>
                    <w:rPr>
                      <w:color w:val="000000" w:themeColor="text1"/>
                      <w:szCs w:val="21"/>
                    </w:rPr>
                  </w:pPr>
                  <w:r>
                    <w:rPr>
                      <w:rFonts w:hint="eastAsia"/>
                      <w:color w:val="000000" w:themeColor="text1"/>
                      <w:szCs w:val="21"/>
                    </w:rPr>
                    <w:t>347.54</w:t>
                  </w:r>
                </w:p>
              </w:tc>
              <w:tc>
                <w:tcPr>
                  <w:tcW w:w="867" w:type="dxa"/>
                  <w:tcBorders>
                    <w:top w:val="single" w:color="auto" w:sz="4" w:space="0"/>
                    <w:bottom w:val="single" w:color="auto" w:sz="4" w:space="0"/>
                  </w:tcBorders>
                  <w:vAlign w:val="center"/>
                </w:tcPr>
                <w:p>
                  <w:pPr>
                    <w:pStyle w:val="33"/>
                    <w:spacing w:line="360" w:lineRule="exact"/>
                    <w:rPr>
                      <w:color w:val="000000" w:themeColor="text1"/>
                      <w:szCs w:val="21"/>
                    </w:rPr>
                  </w:pPr>
                  <w:r>
                    <w:rPr>
                      <w:rFonts w:hint="eastAsia"/>
                      <w:color w:val="000000" w:themeColor="text1"/>
                      <w:szCs w:val="21"/>
                    </w:rPr>
                    <w:t>22.02</w:t>
                  </w:r>
                </w:p>
              </w:tc>
              <w:tc>
                <w:tcPr>
                  <w:tcW w:w="796" w:type="dxa"/>
                  <w:vAlign w:val="center"/>
                </w:tcPr>
                <w:p>
                  <w:pPr>
                    <w:pStyle w:val="33"/>
                    <w:spacing w:line="360" w:lineRule="exact"/>
                    <w:rPr>
                      <w:color w:val="000000" w:themeColor="text1"/>
                      <w:szCs w:val="21"/>
                    </w:rPr>
                  </w:pPr>
                  <w:r>
                    <w:rPr>
                      <w:rFonts w:hint="eastAsia"/>
                      <w:color w:val="000000" w:themeColor="text1"/>
                      <w:szCs w:val="21"/>
                    </w:rPr>
                    <w:t>1.74</w:t>
                  </w:r>
                </w:p>
              </w:tc>
              <w:tc>
                <w:tcPr>
                  <w:tcW w:w="781"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0.11</w:t>
                  </w:r>
                </w:p>
              </w:tc>
              <w:tc>
                <w:tcPr>
                  <w:tcW w:w="854" w:type="dxa"/>
                  <w:tcBorders>
                    <w:lef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120</w:t>
                  </w:r>
                  <w:r>
                    <w:rPr>
                      <w:color w:val="000000" w:themeColor="text1"/>
                      <w:szCs w:val="21"/>
                    </w:rPr>
                    <w:t>mg/m³</w:t>
                  </w:r>
                  <w:r>
                    <w:rPr>
                      <w:rFonts w:hint="eastAsia"/>
                      <w:color w:val="000000" w:themeColor="text1"/>
                      <w:szCs w:val="21"/>
                    </w:rPr>
                    <w:t>、</w:t>
                  </w:r>
                  <w:r>
                    <w:rPr>
                      <w:color w:val="000000" w:themeColor="text1"/>
                      <w:szCs w:val="21"/>
                    </w:rPr>
                    <w:t>≤</w:t>
                  </w:r>
                  <w:r>
                    <w:rPr>
                      <w:rFonts w:hint="eastAsia"/>
                      <w:color w:val="000000" w:themeColor="text1"/>
                      <w:szCs w:val="21"/>
                    </w:rPr>
                    <w:t>1.75kg/h</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709"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3"/>
                    <w:spacing w:line="360" w:lineRule="exact"/>
                    <w:rPr>
                      <w:color w:val="000000" w:themeColor="text1"/>
                      <w:szCs w:val="21"/>
                    </w:rPr>
                  </w:pPr>
                  <w:r>
                    <w:rPr>
                      <w:rFonts w:hint="eastAsia"/>
                      <w:color w:val="000000" w:themeColor="text1"/>
                      <w:szCs w:val="21"/>
                    </w:rPr>
                    <w:t>颗粒物</w:t>
                  </w:r>
                  <w:r>
                    <w:rPr>
                      <w:color w:val="000000" w:themeColor="text1"/>
                      <w:szCs w:val="21"/>
                    </w:rPr>
                    <w:t>（</w:t>
                  </w:r>
                  <w:r>
                    <w:rPr>
                      <w:rFonts w:hint="eastAsia"/>
                      <w:color w:val="000000" w:themeColor="text1"/>
                      <w:szCs w:val="21"/>
                    </w:rPr>
                    <w:t>无</w:t>
                  </w:r>
                  <w:r>
                    <w:rPr>
                      <w:color w:val="000000" w:themeColor="text1"/>
                      <w:szCs w:val="21"/>
                    </w:rPr>
                    <w:t>组织）</w:t>
                  </w:r>
                </w:p>
              </w:tc>
              <w:tc>
                <w:tcPr>
                  <w:tcW w:w="955" w:type="dxa"/>
                  <w:tcBorders>
                    <w:top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w:t>
                  </w:r>
                </w:p>
              </w:tc>
              <w:tc>
                <w:tcPr>
                  <w:tcW w:w="867" w:type="dxa"/>
                  <w:tcBorders>
                    <w:top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200.53</w:t>
                  </w:r>
                </w:p>
              </w:tc>
              <w:tc>
                <w:tcPr>
                  <w:tcW w:w="796" w:type="dxa"/>
                  <w:vAlign w:val="center"/>
                </w:tcPr>
                <w:p>
                  <w:pPr>
                    <w:pStyle w:val="33"/>
                    <w:spacing w:before="78" w:line="360" w:lineRule="exact"/>
                    <w:rPr>
                      <w:color w:val="000000" w:themeColor="text1"/>
                      <w:szCs w:val="21"/>
                    </w:rPr>
                  </w:pPr>
                  <w:r>
                    <w:rPr>
                      <w:rFonts w:hint="eastAsia"/>
                      <w:color w:val="000000" w:themeColor="text1"/>
                      <w:szCs w:val="21"/>
                    </w:rPr>
                    <w:t>0.65</w:t>
                  </w:r>
                </w:p>
              </w:tc>
              <w:tc>
                <w:tcPr>
                  <w:tcW w:w="781" w:type="dxa"/>
                  <w:tcBorders>
                    <w:right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32.09</w:t>
                  </w:r>
                </w:p>
              </w:tc>
              <w:tc>
                <w:tcPr>
                  <w:tcW w:w="854" w:type="dxa"/>
                  <w:tcBorders>
                    <w:left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w:t>
                  </w:r>
                </w:p>
              </w:tc>
              <w:tc>
                <w:tcPr>
                  <w:tcW w:w="1314" w:type="dxa"/>
                  <w:vAlign w:val="center"/>
                </w:tcPr>
                <w:p>
                  <w:pPr>
                    <w:pStyle w:val="33"/>
                    <w:spacing w:before="78" w:line="360" w:lineRule="exact"/>
                    <w:rPr>
                      <w:color w:val="000000" w:themeColor="text1"/>
                      <w:szCs w:val="21"/>
                    </w:rPr>
                  </w:pPr>
                  <w:r>
                    <w:rPr>
                      <w:color w:val="000000" w:themeColor="text1"/>
                      <w:szCs w:val="21"/>
                    </w:rPr>
                    <w:t>≤</w:t>
                  </w:r>
                  <w:r>
                    <w:rPr>
                      <w:rFonts w:hint="eastAsia"/>
                      <w:color w:val="000000" w:themeColor="text1"/>
                      <w:szCs w:val="21"/>
                    </w:rPr>
                    <w:t>1.0</w:t>
                  </w:r>
                </w:p>
              </w:tc>
              <w:tc>
                <w:tcPr>
                  <w:tcW w:w="744" w:type="dxa"/>
                  <w:vAlign w:val="center"/>
                </w:tcPr>
                <w:p>
                  <w:pPr>
                    <w:pStyle w:val="33"/>
                    <w:spacing w:before="78" w:line="360" w:lineRule="exact"/>
                    <w:rPr>
                      <w:color w:val="000000" w:themeColor="text1"/>
                      <w:szCs w:val="21"/>
                    </w:rPr>
                  </w:pPr>
                  <w:r>
                    <w:rPr>
                      <w:color w:val="000000" w:themeColor="text1"/>
                      <w:szCs w:val="21"/>
                    </w:rPr>
                    <w:t>达标</w:t>
                  </w:r>
                </w:p>
              </w:tc>
            </w:tr>
          </w:tbl>
          <w:p>
            <w:pPr>
              <w:pStyle w:val="41"/>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燃烧烟气污染物类型包括颗粒物、SO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针对燃烧烟气，项目拟设置1套燃烧烟气处理系统对其进行处理，该系统由低氮燃烧+非催化还原（SNCR）脱硝技术+布袋除尘器组成，燃烧烟气经低氮燃烧+非催化还原（SNCR）脱硝技术+布袋除尘器处理后可达到《锅炉大气污染物排放标准》（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-2014）表2标准限值，通过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烘干粉尘通过旋风除尘+布袋除尘器处理后，可达到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水淬渣暂存库和废渣暂存库产生的扬尘无组织排放，两暂存库均设置三面围挡及顶棚，可有效降低无组织粉尘的排放量，预计可达到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无组织排放标准限值要求。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燃烧烟气污染治理设施可行性分析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针对燃烧烟气，项目拟通过低氮燃烧+非催化还原（SNCR）脱硝技术+袋式除尘器处理，处理后通过1根Φ0.4m、高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m的排气筒（DA003）外排。</w:t>
            </w:r>
            <w:r>
              <w:rPr>
                <w:rFonts w:hint="eastAsia" w:ascii="Times New Roman" w:hAnsi="Times New Roman" w:cs="Times New Roman"/>
                <w:color w:val="000000" w:themeColor="text1"/>
                <w:sz w:val="24"/>
                <w:szCs w:val="24"/>
              </w:rPr>
              <w:t>上述</w:t>
            </w:r>
            <w:r>
              <w:rPr>
                <w:rFonts w:ascii="Times New Roman" w:hAnsi="Times New Roman" w:cs="Times New Roman"/>
                <w:color w:val="000000" w:themeColor="text1"/>
                <w:sz w:val="24"/>
                <w:szCs w:val="24"/>
              </w:rPr>
              <w:t>废气污染治理</w:t>
            </w:r>
            <w:r>
              <w:rPr>
                <w:rFonts w:hint="eastAsia" w:ascii="Times New Roman" w:hAnsi="Times New Roman" w:cs="Times New Roman"/>
                <w:color w:val="000000" w:themeColor="text1"/>
                <w:sz w:val="24"/>
                <w:szCs w:val="24"/>
              </w:rPr>
              <w:t>措施为《排污许可证申请与核发技术规范 锅炉》（HJ953-2018）明确的技术可行措施。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②烘干粉尘</w:t>
            </w:r>
            <w:r>
              <w:rPr>
                <w:rFonts w:ascii="Times New Roman" w:hAnsi="Times New Roman" w:cs="Times New Roman"/>
                <w:b/>
                <w:color w:val="000000" w:themeColor="text1"/>
                <w:sz w:val="24"/>
                <w:szCs w:val="24"/>
              </w:rPr>
              <w:t>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针对烘干粉尘，项目拟通过旋风除尘+袋式除尘器处理，烘干粉尘经处理后通过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袋式除尘器为《排污许可证申请与核发技术规范 废弃资源加工工业》（HJ1034-2019）明确的技术可行措施；旋风除尘器用于用于一般工业除尘过程，旋风除尘器一般只能捕集分离10um以上的尘粒，旋风除尘器具有结构简单、加工制作容易、造价低；对粉尘的物理性能无特殊要求，对粉尘负荷的适应性比较强，属于干式收尘，便于粉状物料的回收处理；旋风除尘效率为70%；项目拟通过旋风除尘+袋式除尘器对烘干粉尘进行处理，其综合除尘效率约为99.5%，根据核算可知，经处理后的粉尘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中二级标准限值，因此措施可行。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③无组织扬尘</w:t>
            </w:r>
            <w:r>
              <w:rPr>
                <w:rFonts w:ascii="Times New Roman" w:hAnsi="Times New Roman" w:cs="Times New Roman"/>
                <w:b/>
                <w:color w:val="000000" w:themeColor="text1"/>
                <w:sz w:val="24"/>
                <w:szCs w:val="24"/>
              </w:rPr>
              <w:t>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该水淬渣暂存库设有三面围挡和顶棚设施对无组织扬尘进行抑制，该措施为《中华人民共和国大气污染防治法》提出的要求，其措施可行，但废渣暂存库存在围挡破损情况，应对其进行修善。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综上，本项目采取的措施可行。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根据《建设项目竣工环境保护验收技术指南</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污染影响类》的要求，项目竣工验收废气污染物监测计划如下表所示。</w:t>
            </w:r>
          </w:p>
          <w:p>
            <w:pPr>
              <w:jc w:val="center"/>
              <w:rPr>
                <w:rFonts w:ascii="Times New Roman" w:hAnsi="Times New Roman"/>
                <w:b/>
                <w:color w:val="000000" w:themeColor="text1"/>
                <w:szCs w:val="24"/>
              </w:rPr>
            </w:pPr>
            <w:r>
              <w:rPr>
                <w:rFonts w:ascii="Times New Roman" w:hAnsi="Times New Roman"/>
                <w:b/>
                <w:color w:val="000000" w:themeColor="text1"/>
                <w:szCs w:val="24"/>
              </w:rPr>
              <w:t>表4.2.1-</w:t>
            </w:r>
            <w:r>
              <w:rPr>
                <w:rFonts w:hint="eastAsia" w:ascii="Times New Roman" w:hAnsi="Times New Roman"/>
                <w:b/>
                <w:color w:val="000000" w:themeColor="text1"/>
                <w:szCs w:val="24"/>
              </w:rPr>
              <w:t>6</w:t>
            </w:r>
            <w:r>
              <w:rPr>
                <w:rFonts w:ascii="Times New Roman" w:hAnsi="Times New Roman"/>
                <w:b/>
                <w:color w:val="000000" w:themeColor="text1"/>
                <w:szCs w:val="24"/>
              </w:rPr>
              <w:t xml:space="preserve">  项目废气</w:t>
            </w:r>
            <w:r>
              <w:rPr>
                <w:rFonts w:hint="eastAsia" w:ascii="Times New Roman" w:hAnsi="Times New Roman"/>
                <w:b/>
                <w:color w:val="000000" w:themeColor="text1"/>
                <w:szCs w:val="24"/>
              </w:rPr>
              <w:t>污染物竣工验收</w:t>
            </w:r>
            <w:r>
              <w:rPr>
                <w:rFonts w:ascii="Times New Roman" w:hAnsi="Times New Roman"/>
                <w:b/>
                <w:color w:val="000000" w:themeColor="text1"/>
                <w:szCs w:val="24"/>
              </w:rPr>
              <w:t>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8"/>
              <w:gridCol w:w="1843"/>
              <w:gridCol w:w="85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18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85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监测频率</w:t>
                  </w:r>
                </w:p>
              </w:tc>
              <w:tc>
                <w:tcPr>
                  <w:tcW w:w="36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DA003</w:t>
                  </w:r>
                </w:p>
              </w:tc>
              <w:tc>
                <w:tcPr>
                  <w:tcW w:w="18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颗粒物、SO</w:t>
                  </w:r>
                  <w:r>
                    <w:rPr>
                      <w:rFonts w:hint="eastAsia" w:eastAsiaTheme="minorEastAsia"/>
                      <w:color w:val="000000" w:themeColor="text1"/>
                      <w:szCs w:val="21"/>
                      <w:vertAlign w:val="subscript"/>
                    </w:rPr>
                    <w:t>2</w:t>
                  </w:r>
                  <w:r>
                    <w:rPr>
                      <w:rFonts w:hint="eastAsia" w:eastAsiaTheme="minorEastAsia"/>
                      <w:color w:val="000000" w:themeColor="text1"/>
                      <w:szCs w:val="21"/>
                    </w:rPr>
                    <w:t>、NOx、林格曼黑度</w:t>
                  </w:r>
                </w:p>
              </w:tc>
              <w:tc>
                <w:tcPr>
                  <w:tcW w:w="85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监测2天、每天3次</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《锅炉大气污染物排放标准》（GB</w:t>
                  </w:r>
                  <w:r>
                    <w:rPr>
                      <w:rFonts w:hint="eastAsia" w:eastAsiaTheme="minorEastAsia"/>
                      <w:color w:val="000000" w:themeColor="text1"/>
                      <w:szCs w:val="21"/>
                      <w:lang w:eastAsia="zh-CN"/>
                    </w:rPr>
                    <w:t>*****</w:t>
                  </w:r>
                  <w:r>
                    <w:rPr>
                      <w:rFonts w:hint="eastAsia" w:eastAsiaTheme="minorEastAsia"/>
                      <w:color w:val="000000" w:themeColor="text1"/>
                      <w:szCs w:val="21"/>
                    </w:rPr>
                    <w:t>-2014）表2标准限值。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pStyle w:val="33"/>
                    <w:spacing w:line="360" w:lineRule="exact"/>
                    <w:rPr>
                      <w:rFonts w:eastAsiaTheme="minorEastAsia"/>
                      <w:color w:val="000000" w:themeColor="text1"/>
                      <w:szCs w:val="21"/>
                    </w:rPr>
                  </w:pP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DA004</w:t>
                  </w:r>
                </w:p>
              </w:tc>
              <w:tc>
                <w:tcPr>
                  <w:tcW w:w="1843" w:type="dxa"/>
                  <w:vAlign w:val="center"/>
                </w:tcPr>
                <w:p>
                  <w:pPr>
                    <w:pStyle w:val="33"/>
                    <w:spacing w:line="360" w:lineRule="exact"/>
                    <w:rPr>
                      <w:color w:val="000000" w:themeColor="text1"/>
                      <w:szCs w:val="21"/>
                    </w:rPr>
                  </w:pPr>
                  <w:r>
                    <w:rPr>
                      <w:color w:val="000000" w:themeColor="text1"/>
                      <w:szCs w:val="21"/>
                    </w:rPr>
                    <w:t>颗粒物</w:t>
                  </w:r>
                </w:p>
              </w:tc>
              <w:tc>
                <w:tcPr>
                  <w:tcW w:w="850" w:type="dxa"/>
                  <w:vMerge w:val="continue"/>
                  <w:vAlign w:val="center"/>
                </w:tcPr>
                <w:p>
                  <w:pPr>
                    <w:pStyle w:val="33"/>
                    <w:spacing w:line="360" w:lineRule="exact"/>
                    <w:rPr>
                      <w:rFonts w:eastAsiaTheme="minorEastAsia"/>
                      <w:color w:val="000000" w:themeColor="text1"/>
                      <w:szCs w:val="21"/>
                    </w:rPr>
                  </w:pP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r>
                    <w:rPr>
                      <w:rFonts w:hint="eastAsia" w:eastAsiaTheme="minorEastAsia"/>
                      <w:color w:val="000000" w:themeColor="text1"/>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pStyle w:val="33"/>
                    <w:spacing w:line="360" w:lineRule="exact"/>
                    <w:rPr>
                      <w:rFonts w:eastAsiaTheme="minorEastAsia"/>
                      <w:color w:val="000000" w:themeColor="text1"/>
                      <w:szCs w:val="21"/>
                    </w:rPr>
                  </w:pPr>
                </w:p>
              </w:tc>
              <w:tc>
                <w:tcPr>
                  <w:tcW w:w="15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843" w:type="dxa"/>
                  <w:vAlign w:val="center"/>
                </w:tcPr>
                <w:p>
                  <w:pPr>
                    <w:pStyle w:val="33"/>
                    <w:spacing w:line="360" w:lineRule="exact"/>
                    <w:rPr>
                      <w:rFonts w:eastAsiaTheme="minorEastAsia"/>
                      <w:color w:val="000000" w:themeColor="text1"/>
                      <w:szCs w:val="21"/>
                    </w:rPr>
                  </w:pPr>
                  <w:r>
                    <w:rPr>
                      <w:color w:val="000000" w:themeColor="text1"/>
                      <w:szCs w:val="21"/>
                    </w:rPr>
                    <w:t>颗粒物</w:t>
                  </w:r>
                </w:p>
              </w:tc>
              <w:tc>
                <w:tcPr>
                  <w:tcW w:w="850" w:type="dxa"/>
                  <w:vMerge w:val="continue"/>
                  <w:vAlign w:val="center"/>
                </w:tcPr>
                <w:p>
                  <w:pPr>
                    <w:pStyle w:val="33"/>
                    <w:spacing w:line="360" w:lineRule="exact"/>
                    <w:rPr>
                      <w:rFonts w:eastAsiaTheme="minorEastAsia"/>
                      <w:color w:val="000000" w:themeColor="text1"/>
                      <w:szCs w:val="21"/>
                    </w:rPr>
                  </w:pPr>
                </w:p>
              </w:tc>
              <w:tc>
                <w:tcPr>
                  <w:tcW w:w="3618" w:type="dxa"/>
                  <w:vAlign w:val="center"/>
                </w:tcPr>
                <w:p>
                  <w:pPr>
                    <w:pStyle w:val="33"/>
                    <w:spacing w:line="360" w:lineRule="exact"/>
                    <w:ind w:firstLine="210" w:firstLineChars="100"/>
                    <w:jc w:val="both"/>
                    <w:rPr>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-1996）表2中无组织排放限值</w:t>
                  </w:r>
                  <w:r>
                    <w:rPr>
                      <w:rFonts w:hint="eastAsia"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、《排污单位自行监测技术指南 火力发电及锅炉》（HJ820-2017）和《排污许可证申请与核发技术规范 废弃资源加工工业》（HJ1034-2019）</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项目运营期废气自行监测计划一览表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1"/>
              <w:gridCol w:w="1559"/>
              <w:gridCol w:w="992"/>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6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8"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DA003</w:t>
                  </w:r>
                </w:p>
              </w:tc>
              <w:tc>
                <w:tcPr>
                  <w:tcW w:w="15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颗粒物、SO</w:t>
                  </w:r>
                  <w:r>
                    <w:rPr>
                      <w:rFonts w:hint="eastAsia" w:eastAsiaTheme="minorEastAsia"/>
                      <w:color w:val="000000" w:themeColor="text1"/>
                      <w:szCs w:val="21"/>
                      <w:vertAlign w:val="subscript"/>
                    </w:rPr>
                    <w:t>2</w:t>
                  </w:r>
                  <w:r>
                    <w:rPr>
                      <w:rFonts w:hint="eastAsia" w:eastAsiaTheme="minorEastAsia"/>
                      <w:color w:val="000000" w:themeColor="text1"/>
                      <w:szCs w:val="21"/>
                    </w:rPr>
                    <w:t>、NOx、林格曼黑度</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月</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《锅炉大气污染物排放标准》（GB</w:t>
                  </w:r>
                  <w:r>
                    <w:rPr>
                      <w:rFonts w:hint="eastAsia" w:eastAsiaTheme="minorEastAsia"/>
                      <w:color w:val="000000" w:themeColor="text1"/>
                      <w:szCs w:val="21"/>
                      <w:lang w:eastAsia="zh-CN"/>
                    </w:rPr>
                    <w:t>*****</w:t>
                  </w:r>
                  <w:r>
                    <w:rPr>
                      <w:rFonts w:hint="eastAsia" w:eastAsiaTheme="minorEastAsia"/>
                      <w:color w:val="000000" w:themeColor="text1"/>
                      <w:szCs w:val="21"/>
                    </w:rPr>
                    <w:t>-2014）表2标准限值。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DA004</w:t>
                  </w:r>
                </w:p>
              </w:tc>
              <w:tc>
                <w:tcPr>
                  <w:tcW w:w="1559" w:type="dxa"/>
                  <w:vAlign w:val="center"/>
                </w:tcPr>
                <w:p>
                  <w:pPr>
                    <w:pStyle w:val="33"/>
                    <w:spacing w:line="360" w:lineRule="exact"/>
                    <w:rPr>
                      <w:color w:val="000000" w:themeColor="text1"/>
                      <w:szCs w:val="21"/>
                    </w:rPr>
                  </w:pPr>
                  <w:r>
                    <w:rPr>
                      <w:color w:val="000000" w:themeColor="text1"/>
                      <w:szCs w:val="21"/>
                    </w:rPr>
                    <w:t>颗粒物</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r>
                    <w:rPr>
                      <w:rFonts w:hint="eastAsia" w:eastAsiaTheme="minorEastAsia"/>
                      <w:color w:val="000000" w:themeColor="text1"/>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559" w:type="dxa"/>
                  <w:vAlign w:val="center"/>
                </w:tcPr>
                <w:p>
                  <w:pPr>
                    <w:pStyle w:val="33"/>
                    <w:spacing w:line="360" w:lineRule="exact"/>
                    <w:rPr>
                      <w:rFonts w:eastAsiaTheme="minorEastAsia"/>
                      <w:color w:val="000000" w:themeColor="text1"/>
                      <w:szCs w:val="21"/>
                    </w:rPr>
                  </w:pPr>
                  <w:r>
                    <w:rPr>
                      <w:color w:val="000000" w:themeColor="text1"/>
                      <w:szCs w:val="21"/>
                    </w:rPr>
                    <w:t>颗粒物</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-1996）表2中无组织排放限值</w:t>
                  </w:r>
                  <w:r>
                    <w:rPr>
                      <w:rFonts w:hint="eastAsia" w:eastAsiaTheme="minorEastAsia"/>
                      <w:color w:val="000000" w:themeColor="text1"/>
                      <w:szCs w:val="2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项目非正常情形为废气处理设施</w:t>
            </w:r>
            <w:r>
              <w:rPr>
                <w:rFonts w:ascii="Times New Roman" w:hAnsi="Times New Roman" w:cs="Times New Roman"/>
                <w:color w:val="000000" w:themeColor="text1"/>
                <w:sz w:val="24"/>
                <w:szCs w:val="24"/>
              </w:rPr>
              <w:t>全部失效，项目产生的</w:t>
            </w:r>
            <w:r>
              <w:rPr>
                <w:rFonts w:hint="eastAsia" w:ascii="Times New Roman" w:hAnsi="Times New Roman" w:cs="Times New Roman"/>
                <w:color w:val="000000" w:themeColor="text1"/>
                <w:sz w:val="24"/>
                <w:szCs w:val="24"/>
              </w:rPr>
              <w:t>废气</w:t>
            </w:r>
            <w:r>
              <w:rPr>
                <w:rFonts w:ascii="Times New Roman" w:hAnsi="Times New Roman" w:cs="Times New Roman"/>
                <w:color w:val="000000" w:themeColor="text1"/>
                <w:sz w:val="24"/>
                <w:szCs w:val="24"/>
              </w:rPr>
              <w:t>外排。</w:t>
            </w:r>
            <w:r>
              <w:rPr>
                <w:rFonts w:hint="eastAsia" w:ascii="Times New Roman" w:hAnsi="Times New Roman" w:cs="Times New Roman"/>
                <w:color w:val="000000" w:themeColor="text1"/>
                <w:sz w:val="24"/>
                <w:szCs w:val="24"/>
              </w:rPr>
              <w:t>废气处理设施失效非正常情形下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8 非正常情形下</w:t>
            </w:r>
            <w:r>
              <w:rPr>
                <w:rFonts w:ascii="Times New Roman" w:hAnsi="Times New Roman" w:cs="Times New Roman"/>
                <w:b/>
                <w:color w:val="000000" w:themeColor="text1"/>
                <w:szCs w:val="24"/>
              </w:rPr>
              <w:t>废气污染物排放源产排量及达标情况一览表</w:t>
            </w:r>
          </w:p>
          <w:tbl>
            <w:tblPr>
              <w:tblStyle w:val="22"/>
              <w:tblW w:w="5000" w:type="pct"/>
              <w:tblInd w:w="0" w:type="dxa"/>
              <w:tblLayout w:type="fixed"/>
              <w:tblCellMar>
                <w:top w:w="0" w:type="dxa"/>
                <w:left w:w="108" w:type="dxa"/>
                <w:bottom w:w="0" w:type="dxa"/>
                <w:right w:w="108" w:type="dxa"/>
              </w:tblCellMar>
            </w:tblPr>
            <w:tblGrid>
              <w:gridCol w:w="801"/>
              <w:gridCol w:w="928"/>
              <w:gridCol w:w="1130"/>
              <w:gridCol w:w="1141"/>
              <w:gridCol w:w="1140"/>
              <w:gridCol w:w="712"/>
              <w:gridCol w:w="1145"/>
              <w:gridCol w:w="1623"/>
            </w:tblGrid>
            <w:tr>
              <w:tblPrEx>
                <w:tblCellMar>
                  <w:top w:w="0" w:type="dxa"/>
                  <w:left w:w="108" w:type="dxa"/>
                  <w:bottom w:w="0" w:type="dxa"/>
                  <w:right w:w="108" w:type="dxa"/>
                </w:tblCellMar>
              </w:tblPrEx>
              <w:trPr>
                <w:trHeight w:val="576" w:hRule="atLeast"/>
              </w:trPr>
              <w:tc>
                <w:tcPr>
                  <w:tcW w:w="172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275"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71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1142"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725"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13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710"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42"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1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799" w:type="dxa"/>
                  <w:vMerge w:val="restart"/>
                  <w:tcBorders>
                    <w:top w:val="single" w:color="auto" w:sz="4" w:space="0"/>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r>
                    <w:rPr>
                      <w:rFonts w:hint="eastAsia"/>
                      <w:color w:val="000000" w:themeColor="text1"/>
                    </w:rPr>
                    <w:t>烘干系统</w:t>
                  </w:r>
                </w:p>
              </w:tc>
              <w:tc>
                <w:tcPr>
                  <w:tcW w:w="926" w:type="dxa"/>
                  <w:vMerge w:val="restart"/>
                  <w:tcBorders>
                    <w:top w:val="single" w:color="auto" w:sz="4" w:space="0"/>
                    <w:left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r>
                    <w:rPr>
                      <w:color w:val="000000" w:themeColor="text1"/>
                    </w:rPr>
                    <w:t>热风炉</w:t>
                  </w:r>
                </w:p>
              </w:tc>
              <w:tc>
                <w:tcPr>
                  <w:tcW w:w="1127" w:type="dxa"/>
                  <w:tcBorders>
                    <w:top w:val="nil"/>
                    <w:left w:val="nil"/>
                    <w:bottom w:val="single" w:color="auto" w:sz="4"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颗粒物</w:t>
                  </w:r>
                </w:p>
              </w:tc>
              <w:tc>
                <w:tcPr>
                  <w:tcW w:w="1138" w:type="dxa"/>
                  <w:tcBorders>
                    <w:top w:val="nil"/>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rPr>
                    <w:t>80.13</w:t>
                  </w:r>
                </w:p>
              </w:tc>
              <w:tc>
                <w:tcPr>
                  <w:tcW w:w="1137" w:type="dxa"/>
                  <w:tcBorders>
                    <w:top w:val="nil"/>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0.01</w:t>
                  </w:r>
                </w:p>
              </w:tc>
              <w:tc>
                <w:tcPr>
                  <w:tcW w:w="710" w:type="dxa"/>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hint="eastAsia" w:ascii="Times New Roman" w:hAnsi="宋体" w:eastAsia="宋体" w:cs="Times New Roman"/>
                      <w:color w:val="000000" w:themeColor="text1"/>
                      <w:kern w:val="0"/>
                    </w:rPr>
                    <w:t>1次</w:t>
                  </w:r>
                  <w:r>
                    <w:rPr>
                      <w:rFonts w:ascii="Times New Roman" w:hAnsi="宋体" w:eastAsia="宋体" w:cs="Times New Roman"/>
                      <w:color w:val="000000" w:themeColor="text1"/>
                      <w:kern w:val="0"/>
                    </w:rPr>
                    <w:t>/a</w:t>
                  </w:r>
                </w:p>
              </w:tc>
              <w:tc>
                <w:tcPr>
                  <w:tcW w:w="1142"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w:t>
                  </w:r>
                  <w:r>
                    <w:rPr>
                      <w:rFonts w:ascii="Times New Roman" w:hAnsi="Times New Roman" w:eastAsia="宋体" w:cs="Times New Roman"/>
                      <w:color w:val="000000" w:themeColor="text1"/>
                      <w:kern w:val="0"/>
                    </w:rPr>
                    <w:t>0min /</w:t>
                  </w:r>
                  <w:r>
                    <w:rPr>
                      <w:rFonts w:ascii="Times New Roman" w:hAnsi="宋体" w:eastAsia="宋体" w:cs="Times New Roman"/>
                      <w:color w:val="000000" w:themeColor="text1"/>
                      <w:kern w:val="0"/>
                    </w:rPr>
                    <w:t>次</w:t>
                  </w:r>
                </w:p>
              </w:tc>
              <w:tc>
                <w:tcPr>
                  <w:tcW w:w="1619" w:type="dxa"/>
                  <w:vMerge w:val="restart"/>
                  <w:tcBorders>
                    <w:top w:val="single" w:color="auto" w:sz="4" w:space="0"/>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vMerge w:val="continue"/>
                  <w:tcBorders>
                    <w:left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tcBorders>
                    <w:top w:val="single" w:color="auto" w:sz="4" w:space="0"/>
                    <w:left w:val="nil"/>
                    <w:bottom w:val="single" w:color="auto" w:sz="4"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1138" w:type="dxa"/>
                  <w:tcBorders>
                    <w:top w:val="single" w:color="auto" w:sz="4" w:space="0"/>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1137" w:type="dxa"/>
                  <w:tcBorders>
                    <w:top w:val="single" w:color="auto" w:sz="4" w:space="0"/>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0.03</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vMerge w:val="continue"/>
                  <w:tcBorders>
                    <w:left w:val="single" w:color="auto" w:sz="4" w:space="0"/>
                    <w:bottom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tcBorders>
                    <w:top w:val="single" w:color="auto" w:sz="4" w:space="0"/>
                    <w:left w:val="nil"/>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NOx</w:t>
                  </w:r>
                </w:p>
              </w:tc>
              <w:tc>
                <w:tcPr>
                  <w:tcW w:w="1138" w:type="dxa"/>
                  <w:tcBorders>
                    <w:top w:val="single" w:color="auto" w:sz="4" w:space="0"/>
                    <w:left w:val="nil"/>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163.46</w:t>
                  </w:r>
                </w:p>
              </w:tc>
              <w:tc>
                <w:tcPr>
                  <w:tcW w:w="1137" w:type="dxa"/>
                  <w:tcBorders>
                    <w:top w:val="single" w:color="auto" w:sz="4" w:space="0"/>
                    <w:left w:val="nil"/>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0.02</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bottom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tcBorders>
                    <w:top w:val="single" w:color="auto" w:sz="4"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r>
                    <w:rPr>
                      <w:rFonts w:hint="eastAsia"/>
                      <w:color w:val="000000" w:themeColor="text1"/>
                    </w:rPr>
                    <w:t>烘干机</w:t>
                  </w:r>
                </w:p>
              </w:tc>
              <w:tc>
                <w:tcPr>
                  <w:tcW w:w="1127"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color w:val="000000" w:themeColor="text1"/>
                    </w:rPr>
                    <w:t>颗粒物</w:t>
                  </w:r>
                </w:p>
              </w:tc>
              <w:tc>
                <w:tcPr>
                  <w:tcW w:w="1138" w:type="dxa"/>
                  <w:tcBorders>
                    <w:top w:val="single" w:color="auto" w:sz="4"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347.54</w:t>
                  </w:r>
                </w:p>
              </w:tc>
              <w:tc>
                <w:tcPr>
                  <w:tcW w:w="1137" w:type="dxa"/>
                  <w:tcBorders>
                    <w:top w:val="single" w:color="auto" w:sz="4" w:space="0"/>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0.46</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hint="eastAsia" w:ascii="Times New Roman" w:hAnsi="宋体" w:eastAsia="宋体" w:cs="Times New Roman"/>
                      <w:color w:val="000000" w:themeColor="text1"/>
                      <w:kern w:val="0"/>
                    </w:rPr>
                    <w:t>1次</w:t>
                  </w:r>
                  <w:r>
                    <w:rPr>
                      <w:rFonts w:ascii="Times New Roman" w:hAnsi="宋体" w:eastAsia="宋体" w:cs="Times New Roman"/>
                      <w:color w:val="000000" w:themeColor="text1"/>
                      <w:kern w:val="0"/>
                    </w:rPr>
                    <w:t>/a</w:t>
                  </w:r>
                </w:p>
              </w:tc>
              <w:tc>
                <w:tcPr>
                  <w:tcW w:w="1142" w:type="dxa"/>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w:t>
                  </w:r>
                  <w:r>
                    <w:rPr>
                      <w:rFonts w:ascii="Times New Roman" w:hAnsi="Times New Roman" w:eastAsia="宋体" w:cs="Times New Roman"/>
                      <w:color w:val="000000" w:themeColor="text1"/>
                      <w:kern w:val="0"/>
                    </w:rPr>
                    <w:t>0min /</w:t>
                  </w:r>
                  <w:r>
                    <w:rPr>
                      <w:rFonts w:ascii="Times New Roman" w:hAnsi="宋体" w:eastAsia="宋体" w:cs="Times New Roman"/>
                      <w:color w:val="000000" w:themeColor="text1"/>
                      <w:kern w:val="0"/>
                    </w:rPr>
                    <w:t>次</w:t>
                  </w:r>
                </w:p>
              </w:tc>
              <w:tc>
                <w:tcPr>
                  <w:tcW w:w="1619"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本项目产生的废气包括烘干机生物质燃料燃烧产生的燃烧烟气、烘干线烘干过程产生的烘干粉尘和水淬渣暂存库和废渣暂存库扬尘。燃烧烟气经低氮燃烧+非催化还原（SNCR）脱硝技术+布袋除尘器处理后可达到</w:t>
            </w:r>
            <w:r>
              <w:rPr>
                <w:rFonts w:hint="eastAsia" w:ascii="Times New Roman" w:hAnsi="Times New Roman" w:cs="Times New Roman"/>
                <w:bCs/>
                <w:color w:val="000000" w:themeColor="text1"/>
                <w:sz w:val="24"/>
                <w:szCs w:val="24"/>
              </w:rPr>
              <w:t>《锅炉大气污染物排放标准》（GB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-2014）表2标准限值</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外排。烘干粉尘通过旋风除尘+布袋除尘器处理后，可达到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外排。水淬渣暂存库和废渣暂存库均设置三面围挡及顶棚，其产生的扬尘无组织排放，可达到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无组织排放标准限值要求；且</w:t>
            </w:r>
            <w:r>
              <w:rPr>
                <w:rFonts w:ascii="Times New Roman" w:hAnsi="Times New Roman" w:cs="Times New Roman"/>
                <w:color w:val="000000" w:themeColor="text1"/>
                <w:sz w:val="24"/>
                <w:szCs w:val="24"/>
              </w:rPr>
              <w:t>本项目厂界外500m范围内</w:t>
            </w:r>
            <w:r>
              <w:rPr>
                <w:rFonts w:hint="eastAsia" w:ascii="Times New Roman" w:hAnsi="Times New Roman" w:cs="Times New Roman"/>
                <w:color w:val="000000" w:themeColor="text1"/>
                <w:sz w:val="24"/>
                <w:szCs w:val="24"/>
              </w:rPr>
              <w:t>无大气环境保护目标。</w:t>
            </w:r>
            <w:r>
              <w:rPr>
                <w:rFonts w:ascii="Times New Roman" w:hAnsi="Times New Roman" w:cs="Times New Roman"/>
                <w:color w:val="000000" w:themeColor="text1"/>
                <w:sz w:val="24"/>
                <w:szCs w:val="24"/>
              </w:rPr>
              <w:t>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（1）废水污染源强核算</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根据项目水平衡计算可知，本项目废水产生环节主要为生产废水、生活污水。以及现有厂区产生的初期雨水。</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生产废水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根据项目水平衡可知，本项目生产用水量为1385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d（457050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a），生产</w:t>
            </w:r>
            <w:r>
              <w:rPr>
                <w:rFonts w:ascii="Times New Roman" w:hAnsi="Times New Roman" w:cs="Times New Roman"/>
                <w:color w:val="000000" w:themeColor="text1"/>
                <w:sz w:val="24"/>
                <w:szCs w:val="24"/>
              </w:rPr>
              <w:t>废水量约为1320.54m³/d（435778.2m³/a）。</w:t>
            </w:r>
            <w:r>
              <w:rPr>
                <w:rFonts w:hint="eastAsia" w:ascii="Times New Roman" w:hAnsi="Times New Roman" w:cs="Times New Roman"/>
                <w:color w:val="000000" w:themeColor="text1"/>
                <w:sz w:val="24"/>
                <w:szCs w:val="24"/>
              </w:rPr>
              <w:t>本项目在2022年3月按原有设计及环评的要求建设完成，设备调试过程中有部分废水产生，并贮存于1#废水收集循环池内；为了解项目生产工序废水污染因子情况，建设</w:t>
            </w:r>
            <w:r>
              <w:rPr>
                <w:rFonts w:ascii="Times New Roman" w:hAnsi="Times New Roman" w:cs="Times New Roman"/>
                <w:color w:val="000000" w:themeColor="text1"/>
                <w:sz w:val="24"/>
                <w:szCs w:val="24"/>
              </w:rPr>
              <w:t>委托云南环普检测科技有限公司</w:t>
            </w:r>
            <w:r>
              <w:rPr>
                <w:rFonts w:hint="eastAsia" w:ascii="Times New Roman" w:hAnsi="Times New Roman" w:cs="Times New Roman"/>
                <w:color w:val="000000" w:themeColor="text1"/>
                <w:sz w:val="24"/>
                <w:szCs w:val="24"/>
              </w:rPr>
              <w:t>于2023年9月15日至9月16日</w:t>
            </w:r>
            <w:r>
              <w:rPr>
                <w:rFonts w:ascii="Times New Roman" w:hAnsi="Times New Roman" w:cs="Times New Roman"/>
                <w:color w:val="000000" w:themeColor="text1"/>
                <w:sz w:val="24"/>
                <w:szCs w:val="24"/>
              </w:rPr>
              <w:t>对</w:t>
            </w:r>
            <w:r>
              <w:rPr>
                <w:rFonts w:hint="eastAsia" w:ascii="Times New Roman" w:hAnsi="Times New Roman" w:cs="Times New Roman"/>
                <w:color w:val="000000" w:themeColor="text1"/>
                <w:sz w:val="24"/>
                <w:szCs w:val="24"/>
              </w:rPr>
              <w:t>废水收集循环池废水进行了监测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监测情况如下表所示。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4.2.2-1  生产废水监测情况</w:t>
            </w:r>
            <w:r>
              <w:rPr>
                <w:rFonts w:ascii="Times New Roman" w:hAnsi="Times New Roman" w:cs="Times New Roman"/>
                <w:b/>
                <w:bCs/>
                <w:color w:val="000000" w:themeColor="text1"/>
                <w:kern w:val="0"/>
              </w:rPr>
              <w:t>一览表</w:t>
            </w:r>
            <w:r>
              <w:rPr>
                <w:rFonts w:hint="eastAsia" w:ascii="Times New Roman" w:hAnsi="Times New Roman" w:cs="Times New Roman"/>
                <w:b/>
                <w:bCs/>
                <w:color w:val="000000" w:themeColor="text1"/>
                <w:kern w:val="0"/>
              </w:rPr>
              <w:t xml:space="preserve">  单位：</w:t>
            </w:r>
            <w:r>
              <w:rPr>
                <w:rFonts w:ascii="Times New Roman" w:hAnsi="Times New Roman" w:cs="Times New Roman"/>
                <w:b/>
                <w:bCs/>
                <w:color w:val="000000" w:themeColor="text1"/>
                <w:kern w:val="0"/>
              </w:rPr>
              <w:t>mg/L</w:t>
            </w:r>
            <w:r>
              <w:rPr>
                <w:rFonts w:hint="eastAsia" w:ascii="Times New Roman" w:hAnsi="Times New Roman" w:cs="Times New Roman"/>
                <w:b/>
                <w:bCs/>
                <w:color w:val="000000" w:themeColor="text1"/>
                <w:kern w:val="0"/>
              </w:rPr>
              <w:t>pH（无量纲）</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850"/>
              <w:gridCol w:w="851"/>
              <w:gridCol w:w="850"/>
              <w:gridCol w:w="851"/>
              <w:gridCol w:w="850"/>
              <w:gridCol w:w="851"/>
              <w:gridCol w:w="850"/>
              <w:gridCol w:w="851"/>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88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污染因子</w:t>
                  </w:r>
                </w:p>
              </w:tc>
              <w:tc>
                <w:tcPr>
                  <w:tcW w:w="6804" w:type="dxa"/>
                  <w:gridSpan w:val="8"/>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1#废水收集循环池</w:t>
                  </w:r>
                </w:p>
              </w:tc>
              <w:tc>
                <w:tcPr>
                  <w:tcW w:w="924"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平均值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880" w:type="dxa"/>
                  <w:vMerge w:val="continue"/>
                  <w:vAlign w:val="center"/>
                </w:tcPr>
                <w:p>
                  <w:pPr>
                    <w:pStyle w:val="33"/>
                    <w:spacing w:line="360" w:lineRule="exact"/>
                    <w:rPr>
                      <w:rFonts w:eastAsiaTheme="minorEastAsia"/>
                      <w:color w:val="000000" w:themeColor="text1"/>
                      <w:szCs w:val="21"/>
                    </w:rPr>
                  </w:pPr>
                </w:p>
              </w:tc>
              <w:tc>
                <w:tcPr>
                  <w:tcW w:w="3402" w:type="dxa"/>
                  <w:gridSpan w:val="4"/>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2023.09.15</w:t>
                  </w:r>
                </w:p>
              </w:tc>
              <w:tc>
                <w:tcPr>
                  <w:tcW w:w="3402" w:type="dxa"/>
                  <w:gridSpan w:val="4"/>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2023.09.16</w:t>
                  </w:r>
                </w:p>
              </w:tc>
              <w:tc>
                <w:tcPr>
                  <w:tcW w:w="924"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7.3</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7.1</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7.4</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7.2</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7.1</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7.4</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7.2</w:t>
                  </w:r>
                </w:p>
              </w:tc>
              <w:tc>
                <w:tcPr>
                  <w:tcW w:w="92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7.0-7.4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216</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211</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SS</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11</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氨氮</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0.05</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5.15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5.37</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镉</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0.0038</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铬</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92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0.018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铁</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锰</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汞</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0.00010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0.00008</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0.0000</w:t>
                  </w:r>
                  <w:r>
                    <w:rPr>
                      <w:rFonts w:hint="eastAsia" w:eastAsiaTheme="minorEastAsia"/>
                      <w:color w:val="000000" w:themeColor="text1"/>
                      <w:szCs w:val="21"/>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16.6</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16.2</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由上表可知，上述污染浓度为经</w:t>
            </w:r>
            <w:r>
              <w:rPr>
                <w:rFonts w:hint="eastAsia" w:ascii="Times New Roman" w:hAnsi="Times New Roman" w:cs="Times New Roman"/>
                <w:bCs/>
                <w:color w:val="000000" w:themeColor="text1"/>
                <w:sz w:val="24"/>
                <w:szCs w:val="24"/>
              </w:rPr>
              <w:t>沉淀</w:t>
            </w:r>
            <w:r>
              <w:rPr>
                <w:rFonts w:hint="eastAsia" w:ascii="Times New Roman" w:hAnsi="Times New Roman" w:cs="Times New Roman"/>
                <w:color w:val="000000" w:themeColor="text1"/>
                <w:sz w:val="24"/>
                <w:szCs w:val="24"/>
              </w:rPr>
              <w:t>后的废水污染浓度，根据</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对污染物的处理特点，其主要能去除的污染物为SS和重金属，其中SS去除效率约90%，重金属去除效率约50%，则本项目生产废水主要污染物如下表所示。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生产废水</w:t>
            </w:r>
            <w:r>
              <w:rPr>
                <w:rFonts w:ascii="Times New Roman" w:hAnsi="Times New Roman" w:cs="Times New Roman"/>
                <w:b/>
                <w:bCs/>
                <w:color w:val="000000" w:themeColor="text1"/>
                <w:kern w:val="0"/>
              </w:rPr>
              <w:t>水质指标</w:t>
            </w:r>
            <w:r>
              <w:rPr>
                <w:rFonts w:hint="eastAsia" w:ascii="Times New Roman" w:hAnsi="Times New Roman" w:cs="Times New Roman"/>
                <w:b/>
                <w:bCs/>
                <w:color w:val="000000" w:themeColor="text1"/>
                <w:kern w:val="0"/>
              </w:rPr>
              <w:t>产生浓度</w:t>
            </w:r>
            <w:r>
              <w:rPr>
                <w:rFonts w:ascii="Times New Roman" w:hAnsi="Times New Roman" w:cs="Times New Roman"/>
                <w:b/>
                <w:bCs/>
                <w:color w:val="000000" w:themeColor="text1"/>
                <w:kern w:val="0"/>
              </w:rPr>
              <w:t>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23"/>
              <w:tblW w:w="8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708"/>
              <w:gridCol w:w="709"/>
              <w:gridCol w:w="709"/>
              <w:gridCol w:w="850"/>
              <w:gridCol w:w="709"/>
              <w:gridCol w:w="709"/>
              <w:gridCol w:w="709"/>
              <w:gridCol w:w="708"/>
              <w:gridCol w:w="709"/>
              <w:gridCol w:w="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7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SS</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氨氮</w:t>
                  </w:r>
                </w:p>
              </w:tc>
              <w:tc>
                <w:tcPr>
                  <w:tcW w:w="850"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镉</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7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铁</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锰</w:t>
                  </w:r>
                </w:p>
              </w:tc>
              <w:tc>
                <w:tcPr>
                  <w:tcW w:w="693"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7.0-7.4</w:t>
                  </w:r>
                </w:p>
              </w:tc>
              <w:tc>
                <w:tcPr>
                  <w:tcW w:w="7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r>
                    <w:rPr>
                      <w:rFonts w:hint="eastAsia" w:eastAsiaTheme="minorEastAsia"/>
                      <w:color w:val="000000" w:themeColor="text1"/>
                      <w:szCs w:val="21"/>
                    </w:rPr>
                    <w:t>0</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850" w:type="dxa"/>
                  <w:tcBorders>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8</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4</w:t>
                  </w:r>
                </w:p>
              </w:tc>
              <w:tc>
                <w:tcPr>
                  <w:tcW w:w="7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6</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1.036</w:t>
                  </w:r>
                </w:p>
              </w:tc>
              <w:tc>
                <w:tcPr>
                  <w:tcW w:w="693"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根据项目水平衡可知，本项目</w:t>
            </w:r>
            <w:r>
              <w:rPr>
                <w:rFonts w:ascii="Times New Roman" w:hAnsi="Times New Roman" w:cs="Times New Roman"/>
                <w:color w:val="000000" w:themeColor="text1"/>
                <w:sz w:val="24"/>
                <w:szCs w:val="24"/>
              </w:rPr>
              <w:t>生活用水量</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（528</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生活污水产生</w:t>
            </w:r>
            <w:r>
              <w:rPr>
                <w:rFonts w:ascii="Times New Roman" w:hAnsi="Times New Roman" w:cs="Times New Roman"/>
                <w:color w:val="000000" w:themeColor="text1"/>
                <w:sz w:val="24"/>
                <w:szCs w:val="24"/>
              </w:rPr>
              <w:t>量为</w:t>
            </w:r>
            <w:r>
              <w:rPr>
                <w:rFonts w:hint="eastAsia"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（422.4</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生活污水水质指标一览表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22"/>
              <w:tblW w:w="5000" w:type="pct"/>
              <w:tblInd w:w="0" w:type="dxa"/>
              <w:tblLayout w:type="fixed"/>
              <w:tblCellMar>
                <w:top w:w="0" w:type="dxa"/>
                <w:left w:w="108" w:type="dxa"/>
                <w:bottom w:w="0" w:type="dxa"/>
                <w:right w:w="108" w:type="dxa"/>
              </w:tblCellMar>
            </w:tblPr>
            <w:tblGrid>
              <w:gridCol w:w="735"/>
              <w:gridCol w:w="770"/>
              <w:gridCol w:w="842"/>
              <w:gridCol w:w="799"/>
              <w:gridCol w:w="630"/>
              <w:gridCol w:w="812"/>
              <w:gridCol w:w="584"/>
              <w:gridCol w:w="523"/>
              <w:gridCol w:w="797"/>
              <w:gridCol w:w="920"/>
              <w:gridCol w:w="1204"/>
            </w:tblGrid>
            <w:tr>
              <w:tblPrEx>
                <w:tblCellMar>
                  <w:top w:w="0" w:type="dxa"/>
                  <w:left w:w="108" w:type="dxa"/>
                  <w:bottom w:w="0" w:type="dxa"/>
                  <w:right w:w="108" w:type="dxa"/>
                </w:tblCellMar>
              </w:tblPrEx>
              <w:trPr>
                <w:trHeight w:val="285" w:hRule="atLeast"/>
              </w:trPr>
              <w:tc>
                <w:tcPr>
                  <w:tcW w:w="733" w:type="dxa"/>
                  <w:tcBorders>
                    <w:top w:val="single" w:color="auto" w:sz="4"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8"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840"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798"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83"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TN</w:t>
                  </w:r>
                </w:p>
              </w:tc>
              <w:tc>
                <w:tcPr>
                  <w:tcW w:w="522"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TP</w:t>
                  </w:r>
                </w:p>
              </w:tc>
              <w:tc>
                <w:tcPr>
                  <w:tcW w:w="796"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动植物油</w:t>
                  </w:r>
                </w:p>
              </w:tc>
              <w:tc>
                <w:tcPr>
                  <w:tcW w:w="918"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trPr>
              <w:tc>
                <w:tcPr>
                  <w:tcW w:w="733" w:type="dxa"/>
                  <w:tcBorders>
                    <w:top w:val="nil"/>
                    <w:left w:val="single" w:color="auto" w:sz="8" w:space="0"/>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768"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840"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798"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220</w:t>
                  </w:r>
                </w:p>
              </w:tc>
              <w:tc>
                <w:tcPr>
                  <w:tcW w:w="629"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38</w:t>
                  </w:r>
                </w:p>
              </w:tc>
              <w:tc>
                <w:tcPr>
                  <w:tcW w:w="583"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522"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796" w:type="dxa"/>
                  <w:tcBorders>
                    <w:top w:val="nil"/>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③初期雨水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根据现有工程产污核算，现有厂区的初期雨水产生量约为32.35m³/次，初期雨水的主要污染物为CODcr、和悬浮物，CODcr产生浓度约60mg/L、悬浮物产生浓度约400mg/L。</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1"/>
              <w:gridCol w:w="700"/>
              <w:gridCol w:w="1278"/>
              <w:gridCol w:w="3142"/>
              <w:gridCol w:w="1131"/>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产排污环节</w:t>
                  </w:r>
                </w:p>
              </w:tc>
              <w:tc>
                <w:tcPr>
                  <w:tcW w:w="70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类别</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污染物种类</w:t>
                  </w:r>
                </w:p>
              </w:tc>
              <w:tc>
                <w:tcPr>
                  <w:tcW w:w="31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13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70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3142"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w:t>
                  </w:r>
                  <w:r>
                    <w:rPr>
                      <w:rFonts w:hint="eastAsia" w:eastAsiaTheme="minorEastAsia"/>
                      <w:color w:val="000000" w:themeColor="text1"/>
                      <w:szCs w:val="21"/>
                    </w:rPr>
                    <w:t>废水进入</w:t>
                  </w:r>
                  <w:r>
                    <w:rPr>
                      <w:rFonts w:eastAsiaTheme="minorEastAsia"/>
                      <w:color w:val="000000" w:themeColor="text1"/>
                      <w:szCs w:val="21"/>
                    </w:rPr>
                    <w:t>废水处理系统</w:t>
                  </w:r>
                  <w:r>
                    <w:rPr>
                      <w:rFonts w:hint="eastAsia" w:eastAsiaTheme="minorEastAsia"/>
                      <w:color w:val="000000" w:themeColor="text1"/>
                      <w:szCs w:val="21"/>
                    </w:rPr>
                    <w:t>循环沉淀过滤处理后回用于生产，不外排。</w:t>
                  </w:r>
                </w:p>
              </w:tc>
              <w:tc>
                <w:tcPr>
                  <w:tcW w:w="1131"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636"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氨氮</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铁</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锰</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员工生活</w:t>
                  </w:r>
                </w:p>
              </w:tc>
              <w:tc>
                <w:tcPr>
                  <w:tcW w:w="70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生活污水</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3142"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000000" w:themeColor="text1"/>
                      <w:szCs w:val="21"/>
                      <w:lang w:eastAsia="zh-CN"/>
                    </w:rPr>
                    <w:t>*****</w:t>
                  </w:r>
                  <w:r>
                    <w:rPr>
                      <w:rFonts w:eastAsiaTheme="minorEastAsia"/>
                      <w:color w:val="000000" w:themeColor="text1"/>
                      <w:szCs w:val="21"/>
                    </w:rPr>
                    <w:t>-2015）B等级标准后，通过园区污水管网进入四方地与碧谷园区污水处理厂处理。</w:t>
                  </w:r>
                </w:p>
              </w:tc>
              <w:tc>
                <w:tcPr>
                  <w:tcW w:w="1131"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636" w:type="dxa"/>
                  <w:vMerge w:val="restart"/>
                  <w:vAlign w:val="center"/>
                </w:tcPr>
                <w:p>
                  <w:pPr>
                    <w:pStyle w:val="33"/>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名称：化粪池</w:t>
                  </w:r>
                </w:p>
                <w:p>
                  <w:pPr>
                    <w:pStyle w:val="33"/>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坐标：E103.</w:t>
                  </w:r>
                  <w:r>
                    <w:rPr>
                      <w:rFonts w:hint="eastAsia" w:eastAsiaTheme="minorEastAsia"/>
                      <w:color w:val="000000" w:themeColor="text1"/>
                      <w:szCs w:val="21"/>
                    </w:rPr>
                    <w:t>123341</w:t>
                  </w:r>
                  <w:r>
                    <w:rPr>
                      <w:rFonts w:eastAsiaTheme="minorEastAsia"/>
                      <w:color w:val="000000" w:themeColor="text1"/>
                      <w:szCs w:val="21"/>
                    </w:rPr>
                    <w:t>°、N2</w:t>
                  </w:r>
                  <w:r>
                    <w:rPr>
                      <w:rFonts w:hint="eastAsia" w:eastAsiaTheme="minorEastAsia"/>
                      <w:color w:val="000000" w:themeColor="text1"/>
                      <w:szCs w:val="21"/>
                    </w:rPr>
                    <w:t>6</w:t>
                  </w:r>
                  <w:r>
                    <w:rPr>
                      <w:rFonts w:eastAsiaTheme="minorEastAsia"/>
                      <w:color w:val="000000" w:themeColor="text1"/>
                      <w:szCs w:val="21"/>
                    </w:rPr>
                    <w:t>.</w:t>
                  </w:r>
                  <w:r>
                    <w:rPr>
                      <w:rFonts w:hint="eastAsia" w:eastAsiaTheme="minorEastAsia"/>
                      <w:color w:val="000000" w:themeColor="text1"/>
                      <w:szCs w:val="21"/>
                    </w:rPr>
                    <w:t>179079</w:t>
                  </w: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厂区范围</w:t>
                  </w:r>
                </w:p>
              </w:tc>
              <w:tc>
                <w:tcPr>
                  <w:tcW w:w="70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初期雨水</w:t>
                  </w:r>
                </w:p>
              </w:tc>
              <w:tc>
                <w:tcPr>
                  <w:tcW w:w="1278" w:type="dxa"/>
                  <w:vAlign w:val="center"/>
                </w:tcPr>
                <w:p>
                  <w:pPr>
                    <w:pStyle w:val="33"/>
                    <w:spacing w:line="360" w:lineRule="exact"/>
                    <w:rPr>
                      <w:rFonts w:eastAsiaTheme="minorEastAsia"/>
                      <w:color w:val="000000" w:themeColor="text1"/>
                      <w:szCs w:val="21"/>
                      <w:highlight w:val="yellow"/>
                    </w:rPr>
                  </w:pPr>
                  <w:r>
                    <w:rPr>
                      <w:rFonts w:hint="eastAsia" w:eastAsiaTheme="minorEastAsia"/>
                      <w:color w:val="000000" w:themeColor="text1"/>
                      <w:szCs w:val="21"/>
                    </w:rPr>
                    <w:t>CODcr、SS</w:t>
                  </w:r>
                </w:p>
              </w:tc>
              <w:tc>
                <w:tcPr>
                  <w:tcW w:w="3142"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本项目现有厂区已设置了1个有效容积为150m³的1#初期雨水收集池和1个50.8m³的2#初期雨水收集池对其收集</w:t>
                  </w:r>
                  <w:r>
                    <w:rPr>
                      <w:rFonts w:hint="eastAsia" w:eastAsiaTheme="minorEastAsia"/>
                      <w:color w:val="000000" w:themeColor="text1"/>
                      <w:szCs w:val="21"/>
                    </w:rPr>
                    <w:t>；整改后，拟再在</w:t>
                  </w:r>
                  <w:r>
                    <w:rPr>
                      <w:rFonts w:eastAsiaTheme="minorEastAsia"/>
                      <w:color w:val="000000" w:themeColor="text1"/>
                      <w:szCs w:val="21"/>
                    </w:rPr>
                    <w:t>厂区</w:t>
                  </w:r>
                  <w:r>
                    <w:rPr>
                      <w:rFonts w:hint="eastAsia" w:eastAsiaTheme="minorEastAsia"/>
                      <w:color w:val="000000" w:themeColor="text1"/>
                      <w:szCs w:val="21"/>
                    </w:rPr>
                    <w:t>低</w:t>
                  </w:r>
                  <w:r>
                    <w:rPr>
                      <w:rFonts w:eastAsiaTheme="minorEastAsia"/>
                      <w:color w:val="000000" w:themeColor="text1"/>
                      <w:szCs w:val="21"/>
                    </w:rPr>
                    <w:t>处建设一个有效容积为5m³的</w:t>
                  </w:r>
                  <w:r>
                    <w:rPr>
                      <w:rFonts w:hint="eastAsia" w:eastAsiaTheme="minorEastAsia"/>
                      <w:color w:val="000000" w:themeColor="text1"/>
                      <w:szCs w:val="21"/>
                    </w:rPr>
                    <w:t>3#</w:t>
                  </w:r>
                  <w:r>
                    <w:rPr>
                      <w:rFonts w:eastAsiaTheme="minorEastAsia"/>
                      <w:color w:val="000000" w:themeColor="text1"/>
                      <w:szCs w:val="21"/>
                    </w:rPr>
                    <w:t>初期雨水收集池</w:t>
                  </w:r>
                  <w:r>
                    <w:rPr>
                      <w:rFonts w:hint="eastAsia" w:eastAsiaTheme="minorEastAsia"/>
                      <w:color w:val="000000" w:themeColor="text1"/>
                      <w:szCs w:val="21"/>
                    </w:rPr>
                    <w:t>，初期雨水经</w:t>
                  </w:r>
                  <w:r>
                    <w:rPr>
                      <w:rFonts w:eastAsiaTheme="minorEastAsia"/>
                      <w:color w:val="000000" w:themeColor="text1"/>
                      <w:szCs w:val="21"/>
                    </w:rPr>
                    <w:t>收集后，</w:t>
                  </w:r>
                  <w:r>
                    <w:rPr>
                      <w:rFonts w:hint="eastAsia" w:eastAsiaTheme="minorEastAsia"/>
                      <w:color w:val="000000" w:themeColor="text1"/>
                      <w:szCs w:val="21"/>
                    </w:rPr>
                    <w:t>用于次氧化锌生产线</w:t>
                  </w:r>
                  <w:r>
                    <w:rPr>
                      <w:rFonts w:eastAsiaTheme="minorEastAsia"/>
                      <w:color w:val="000000" w:themeColor="text1"/>
                      <w:szCs w:val="21"/>
                    </w:rPr>
                    <w:t>原料堆场</w:t>
                  </w:r>
                  <w:r>
                    <w:rPr>
                      <w:rFonts w:hint="eastAsia" w:eastAsiaTheme="minorEastAsia"/>
                      <w:color w:val="000000" w:themeColor="text1"/>
                      <w:szCs w:val="21"/>
                    </w:rPr>
                    <w:t>、厂区道路等区域进行洒水抑尘，不外排。</w:t>
                  </w:r>
                </w:p>
              </w:tc>
              <w:tc>
                <w:tcPr>
                  <w:tcW w:w="113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生产废水污染源产排量及达标情况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项目</w:t>
            </w:r>
            <w:r>
              <w:rPr>
                <w:rFonts w:hint="eastAsia" w:ascii="Times New Roman" w:hAnsi="Times New Roman" w:cs="Times New Roman"/>
                <w:bCs/>
                <w:color w:val="000000" w:themeColor="text1"/>
                <w:sz w:val="24"/>
                <w:szCs w:val="24"/>
              </w:rPr>
              <w:t>废水进入废水处理系统循环沉淀过滤处理后回用于生产，不外排。</w:t>
            </w:r>
            <w:r>
              <w:rPr>
                <w:rFonts w:hint="eastAsia" w:ascii="Times New Roman" w:hAnsi="Times New Roman" w:cs="Times New Roman"/>
                <w:color w:val="000000" w:themeColor="text1"/>
                <w:sz w:val="24"/>
              </w:rPr>
              <w:t>生产废水</w:t>
            </w:r>
            <w:r>
              <w:rPr>
                <w:rFonts w:ascii="Times New Roman" w:hAnsi="Times New Roman" w:cs="Times New Roman"/>
                <w:color w:val="000000" w:themeColor="text1"/>
                <w:sz w:val="24"/>
              </w:rPr>
              <w:t>经处理后其污染产排情况如下表所示。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5  生产</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污染物排放源产排量及达标情况一览表</w:t>
            </w:r>
          </w:p>
          <w:tbl>
            <w:tblPr>
              <w:tblStyle w:val="22"/>
              <w:tblW w:w="5000" w:type="pct"/>
              <w:jc w:val="center"/>
              <w:tblLayout w:type="fixed"/>
              <w:tblCellMar>
                <w:top w:w="0" w:type="dxa"/>
                <w:left w:w="108" w:type="dxa"/>
                <w:bottom w:w="0" w:type="dxa"/>
                <w:right w:w="108" w:type="dxa"/>
              </w:tblCellMar>
            </w:tblPr>
            <w:tblGrid>
              <w:gridCol w:w="1013"/>
              <w:gridCol w:w="1014"/>
              <w:gridCol w:w="1499"/>
              <w:gridCol w:w="1499"/>
              <w:gridCol w:w="1415"/>
              <w:gridCol w:w="1014"/>
              <w:gridCol w:w="1162"/>
            </w:tblGrid>
            <w:tr>
              <w:tblPrEx>
                <w:tblCellMar>
                  <w:top w:w="0" w:type="dxa"/>
                  <w:left w:w="108" w:type="dxa"/>
                  <w:bottom w:w="0" w:type="dxa"/>
                  <w:right w:w="108" w:type="dxa"/>
                </w:tblCellMar>
              </w:tblPrEx>
              <w:trPr>
                <w:trHeight w:val="576"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产排污环节</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类别</w:t>
                  </w:r>
                </w:p>
              </w:tc>
              <w:tc>
                <w:tcPr>
                  <w:tcW w:w="14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污染物种类</w:t>
                  </w:r>
                </w:p>
              </w:tc>
              <w:tc>
                <w:tcPr>
                  <w:tcW w:w="27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0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污染物回用量和浓度</w:t>
                  </w:r>
                </w:p>
              </w:tc>
            </w:tr>
            <w:tr>
              <w:tblPrEx>
                <w:tblCellMar>
                  <w:top w:w="0" w:type="dxa"/>
                  <w:left w:w="108" w:type="dxa"/>
                  <w:bottom w:w="0" w:type="dxa"/>
                  <w:right w:w="108" w:type="dxa"/>
                </w:tblCellMar>
              </w:tblPrEx>
              <w:trPr>
                <w:trHeight w:val="576"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产生浓度mg/m³</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产生量m³/a</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回用浓度mg/m³</w:t>
                  </w:r>
                </w:p>
              </w:tc>
              <w:tc>
                <w:tcPr>
                  <w:tcW w:w="1100" w:type="dxa"/>
                  <w:tcBorders>
                    <w:top w:val="nil"/>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回用量m³/a</w:t>
                  </w:r>
                </w:p>
              </w:tc>
            </w:tr>
            <w:tr>
              <w:tblPrEx>
                <w:tblCellMar>
                  <w:top w:w="0" w:type="dxa"/>
                  <w:left w:w="108" w:type="dxa"/>
                  <w:bottom w:w="0" w:type="dxa"/>
                  <w:right w:w="108" w:type="dxa"/>
                </w:tblCellMar>
              </w:tblPrEx>
              <w:trPr>
                <w:trHeight w:val="324"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生产车间</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生产废水</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c>
                <w:tcPr>
                  <w:tcW w:w="27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435778.2m³/a</w:t>
                  </w:r>
                </w:p>
              </w:tc>
              <w:tc>
                <w:tcPr>
                  <w:tcW w:w="2060" w:type="dxa"/>
                  <w:gridSpan w:val="2"/>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435778.2m³/a</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7.0-7.4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7.0-7.4</w:t>
                  </w:r>
                </w:p>
              </w:tc>
              <w:tc>
                <w:tcPr>
                  <w:tcW w:w="110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93.69</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93.69</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140</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61.01</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6.10</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氨氮</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0.65</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0.65</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2.31</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0.008</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0.002</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铁</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0.06</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锰</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1.036</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0.45</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0.518</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0.23</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7.10</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根据项目产污环节和废水污染物治理措施可知，目前项目已设置了1个1m³的隔油池、1个有效容积为20m³的化粪池对生活污水进行处理。生活污水经处理后其污染产排及达标情况如下表所示。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 xml:space="preserve">6 </w:t>
            </w:r>
            <w:r>
              <w:rPr>
                <w:rFonts w:hint="eastAsia"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22"/>
              <w:tblW w:w="5000" w:type="pct"/>
              <w:tblInd w:w="0" w:type="dxa"/>
              <w:tblLayout w:type="fixed"/>
              <w:tblCellMar>
                <w:top w:w="0" w:type="dxa"/>
                <w:left w:w="108" w:type="dxa"/>
                <w:bottom w:w="0" w:type="dxa"/>
                <w:right w:w="108" w:type="dxa"/>
              </w:tblCellMar>
            </w:tblPr>
            <w:tblGrid>
              <w:gridCol w:w="738"/>
              <w:gridCol w:w="738"/>
              <w:gridCol w:w="1248"/>
              <w:gridCol w:w="1137"/>
              <w:gridCol w:w="853"/>
              <w:gridCol w:w="1137"/>
              <w:gridCol w:w="994"/>
              <w:gridCol w:w="853"/>
              <w:gridCol w:w="921"/>
            </w:tblGrid>
            <w:tr>
              <w:tblPrEx>
                <w:tblCellMar>
                  <w:top w:w="0" w:type="dxa"/>
                  <w:left w:w="108" w:type="dxa"/>
                  <w:bottom w:w="0" w:type="dxa"/>
                  <w:right w:w="108" w:type="dxa"/>
                </w:tblCellMar>
              </w:tblPrEx>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851" w:type="dxa"/>
                  <w:vMerge w:val="restart"/>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排放标准</w:t>
                  </w:r>
                </w:p>
              </w:tc>
              <w:tc>
                <w:tcPr>
                  <w:tcW w:w="9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134"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排放浓度</w:t>
                  </w:r>
                  <w:r>
                    <w:rPr>
                      <w:rFonts w:eastAsiaTheme="minorEastAsia"/>
                      <w:color w:val="000000" w:themeColor="text1"/>
                      <w:szCs w:val="21"/>
                    </w:rPr>
                    <w:t>mg/m³</w:t>
                  </w:r>
                </w:p>
              </w:tc>
              <w:tc>
                <w:tcPr>
                  <w:tcW w:w="992" w:type="dxa"/>
                  <w:tcBorders>
                    <w:top w:val="single" w:color="000000"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排放量t</w:t>
                  </w:r>
                  <w:r>
                    <w:rPr>
                      <w:rFonts w:eastAsiaTheme="minorEastAsia"/>
                      <w:color w:val="000000" w:themeColor="text1"/>
                      <w:szCs w:val="21"/>
                    </w:rPr>
                    <w:t>/a</w:t>
                  </w:r>
                </w:p>
              </w:tc>
              <w:tc>
                <w:tcPr>
                  <w:tcW w:w="851" w:type="dxa"/>
                  <w:vMerge w:val="continue"/>
                  <w:tcBorders>
                    <w:top w:val="single" w:color="000000" w:sz="8" w:space="0"/>
                    <w:left w:val="nil"/>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19"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r>
            <w:tr>
              <w:tblPrEx>
                <w:tblCellMar>
                  <w:top w:w="0" w:type="dxa"/>
                  <w:left w:w="108" w:type="dxa"/>
                  <w:bottom w:w="0" w:type="dxa"/>
                  <w:right w:w="108" w:type="dxa"/>
                </w:tblCellMar>
              </w:tblPrEx>
              <w:tc>
                <w:tcPr>
                  <w:tcW w:w="736"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6"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2126" w:type="dxa"/>
                  <w:gridSpan w:val="2"/>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992"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280</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0.12</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500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220</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190</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NH3-N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38</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300</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160</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0.07</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r>
                    <w:rPr>
                      <w:rFonts w:hint="eastAsia" w:eastAsiaTheme="minorEastAsia"/>
                      <w:color w:val="000000" w:themeColor="text1"/>
                      <w:szCs w:val="21"/>
                    </w:rPr>
                    <w:t>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40</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0.017</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60</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11</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16000</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8000</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851"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由上表可知，项目生活污水经隔油池、化粪池处理后可达到《污水排入城镇下水道水质标准》（GB/T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-2015）B等级标准后，通过园区污水管网进入四方地与碧谷园区污水处理厂处理。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hint="eastAsia" w:ascii="Times New Roman" w:hAnsi="Times New Roman" w:cs="Times New Roman"/>
                <w:color w:val="000000" w:themeColor="text1"/>
                <w:sz w:val="24"/>
              </w:rPr>
            </w:pPr>
            <w:r>
              <w:rPr>
                <w:rFonts w:ascii="Times New Roman" w:hAnsi="Times New Roman" w:cs="Times New Roman"/>
                <w:color w:val="000000" w:themeColor="text1"/>
                <w:sz w:val="24"/>
              </w:rPr>
              <w:t>根据现有工程产污核算，现有厂区的初期雨水产生量约为32.35m³/次，初期雨水的主要污染物为CODcr、和悬浮物，CODcr产生浓度约60mg/L、悬浮物产生浓度约400mg/L。本项目现有厂区已设置了1个有效容积为150m³的1#初期雨水收集池和1个50.8m³的2#初期雨水收集池对其收集</w:t>
            </w:r>
            <w:r>
              <w:rPr>
                <w:rFonts w:hint="eastAsia" w:ascii="Times New Roman" w:hAnsi="Times New Roman" w:cs="Times New Roman"/>
                <w:color w:val="000000" w:themeColor="text1"/>
                <w:sz w:val="24"/>
              </w:rPr>
              <w:t>；整改后，拟再在</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处建设一个有效容积为5m³的</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初期雨水收集池</w:t>
            </w:r>
            <w:r>
              <w:rPr>
                <w:rFonts w:hint="eastAsia" w:ascii="Times New Roman" w:hAnsi="Times New Roman" w:cs="Times New Roman"/>
                <w:color w:val="000000" w:themeColor="text1"/>
                <w:sz w:val="24"/>
              </w:rPr>
              <w:t>，初期雨水经</w:t>
            </w:r>
            <w:r>
              <w:rPr>
                <w:rFonts w:ascii="Times New Roman" w:hAnsi="Times New Roman" w:cs="Times New Roman"/>
                <w:color w:val="000000" w:themeColor="text1"/>
                <w:sz w:val="24"/>
              </w:rPr>
              <w:t>收集后，</w:t>
            </w:r>
            <w:r>
              <w:rPr>
                <w:rFonts w:hint="eastAsia" w:ascii="Times New Roman" w:hAnsi="Times New Roman" w:cs="Times New Roman"/>
                <w:color w:val="000000" w:themeColor="text1"/>
                <w:sz w:val="24"/>
              </w:rPr>
              <w:t>用于次氧化锌生产线</w:t>
            </w:r>
            <w:r>
              <w:rPr>
                <w:rFonts w:ascii="Times New Roman" w:hAnsi="Times New Roman" w:cs="Times New Roman"/>
                <w:color w:val="000000" w:themeColor="text1"/>
                <w:sz w:val="24"/>
              </w:rPr>
              <w:t>原料堆场</w:t>
            </w:r>
            <w:r>
              <w:rPr>
                <w:rFonts w:hint="eastAsia" w:ascii="Times New Roman" w:hAnsi="Times New Roman" w:cs="Times New Roman"/>
                <w:color w:val="000000" w:themeColor="text1"/>
                <w:sz w:val="24"/>
              </w:rPr>
              <w:t>、厂区道路等区域进行洒水抑尘，不外排。</w:t>
            </w:r>
            <w:r>
              <w:rPr>
                <w:rFonts w:ascii="Times New Roman" w:hAnsi="Times New Roman" w:cs="Times New Roman"/>
                <w:color w:val="000000" w:themeColor="text1"/>
                <w:sz w:val="24"/>
              </w:rPr>
              <w:t>初期雨水收集池前端设置阀门，初期雨水收集后，关闭阀门，将中、后期雨水通过雨水管网外排。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hAnsi="Times New Roman" w:cs="Times New Roman" w:asciiTheme="minorEastAsia"/>
                <w:b/>
                <w:color w:val="000000" w:themeColor="text1"/>
                <w:sz w:val="24"/>
              </w:rPr>
            </w:pPr>
            <w:r>
              <w:rPr>
                <w:rFonts w:hint="eastAsia" w:hAnsi="Times New Roman" w:cs="Times New Roman" w:asciiTheme="minorEastAsia"/>
                <w:b/>
                <w:color w:val="000000" w:themeColor="text1"/>
                <w:sz w:val="24"/>
              </w:rPr>
              <w:t>①生产废水</w:t>
            </w:r>
            <w:r>
              <w:rPr>
                <w:rFonts w:ascii="Times New Roman" w:hAnsi="Times New Roman" w:cs="Times New Roman"/>
                <w:b/>
                <w:color w:val="000000" w:themeColor="text1"/>
                <w:sz w:val="24"/>
                <w:szCs w:val="24"/>
              </w:rPr>
              <w:t>污染治理设施可行性分析</w:t>
            </w:r>
          </w:p>
          <w:p>
            <w:pPr>
              <w:pStyle w:val="41"/>
              <w:ind w:firstLine="480"/>
              <w:rPr>
                <w:rFonts w:hint="eastAsia"/>
                <w:color w:val="000000" w:themeColor="text1"/>
                <w:szCs w:val="24"/>
              </w:rPr>
            </w:pPr>
            <w:r>
              <w:rPr>
                <w:color w:val="000000" w:themeColor="text1"/>
                <w:szCs w:val="24"/>
              </w:rPr>
              <w:t>根据设计，废水处理系统由11个总容积为858m³循环水池组成，为了使项目废水能稳定进入</w:t>
            </w:r>
            <w:r>
              <w:rPr>
                <w:rFonts w:hint="eastAsia"/>
                <w:color w:val="000000" w:themeColor="text1"/>
                <w:szCs w:val="24"/>
              </w:rPr>
              <w:t>废水处理系统</w:t>
            </w:r>
            <w:r>
              <w:rPr>
                <w:color w:val="000000" w:themeColor="text1"/>
                <w:szCs w:val="24"/>
              </w:rPr>
              <w:t>，项目拟在生产车间旁配套设置1个有效容积约为18m³的1#</w:t>
            </w:r>
            <w:r>
              <w:rPr>
                <w:rFonts w:hint="eastAsia"/>
                <w:color w:val="000000" w:themeColor="text1"/>
                <w:szCs w:val="24"/>
              </w:rPr>
              <w:t>废水收集循环池</w:t>
            </w:r>
            <w:r>
              <w:rPr>
                <w:color w:val="000000" w:themeColor="text1"/>
                <w:szCs w:val="24"/>
              </w:rPr>
              <w:t>，对各工序产生的废水进行收集、调节，使其流量稳定进入废水处理系统</w:t>
            </w:r>
            <w:r>
              <w:rPr>
                <w:rFonts w:hint="eastAsia"/>
                <w:color w:val="000000" w:themeColor="text1"/>
                <w:szCs w:val="24"/>
              </w:rPr>
              <w:t>循环沉淀过滤。</w:t>
            </w:r>
            <w:r>
              <w:rPr>
                <w:color w:val="000000" w:themeColor="text1"/>
                <w:szCs w:val="24"/>
              </w:rPr>
              <w:t>2#、3#</w:t>
            </w:r>
            <w:r>
              <w:rPr>
                <w:rFonts w:hint="eastAsia"/>
                <w:color w:val="000000" w:themeColor="text1"/>
                <w:szCs w:val="24"/>
              </w:rPr>
              <w:t>废水收集循环池</w:t>
            </w:r>
            <w:r>
              <w:rPr>
                <w:color w:val="000000" w:themeColor="text1"/>
                <w:szCs w:val="24"/>
              </w:rPr>
              <w:t>有效容积为100m³/个，4-11#</w:t>
            </w:r>
            <w:r>
              <w:rPr>
                <w:rFonts w:hint="eastAsia"/>
                <w:color w:val="000000" w:themeColor="text1"/>
                <w:szCs w:val="24"/>
              </w:rPr>
              <w:t>废水收集循环池</w:t>
            </w:r>
            <w:r>
              <w:rPr>
                <w:color w:val="000000" w:themeColor="text1"/>
                <w:szCs w:val="24"/>
              </w:rPr>
              <w:t>为圆形循环水池的尺寸均为Φ4.6m、深4.5m的圆柱体，其有效容积为80m³/个，则11个</w:t>
            </w:r>
            <w:r>
              <w:rPr>
                <w:rFonts w:hint="eastAsia"/>
                <w:color w:val="000000" w:themeColor="text1"/>
                <w:szCs w:val="24"/>
              </w:rPr>
              <w:t>废水收集循环池</w:t>
            </w:r>
            <w:r>
              <w:rPr>
                <w:color w:val="000000" w:themeColor="text1"/>
                <w:szCs w:val="24"/>
              </w:rPr>
              <w:t>的有效容积合计为858m³</w:t>
            </w:r>
            <w:r>
              <w:rPr>
                <w:rFonts w:hint="eastAsia"/>
                <w:color w:val="000000" w:themeColor="text1"/>
                <w:szCs w:val="24"/>
              </w:rPr>
              <w:t>。由于本项目对生产用水水质要求较低，且生产过程中用水环节均不添加任何药剂，因此项目产生的废水进入</w:t>
            </w:r>
            <w:r>
              <w:rPr>
                <w:color w:val="000000" w:themeColor="text1"/>
                <w:szCs w:val="24"/>
              </w:rPr>
              <w:t>废水处理系统</w:t>
            </w:r>
            <w:r>
              <w:rPr>
                <w:rFonts w:hint="eastAsia"/>
                <w:color w:val="000000" w:themeColor="text1"/>
                <w:szCs w:val="24"/>
              </w:rPr>
              <w:t>中，在各循环水池进行短暂的停留过滤即可满足回用要求，项目</w:t>
            </w:r>
            <w:r>
              <w:rPr>
                <w:color w:val="000000" w:themeColor="text1"/>
                <w:szCs w:val="24"/>
              </w:rPr>
              <w:t>废水处理系统</w:t>
            </w:r>
            <w:r>
              <w:rPr>
                <w:rFonts w:hint="eastAsia"/>
                <w:color w:val="000000" w:themeColor="text1"/>
                <w:szCs w:val="24"/>
              </w:rPr>
              <w:t>中除</w:t>
            </w:r>
            <w:r>
              <w:rPr>
                <w:color w:val="000000" w:themeColor="text1"/>
                <w:szCs w:val="24"/>
              </w:rPr>
              <w:t>1#</w:t>
            </w:r>
            <w:r>
              <w:rPr>
                <w:rFonts w:hint="eastAsia"/>
                <w:color w:val="000000" w:themeColor="text1"/>
                <w:szCs w:val="24"/>
              </w:rPr>
              <w:t>废水收集循环池主要为收集、调节功能外排，其他循环水池（2-11#）的最小容积为</w:t>
            </w:r>
            <w:r>
              <w:rPr>
                <w:color w:val="000000" w:themeColor="text1"/>
                <w:szCs w:val="24"/>
              </w:rPr>
              <w:t>80m³</w:t>
            </w:r>
            <w:r>
              <w:rPr>
                <w:rFonts w:hint="eastAsia"/>
                <w:color w:val="000000" w:themeColor="text1"/>
                <w:szCs w:val="24"/>
              </w:rPr>
              <w:t>，停留时间以1h计，则该废水处理系统废水循环水量可达到</w:t>
            </w:r>
            <w:r>
              <w:rPr>
                <w:color w:val="000000" w:themeColor="text1"/>
                <w:szCs w:val="24"/>
              </w:rPr>
              <w:t>1920m³/d。项目生产废水产生量为1320.54m³/d，</w:t>
            </w:r>
            <w:r>
              <w:rPr>
                <w:rFonts w:hint="eastAsia"/>
                <w:color w:val="000000" w:themeColor="text1"/>
                <w:szCs w:val="24"/>
              </w:rPr>
              <w:t>而生产废水处理系统的规模可达到1920m³/d，其处理规模可达到要求，由本项目生产废水的特征污染物为SS，工艺可满足SS的处理要求，综上，项目生产废水</w:t>
            </w:r>
            <w:r>
              <w:rPr>
                <w:color w:val="000000" w:themeColor="text1"/>
                <w:szCs w:val="24"/>
              </w:rPr>
              <w:t>污染治理设施可行性</w:t>
            </w:r>
            <w:r>
              <w:rPr>
                <w:rFonts w:hint="eastAsia"/>
                <w:color w:val="000000" w:themeColor="text1"/>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隔油池环境影响减缓措施有效性分析</w:t>
            </w:r>
          </w:p>
          <w:p>
            <w:pPr>
              <w:pStyle w:val="41"/>
              <w:ind w:firstLine="480"/>
              <w:rPr>
                <w:rFonts w:eastAsiaTheme="minorEastAsia"/>
                <w:color w:val="000000" w:themeColor="text1"/>
                <w:szCs w:val="24"/>
              </w:rPr>
            </w:pPr>
            <w:r>
              <w:rPr>
                <w:rFonts w:eastAsiaTheme="minorEastAsia"/>
                <w:color w:val="000000" w:themeColor="text1"/>
                <w:szCs w:val="24"/>
              </w:rPr>
              <w:t>根据工程分析可知，本项目设置食堂，</w:t>
            </w:r>
            <w:r>
              <w:rPr>
                <w:rFonts w:hint="eastAsia" w:eastAsiaTheme="minorEastAsia"/>
                <w:color w:val="000000" w:themeColor="text1"/>
                <w:szCs w:val="24"/>
              </w:rPr>
              <w:t>新增</w:t>
            </w:r>
            <w:r>
              <w:rPr>
                <w:rFonts w:eastAsiaTheme="minorEastAsia"/>
                <w:color w:val="000000" w:themeColor="text1"/>
                <w:szCs w:val="24"/>
              </w:rPr>
              <w:t>食堂废水量约为</w:t>
            </w:r>
            <w:r>
              <w:rPr>
                <w:rFonts w:hint="eastAsia" w:eastAsiaTheme="minorEastAsia"/>
                <w:color w:val="000000" w:themeColor="text1"/>
                <w:szCs w:val="24"/>
              </w:rPr>
              <w:t>0.64</w:t>
            </w:r>
            <w:r>
              <w:rPr>
                <w:rFonts w:eastAsiaTheme="minorEastAsia"/>
                <w:color w:val="000000" w:themeColor="text1"/>
                <w:szCs w:val="24"/>
              </w:rPr>
              <w:t>m³/d，</w:t>
            </w:r>
            <w:r>
              <w:rPr>
                <w:rFonts w:hint="eastAsia" w:eastAsiaTheme="minorEastAsia"/>
                <w:color w:val="000000" w:themeColor="text1"/>
                <w:szCs w:val="24"/>
              </w:rPr>
              <w:t>原有</w:t>
            </w:r>
            <w:r>
              <w:rPr>
                <w:rFonts w:eastAsiaTheme="minorEastAsia"/>
                <w:color w:val="000000" w:themeColor="text1"/>
                <w:szCs w:val="24"/>
              </w:rPr>
              <w:t>食堂废水量</w:t>
            </w:r>
            <w:r>
              <w:rPr>
                <w:rFonts w:hint="eastAsia" w:eastAsiaTheme="minorEastAsia"/>
                <w:color w:val="000000" w:themeColor="text1"/>
                <w:szCs w:val="24"/>
              </w:rPr>
              <w:t>为1.52</w:t>
            </w:r>
            <w:r>
              <w:rPr>
                <w:rFonts w:eastAsiaTheme="minorEastAsia"/>
                <w:color w:val="000000" w:themeColor="text1"/>
                <w:szCs w:val="24"/>
              </w:rPr>
              <w:t>m³/d</w:t>
            </w:r>
            <w:r>
              <w:rPr>
                <w:rFonts w:hint="eastAsia" w:eastAsiaTheme="minorEastAsia"/>
                <w:color w:val="000000" w:themeColor="text1"/>
                <w:szCs w:val="24"/>
              </w:rPr>
              <w:t>，则项目建成后合计食堂废水产生量为2.64</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根据《建筑给排水设计规范》（（GB50015-2019），污水在隔油池内停留时间宜为30min，则本项目设置的1m³的隔油池可满足停留要求，隔油池设置合理。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41"/>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新增</w:t>
            </w:r>
            <w:r>
              <w:rPr>
                <w:rFonts w:eastAsiaTheme="minorEastAsia"/>
                <w:color w:val="000000" w:themeColor="text1"/>
                <w:szCs w:val="24"/>
              </w:rPr>
              <w:t>生活污水产生量约为</w:t>
            </w:r>
            <w:r>
              <w:rPr>
                <w:rFonts w:hint="eastAsia" w:eastAsiaTheme="minorEastAsia"/>
                <w:color w:val="000000" w:themeColor="text1"/>
                <w:szCs w:val="24"/>
              </w:rPr>
              <w:t>1.28</w:t>
            </w:r>
            <w:r>
              <w:rPr>
                <w:rFonts w:eastAsiaTheme="minorEastAsia"/>
                <w:color w:val="000000" w:themeColor="text1"/>
                <w:szCs w:val="24"/>
              </w:rPr>
              <w:t>m³/d，</w:t>
            </w:r>
            <w:r>
              <w:rPr>
                <w:rFonts w:hint="eastAsia" w:eastAsiaTheme="minorEastAsia"/>
                <w:color w:val="000000" w:themeColor="text1"/>
                <w:szCs w:val="24"/>
              </w:rPr>
              <w:t>原有生活废水产生量3.04</w:t>
            </w:r>
            <w:r>
              <w:rPr>
                <w:rFonts w:eastAsiaTheme="minorEastAsia"/>
                <w:color w:val="000000" w:themeColor="text1"/>
                <w:szCs w:val="24"/>
              </w:rPr>
              <w:t>m³/d</w:t>
            </w:r>
            <w:r>
              <w:rPr>
                <w:rFonts w:hint="eastAsia" w:eastAsiaTheme="minorEastAsia"/>
                <w:color w:val="000000" w:themeColor="text1"/>
                <w:szCs w:val="24"/>
              </w:rPr>
              <w:t>，则项目建成后合计生活污水产生量为4.32</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变化系数按照1.2计，则最大生活污水量约为</w:t>
            </w:r>
            <w:r>
              <w:rPr>
                <w:rFonts w:hint="eastAsia" w:eastAsiaTheme="minorEastAsia"/>
                <w:color w:val="000000" w:themeColor="text1"/>
                <w:szCs w:val="24"/>
              </w:rPr>
              <w:t>5.18</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根据《建筑给排水设计规范》（（GB50015-2019），化粪池总容积应满足废水停留时间12-24h的要求，并做好防渗处理，化粪池宜建在便于机动车清掏的位置；项目生活区旁已设置了1个有效容积为20m³的化粪池</w:t>
            </w:r>
            <w:r>
              <w:rPr>
                <w:rFonts w:hint="eastAsia" w:eastAsiaTheme="minorEastAsia"/>
                <w:color w:val="000000" w:themeColor="text1"/>
                <w:szCs w:val="24"/>
              </w:rPr>
              <w:t>可满足</w:t>
            </w:r>
            <w:r>
              <w:rPr>
                <w:rFonts w:eastAsiaTheme="minorEastAsia"/>
                <w:color w:val="000000" w:themeColor="text1"/>
                <w:szCs w:val="24"/>
              </w:rPr>
              <w:t>《建筑给排水设计规范》（（GB50015-2019）</w:t>
            </w:r>
            <w:r>
              <w:rPr>
                <w:rFonts w:hint="eastAsia" w:eastAsiaTheme="minorEastAsia"/>
                <w:color w:val="000000" w:themeColor="text1"/>
                <w:szCs w:val="24"/>
              </w:rPr>
              <w:t>化粪池的要求，</w:t>
            </w:r>
            <w:r>
              <w:rPr>
                <w:rFonts w:eastAsiaTheme="minorEastAsia"/>
                <w:color w:val="000000" w:themeColor="text1"/>
                <w:szCs w:val="24"/>
              </w:rPr>
              <w:t>因此化粪池设置合理。</w:t>
            </w:r>
          </w:p>
          <w:p>
            <w:pPr>
              <w:pStyle w:val="41"/>
              <w:ind w:firstLine="482"/>
              <w:rPr>
                <w:rFonts w:hAnsiTheme="minorEastAsia"/>
                <w:b/>
                <w:color w:val="000000" w:themeColor="text1"/>
                <w:szCs w:val="24"/>
              </w:rPr>
            </w:pPr>
            <w:r>
              <w:rPr>
                <w:rFonts w:hAnsiTheme="minorEastAsia"/>
                <w:b/>
                <w:color w:val="000000" w:themeColor="text1"/>
                <w:szCs w:val="24"/>
              </w:rPr>
              <w:fldChar w:fldCharType="begin"/>
            </w:r>
            <w:r>
              <w:rPr>
                <w:rFonts w:hAnsiTheme="minorEastAsia"/>
                <w:b/>
                <w:color w:val="000000" w:themeColor="text1"/>
                <w:szCs w:val="24"/>
              </w:rPr>
              <w:instrText xml:space="preserve"> </w:instrText>
            </w:r>
            <w:r>
              <w:rPr>
                <w:rFonts w:hint="eastAsia" w:hAnsiTheme="minorEastAsia"/>
                <w:b/>
                <w:color w:val="000000" w:themeColor="text1"/>
                <w:szCs w:val="24"/>
              </w:rPr>
              <w:instrText xml:space="preserve">= 3 \* GB2</w:instrText>
            </w:r>
            <w:r>
              <w:rPr>
                <w:rFonts w:hAnsiTheme="minorEastAsia"/>
                <w:b/>
                <w:color w:val="000000" w:themeColor="text1"/>
                <w:szCs w:val="24"/>
              </w:rPr>
              <w:instrText xml:space="preserve"> </w:instrText>
            </w:r>
            <w:r>
              <w:rPr>
                <w:rFonts w:hAnsiTheme="minorEastAsia"/>
                <w:b/>
                <w:color w:val="000000" w:themeColor="text1"/>
                <w:szCs w:val="24"/>
              </w:rPr>
              <w:fldChar w:fldCharType="separate"/>
            </w:r>
            <w:r>
              <w:rPr>
                <w:rFonts w:hint="eastAsia" w:hAnsiTheme="minorEastAsia"/>
                <w:b/>
                <w:color w:val="000000" w:themeColor="text1"/>
                <w:szCs w:val="24"/>
              </w:rPr>
              <w:t>⑶</w:t>
            </w:r>
            <w:r>
              <w:rPr>
                <w:rFonts w:hAnsiTheme="minorEastAsia"/>
                <w:b/>
                <w:color w:val="000000" w:themeColor="text1"/>
                <w:szCs w:val="24"/>
              </w:rPr>
              <w:fldChar w:fldCharType="end"/>
            </w:r>
            <w:r>
              <w:rPr>
                <w:rFonts w:hint="eastAsia" w:hAnsiTheme="minorEastAsia"/>
                <w:b/>
                <w:color w:val="000000" w:themeColor="text1"/>
                <w:szCs w:val="24"/>
              </w:rPr>
              <w:t>生活污水进入</w:t>
            </w:r>
            <w:r>
              <w:rPr>
                <w:rFonts w:hAnsiTheme="minorEastAsia"/>
                <w:b/>
                <w:color w:val="000000" w:themeColor="text1"/>
                <w:szCs w:val="24"/>
              </w:rPr>
              <w:t>四方地与碧谷园区污水处理厂</w:t>
            </w:r>
            <w:r>
              <w:rPr>
                <w:rFonts w:hint="eastAsia" w:hAnsiTheme="minorEastAsia"/>
                <w:b/>
                <w:color w:val="000000" w:themeColor="text1"/>
                <w:szCs w:val="24"/>
              </w:rPr>
              <w:t>可行</w:t>
            </w:r>
            <w:r>
              <w:rPr>
                <w:b/>
                <w:color w:val="000000" w:themeColor="text1"/>
                <w:szCs w:val="24"/>
              </w:rPr>
              <w:t>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四方地与碧谷园区污水处理厂位于龙东格公路西侧、大桥河以北、小江以东的三角地带，该污水处理厂于</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月委托云南省环境科学研究院编制完成了《云南省昆明市东川再就业特色产业园四方地与碧谷园区污染处理厂项目环境影响报告书》，</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19</w:t>
            </w:r>
            <w:r>
              <w:rPr>
                <w:rFonts w:ascii="Times New Roman" w:cs="Times New Roman" w:hAnsiTheme="minorEastAsia"/>
                <w:color w:val="000000" w:themeColor="text1"/>
                <w:sz w:val="24"/>
              </w:rPr>
              <w:t>号），</w:t>
            </w:r>
            <w:r>
              <w:rPr>
                <w:rFonts w:ascii="Times New Roman" w:hAnsi="Times New Roman" w:cs="Times New Roman"/>
                <w:color w:val="000000" w:themeColor="text1"/>
                <w:sz w:val="24"/>
              </w:rPr>
              <w:t>2015</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28</w:t>
            </w:r>
            <w:r>
              <w:rPr>
                <w:rFonts w:ascii="Times New Roman" w:cs="Times New Roman" w:hAnsiTheme="minorEastAsia"/>
                <w:color w:val="000000" w:themeColor="text1"/>
                <w:sz w:val="24"/>
              </w:rPr>
              <w:t>日通过环境保护竣工分段验收；并根据环办环监【</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61</w:t>
            </w:r>
            <w:r>
              <w:rPr>
                <w:rFonts w:ascii="Times New Roman" w:cs="Times New Roman" w:hAnsiTheme="minorEastAsia"/>
                <w:color w:val="000000" w:themeColor="text1"/>
                <w:sz w:val="24"/>
              </w:rPr>
              <w:t>号和云环通【</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178</w:t>
            </w:r>
            <w:r>
              <w:rPr>
                <w:rFonts w:ascii="Times New Roman" w:cs="Times New Roman" w:hAnsiTheme="minorEastAsia"/>
                <w:color w:val="000000" w:themeColor="text1"/>
                <w:sz w:val="24"/>
              </w:rPr>
              <w:t>号文件及相关环保技术规范的要求，安装了在线监测系统，截止</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年进水口在线监测分析仪为：流量、</w:t>
            </w:r>
            <w:r>
              <w:rPr>
                <w:rFonts w:ascii="Times New Roman" w:hAnsi="Times New Roman" w:cs="Times New Roman"/>
                <w:color w:val="000000" w:themeColor="text1"/>
                <w:sz w:val="24"/>
              </w:rPr>
              <w:t>PH</w:t>
            </w:r>
            <w:r>
              <w:rPr>
                <w:rFonts w:ascii="Times New Roman" w:cs="Times New Roman" w:hAnsiTheme="minorEastAsia"/>
                <w:color w:val="000000" w:themeColor="text1"/>
                <w:sz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、砷、铅、铜、总磷，共</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个参数；出水口在线分析仪为：流量、</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、砷、铅、铜、总磷、总氮，共</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四方地与碧谷园区污水处理厂总用地面积</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亩，总投资</w:t>
            </w:r>
            <w:r>
              <w:rPr>
                <w:rFonts w:ascii="Times New Roman" w:hAnsi="Times New Roman" w:cs="Times New Roman"/>
                <w:color w:val="000000" w:themeColor="text1"/>
                <w:sz w:val="24"/>
                <w:szCs w:val="24"/>
              </w:rPr>
              <w:t>3706.89</w:t>
            </w:r>
            <w:r>
              <w:rPr>
                <w:rFonts w:ascii="Times New Roman" w:cs="Times New Roman" w:hAnsiTheme="minorEastAsia"/>
                <w:color w:val="000000" w:themeColor="text1"/>
                <w:sz w:val="24"/>
                <w:szCs w:val="24"/>
              </w:rPr>
              <w:t>万元，一次性规划分期建设，一期</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，占地为</w:t>
            </w:r>
            <w:r>
              <w:rPr>
                <w:rFonts w:ascii="Times New Roman" w:hAnsi="Times New Roman" w:cs="Times New Roman"/>
                <w:color w:val="000000" w:themeColor="text1"/>
                <w:sz w:val="24"/>
                <w:szCs w:val="24"/>
              </w:rPr>
              <w:t>30.1</w:t>
            </w:r>
            <w:r>
              <w:rPr>
                <w:rFonts w:ascii="Times New Roman" w:cs="Times New Roman" w:hAnsiTheme="minorEastAsia"/>
                <w:color w:val="000000" w:themeColor="text1"/>
                <w:sz w:val="24"/>
                <w:szCs w:val="24"/>
              </w:rPr>
              <w:t>亩；二期扩建到</w:t>
            </w:r>
            <w:r>
              <w:rPr>
                <w:rFonts w:ascii="Times New Roman" w:hAnsi="Times New Roman" w:cs="Times New Roman"/>
                <w:color w:val="000000" w:themeColor="text1"/>
                <w:sz w:val="24"/>
                <w:szCs w:val="24"/>
              </w:rPr>
              <w:t>10000m³/d</w:t>
            </w:r>
            <w:r>
              <w:rPr>
                <w:rFonts w:ascii="Times New Roman" w:cs="Times New Roman" w:hAnsiTheme="minorEastAsia"/>
                <w:color w:val="000000" w:themeColor="text1"/>
                <w:sz w:val="24"/>
                <w:szCs w:val="24"/>
              </w:rPr>
              <w:t>，三期扩建到总建设规模</w:t>
            </w:r>
            <w:r>
              <w:rPr>
                <w:rFonts w:ascii="Times New Roman" w:hAnsi="Times New Roman" w:cs="Times New Roman"/>
                <w:color w:val="000000" w:themeColor="text1"/>
                <w:sz w:val="24"/>
                <w:szCs w:val="24"/>
              </w:rPr>
              <w:t>20000m³/d</w:t>
            </w:r>
            <w:r>
              <w:rPr>
                <w:rFonts w:ascii="Times New Roman" w:cs="Times New Roman" w:hAnsiTheme="minorEastAsia"/>
                <w:color w:val="000000" w:themeColor="text1"/>
                <w:sz w:val="24"/>
                <w:szCs w:val="24"/>
              </w:rPr>
              <w:t>。为降低成本，一期实际建设处理规模中土建工程</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，设备安装及处理能力为</w:t>
            </w:r>
            <w:r>
              <w:rPr>
                <w:rFonts w:ascii="Times New Roman" w:hAnsi="Times New Roman" w:cs="Times New Roman"/>
                <w:color w:val="000000" w:themeColor="text1"/>
                <w:sz w:val="24"/>
                <w:szCs w:val="24"/>
              </w:rPr>
              <w:t>2000m³/d</w:t>
            </w:r>
            <w:r>
              <w:rPr>
                <w:rFonts w:ascii="Times New Roman" w:cs="Times New Roman" w:hAnsiTheme="minorEastAsia"/>
                <w:color w:val="000000" w:themeColor="text1"/>
                <w:sz w:val="24"/>
                <w:szCs w:val="24"/>
              </w:rPr>
              <w:t>进行配置。工艺流程采用：两级混凝沉淀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臭氧氧化处理工艺；负责处理东川再就业特色产业园包括四方地和碧谷产业园企业产生的生产废水及生活污水。该污水处理厂目前处理生产废水及生活污水量约</w:t>
            </w:r>
            <w:r>
              <w:rPr>
                <w:rFonts w:hint="eastAsia"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0m³/d</w:t>
            </w:r>
            <w:r>
              <w:rPr>
                <w:rFonts w:ascii="Times New Roman" w:cs="Times New Roman" w:hAnsiTheme="minorEastAsia"/>
                <w:color w:val="000000" w:themeColor="text1"/>
                <w:sz w:val="24"/>
                <w:szCs w:val="24"/>
              </w:rPr>
              <w:t>，污水处理工艺系统至今正常稳定运行。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四方地与碧谷园区污水处理厂处理余量分析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根据工程分析可知，拟进入四方地与碧谷园区污水处理厂的生活污水，其产生量约为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w:t>
            </w:r>
            <w:r>
              <w:rPr>
                <w:rFonts w:hint="eastAsia" w:ascii="Times New Roman" w:cs="Times New Roman" w:hAnsiTheme="minorEastAsia"/>
                <w:color w:val="000000" w:themeColor="text1"/>
                <w:sz w:val="24"/>
                <w:szCs w:val="24"/>
              </w:rPr>
              <w:t>（422.4</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，经隔油池、化粪池处理达到《污水排入城镇下水道水质标准》（GB/T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-2015）B等级标准后，通过园区污水管网进入四方地与碧谷园区污水处理厂处理；综上，项目进入四方地与碧谷园区污水处理厂的最大水量约为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m³/d，根据调查，目前实际运营规模约为</w:t>
            </w:r>
            <w:r>
              <w:rPr>
                <w:rFonts w:hint="eastAsia" w:ascii="Times New Roman" w:cs="Times New Roman" w:hAnsiTheme="minorEastAsia"/>
                <w:color w:val="000000" w:themeColor="text1"/>
                <w:sz w:val="24"/>
                <w:szCs w:val="24"/>
              </w:rPr>
              <w:t>40</w:t>
            </w:r>
            <w:r>
              <w:rPr>
                <w:rFonts w:ascii="Times New Roman" w:cs="Times New Roman" w:hAnsiTheme="minorEastAsia"/>
                <w:color w:val="000000" w:themeColor="text1"/>
                <w:sz w:val="24"/>
                <w:szCs w:val="24"/>
              </w:rPr>
              <w:t>0m³/d，处理余量较大，可满足本项目生产废水的处理要求。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hint="eastAsia" w:ascii="Times New Roman" w:hAnsi="Times New Roman" w:cs="Times New Roman"/>
                <w:b/>
                <w:color w:val="000000" w:themeColor="text1"/>
                <w:sz w:val="24"/>
              </w:rPr>
              <w:instrText xml:space="preserve">= 3 \* GB4</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hint="eastAsia" w:ascii="Times New Roman" w:hAnsi="Times New Roman" w:cs="Times New Roman"/>
                <w:b/>
                <w:color w:val="000000" w:themeColor="text1"/>
                <w:sz w:val="24"/>
              </w:rPr>
              <w:t>㈢</w:t>
            </w:r>
            <w:r>
              <w:rPr>
                <w:rFonts w:ascii="Times New Roman" w:hAnsi="Times New Roman" w:cs="Times New Roman"/>
                <w:b/>
                <w:color w:val="000000" w:themeColor="text1"/>
                <w:sz w:val="24"/>
              </w:rPr>
              <w:fldChar w:fldCharType="end"/>
            </w:r>
            <w:r>
              <w:rPr>
                <w:rFonts w:ascii="Times New Roman" w:cs="Times New Roman" w:hAnsiTheme="minorEastAsia"/>
                <w:b/>
                <w:color w:val="000000" w:themeColor="text1"/>
                <w:sz w:val="24"/>
                <w:szCs w:val="24"/>
              </w:rPr>
              <w:t>废水进入四方地与碧谷园区污水处理厂的可行性及达标性分析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根据调查，</w:t>
            </w:r>
            <w:r>
              <w:rPr>
                <w:rFonts w:hint="eastAsia" w:ascii="Times New Roman" w:cs="Times New Roman" w:hAnsiTheme="minorEastAsia"/>
                <w:color w:val="000000" w:themeColor="text1"/>
                <w:sz w:val="24"/>
                <w:szCs w:val="24"/>
              </w:rPr>
              <w:t>项目厂区现有生活污水已经化粪池处理后，通过园区管网全部进入</w:t>
            </w:r>
            <w:r>
              <w:rPr>
                <w:rFonts w:ascii="Times New Roman" w:cs="Times New Roman" w:hAnsiTheme="minorEastAsia"/>
                <w:color w:val="000000" w:themeColor="text1"/>
                <w:sz w:val="24"/>
                <w:szCs w:val="24"/>
              </w:rPr>
              <w:t>四方地与碧谷园区污水处理厂</w:t>
            </w:r>
            <w:r>
              <w:rPr>
                <w:rFonts w:hint="eastAsia" w:ascii="Times New Roman" w:cs="Times New Roman" w:hAnsiTheme="minorEastAsia"/>
                <w:color w:val="000000" w:themeColor="text1"/>
                <w:sz w:val="24"/>
                <w:szCs w:val="24"/>
              </w:rPr>
              <w:t>，因此项目生活污水</w:t>
            </w:r>
            <w:r>
              <w:rPr>
                <w:rFonts w:ascii="Times New Roman" w:cs="Times New Roman" w:hAnsiTheme="minorEastAsia"/>
                <w:color w:val="000000" w:themeColor="text1"/>
                <w:sz w:val="24"/>
                <w:szCs w:val="24"/>
              </w:rPr>
              <w:t>进入四方地与碧谷园区污水处理厂的可行</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根据工程分析，项目生活污水经隔油池、化粪池处理后可达到《污水排入城镇下水道水质标准》（GB/T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w:t>
            </w:r>
          </w:p>
          <w:p>
            <w:pPr>
              <w:pStyle w:val="41"/>
              <w:ind w:firstLine="480"/>
              <w:rPr>
                <w:rFonts w:eastAsiaTheme="minorEastAsia"/>
                <w:color w:val="000000" w:themeColor="text1"/>
                <w:szCs w:val="24"/>
              </w:rPr>
            </w:pPr>
            <w:r>
              <w:rPr>
                <w:rFonts w:hAnsiTheme="minorEastAsia"/>
                <w:color w:val="000000" w:themeColor="text1"/>
                <w:szCs w:val="24"/>
              </w:rPr>
              <w:t>综上，本项目产生的生活污水经隔油池、化粪池处理，达到《污水排入城镇下水道水质标准》（</w:t>
            </w:r>
            <w:r>
              <w:rPr>
                <w:color w:val="000000" w:themeColor="text1"/>
                <w:szCs w:val="24"/>
              </w:rPr>
              <w:t>GB/T</w:t>
            </w:r>
            <w:r>
              <w:rPr>
                <w:rFonts w:hint="eastAsia"/>
                <w:color w:val="000000" w:themeColor="text1"/>
                <w:szCs w:val="24"/>
                <w:lang w:eastAsia="zh-CN"/>
              </w:rPr>
              <w:t>*****</w:t>
            </w:r>
            <w:r>
              <w:rPr>
                <w:color w:val="000000" w:themeColor="text1"/>
                <w:szCs w:val="24"/>
              </w:rPr>
              <w:t>-2015</w:t>
            </w:r>
            <w:r>
              <w:rPr>
                <w:rFonts w:hAnsiTheme="minorEastAsia"/>
                <w:color w:val="000000" w:themeColor="text1"/>
                <w:szCs w:val="24"/>
              </w:rPr>
              <w:t>）</w:t>
            </w:r>
            <w:r>
              <w:rPr>
                <w:color w:val="000000" w:themeColor="text1"/>
                <w:szCs w:val="24"/>
              </w:rPr>
              <w:t>B</w:t>
            </w:r>
            <w:r>
              <w:rPr>
                <w:rFonts w:hAnsiTheme="minorEastAsia"/>
                <w:color w:val="000000" w:themeColor="text1"/>
                <w:szCs w:val="24"/>
              </w:rPr>
              <w:t>等级标准后，可通过园区污水管网进入四方地与碧谷园区污水处理厂处理集中处置，</w:t>
            </w:r>
            <w:r>
              <w:rPr>
                <w:rFonts w:eastAsiaTheme="minorEastAsia"/>
                <w:color w:val="000000" w:themeColor="text1"/>
                <w:szCs w:val="24"/>
              </w:rPr>
              <w:t>该措施合理可行。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cs="Times New Roman" w:hAnsiTheme="minorEastAsia"/>
                <w:b/>
                <w:color w:val="000000" w:themeColor="text1"/>
                <w:sz w:val="24"/>
              </w:rPr>
              <w:t>③</w:t>
            </w:r>
            <w:r>
              <w:rPr>
                <w:rFonts w:ascii="Times New Roman" w:cs="Times New Roman" w:hAnsiTheme="minorEastAsia"/>
                <w:b/>
                <w:color w:val="000000" w:themeColor="text1"/>
                <w:sz w:val="24"/>
                <w:szCs w:val="24"/>
              </w:rPr>
              <w:t>初期雨水污染治理措施可行性分析</w:t>
            </w:r>
          </w:p>
          <w:p>
            <w:pPr>
              <w:pStyle w:val="41"/>
              <w:ind w:firstLine="480"/>
              <w:rPr>
                <w:color w:val="000000" w:themeColor="text1"/>
                <w:szCs w:val="21"/>
              </w:rPr>
            </w:pPr>
            <w:r>
              <w:rPr>
                <w:rFonts w:eastAsiaTheme="minorEastAsia"/>
                <w:color w:val="000000" w:themeColor="text1"/>
                <w:szCs w:val="24"/>
              </w:rPr>
              <w:t>根据工程分析可知，</w:t>
            </w:r>
            <w:r>
              <w:rPr>
                <w:rFonts w:hint="eastAsia" w:eastAsiaTheme="minorEastAsia"/>
                <w:color w:val="000000" w:themeColor="text1"/>
                <w:szCs w:val="24"/>
              </w:rPr>
              <w:t>本项目在现有厂区内建设，项目的建设不会改变现有厂区初期雨水的产生量；</w:t>
            </w:r>
            <w:r>
              <w:rPr>
                <w:rFonts w:hint="eastAsia"/>
                <w:color w:val="000000" w:themeColor="text1"/>
                <w:szCs w:val="21"/>
              </w:rPr>
              <w:t>现有厂区的初期雨水产生量约为32.35</w:t>
            </w:r>
            <w:r>
              <w:rPr>
                <w:color w:val="000000" w:themeColor="text1"/>
                <w:szCs w:val="21"/>
              </w:rPr>
              <w:t>m³/次，</w:t>
            </w:r>
            <w:r>
              <w:rPr>
                <w:rFonts w:eastAsiaTheme="minorEastAsia"/>
                <w:color w:val="000000" w:themeColor="text1"/>
                <w:szCs w:val="21"/>
              </w:rPr>
              <w:t>本项目现有厂区已设置了1个有效容积为150m³的1#初期雨水收集池和1个50.8m³的2#初期雨水收集池对其收集；整改后，拟再在厂区低处建设一个有效容积为5m³的3#初期雨水收集池，初期雨水经收集后，用于次氧化锌生产线原料堆场、厂区道路等区域进行洒水抑尘，不外排。</w:t>
            </w:r>
            <w:r>
              <w:rPr>
                <w:rFonts w:eastAsiaTheme="minorEastAsia"/>
                <w:color w:val="000000" w:themeColor="text1"/>
                <w:szCs w:val="24"/>
              </w:rPr>
              <w:t>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41"/>
              <w:ind w:firstLine="480"/>
              <w:rPr>
                <w:rFonts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污染影响类》的要求，项目竣工验收废水监测计划如下表所示。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项目废水</w:t>
            </w:r>
            <w:r>
              <w:rPr>
                <w:rFonts w:hint="eastAsia" w:ascii="Times New Roman" w:hAnsi="Times New Roman" w:cs="Times New Roman"/>
                <w:b/>
                <w:color w:val="000000" w:themeColor="text1"/>
                <w:szCs w:val="24"/>
              </w:rPr>
              <w:t>竣工验收</w:t>
            </w:r>
            <w:r>
              <w:rPr>
                <w:rFonts w:ascii="Times New Roman" w:hAnsi="Times New Roman" w:cs="Times New Roman"/>
                <w:b/>
                <w:color w:val="000000" w:themeColor="text1"/>
                <w:szCs w:val="24"/>
              </w:rPr>
              <w:t>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8"/>
              <w:gridCol w:w="2664"/>
              <w:gridCol w:w="120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266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12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3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w:t>
                  </w:r>
                </w:p>
              </w:tc>
              <w:tc>
                <w:tcPr>
                  <w:tcW w:w="1118" w:type="dxa"/>
                  <w:vAlign w:val="center"/>
                </w:tcPr>
                <w:p>
                  <w:pPr>
                    <w:pStyle w:val="33"/>
                    <w:spacing w:line="360" w:lineRule="exact"/>
                    <w:rPr>
                      <w:rFonts w:eastAsiaTheme="minorEastAsia"/>
                      <w:color w:val="000000" w:themeColor="text1"/>
                      <w:szCs w:val="21"/>
                    </w:rPr>
                  </w:pPr>
                  <w:r>
                    <w:rPr>
                      <w:rFonts w:hint="eastAsia"/>
                      <w:color w:val="000000" w:themeColor="text1"/>
                      <w:szCs w:val="24"/>
                    </w:rPr>
                    <w:t>废水收集循环池</w:t>
                  </w:r>
                </w:p>
              </w:tc>
              <w:tc>
                <w:tcPr>
                  <w:tcW w:w="2664" w:type="dxa"/>
                  <w:vAlign w:val="center"/>
                </w:tcPr>
                <w:p>
                  <w:pPr>
                    <w:pStyle w:val="33"/>
                    <w:spacing w:line="360" w:lineRule="exact"/>
                    <w:ind w:firstLine="210" w:firstLineChars="100"/>
                    <w:jc w:val="left"/>
                    <w:rPr>
                      <w:color w:val="000000" w:themeColor="text1"/>
                    </w:rPr>
                  </w:pP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rPr>
                    <w:t>氨氮</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color w:val="000000" w:themeColor="text1"/>
                      <w:szCs w:val="21"/>
                    </w:rPr>
                    <w:t>、</w:t>
                  </w:r>
                  <w:r>
                    <w:rPr>
                      <w:rFonts w:eastAsiaTheme="minorEastAsia"/>
                      <w:color w:val="000000" w:themeColor="text1"/>
                      <w:szCs w:val="21"/>
                    </w:rPr>
                    <w:t>镉</w:t>
                  </w:r>
                  <w:r>
                    <w:rPr>
                      <w:rFonts w:hint="eastAsia" w:eastAsiaTheme="minorEastAsia"/>
                      <w:color w:val="000000" w:themeColor="text1"/>
                      <w:szCs w:val="21"/>
                    </w:rPr>
                    <w:t>、</w:t>
                  </w:r>
                  <w:r>
                    <w:rPr>
                      <w:rFonts w:eastAsiaTheme="minorEastAsia"/>
                      <w:color w:val="000000" w:themeColor="text1"/>
                      <w:szCs w:val="21"/>
                    </w:rPr>
                    <w:t>铅</w:t>
                  </w:r>
                  <w:r>
                    <w:rPr>
                      <w:rFonts w:hint="eastAsia" w:eastAsiaTheme="minorEastAsia"/>
                      <w:color w:val="000000" w:themeColor="text1"/>
                      <w:szCs w:val="21"/>
                    </w:rPr>
                    <w:t>、</w:t>
                  </w:r>
                  <w:r>
                    <w:rPr>
                      <w:rFonts w:eastAsiaTheme="minorEastAsia"/>
                      <w:color w:val="000000" w:themeColor="text1"/>
                      <w:szCs w:val="21"/>
                    </w:rPr>
                    <w:t>铁</w:t>
                  </w:r>
                  <w:r>
                    <w:rPr>
                      <w:rFonts w:hint="eastAsia" w:eastAsiaTheme="minorEastAsia"/>
                      <w:color w:val="000000" w:themeColor="text1"/>
                      <w:szCs w:val="21"/>
                    </w:rPr>
                    <w:t>、</w:t>
                  </w:r>
                  <w:r>
                    <w:rPr>
                      <w:rFonts w:eastAsiaTheme="minorEastAsia"/>
                      <w:color w:val="000000" w:themeColor="text1"/>
                      <w:szCs w:val="21"/>
                    </w:rPr>
                    <w:t>锰</w:t>
                  </w:r>
                  <w:r>
                    <w:rPr>
                      <w:rFonts w:hint="eastAsia" w:eastAsiaTheme="minorEastAsia"/>
                      <w:color w:val="000000" w:themeColor="text1"/>
                      <w:szCs w:val="21"/>
                    </w:rPr>
                    <w:t>、</w:t>
                  </w:r>
                  <w:r>
                    <w:rPr>
                      <w:rFonts w:eastAsiaTheme="minorEastAsia"/>
                      <w:color w:val="000000" w:themeColor="text1"/>
                      <w:szCs w:val="21"/>
                    </w:rPr>
                    <w:t>氟化物</w:t>
                  </w:r>
                </w:p>
              </w:tc>
              <w:tc>
                <w:tcPr>
                  <w:tcW w:w="1208"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监测2天、每天4次</w:t>
                  </w:r>
                </w:p>
              </w:tc>
              <w:tc>
                <w:tcPr>
                  <w:tcW w:w="2733"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5" w:type="dxa"/>
                  <w:vMerge w:val="continue"/>
                  <w:vAlign w:val="center"/>
                </w:tcPr>
                <w:p>
                  <w:pPr>
                    <w:pStyle w:val="33"/>
                    <w:spacing w:line="360" w:lineRule="exact"/>
                    <w:rPr>
                      <w:rFonts w:eastAsiaTheme="minorEastAsia"/>
                      <w:color w:val="000000" w:themeColor="text1"/>
                      <w:szCs w:val="21"/>
                    </w:rPr>
                  </w:pP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化粪池排放口</w:t>
                  </w:r>
                </w:p>
              </w:tc>
              <w:tc>
                <w:tcPr>
                  <w:tcW w:w="2664" w:type="dxa"/>
                  <w:vAlign w:val="center"/>
                </w:tcPr>
                <w:p>
                  <w:pPr>
                    <w:pStyle w:val="33"/>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1208" w:type="dxa"/>
                  <w:vMerge w:val="continue"/>
                  <w:vAlign w:val="center"/>
                </w:tcPr>
                <w:p>
                  <w:pPr>
                    <w:pStyle w:val="33"/>
                    <w:spacing w:line="360" w:lineRule="exact"/>
                    <w:rPr>
                      <w:rFonts w:eastAsiaTheme="minorEastAsia"/>
                      <w:color w:val="000000" w:themeColor="text1"/>
                      <w:szCs w:val="21"/>
                    </w:rPr>
                  </w:pPr>
                </w:p>
              </w:tc>
              <w:tc>
                <w:tcPr>
                  <w:tcW w:w="2733" w:type="dxa"/>
                  <w:vAlign w:val="center"/>
                </w:tcPr>
                <w:p>
                  <w:pPr>
                    <w:pStyle w:val="33"/>
                    <w:spacing w:line="360" w:lineRule="exact"/>
                    <w:ind w:firstLine="210" w:firstLineChars="100"/>
                    <w:jc w:val="both"/>
                    <w:rPr>
                      <w:rFonts w:eastAsiaTheme="minorEastAsia"/>
                      <w:color w:val="000000" w:themeColor="text1"/>
                      <w:szCs w:val="21"/>
                    </w:rPr>
                  </w:pPr>
                  <w:r>
                    <w:rPr>
                      <w:color w:val="000000" w:themeColor="text1"/>
                    </w:rPr>
                    <w:t>《污水排入城镇下水道水质标准》（GB/T</w:t>
                  </w:r>
                  <w:r>
                    <w:rPr>
                      <w:rFonts w:hint="eastAsia"/>
                      <w:color w:val="000000" w:themeColor="text1"/>
                      <w:lang w:eastAsia="zh-CN"/>
                    </w:rPr>
                    <w:t>*****</w:t>
                  </w:r>
                  <w:r>
                    <w:rPr>
                      <w:color w:val="000000" w:themeColor="text1"/>
                    </w:rPr>
                    <w:t>-2015）的B等级标准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8"/>
              <w:gridCol w:w="2664"/>
              <w:gridCol w:w="117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266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117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6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化粪池排放口</w:t>
                  </w:r>
                </w:p>
              </w:tc>
              <w:tc>
                <w:tcPr>
                  <w:tcW w:w="2664" w:type="dxa"/>
                  <w:vAlign w:val="center"/>
                </w:tcPr>
                <w:p>
                  <w:pPr>
                    <w:pStyle w:val="33"/>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117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2767" w:type="dxa"/>
                  <w:vAlign w:val="center"/>
                </w:tcPr>
                <w:p>
                  <w:pPr>
                    <w:pStyle w:val="33"/>
                    <w:spacing w:line="360" w:lineRule="exact"/>
                    <w:ind w:firstLine="210" w:firstLineChars="100"/>
                    <w:jc w:val="both"/>
                    <w:rPr>
                      <w:rFonts w:eastAsiaTheme="minorEastAsia"/>
                      <w:color w:val="000000" w:themeColor="text1"/>
                      <w:szCs w:val="21"/>
                    </w:rPr>
                  </w:pPr>
                  <w:r>
                    <w:rPr>
                      <w:color w:val="000000" w:themeColor="text1"/>
                    </w:rPr>
                    <w:t>《污水排入城镇下水道水质标准》（GB/T</w:t>
                  </w:r>
                  <w:r>
                    <w:rPr>
                      <w:rFonts w:hint="eastAsia"/>
                      <w:color w:val="000000" w:themeColor="text1"/>
                      <w:lang w:eastAsia="zh-CN"/>
                    </w:rPr>
                    <w:t>*****</w:t>
                  </w:r>
                  <w:r>
                    <w:rPr>
                      <w:color w:val="000000" w:themeColor="text1"/>
                    </w:rPr>
                    <w:t>-2015）的B等级标准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8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11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664" w:type="dxa"/>
                  <w:vAlign w:val="center"/>
                </w:tcPr>
                <w:p>
                  <w:pPr>
                    <w:pStyle w:val="33"/>
                    <w:spacing w:line="360" w:lineRule="exact"/>
                    <w:ind w:firstLine="210" w:firstLineChars="100"/>
                    <w:jc w:val="left"/>
                    <w:rPr>
                      <w:color w:val="000000" w:themeColor="text1"/>
                    </w:rPr>
                  </w:pPr>
                  <w:r>
                    <w:rPr>
                      <w:rFonts w:hint="eastAsia"/>
                      <w:color w:val="000000" w:themeColor="text1"/>
                    </w:rPr>
                    <w:t>SS、</w:t>
                  </w:r>
                  <w:r>
                    <w:rPr>
                      <w:color w:val="000000" w:themeColor="text1"/>
                    </w:rPr>
                    <w:t>CODcr</w:t>
                  </w:r>
                  <w:r>
                    <w:rPr>
                      <w:rFonts w:hint="eastAsia"/>
                      <w:color w:val="000000" w:themeColor="text1"/>
                    </w:rPr>
                    <w:t>、石油类</w:t>
                  </w:r>
                </w:p>
              </w:tc>
              <w:tc>
                <w:tcPr>
                  <w:tcW w:w="117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1次/日</w:t>
                  </w:r>
                </w:p>
              </w:tc>
              <w:tc>
                <w:tcPr>
                  <w:tcW w:w="2767" w:type="dxa"/>
                  <w:vAlign w:val="center"/>
                </w:tcPr>
                <w:p>
                  <w:pPr>
                    <w:pStyle w:val="33"/>
                    <w:spacing w:line="360" w:lineRule="exact"/>
                    <w:ind w:firstLine="210" w:firstLineChars="100"/>
                    <w:jc w:val="both"/>
                    <w:rPr>
                      <w:color w:val="000000" w:themeColor="text1"/>
                    </w:rPr>
                  </w:pPr>
                  <w:r>
                    <w:rPr>
                      <w:rFonts w:hint="eastAsia"/>
                      <w:color w:val="000000" w:themeColor="text1"/>
                    </w:rPr>
                    <w:t>《污水综合排放标准》（GB</w:t>
                  </w:r>
                  <w:r>
                    <w:rPr>
                      <w:rFonts w:hint="eastAsia"/>
                      <w:color w:val="000000" w:themeColor="text1"/>
                      <w:lang w:eastAsia="zh-CN"/>
                    </w:rPr>
                    <w:t>****</w:t>
                  </w:r>
                  <w:r>
                    <w:rPr>
                      <w:rFonts w:hint="eastAsia"/>
                      <w:color w:val="000000" w:themeColor="text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8" w:type="dxa"/>
                  <w:gridSpan w:val="5"/>
                  <w:vAlign w:val="center"/>
                </w:tcPr>
                <w:p>
                  <w:pPr>
                    <w:pStyle w:val="33"/>
                    <w:spacing w:line="360" w:lineRule="exact"/>
                    <w:ind w:firstLine="210" w:firstLineChars="100"/>
                    <w:jc w:val="both"/>
                    <w:rPr>
                      <w:color w:val="000000" w:themeColor="text1"/>
                    </w:rPr>
                  </w:pPr>
                  <w:r>
                    <w:rPr>
                      <w:rFonts w:hint="eastAsia"/>
                      <w:color w:val="000000" w:themeColor="text1"/>
                    </w:rPr>
                    <w:t>备注：雨水排放口有流动水排放时开展监测，如监测一年无异常，按每季度有流量水时，开展监测。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cs="Times New Roman" w:hAnsiTheme="minorEastAsia"/>
                <w:b/>
                <w:color w:val="000000" w:themeColor="text1"/>
                <w:sz w:val="24"/>
              </w:rPr>
              <w:t>①生产废水</w:t>
            </w:r>
            <w:r>
              <w:rPr>
                <w:rFonts w:ascii="Times New Roman" w:cs="Times New Roman" w:hAnsiTheme="minorEastAsia"/>
                <w:b/>
                <w:color w:val="000000" w:themeColor="text1"/>
                <w:sz w:val="24"/>
              </w:rPr>
              <w:t>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项目生产废水为项目选别系统产生的选别废水，</w:t>
            </w:r>
            <w:r>
              <w:rPr>
                <w:rFonts w:hint="eastAsia" w:ascii="Times New Roman" w:hAnsi="Times New Roman" w:cs="Times New Roman"/>
                <w:bCs/>
                <w:color w:val="000000" w:themeColor="text1"/>
                <w:sz w:val="24"/>
                <w:szCs w:val="24"/>
              </w:rPr>
              <w:t>产生量为1320.54m³/d（435778.2</w:t>
            </w:r>
            <w:r>
              <w:rPr>
                <w:rFonts w:ascii="Times New Roman" w:hAnsi="Times New Roman" w:cs="Times New Roman"/>
                <w:bCs/>
                <w:color w:val="000000" w:themeColor="text1"/>
                <w:sz w:val="24"/>
                <w:szCs w:val="24"/>
              </w:rPr>
              <w:t>m³/a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rPr>
              <w:t>本项目选别系统为物理磁选、重选法，不添加任何药剂，</w:t>
            </w:r>
            <w:r>
              <w:rPr>
                <w:rFonts w:ascii="Times New Roman" w:hAnsi="Times New Roman" w:cs="Times New Roman"/>
                <w:bCs/>
                <w:color w:val="000000" w:themeColor="text1"/>
                <w:sz w:val="24"/>
                <w:szCs w:val="24"/>
              </w:rPr>
              <w:t>项目</w:t>
            </w:r>
            <w:r>
              <w:rPr>
                <w:rFonts w:hint="eastAsia" w:ascii="Times New Roman" w:hAnsi="Times New Roman" w:cs="Times New Roman"/>
                <w:bCs/>
                <w:color w:val="000000" w:themeColor="text1"/>
                <w:sz w:val="24"/>
                <w:szCs w:val="24"/>
              </w:rPr>
              <w:t>废水进入废水处理系统循环沉淀过滤处理后回用于生产，不外排。</w:t>
            </w:r>
            <w:r>
              <w:rPr>
                <w:rFonts w:hint="eastAsia"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422.4</w:t>
            </w:r>
            <w:r>
              <w:rPr>
                <w:rFonts w:ascii="Times New Roman" w:hAnsi="Times New Roman" w:cs="Times New Roman"/>
                <w:color w:val="000000" w:themeColor="text1"/>
                <w:sz w:val="24"/>
              </w:rPr>
              <w:t>m³/a；其中食堂废水约占生活污水量的50%，食堂废水量约为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m³/a）。目前项目已设置了1个1m³的隔油池、1个有效容积为20m³的化粪池对生活污水进行处理；项目生活污水经隔油池、化粪池处理后可达到《污水排入城镇下水道水质标准》（GB/T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-2015）B等级标准后，通过园区污水管网进入四方地与碧谷园区污水处理厂处理。</w:t>
            </w:r>
            <w:r>
              <w:rPr>
                <w:rFonts w:hint="eastAsia" w:ascii="Times New Roman" w:hAnsi="Times New Roman" w:cs="Times New Roman"/>
                <w:color w:val="000000" w:themeColor="text1"/>
                <w:sz w:val="24"/>
              </w:rPr>
              <w:t>对环境影响较小。</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③</w:t>
            </w:r>
            <w:r>
              <w:rPr>
                <w:rFonts w:ascii="Times New Roman" w:cs="Times New Roman" w:hAnsiTheme="minorEastAsia"/>
                <w:b/>
                <w:color w:val="000000" w:themeColor="text1"/>
                <w:sz w:val="24"/>
              </w:rPr>
              <w:t>初期雨水环境影响分析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根据工程分析可知，本项目</w:t>
            </w:r>
            <w:r>
              <w:rPr>
                <w:rFonts w:hint="eastAsia" w:ascii="Times New Roman" w:hAnsi="Times New Roman" w:cs="Times New Roman"/>
                <w:color w:val="000000" w:themeColor="text1"/>
                <w:sz w:val="24"/>
              </w:rPr>
              <w:t>现有厂区的初期雨水产生量约为32.35</w:t>
            </w:r>
            <w:r>
              <w:rPr>
                <w:rFonts w:ascii="Times New Roman" w:hAnsi="Times New Roman" w:cs="Times New Roman"/>
                <w:color w:val="000000" w:themeColor="text1"/>
                <w:sz w:val="24"/>
              </w:rPr>
              <w:t>m³/次，厂区设置雨污分流</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本项目现有厂区已设置了1个有效容积为150m³的1#初期雨水收集池和1个50.8m³的2#初期雨水收集池对其收集</w:t>
            </w:r>
            <w:r>
              <w:rPr>
                <w:rFonts w:hint="eastAsia" w:ascii="Times New Roman" w:hAnsi="Times New Roman" w:cs="Times New Roman"/>
                <w:color w:val="000000" w:themeColor="text1"/>
                <w:sz w:val="24"/>
              </w:rPr>
              <w:t>；整改后，拟再在</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处建设一个有效容积为5m³的</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初期雨水收集池</w:t>
            </w:r>
            <w:r>
              <w:rPr>
                <w:rFonts w:hint="eastAsia" w:ascii="Times New Roman" w:hAnsi="Times New Roman" w:cs="Times New Roman"/>
                <w:color w:val="000000" w:themeColor="text1"/>
                <w:sz w:val="24"/>
              </w:rPr>
              <w:t>，初期雨水经</w:t>
            </w:r>
            <w:r>
              <w:rPr>
                <w:rFonts w:ascii="Times New Roman" w:hAnsi="Times New Roman" w:cs="Times New Roman"/>
                <w:color w:val="000000" w:themeColor="text1"/>
                <w:sz w:val="24"/>
              </w:rPr>
              <w:t>收集后，</w:t>
            </w:r>
            <w:r>
              <w:rPr>
                <w:rFonts w:hint="eastAsia" w:ascii="Times New Roman" w:hAnsi="Times New Roman" w:cs="Times New Roman"/>
                <w:color w:val="000000" w:themeColor="text1"/>
                <w:sz w:val="24"/>
              </w:rPr>
              <w:t>用于次氧化锌生产线</w:t>
            </w:r>
            <w:r>
              <w:rPr>
                <w:rFonts w:ascii="Times New Roman" w:hAnsi="Times New Roman" w:cs="Times New Roman"/>
                <w:color w:val="000000" w:themeColor="text1"/>
                <w:sz w:val="24"/>
              </w:rPr>
              <w:t>原料堆场</w:t>
            </w:r>
            <w:r>
              <w:rPr>
                <w:rFonts w:hint="eastAsia" w:ascii="Times New Roman" w:hAnsi="Times New Roman" w:cs="Times New Roman"/>
                <w:color w:val="000000" w:themeColor="text1"/>
                <w:sz w:val="24"/>
              </w:rPr>
              <w:t>、厂区道路等区域进行洒水抑尘，不外排。</w:t>
            </w:r>
            <w:r>
              <w:rPr>
                <w:rFonts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hint="eastAsia" w:ascii="Times New Roman" w:hAnsi="Times New Roman" w:cs="Times New Roman"/>
                <w:color w:val="000000" w:themeColor="text1"/>
                <w:sz w:val="24"/>
              </w:rPr>
            </w:pPr>
            <w:r>
              <w:rPr>
                <w:rFonts w:hint="eastAsia" w:ascii="Times New Roman" w:hAnsi="Times New Roman" w:cs="Times New Roman"/>
                <w:color w:val="000000" w:themeColor="text1"/>
                <w:sz w:val="24"/>
              </w:rPr>
              <w:t>根据项目特点，本项目在现有厂区范围内建设，其运营期噪声污染源强包括本项目噪声源强以及厂区内现有次氧化锌生产线噪声源强，具体如下。</w:t>
            </w:r>
          </w:p>
          <w:p>
            <w:pPr>
              <w:spacing w:line="360" w:lineRule="auto"/>
              <w:ind w:firstLine="482" w:firstLineChars="200"/>
              <w:rPr>
                <w:rFonts w:hint="eastAsia" w:ascii="Times New Roman" w:hAnsi="Times New Roman" w:cs="Times New Roman"/>
                <w:b/>
                <w:color w:val="000000" w:themeColor="text1"/>
                <w:sz w:val="24"/>
              </w:rPr>
            </w:pPr>
            <w:r>
              <w:rPr>
                <w:rFonts w:hint="eastAsia" w:ascii="Times New Roman" w:hAnsi="Times New Roman" w:cs="Times New Roman"/>
                <w:b/>
                <w:color w:val="000000" w:themeColor="text1"/>
                <w:sz w:val="24"/>
              </w:rPr>
              <w:t>①本项目噪声源强</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w:t>
            </w: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表4.2.3-1</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项目噪声源强调查清单</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8"/>
              <w:gridCol w:w="739"/>
              <w:gridCol w:w="590"/>
              <w:gridCol w:w="618"/>
              <w:gridCol w:w="687"/>
              <w:gridCol w:w="567"/>
              <w:gridCol w:w="567"/>
              <w:gridCol w:w="567"/>
              <w:gridCol w:w="707"/>
              <w:gridCol w:w="708"/>
              <w:gridCol w:w="567"/>
              <w:gridCol w:w="708"/>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建筑物名称</w:t>
                  </w:r>
                </w:p>
              </w:tc>
              <w:tc>
                <w:tcPr>
                  <w:tcW w:w="739"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污染源名称</w:t>
                  </w:r>
                </w:p>
              </w:tc>
              <w:tc>
                <w:tcPr>
                  <w:tcW w:w="59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型号</w:t>
                  </w:r>
                </w:p>
              </w:tc>
              <w:tc>
                <w:tcPr>
                  <w:tcW w:w="6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声级/功率/dB（A）</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声源控制措施</w:t>
                  </w:r>
                </w:p>
              </w:tc>
              <w:tc>
                <w:tcPr>
                  <w:tcW w:w="1701" w:type="dxa"/>
                  <w:gridSpan w:val="3"/>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空间相对位置</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距</w:t>
                  </w:r>
                  <w:r>
                    <w:rPr>
                      <w:rFonts w:ascii="Times New Roman" w:hAnsi="Times New Roman" w:eastAsia="宋体" w:cs="Times New Roman"/>
                      <w:color w:val="000000" w:themeColor="text1"/>
                      <w:szCs w:val="20"/>
                    </w:rPr>
                    <w:t>室内边界距离距离m</w:t>
                  </w:r>
                </w:p>
              </w:tc>
              <w:tc>
                <w:tcPr>
                  <w:tcW w:w="70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室内边界声级/dB（A）</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运行时段</w:t>
                  </w:r>
                </w:p>
              </w:tc>
              <w:tc>
                <w:tcPr>
                  <w:tcW w:w="70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建筑物插入损失/dB（A）</w:t>
                  </w:r>
                </w:p>
              </w:tc>
              <w:tc>
                <w:tcPr>
                  <w:tcW w:w="1069" w:type="dxa"/>
                  <w:gridSpan w:val="2"/>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9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坐标X</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坐标Y</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离地高</w:t>
                  </w:r>
                  <w:r>
                    <w:rPr>
                      <w:rFonts w:hint="eastAsia" w:ascii="Times New Roman" w:hAnsi="Times New Roman" w:eastAsia="宋体" w:cs="Times New Roman"/>
                      <w:color w:val="000000" w:themeColor="text1"/>
                      <w:szCs w:val="20"/>
                    </w:rPr>
                    <w:t>Z</w:t>
                  </w: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声压级/dB（A）</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球磨分级系统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料斗</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54m³</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75</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昼间、夜间</w:t>
                  </w: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选别系统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磁选机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CTB1021</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32"/>
                    </w:rPr>
                    <w:t>弱磁机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CTB0918</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摇床</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FNX-10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烘干系统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过滤机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GW-3</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螺旋进料机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21t/h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烘干机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Φ1200*21000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热风供应系统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热风炉</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RFL型</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Y5-47-4C</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Y5-47-6C</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4-7Z-4.5A</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8" w:type="dxa"/>
                  <w:tcBorders>
                    <w:top w:val="single" w:color="auto" w:sz="4" w:space="0"/>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宋体" w:eastAsia="宋体" w:cs="Times New Roman"/>
                      <w:color w:val="000000" w:themeColor="text1"/>
                      <w:kern w:val="0"/>
                    </w:rPr>
                    <w:t>成品</w:t>
                  </w:r>
                  <w:r>
                    <w:rPr>
                      <w:rFonts w:ascii="Times New Roman" w:hAnsi="宋体" w:eastAsia="宋体" w:cs="Times New Roman"/>
                      <w:color w:val="000000" w:themeColor="text1"/>
                      <w:kern w:val="0"/>
                    </w:rPr>
                    <w:t>工序</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成品料斗</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Φ200*200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bl>
          <w:p>
            <w:pPr>
              <w:spacing w:beforeLines="50" w:line="360" w:lineRule="auto"/>
              <w:ind w:firstLine="361" w:firstLineChars="150"/>
              <w:rPr>
                <w:rFonts w:hint="eastAsia"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②现有次氧化锌生产线噪声源强</w:t>
            </w:r>
          </w:p>
          <w:p>
            <w:pPr>
              <w:spacing w:line="360" w:lineRule="auto"/>
              <w:ind w:firstLine="480" w:firstLineChars="200"/>
              <w:rPr>
                <w:rFonts w:hint="eastAsia" w:ascii="Times New Roman" w:hAnsi="Times New Roman" w:cs="Times New Roman"/>
                <w:color w:val="000000" w:themeColor="text1"/>
                <w:sz w:val="24"/>
              </w:rPr>
            </w:pPr>
            <w:r>
              <w:rPr>
                <w:rFonts w:hint="eastAsia" w:ascii="Times New Roman" w:hAnsi="Times New Roman" w:cs="Times New Roman"/>
                <w:color w:val="000000" w:themeColor="text1"/>
                <w:sz w:val="24"/>
              </w:rPr>
              <w:t>现有次氧化锌生产线</w:t>
            </w:r>
            <w:r>
              <w:rPr>
                <w:rFonts w:ascii="Times New Roman" w:hAnsi="Times New Roman" w:cs="Times New Roman"/>
                <w:color w:val="000000" w:themeColor="text1"/>
                <w:sz w:val="24"/>
              </w:rPr>
              <w:t>噪声污染源主要为设备噪声，其源强如下表所示。</w:t>
            </w:r>
          </w:p>
          <w:p>
            <w:pPr>
              <w:jc w:val="center"/>
              <w:rPr>
                <w:rFonts w:hint="eastAsia" w:ascii="Times New Roman" w:hAnsi="Times New Roman" w:cs="Times New Roman"/>
                <w:b/>
                <w:color w:val="000000" w:themeColor="text1"/>
                <w:szCs w:val="24"/>
              </w:rPr>
            </w:pPr>
            <w:r>
              <w:rPr>
                <w:rFonts w:ascii="Times New Roman" w:hAnsi="Times New Roman" w:cs="Times New Roman"/>
                <w:b/>
                <w:color w:val="000000" w:themeColor="text1"/>
                <w:szCs w:val="24"/>
              </w:rPr>
              <w:t>表4.2.3-</w:t>
            </w:r>
            <w:r>
              <w:rPr>
                <w:rFonts w:hint="eastAsia" w:ascii="Times New Roman" w:hAnsi="Times New Roman" w:cs="Times New Roman"/>
                <w:b/>
                <w:color w:val="000000" w:themeColor="text1"/>
                <w:szCs w:val="24"/>
              </w:rPr>
              <w:t>2 现有次氧化锌生产线</w:t>
            </w:r>
            <w:r>
              <w:rPr>
                <w:rFonts w:ascii="Times New Roman" w:hAnsi="Times New Roman" w:cs="Times New Roman"/>
                <w:b/>
                <w:color w:val="000000" w:themeColor="text1"/>
                <w:szCs w:val="24"/>
              </w:rPr>
              <w:t>噪声源强调查清单</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20"/>
              <w:gridCol w:w="740"/>
              <w:gridCol w:w="591"/>
              <w:gridCol w:w="618"/>
              <w:gridCol w:w="686"/>
              <w:gridCol w:w="567"/>
              <w:gridCol w:w="567"/>
              <w:gridCol w:w="567"/>
              <w:gridCol w:w="706"/>
              <w:gridCol w:w="707"/>
              <w:gridCol w:w="567"/>
              <w:gridCol w:w="707"/>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建筑物名称</w:t>
                  </w:r>
                </w:p>
              </w:tc>
              <w:tc>
                <w:tcPr>
                  <w:tcW w:w="74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污染源名称</w:t>
                  </w:r>
                </w:p>
              </w:tc>
              <w:tc>
                <w:tcPr>
                  <w:tcW w:w="591"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型号</w:t>
                  </w:r>
                </w:p>
              </w:tc>
              <w:tc>
                <w:tcPr>
                  <w:tcW w:w="6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声级/功率/dB（A）</w:t>
                  </w:r>
                </w:p>
              </w:tc>
              <w:tc>
                <w:tcPr>
                  <w:tcW w:w="68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声源控制措施</w:t>
                  </w:r>
                </w:p>
              </w:tc>
              <w:tc>
                <w:tcPr>
                  <w:tcW w:w="1701" w:type="dxa"/>
                  <w:gridSpan w:val="3"/>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空间相对位置</w:t>
                  </w:r>
                </w:p>
              </w:tc>
              <w:tc>
                <w:tcPr>
                  <w:tcW w:w="70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距</w:t>
                  </w:r>
                  <w:r>
                    <w:rPr>
                      <w:rFonts w:ascii="Times New Roman" w:hAnsi="Times New Roman" w:eastAsia="宋体" w:cs="Times New Roman"/>
                      <w:color w:val="000000" w:themeColor="text1"/>
                      <w:kern w:val="32"/>
                    </w:rPr>
                    <w:t>室内边界距离距离m</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室内边界声级/dB（A）</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运行时段</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建筑物插入损失/dB（A）</w:t>
                  </w:r>
                </w:p>
              </w:tc>
              <w:tc>
                <w:tcPr>
                  <w:tcW w:w="1069" w:type="dxa"/>
                  <w:gridSpan w:val="2"/>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91"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6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坐标X</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坐标Y</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离地高</w:t>
                  </w:r>
                  <w:r>
                    <w:rPr>
                      <w:rFonts w:hint="eastAsia" w:ascii="Times New Roman" w:hAnsi="Times New Roman" w:eastAsia="宋体" w:cs="Times New Roman"/>
                      <w:color w:val="000000" w:themeColor="text1"/>
                      <w:kern w:val="32"/>
                    </w:rPr>
                    <w:t>Z</w:t>
                  </w:r>
                </w:p>
              </w:tc>
              <w:tc>
                <w:tcPr>
                  <w:tcW w:w="70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声压级/dB（A）</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配料车间</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上料机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85</w:t>
                  </w:r>
                </w:p>
              </w:tc>
              <w:tc>
                <w:tcPr>
                  <w:tcW w:w="68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昼间、夜间</w:t>
                  </w: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皮带输送机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4.5×2kw</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破碎机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10kw</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焙烧段</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挥发回转窑</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w:t>
                  </w:r>
                  <w:r>
                    <w:rPr>
                      <w:rFonts w:hint="eastAsia" w:ascii="Times New Roman" w:hAnsi="Times New Roman" w:eastAsia="宋体" w:cs="Times New Roman"/>
                      <w:color w:val="000000" w:themeColor="text1"/>
                      <w:kern w:val="32"/>
                    </w:rPr>
                    <w:t>2.2×34m</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冷却及收尘段</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表冷收尘器</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布袋收尘器</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2826</w:t>
                  </w:r>
                  <w:r>
                    <w:rPr>
                      <w:rFonts w:ascii="Times New Roman" w:hAnsi="Times New Roman" w:eastAsia="宋体" w:cs="Times New Roman"/>
                      <w:color w:val="000000" w:themeColor="text1"/>
                      <w:kern w:val="32"/>
                    </w:rPr>
                    <w:t>m²</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其他</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离心引风机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Y8-39-10D</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罗茨鼓风机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RM364</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op w:val="single" w:color="auto" w:sz="4" w:space="0"/>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hint="eastAsia"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hint="eastAsia" w:ascii="Times New Roman" w:hAnsi="Times New Roman" w:eastAsia="宋体" w:cs="Times New Roman"/>
                      <w:color w:val="000000" w:themeColor="text1"/>
                      <w:kern w:val="32"/>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w:t>
            </w:r>
            <w:r>
              <w:rPr>
                <w:rFonts w:hint="eastAsia" w:ascii="Times New Roman" w:hAnsi="Times New Roman" w:cs="Times New Roman"/>
                <w:color w:val="000000" w:themeColor="text1"/>
                <w:sz w:val="24"/>
                <w:szCs w:val="24"/>
              </w:rPr>
              <w:t>的贡献值</w:t>
            </w:r>
            <w:r>
              <w:rPr>
                <w:rFonts w:ascii="Times New Roman" w:hAnsi="Times New Roman" w:cs="Times New Roman"/>
                <w:color w:val="000000" w:themeColor="text1"/>
                <w:sz w:val="24"/>
                <w:szCs w:val="24"/>
              </w:rPr>
              <w:t>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m:rP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m:rPr/>
                <w:rPr>
                  <w:rFonts w:ascii="Cambria Math" w:hAnsi="Cambria Math" w:cs="Times New Roman"/>
                  <w:color w:val="000000" w:themeColor="text1"/>
                  <w:sz w:val="24"/>
                  <w:szCs w:val="24"/>
                </w:rPr>
                <m:t>R</m:t>
              </m:r>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m:rP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m:rP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m:rP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③贡献</w:t>
            </w:r>
            <w:r>
              <w:rPr>
                <w:rFonts w:ascii="Times New Roman" w:hAnsi="Times New Roman" w:cs="Times New Roman"/>
                <w:b/>
                <w:color w:val="000000" w:themeColor="text1"/>
                <w:sz w:val="24"/>
                <w:szCs w:val="24"/>
              </w:rPr>
              <w:t>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贡献</w:t>
            </w:r>
            <w:r>
              <w:rPr>
                <w:rFonts w:ascii="Times New Roman" w:hAnsi="Times New Roman" w:cs="Times New Roman"/>
                <w:color w:val="000000" w:themeColor="text1"/>
                <w:sz w:val="24"/>
                <w:szCs w:val="24"/>
              </w:rPr>
              <w:t>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hint="eastAsia" w:ascii="Times New Roman" w:hAnsi="Times New Roman" w:cs="Times New Roman"/>
                <w:b/>
                <w:color w:val="000000" w:themeColor="text1"/>
                <w:sz w:val="24"/>
                <w:szCs w:val="24"/>
              </w:rPr>
              <w:t>贡献值</w:t>
            </w:r>
            <w:r>
              <w:rPr>
                <w:rFonts w:ascii="Times New Roman" w:hAnsi="Times New Roman" w:cs="Times New Roman"/>
                <w:b/>
                <w:color w:val="000000" w:themeColor="text1"/>
                <w:sz w:val="24"/>
                <w:szCs w:val="24"/>
              </w:rPr>
              <w:t>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w:t>
            </w:r>
            <w:r>
              <w:rPr>
                <w:rFonts w:hint="eastAsia" w:ascii="Times New Roman" w:hAnsi="Times New Roman" w:cs="Times New Roman"/>
                <w:color w:val="000000" w:themeColor="text1"/>
                <w:sz w:val="24"/>
                <w:szCs w:val="24"/>
              </w:rPr>
              <w:t>贡献</w:t>
            </w:r>
            <w:r>
              <w:rPr>
                <w:rFonts w:ascii="Times New Roman" w:hAnsi="Times New Roman" w:cs="Times New Roman"/>
                <w:color w:val="000000" w:themeColor="text1"/>
                <w:sz w:val="24"/>
                <w:szCs w:val="24"/>
              </w:rPr>
              <w:t>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w:t>
            </w:r>
            <w:r>
              <w:rPr>
                <w:rFonts w:hint="eastAsia" w:ascii="Times New Roman" w:hAnsi="Times New Roman" w:cs="Times New Roman"/>
                <w:b/>
                <w:color w:val="000000" w:themeColor="text1"/>
                <w:szCs w:val="24"/>
              </w:rPr>
              <w:t>贡献</w:t>
            </w:r>
            <w:r>
              <w:rPr>
                <w:rFonts w:ascii="Times New Roman" w:hAnsi="Times New Roman" w:cs="Times New Roman"/>
                <w:b/>
                <w:color w:val="000000" w:themeColor="text1"/>
                <w:szCs w:val="24"/>
              </w:rPr>
              <w:t>值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vAlign w:val="center"/>
                </w:tcPr>
                <w:p>
                  <w:pPr>
                    <w:pStyle w:val="33"/>
                    <w:spacing w:line="360" w:lineRule="exact"/>
                    <w:rPr>
                      <w:color w:val="000000" w:themeColor="text1"/>
                      <w:szCs w:val="21"/>
                    </w:rPr>
                  </w:pPr>
                  <w:r>
                    <w:rPr>
                      <w:rFonts w:hint="eastAsia"/>
                      <w:color w:val="000000" w:themeColor="text1"/>
                      <w:szCs w:val="21"/>
                    </w:rPr>
                    <w:t>贡献</w:t>
                  </w:r>
                  <w:r>
                    <w:rPr>
                      <w:color w:val="000000" w:themeColor="text1"/>
                      <w:szCs w:val="21"/>
                    </w:rPr>
                    <w:t>值</w:t>
                  </w:r>
                </w:p>
              </w:tc>
              <w:tc>
                <w:tcPr>
                  <w:tcW w:w="1904" w:type="dxa"/>
                  <w:vAlign w:val="center"/>
                </w:tcPr>
                <w:p>
                  <w:pPr>
                    <w:pStyle w:val="33"/>
                    <w:spacing w:line="360" w:lineRule="exact"/>
                    <w:rPr>
                      <w:color w:val="000000" w:themeColor="text1"/>
                      <w:szCs w:val="21"/>
                    </w:rPr>
                  </w:pPr>
                  <w:r>
                    <w:rPr>
                      <w:color w:val="000000" w:themeColor="text1"/>
                      <w:szCs w:val="21"/>
                    </w:rPr>
                    <w:t>厂界东</w:t>
                  </w:r>
                </w:p>
              </w:tc>
              <w:tc>
                <w:tcPr>
                  <w:tcW w:w="1807" w:type="dxa"/>
                  <w:vAlign w:val="center"/>
                </w:tcPr>
                <w:p>
                  <w:pPr>
                    <w:pStyle w:val="33"/>
                    <w:spacing w:line="360" w:lineRule="exact"/>
                    <w:rPr>
                      <w:color w:val="000000" w:themeColor="text1"/>
                      <w:szCs w:val="21"/>
                    </w:rPr>
                  </w:pPr>
                  <w:r>
                    <w:rPr>
                      <w:color w:val="000000" w:themeColor="text1"/>
                      <w:szCs w:val="21"/>
                    </w:rPr>
                    <w:t>厂界南</w:t>
                  </w:r>
                </w:p>
              </w:tc>
              <w:tc>
                <w:tcPr>
                  <w:tcW w:w="1827" w:type="dxa"/>
                  <w:vAlign w:val="center"/>
                </w:tcPr>
                <w:p>
                  <w:pPr>
                    <w:pStyle w:val="33"/>
                    <w:spacing w:line="360" w:lineRule="exact"/>
                    <w:rPr>
                      <w:color w:val="000000" w:themeColor="text1"/>
                      <w:szCs w:val="21"/>
                    </w:rPr>
                  </w:pPr>
                  <w:r>
                    <w:rPr>
                      <w:color w:val="000000" w:themeColor="text1"/>
                      <w:szCs w:val="21"/>
                    </w:rPr>
                    <w:t>厂界西</w:t>
                  </w:r>
                </w:p>
              </w:tc>
              <w:tc>
                <w:tcPr>
                  <w:tcW w:w="1768" w:type="dxa"/>
                  <w:vAlign w:val="center"/>
                </w:tcPr>
                <w:p>
                  <w:pPr>
                    <w:pStyle w:val="33"/>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3"/>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55.7</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3"/>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55.7</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4.3</w:t>
                  </w:r>
                </w:p>
              </w:tc>
            </w:tr>
          </w:tbl>
          <w:p>
            <w:pPr>
              <w:spacing w:beforeLines="50" w:line="360" w:lineRule="auto"/>
              <w:ind w:firstLine="360" w:firstLineChars="15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1"/>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41"/>
              <w:ind w:firstLine="480"/>
              <w:rPr>
                <w:rFonts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污染影响类》的要求，项目竣工验收噪声监测计划如下表所示。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厂界噪声</w:t>
            </w:r>
            <w:r>
              <w:rPr>
                <w:rFonts w:hint="eastAsia" w:hAnsi="Times New Roman" w:eastAsiaTheme="minorEastAsia"/>
                <w:color w:val="000000" w:themeColor="text1"/>
                <w:sz w:val="21"/>
                <w:szCs w:val="21"/>
              </w:rPr>
              <w:t>竣工验收</w:t>
            </w:r>
            <w:r>
              <w:rPr>
                <w:rFonts w:hAnsi="Times New Roman" w:eastAsiaTheme="minorEastAsia"/>
                <w:color w:val="000000" w:themeColor="text1"/>
                <w:sz w:val="21"/>
                <w:szCs w:val="21"/>
              </w:rPr>
              <w:t>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监测频率</w:t>
                  </w:r>
                </w:p>
              </w:tc>
              <w:tc>
                <w:tcPr>
                  <w:tcW w:w="3476" w:type="dxa"/>
                  <w:vAlign w:val="center"/>
                </w:tcPr>
                <w:p>
                  <w:pPr>
                    <w:pStyle w:val="33"/>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3"/>
                    <w:widowControl w:val="0"/>
                    <w:spacing w:line="360" w:lineRule="exact"/>
                    <w:rPr>
                      <w:rFonts w:eastAsiaTheme="minorEastAsia"/>
                      <w:color w:val="000000" w:themeColor="text1"/>
                    </w:rPr>
                  </w:pPr>
                  <w:r>
                    <w:rPr>
                      <w:rFonts w:hint="eastAsia" w:eastAsiaTheme="minorEastAsia"/>
                      <w:color w:val="000000" w:themeColor="text1"/>
                      <w:szCs w:val="21"/>
                    </w:rPr>
                    <w:t>监测2天、每天昼夜各</w:t>
                  </w:r>
                  <w:r>
                    <w:rPr>
                      <w:rFonts w:eastAsiaTheme="minorEastAsia"/>
                      <w:color w:val="000000" w:themeColor="text1"/>
                      <w:szCs w:val="21"/>
                    </w:rPr>
                    <w:t>1</w:t>
                  </w:r>
                  <w:r>
                    <w:rPr>
                      <w:rFonts w:hint="eastAsia" w:eastAsiaTheme="minorEastAsia"/>
                      <w:color w:val="000000" w:themeColor="text1"/>
                      <w:szCs w:val="21"/>
                    </w:rPr>
                    <w:t>次</w:t>
                  </w:r>
                </w:p>
              </w:tc>
              <w:tc>
                <w:tcPr>
                  <w:tcW w:w="3476" w:type="dxa"/>
                  <w:vAlign w:val="center"/>
                </w:tcPr>
                <w:p>
                  <w:pPr>
                    <w:pStyle w:val="33"/>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w:t>
                  </w:r>
                  <w:r>
                    <w:rPr>
                      <w:rFonts w:hint="eastAsia"/>
                      <w:color w:val="000000" w:themeColor="text1"/>
                      <w:szCs w:val="21"/>
                    </w:rPr>
                    <w:t>3</w:t>
                  </w:r>
                  <w:r>
                    <w:rPr>
                      <w:color w:val="000000" w:themeColor="text1"/>
                      <w:szCs w:val="21"/>
                    </w:rPr>
                    <w:t>类标准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pStyle w:val="41"/>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厂界噪声自行监测计划一览表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3"/>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3"/>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1"/>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w:t>
            </w:r>
            <w:r>
              <w:rPr>
                <w:rFonts w:hint="eastAsia" w:eastAsiaTheme="minorEastAsia"/>
                <w:color w:val="000000" w:themeColor="text1"/>
                <w:szCs w:val="24"/>
              </w:rPr>
              <w:t>项目对氧化锌尾渣（水淬渣）利用后剩余的废渣、袋式除尘器收集烟尘、</w:t>
            </w:r>
            <w:r>
              <w:rPr>
                <w:rFonts w:eastAsiaTheme="minorEastAsia"/>
                <w:color w:val="000000" w:themeColor="text1"/>
                <w:szCs w:val="24"/>
              </w:rPr>
              <w:t>旋风除尘器</w:t>
            </w:r>
            <w:r>
              <w:rPr>
                <w:rFonts w:hint="eastAsia" w:eastAsiaTheme="minorEastAsia"/>
                <w:color w:val="000000" w:themeColor="text1"/>
                <w:szCs w:val="24"/>
              </w:rPr>
              <w:t>+</w:t>
            </w:r>
            <w:r>
              <w:rPr>
                <w:rFonts w:eastAsiaTheme="minorEastAsia"/>
                <w:color w:val="000000" w:themeColor="text1"/>
                <w:szCs w:val="24"/>
              </w:rPr>
              <w:t>袋式除尘器收集粉尘、</w:t>
            </w:r>
            <w:r>
              <w:rPr>
                <w:rFonts w:hint="eastAsia" w:eastAsiaTheme="minorEastAsia"/>
                <w:color w:val="000000" w:themeColor="text1"/>
                <w:szCs w:val="24"/>
              </w:rPr>
              <w:t>热风炉燃烧产生的灰渣、</w:t>
            </w:r>
            <w:r>
              <w:rPr>
                <w:rFonts w:eastAsiaTheme="minorEastAsia"/>
                <w:color w:val="000000" w:themeColor="text1"/>
                <w:szCs w:val="24"/>
              </w:rPr>
              <w:t>设备维修产生的废机油及废弃沾油抹布、生活垃圾。具体如下：</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①废渣</w:t>
            </w:r>
          </w:p>
          <w:p>
            <w:pPr>
              <w:pStyle w:val="41"/>
              <w:ind w:firstLine="480"/>
              <w:rPr>
                <w:rFonts w:eastAsiaTheme="minorEastAsia"/>
                <w:color w:val="000000" w:themeColor="text1"/>
                <w:szCs w:val="24"/>
              </w:rPr>
            </w:pPr>
            <w:r>
              <w:rPr>
                <w:rFonts w:eastAsiaTheme="minorEastAsia"/>
                <w:color w:val="000000" w:themeColor="text1"/>
                <w:szCs w:val="24"/>
              </w:rPr>
              <w:t>根据物料平衡可知，本项目</w:t>
            </w:r>
            <w:r>
              <w:rPr>
                <w:rFonts w:hint="eastAsia" w:eastAsiaTheme="minorEastAsia"/>
                <w:color w:val="000000" w:themeColor="text1"/>
                <w:szCs w:val="24"/>
              </w:rPr>
              <w:t>浓密+真空过滤后的废渣</w:t>
            </w:r>
            <w:r>
              <w:rPr>
                <w:rFonts w:eastAsiaTheme="minorEastAsia"/>
                <w:color w:val="000000" w:themeColor="text1"/>
                <w:szCs w:val="24"/>
              </w:rPr>
              <w:t>产生</w:t>
            </w:r>
            <w:r>
              <w:rPr>
                <w:rFonts w:hint="eastAsia" w:eastAsiaTheme="minorEastAsia"/>
                <w:color w:val="000000" w:themeColor="text1"/>
                <w:szCs w:val="24"/>
              </w:rPr>
              <w:t>量</w:t>
            </w:r>
            <w:r>
              <w:rPr>
                <w:rFonts w:eastAsiaTheme="minorEastAsia"/>
                <w:color w:val="000000" w:themeColor="text1"/>
                <w:szCs w:val="24"/>
              </w:rPr>
              <w:t>约1</w:t>
            </w:r>
            <w:r>
              <w:rPr>
                <w:rFonts w:hint="eastAsia" w:eastAsiaTheme="minorEastAsia"/>
                <w:color w:val="000000" w:themeColor="text1"/>
                <w:szCs w:val="24"/>
              </w:rPr>
              <w:t>1.96</w:t>
            </w:r>
            <w:r>
              <w:rPr>
                <w:rFonts w:eastAsiaTheme="minorEastAsia"/>
                <w:color w:val="000000" w:themeColor="text1"/>
                <w:szCs w:val="24"/>
              </w:rPr>
              <w:t>万t/a，本项目通过物理磁选、重选的方式回收氧化锌尾渣（水淬渣）中有利用价值的铁，而根据建设单位委托监测单位对氧化锌尾渣（水淬渣）进行的属性鉴别，氧化锌尾渣（水淬渣）属于第I类一般工业固体废物，而经物理选别后的尾渣同样属于一般工业固体废物。项目已设置了1个600m²废渣暂存库对其进行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②袋式除尘器收集烟尘</w:t>
            </w:r>
          </w:p>
          <w:p>
            <w:pPr>
              <w:pStyle w:val="41"/>
              <w:ind w:firstLine="480"/>
              <w:rPr>
                <w:rFonts w:eastAsiaTheme="minorEastAsia"/>
                <w:color w:val="000000" w:themeColor="text1"/>
                <w:szCs w:val="24"/>
              </w:rPr>
            </w:pPr>
            <w:r>
              <w:rPr>
                <w:rFonts w:eastAsiaTheme="minorEastAsia"/>
                <w:color w:val="000000" w:themeColor="text1"/>
                <w:szCs w:val="24"/>
              </w:rPr>
              <w:t>针对热风炉燃烧烟气中的</w:t>
            </w:r>
            <w:r>
              <w:rPr>
                <w:rFonts w:hint="eastAsia" w:eastAsiaTheme="minorEastAsia"/>
                <w:color w:val="000000" w:themeColor="text1"/>
                <w:szCs w:val="24"/>
              </w:rPr>
              <w:t>颗粒物</w:t>
            </w:r>
            <w:r>
              <w:rPr>
                <w:rFonts w:eastAsiaTheme="minorEastAsia"/>
                <w:color w:val="000000" w:themeColor="text1"/>
                <w:szCs w:val="24"/>
              </w:rPr>
              <w:t>，项目拟布袋除尘器对其进行处理，1#布袋除尘除尘效率为99.7%，根据废气去除效率分析可知，本项目燃烧烟气袋式除尘器收集烟尘收集量为37t/a，统一收集进入废渣暂存库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旋风除尘器</w:t>
            </w:r>
            <w:r>
              <w:rPr>
                <w:rFonts w:hint="eastAsia" w:ascii="宋体" w:hAnsi="宋体" w:cs="宋体"/>
                <w:b/>
                <w:color w:val="000000" w:themeColor="text1"/>
                <w:szCs w:val="24"/>
              </w:rPr>
              <w:t>+</w:t>
            </w:r>
            <w:r>
              <w:rPr>
                <w:rFonts w:ascii="宋体" w:hAnsi="宋体" w:cs="宋体"/>
                <w:b/>
                <w:color w:val="000000" w:themeColor="text1"/>
                <w:szCs w:val="24"/>
              </w:rPr>
              <w:t>袋式除尘器收集粉尘</w:t>
            </w:r>
          </w:p>
          <w:p>
            <w:pPr>
              <w:pStyle w:val="41"/>
              <w:ind w:firstLine="480"/>
              <w:rPr>
                <w:rFonts w:eastAsiaTheme="minorEastAsia"/>
                <w:color w:val="000000" w:themeColor="text1"/>
                <w:szCs w:val="24"/>
              </w:rPr>
            </w:pPr>
            <w:r>
              <w:rPr>
                <w:rFonts w:hint="eastAsia" w:eastAsiaTheme="minorEastAsia"/>
                <w:color w:val="000000" w:themeColor="text1"/>
                <w:szCs w:val="24"/>
              </w:rPr>
              <w:t>针对烘干工序将产生烘干粉尘（颗粒物），项目拟设置旋风除尘+布袋除尘器处理，其中旋风除尘效率为70%，2#布袋除尘除尘效率为98.4%，则综合除尘效率约为99.5%，</w:t>
            </w:r>
            <w:r>
              <w:rPr>
                <w:rFonts w:eastAsiaTheme="minorEastAsia"/>
                <w:color w:val="000000" w:themeColor="text1"/>
                <w:szCs w:val="24"/>
              </w:rPr>
              <w:t>根据废气去除效率分析可知，本项目旋风除尘器</w:t>
            </w:r>
            <w:r>
              <w:rPr>
                <w:rFonts w:hint="eastAsia" w:eastAsiaTheme="minorEastAsia"/>
                <w:color w:val="000000" w:themeColor="text1"/>
                <w:szCs w:val="24"/>
              </w:rPr>
              <w:t>+</w:t>
            </w:r>
            <w:r>
              <w:rPr>
                <w:rFonts w:eastAsiaTheme="minorEastAsia"/>
                <w:color w:val="000000" w:themeColor="text1"/>
                <w:szCs w:val="24"/>
              </w:rPr>
              <w:t>袋式除尘器收集粉尘</w:t>
            </w:r>
            <w:r>
              <w:rPr>
                <w:rFonts w:hint="eastAsia" w:eastAsiaTheme="minorEastAsia"/>
                <w:color w:val="000000" w:themeColor="text1"/>
                <w:szCs w:val="24"/>
              </w:rPr>
              <w:t>量为21.91</w:t>
            </w:r>
            <w:r>
              <w:rPr>
                <w:rFonts w:eastAsiaTheme="minorEastAsia"/>
                <w:color w:val="000000" w:themeColor="text1"/>
                <w:szCs w:val="24"/>
              </w:rPr>
              <w:t>t/a</w:t>
            </w:r>
            <w:r>
              <w:rPr>
                <w:rFonts w:hint="eastAsia" w:eastAsiaTheme="minorEastAsia"/>
                <w:color w:val="000000" w:themeColor="text1"/>
                <w:szCs w:val="24"/>
              </w:rPr>
              <w:t>；该粉尘的主要成分为铁粉，该收集粉尘收集后返回生产工序烘干包装后外卖。处置率100%。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④灰渣</w:t>
            </w:r>
          </w:p>
          <w:p>
            <w:pPr>
              <w:pStyle w:val="41"/>
              <w:ind w:firstLine="480"/>
              <w:rPr>
                <w:rFonts w:eastAsiaTheme="minorEastAsia"/>
                <w:color w:val="000000" w:themeColor="text1"/>
                <w:szCs w:val="24"/>
              </w:rPr>
            </w:pPr>
            <w:r>
              <w:rPr>
                <w:rFonts w:hint="eastAsia" w:eastAsiaTheme="minorEastAsia"/>
                <w:color w:val="000000" w:themeColor="text1"/>
                <w:szCs w:val="24"/>
              </w:rPr>
              <w:t>项目</w:t>
            </w:r>
            <w:r>
              <w:rPr>
                <w:rFonts w:eastAsiaTheme="minorEastAsia"/>
                <w:color w:val="000000" w:themeColor="text1"/>
                <w:szCs w:val="24"/>
              </w:rPr>
              <w:t>烘干系统</w:t>
            </w:r>
            <w:r>
              <w:rPr>
                <w:rFonts w:hint="eastAsia" w:eastAsiaTheme="minorEastAsia"/>
                <w:color w:val="000000" w:themeColor="text1"/>
                <w:szCs w:val="24"/>
              </w:rPr>
              <w:t>设置了</w:t>
            </w:r>
            <w:r>
              <w:rPr>
                <w:rFonts w:eastAsiaTheme="minorEastAsia"/>
                <w:color w:val="000000" w:themeColor="text1"/>
                <w:szCs w:val="24"/>
              </w:rPr>
              <w:t>1套RFL型圆筒型热风炉</w:t>
            </w:r>
            <w:r>
              <w:rPr>
                <w:rFonts w:hint="eastAsia" w:eastAsiaTheme="minorEastAsia"/>
                <w:color w:val="000000" w:themeColor="text1"/>
                <w:szCs w:val="24"/>
              </w:rPr>
              <w:t>，热风炉使用生物质作为燃料，该生物质燃料使用量为1000t/a，其灰分约为</w:t>
            </w:r>
            <w:r>
              <w:rPr>
                <w:rFonts w:eastAsiaTheme="minorEastAsia"/>
                <w:color w:val="000000" w:themeColor="text1"/>
                <w:szCs w:val="24"/>
              </w:rPr>
              <w:t>3.07%</w:t>
            </w:r>
            <w:r>
              <w:rPr>
                <w:rFonts w:hint="eastAsia" w:eastAsiaTheme="minorEastAsia"/>
                <w:color w:val="000000" w:themeColor="text1"/>
                <w:szCs w:val="24"/>
              </w:rPr>
              <w:t>，飞灰份额约为0.95，则</w:t>
            </w:r>
            <w:r>
              <w:rPr>
                <w:rFonts w:eastAsiaTheme="minorEastAsia"/>
                <w:color w:val="000000" w:themeColor="text1"/>
                <w:szCs w:val="24"/>
              </w:rPr>
              <w:t>热风炉</w:t>
            </w:r>
            <w:r>
              <w:rPr>
                <w:rFonts w:hint="eastAsia" w:eastAsiaTheme="minorEastAsia"/>
                <w:color w:val="000000" w:themeColor="text1"/>
                <w:szCs w:val="24"/>
              </w:rPr>
              <w:t>燃烧过程产生的额灰渣量约为1.54t/a，</w:t>
            </w:r>
            <w:r>
              <w:rPr>
                <w:rFonts w:eastAsiaTheme="minorEastAsia"/>
                <w:color w:val="000000" w:themeColor="text1"/>
                <w:szCs w:val="24"/>
              </w:rPr>
              <w:t>统一收集进入废渣暂存库暂存后，委托四方地工业园区弃渣场处置。处置率100%。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⑤</w:t>
            </w:r>
            <w:r>
              <w:rPr>
                <w:rFonts w:ascii="宋体" w:hAnsi="宋体" w:cs="宋体"/>
                <w:b/>
                <w:color w:val="000000" w:themeColor="text1"/>
                <w:szCs w:val="24"/>
              </w:rPr>
              <w:t>废机油及废弃沾油抹布</w:t>
            </w:r>
          </w:p>
          <w:p>
            <w:pPr>
              <w:pStyle w:val="41"/>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833"/>
              <w:gridCol w:w="1197"/>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项目危废</w:t>
                  </w:r>
                </w:p>
              </w:tc>
              <w:tc>
                <w:tcPr>
                  <w:tcW w:w="830" w:type="pct"/>
                  <w:vAlign w:val="center"/>
                </w:tcPr>
                <w:p>
                  <w:pPr>
                    <w:pStyle w:val="33"/>
                    <w:spacing w:line="360" w:lineRule="exact"/>
                    <w:rPr>
                      <w:color w:val="000000" w:themeColor="text1"/>
                      <w:szCs w:val="21"/>
                    </w:rPr>
                  </w:pPr>
                  <w:r>
                    <w:rPr>
                      <w:color w:val="000000" w:themeColor="text1"/>
                      <w:szCs w:val="21"/>
                    </w:rPr>
                    <w:t>废物类别</w:t>
                  </w:r>
                </w:p>
              </w:tc>
              <w:tc>
                <w:tcPr>
                  <w:tcW w:w="484" w:type="pct"/>
                  <w:vAlign w:val="center"/>
                </w:tcPr>
                <w:p>
                  <w:pPr>
                    <w:pStyle w:val="33"/>
                    <w:spacing w:line="360" w:lineRule="exact"/>
                    <w:rPr>
                      <w:color w:val="000000" w:themeColor="text1"/>
                      <w:szCs w:val="21"/>
                    </w:rPr>
                  </w:pPr>
                  <w:r>
                    <w:rPr>
                      <w:color w:val="000000" w:themeColor="text1"/>
                      <w:szCs w:val="21"/>
                    </w:rPr>
                    <w:t>行业来源</w:t>
                  </w:r>
                </w:p>
              </w:tc>
              <w:tc>
                <w:tcPr>
                  <w:tcW w:w="695" w:type="pct"/>
                  <w:vAlign w:val="center"/>
                </w:tcPr>
                <w:p>
                  <w:pPr>
                    <w:pStyle w:val="33"/>
                    <w:spacing w:line="360" w:lineRule="exact"/>
                    <w:rPr>
                      <w:color w:val="000000" w:themeColor="text1"/>
                      <w:szCs w:val="21"/>
                    </w:rPr>
                  </w:pPr>
                  <w:r>
                    <w:rPr>
                      <w:color w:val="000000" w:themeColor="text1"/>
                      <w:szCs w:val="21"/>
                    </w:rPr>
                    <w:t>废物代码</w:t>
                  </w:r>
                </w:p>
              </w:tc>
              <w:tc>
                <w:tcPr>
                  <w:tcW w:w="1732" w:type="pct"/>
                  <w:vAlign w:val="center"/>
                </w:tcPr>
                <w:p>
                  <w:pPr>
                    <w:pStyle w:val="33"/>
                    <w:spacing w:line="360" w:lineRule="exact"/>
                    <w:rPr>
                      <w:color w:val="000000" w:themeColor="text1"/>
                      <w:szCs w:val="21"/>
                    </w:rPr>
                  </w:pPr>
                  <w:r>
                    <w:rPr>
                      <w:color w:val="000000" w:themeColor="text1"/>
                      <w:szCs w:val="21"/>
                    </w:rPr>
                    <w:t>危险废物</w:t>
                  </w:r>
                </w:p>
              </w:tc>
              <w:tc>
                <w:tcPr>
                  <w:tcW w:w="583" w:type="pct"/>
                  <w:vAlign w:val="center"/>
                </w:tcPr>
                <w:p>
                  <w:pPr>
                    <w:pStyle w:val="33"/>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废机油</w:t>
                  </w:r>
                </w:p>
              </w:tc>
              <w:tc>
                <w:tcPr>
                  <w:tcW w:w="830" w:type="pct"/>
                  <w:vAlign w:val="center"/>
                </w:tcPr>
                <w:p>
                  <w:pPr>
                    <w:pStyle w:val="33"/>
                    <w:spacing w:line="360" w:lineRule="exact"/>
                    <w:rPr>
                      <w:color w:val="000000" w:themeColor="text1"/>
                      <w:szCs w:val="21"/>
                    </w:rPr>
                  </w:pPr>
                  <w:r>
                    <w:rPr>
                      <w:color w:val="000000" w:themeColor="text1"/>
                      <w:szCs w:val="21"/>
                    </w:rPr>
                    <w:t>HW08废矿物油与含矿物油废物</w:t>
                  </w:r>
                </w:p>
              </w:tc>
              <w:tc>
                <w:tcPr>
                  <w:tcW w:w="484" w:type="pct"/>
                  <w:vAlign w:val="center"/>
                </w:tcPr>
                <w:p>
                  <w:pPr>
                    <w:pStyle w:val="33"/>
                    <w:spacing w:line="360" w:lineRule="exact"/>
                    <w:rPr>
                      <w:color w:val="000000" w:themeColor="text1"/>
                      <w:szCs w:val="21"/>
                    </w:rPr>
                  </w:pPr>
                  <w:r>
                    <w:rPr>
                      <w:color w:val="000000" w:themeColor="text1"/>
                      <w:szCs w:val="21"/>
                    </w:rPr>
                    <w:t>非特定行业</w:t>
                  </w:r>
                </w:p>
              </w:tc>
              <w:tc>
                <w:tcPr>
                  <w:tcW w:w="695" w:type="pct"/>
                  <w:vAlign w:val="center"/>
                </w:tcPr>
                <w:p>
                  <w:pPr>
                    <w:pStyle w:val="33"/>
                    <w:spacing w:line="360" w:lineRule="exact"/>
                    <w:rPr>
                      <w:color w:val="000000" w:themeColor="text1"/>
                      <w:szCs w:val="21"/>
                    </w:rPr>
                  </w:pPr>
                  <w:r>
                    <w:rPr>
                      <w:color w:val="000000" w:themeColor="text1"/>
                      <w:szCs w:val="21"/>
                    </w:rPr>
                    <w:t>900-214-08</w:t>
                  </w:r>
                </w:p>
              </w:tc>
              <w:tc>
                <w:tcPr>
                  <w:tcW w:w="1732" w:type="pct"/>
                  <w:vAlign w:val="center"/>
                </w:tcPr>
                <w:p>
                  <w:pPr>
                    <w:pStyle w:val="33"/>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583" w:type="pct"/>
                  <w:vAlign w:val="center"/>
                </w:tcPr>
                <w:p>
                  <w:pPr>
                    <w:pStyle w:val="33"/>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沾油的抹布</w:t>
                  </w:r>
                </w:p>
              </w:tc>
              <w:tc>
                <w:tcPr>
                  <w:tcW w:w="830" w:type="pct"/>
                  <w:vAlign w:val="center"/>
                </w:tcPr>
                <w:p>
                  <w:pPr>
                    <w:pStyle w:val="33"/>
                    <w:spacing w:line="360" w:lineRule="exact"/>
                    <w:rPr>
                      <w:color w:val="000000" w:themeColor="text1"/>
                      <w:szCs w:val="21"/>
                    </w:rPr>
                  </w:pPr>
                  <w:r>
                    <w:rPr>
                      <w:color w:val="000000" w:themeColor="text1"/>
                      <w:szCs w:val="21"/>
                    </w:rPr>
                    <w:t>HW49其他废物</w:t>
                  </w:r>
                </w:p>
              </w:tc>
              <w:tc>
                <w:tcPr>
                  <w:tcW w:w="484" w:type="pct"/>
                  <w:vAlign w:val="center"/>
                </w:tcPr>
                <w:p>
                  <w:pPr>
                    <w:pStyle w:val="33"/>
                    <w:spacing w:line="360" w:lineRule="exact"/>
                    <w:rPr>
                      <w:color w:val="000000" w:themeColor="text1"/>
                      <w:szCs w:val="21"/>
                    </w:rPr>
                  </w:pPr>
                  <w:r>
                    <w:rPr>
                      <w:color w:val="000000" w:themeColor="text1"/>
                      <w:szCs w:val="21"/>
                    </w:rPr>
                    <w:t>非特定行业</w:t>
                  </w:r>
                </w:p>
              </w:tc>
              <w:tc>
                <w:tcPr>
                  <w:tcW w:w="695" w:type="pct"/>
                  <w:vAlign w:val="center"/>
                </w:tcPr>
                <w:p>
                  <w:pPr>
                    <w:pStyle w:val="33"/>
                    <w:spacing w:line="360" w:lineRule="exact"/>
                    <w:rPr>
                      <w:color w:val="000000" w:themeColor="text1"/>
                      <w:szCs w:val="21"/>
                    </w:rPr>
                  </w:pPr>
                  <w:r>
                    <w:rPr>
                      <w:color w:val="000000" w:themeColor="text1"/>
                      <w:szCs w:val="21"/>
                    </w:rPr>
                    <w:t>900-041-49</w:t>
                  </w:r>
                </w:p>
              </w:tc>
              <w:tc>
                <w:tcPr>
                  <w:tcW w:w="1732" w:type="pct"/>
                  <w:vAlign w:val="center"/>
                </w:tcPr>
                <w:p>
                  <w:pPr>
                    <w:pStyle w:val="33"/>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33"/>
                    <w:spacing w:line="360" w:lineRule="exact"/>
                    <w:rPr>
                      <w:color w:val="000000" w:themeColor="text1"/>
                      <w:szCs w:val="21"/>
                    </w:rPr>
                  </w:pPr>
                  <w:r>
                    <w:rPr>
                      <w:color w:val="000000" w:themeColor="text1"/>
                      <w:szCs w:val="21"/>
                    </w:rPr>
                    <w:t>T/In</w:t>
                  </w:r>
                </w:p>
              </w:tc>
            </w:tr>
          </w:tbl>
          <w:p>
            <w:pPr>
              <w:pStyle w:val="41"/>
              <w:spacing w:beforeLines="50"/>
              <w:ind w:firstLine="480"/>
              <w:rPr>
                <w:color w:val="000000" w:themeColor="text1"/>
                <w:szCs w:val="21"/>
              </w:rPr>
            </w:pPr>
            <w:r>
              <w:rPr>
                <w:color w:val="000000" w:themeColor="text1"/>
                <w:szCs w:val="24"/>
              </w:rPr>
              <w:t>根据设计，项目区每年废机油产生量约为80kg，废弃沾油抹布产生量为10kg；</w:t>
            </w:r>
            <w:r>
              <w:rPr>
                <w:rFonts w:hint="eastAsia"/>
                <w:color w:val="000000" w:themeColor="text1"/>
                <w:szCs w:val="21"/>
              </w:rPr>
              <w:t xml:space="preserve"> </w:t>
            </w:r>
            <w:r>
              <w:rPr>
                <w:color w:val="000000" w:themeColor="text1"/>
                <w:szCs w:val="24"/>
              </w:rPr>
              <w:t>根据《国家危险废物名录》（2021版）“危险废物豁免管理清单”的要求，本项目豁免危险废物清单如下：</w:t>
            </w:r>
          </w:p>
          <w:p>
            <w:pPr>
              <w:jc w:val="center"/>
              <w:rPr>
                <w:rFonts w:ascii="Times New Roman" w:hAnsi="Times New Roman"/>
                <w:b/>
                <w:color w:val="000000" w:themeColor="text1"/>
                <w:szCs w:val="24"/>
              </w:rPr>
            </w:pPr>
            <w:r>
              <w:rPr>
                <w:rFonts w:ascii="Times New Roman" w:hAnsi="Times New Roman"/>
                <w:b/>
                <w:color w:val="000000" w:themeColor="text1"/>
                <w:szCs w:val="24"/>
              </w:rPr>
              <w:t>表4.2.4-</w:t>
            </w:r>
            <w:r>
              <w:rPr>
                <w:rFonts w:hint="eastAsia" w:ascii="Times New Roman" w:hAnsi="Times New Roman"/>
                <w:b/>
                <w:color w:val="000000" w:themeColor="text1"/>
                <w:szCs w:val="24"/>
              </w:rPr>
              <w:t>2</w:t>
            </w:r>
            <w:r>
              <w:rPr>
                <w:rFonts w:ascii="Times New Roman" w:hAnsi="Times New Roman"/>
                <w:b/>
                <w:color w:val="000000" w:themeColor="text1"/>
                <w:szCs w:val="24"/>
              </w:rPr>
              <w:t xml:space="preserve"> 本项目豁免危险废物清单一览表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3"/>
                    <w:spacing w:line="360" w:lineRule="exact"/>
                    <w:rPr>
                      <w:color w:val="000000" w:themeColor="text1"/>
                      <w:szCs w:val="21"/>
                    </w:rPr>
                  </w:pPr>
                  <w:r>
                    <w:rPr>
                      <w:color w:val="000000" w:themeColor="text1"/>
                      <w:szCs w:val="21"/>
                    </w:rPr>
                    <w:t>废物类别</w:t>
                  </w:r>
                </w:p>
              </w:tc>
              <w:tc>
                <w:tcPr>
                  <w:tcW w:w="860" w:type="pct"/>
                  <w:vAlign w:val="center"/>
                </w:tcPr>
                <w:p>
                  <w:pPr>
                    <w:pStyle w:val="33"/>
                    <w:spacing w:line="360" w:lineRule="exact"/>
                    <w:rPr>
                      <w:color w:val="000000" w:themeColor="text1"/>
                      <w:szCs w:val="21"/>
                    </w:rPr>
                  </w:pPr>
                  <w:r>
                    <w:rPr>
                      <w:color w:val="000000" w:themeColor="text1"/>
                      <w:szCs w:val="21"/>
                    </w:rPr>
                    <w:t>危险废物</w:t>
                  </w:r>
                </w:p>
              </w:tc>
              <w:tc>
                <w:tcPr>
                  <w:tcW w:w="727" w:type="pct"/>
                  <w:vAlign w:val="center"/>
                </w:tcPr>
                <w:p>
                  <w:pPr>
                    <w:pStyle w:val="33"/>
                    <w:spacing w:line="360" w:lineRule="exact"/>
                    <w:rPr>
                      <w:color w:val="000000" w:themeColor="text1"/>
                      <w:szCs w:val="21"/>
                    </w:rPr>
                  </w:pPr>
                  <w:r>
                    <w:rPr>
                      <w:color w:val="000000" w:themeColor="text1"/>
                      <w:szCs w:val="21"/>
                    </w:rPr>
                    <w:t>豁免环节</w:t>
                  </w:r>
                </w:p>
              </w:tc>
              <w:tc>
                <w:tcPr>
                  <w:tcW w:w="962" w:type="pct"/>
                  <w:vAlign w:val="center"/>
                </w:tcPr>
                <w:p>
                  <w:pPr>
                    <w:pStyle w:val="33"/>
                    <w:spacing w:line="360" w:lineRule="exact"/>
                    <w:rPr>
                      <w:color w:val="000000" w:themeColor="text1"/>
                      <w:szCs w:val="21"/>
                    </w:rPr>
                  </w:pPr>
                  <w:r>
                    <w:rPr>
                      <w:color w:val="000000" w:themeColor="text1"/>
                      <w:szCs w:val="21"/>
                    </w:rPr>
                    <w:t>豁免条件</w:t>
                  </w:r>
                </w:p>
              </w:tc>
              <w:tc>
                <w:tcPr>
                  <w:tcW w:w="1562" w:type="pct"/>
                  <w:vAlign w:val="center"/>
                </w:tcPr>
                <w:p>
                  <w:pPr>
                    <w:pStyle w:val="33"/>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3"/>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bCs/>
                      <w:snapToGrid w:val="0"/>
                      <w:color w:val="000000" w:themeColor="text1"/>
                      <w:kern w:val="32"/>
                      <w:lang w:val="zh-CN"/>
                    </w:rPr>
                  </w:pPr>
                  <w:r>
                    <w:rPr>
                      <w:rFonts w:ascii="Times New Roman" w:hAnsi="Times New Roman"/>
                      <w:bCs/>
                      <w:snapToGrid w:val="0"/>
                      <w:color w:val="000000" w:themeColor="text1"/>
                      <w:kern w:val="32"/>
                      <w:lang w:val="zh-CN"/>
                    </w:rPr>
                    <w:t>废弃的含油抹布、劳保用品</w:t>
                  </w:r>
                </w:p>
              </w:tc>
              <w:tc>
                <w:tcPr>
                  <w:tcW w:w="727" w:type="pct"/>
                  <w:vAlign w:val="center"/>
                </w:tcPr>
                <w:p>
                  <w:pPr>
                    <w:pStyle w:val="33"/>
                    <w:spacing w:line="360" w:lineRule="exact"/>
                    <w:rPr>
                      <w:color w:val="000000" w:themeColor="text1"/>
                      <w:szCs w:val="21"/>
                    </w:rPr>
                  </w:pPr>
                  <w:r>
                    <w:rPr>
                      <w:color w:val="000000" w:themeColor="text1"/>
                      <w:szCs w:val="21"/>
                    </w:rPr>
                    <w:t>全部环节</w:t>
                  </w:r>
                </w:p>
              </w:tc>
              <w:tc>
                <w:tcPr>
                  <w:tcW w:w="962" w:type="pct"/>
                  <w:vAlign w:val="center"/>
                </w:tcPr>
                <w:p>
                  <w:pPr>
                    <w:pStyle w:val="33"/>
                    <w:spacing w:line="360" w:lineRule="exact"/>
                    <w:rPr>
                      <w:color w:val="000000" w:themeColor="text1"/>
                      <w:szCs w:val="21"/>
                    </w:rPr>
                  </w:pPr>
                  <w:r>
                    <w:rPr>
                      <w:color w:val="000000" w:themeColor="text1"/>
                      <w:szCs w:val="21"/>
                    </w:rPr>
                    <w:t>未分类收集</w:t>
                  </w:r>
                </w:p>
              </w:tc>
              <w:tc>
                <w:tcPr>
                  <w:tcW w:w="1562" w:type="pct"/>
                  <w:vAlign w:val="center"/>
                </w:tcPr>
                <w:p>
                  <w:pPr>
                    <w:pStyle w:val="33"/>
                    <w:spacing w:line="360" w:lineRule="exact"/>
                    <w:rPr>
                      <w:color w:val="000000" w:themeColor="text1"/>
                      <w:szCs w:val="21"/>
                    </w:rPr>
                  </w:pPr>
                  <w:r>
                    <w:rPr>
                      <w:color w:val="000000" w:themeColor="text1"/>
                      <w:szCs w:val="21"/>
                    </w:rPr>
                    <w:t>全过程不按危险废物管理</w:t>
                  </w:r>
                </w:p>
              </w:tc>
            </w:tr>
          </w:tbl>
          <w:p>
            <w:pPr>
              <w:pStyle w:val="41"/>
              <w:spacing w:beforeLines="50"/>
              <w:ind w:firstLine="480"/>
              <w:rPr>
                <w:color w:val="000000" w:themeColor="text1"/>
                <w:szCs w:val="21"/>
              </w:rPr>
            </w:pPr>
            <w:r>
              <w:rPr>
                <w:color w:val="000000" w:themeColor="text1"/>
                <w:szCs w:val="24"/>
              </w:rPr>
              <w:t>由上表可知，项目产生的废弃沾油抹布全部环节已被豁免，按一般固体废物管理要求管理；针对项目产生的废机油和废弃沾油抹布，厂区已建设了1个15m²的危险废物贮存间对项目区废机油进行暂存；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p>
            <w:pPr>
              <w:pStyle w:val="41"/>
              <w:ind w:firstLine="482"/>
              <w:rPr>
                <w:rFonts w:eastAsiaTheme="minorEastAsia"/>
                <w:b/>
                <w:color w:val="000000" w:themeColor="text1"/>
                <w:szCs w:val="24"/>
              </w:rPr>
            </w:pPr>
            <w:r>
              <w:rPr>
                <w:rFonts w:hint="eastAsia" w:ascii="宋体" w:hAnsi="宋体" w:cs="宋体"/>
                <w:b/>
                <w:color w:val="000000" w:themeColor="text1"/>
                <w:szCs w:val="24"/>
              </w:rPr>
              <w:t>⑥</w:t>
            </w:r>
            <w:r>
              <w:rPr>
                <w:rFonts w:eastAsiaTheme="minorEastAsia"/>
                <w:b/>
                <w:color w:val="000000" w:themeColor="text1"/>
                <w:szCs w:val="24"/>
              </w:rPr>
              <w:t>生活垃圾</w:t>
            </w:r>
          </w:p>
          <w:p>
            <w:pPr>
              <w:pStyle w:val="41"/>
              <w:ind w:firstLine="480"/>
              <w:rPr>
                <w:rFonts w:eastAsiaTheme="minorEastAsia"/>
                <w:color w:val="000000" w:themeColor="text1"/>
                <w:szCs w:val="24"/>
              </w:rPr>
            </w:pPr>
            <w:r>
              <w:rPr>
                <w:rFonts w:eastAsiaTheme="minorEastAsia"/>
                <w:color w:val="000000" w:themeColor="text1"/>
                <w:szCs w:val="24"/>
              </w:rPr>
              <w:t>根据项目特点可知，</w:t>
            </w:r>
            <w:r>
              <w:rPr>
                <w:rFonts w:hint="eastAsia" w:eastAsiaTheme="minorEastAsia"/>
                <w:color w:val="000000" w:themeColor="text1"/>
                <w:szCs w:val="24"/>
              </w:rPr>
              <w:t>本项目新增</w:t>
            </w:r>
            <w:r>
              <w:rPr>
                <w:rFonts w:eastAsiaTheme="minorEastAsia"/>
                <w:color w:val="000000" w:themeColor="text1"/>
                <w:szCs w:val="24"/>
              </w:rPr>
              <w:t>员工</w:t>
            </w:r>
            <w:r>
              <w:rPr>
                <w:rFonts w:hint="eastAsia" w:eastAsiaTheme="minorEastAsia"/>
                <w:color w:val="000000" w:themeColor="text1"/>
                <w:szCs w:val="24"/>
              </w:rPr>
              <w:t>20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20</w:t>
            </w:r>
            <w:r>
              <w:rPr>
                <w:rFonts w:eastAsiaTheme="minorEastAsia"/>
                <w:color w:val="000000" w:themeColor="text1"/>
                <w:szCs w:val="24"/>
              </w:rPr>
              <w:t>kg/d（</w:t>
            </w:r>
            <w:r>
              <w:rPr>
                <w:rFonts w:hint="eastAsia" w:eastAsiaTheme="minorEastAsia"/>
                <w:color w:val="000000" w:themeColor="text1"/>
                <w:szCs w:val="24"/>
              </w:rPr>
              <w:t>6.6</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1"/>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 xml:space="preserve">  固体废物环境影响和保护措施分析一览表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995"/>
              <w:gridCol w:w="952"/>
              <w:gridCol w:w="860"/>
              <w:gridCol w:w="859"/>
              <w:gridCol w:w="1724"/>
              <w:gridCol w:w="1822"/>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序号</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产生环节</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名称</w:t>
                  </w:r>
                </w:p>
              </w:tc>
              <w:tc>
                <w:tcPr>
                  <w:tcW w:w="86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属性</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w:t>
                  </w:r>
                </w:p>
              </w:tc>
              <w:tc>
                <w:tcPr>
                  <w:tcW w:w="17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贮存方式</w:t>
                  </w:r>
                </w:p>
              </w:tc>
              <w:tc>
                <w:tcPr>
                  <w:tcW w:w="182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724" w:type="dxa"/>
                  <w:vMerge w:val="restart"/>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w:t>
                  </w:r>
                </w:p>
              </w:tc>
              <w:tc>
                <w:tcPr>
                  <w:tcW w:w="1822" w:type="dxa"/>
                  <w:vMerge w:val="restart"/>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委托四方地工业园区弃渣场处置。</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热风炉配套环保设施</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724" w:type="dxa"/>
                  <w:vMerge w:val="continue"/>
                  <w:vAlign w:val="center"/>
                </w:tcPr>
                <w:p>
                  <w:pPr>
                    <w:pStyle w:val="33"/>
                    <w:spacing w:line="360" w:lineRule="exact"/>
                    <w:ind w:firstLine="210" w:firstLineChars="100"/>
                    <w:jc w:val="both"/>
                    <w:rPr>
                      <w:rFonts w:eastAsiaTheme="minorEastAsia"/>
                      <w:color w:val="000000" w:themeColor="text1"/>
                      <w:szCs w:val="24"/>
                    </w:rPr>
                  </w:pPr>
                </w:p>
              </w:tc>
              <w:tc>
                <w:tcPr>
                  <w:tcW w:w="1822" w:type="dxa"/>
                  <w:vMerge w:val="continue"/>
                  <w:vAlign w:val="center"/>
                </w:tcPr>
                <w:p>
                  <w:pPr>
                    <w:pStyle w:val="33"/>
                    <w:spacing w:line="360" w:lineRule="exact"/>
                    <w:ind w:firstLine="210" w:firstLineChars="100"/>
                    <w:jc w:val="both"/>
                    <w:rPr>
                      <w:rFonts w:eastAsiaTheme="minorEastAsia"/>
                      <w:color w:val="000000" w:themeColor="text1"/>
                      <w:szCs w:val="24"/>
                    </w:rPr>
                  </w:pP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烘干机配套环保设施</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主要成分铁粉</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收集后返回生产工序烘干包装后外卖。</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21.91</w:t>
                  </w:r>
                  <w:r>
                    <w:rPr>
                      <w:rFonts w:eastAsiaTheme="minorEastAsia"/>
                      <w:color w:val="000000" w:themeColor="text1"/>
                      <w:szCs w:val="24"/>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热风炉</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委托四方地工业园区弃渣场处置。</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1.54t/a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 w:hRule="atLeast"/>
              </w:trPr>
              <w:tc>
                <w:tcPr>
                  <w:tcW w:w="45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w:t>
                  </w:r>
                </w:p>
              </w:tc>
              <w:tc>
                <w:tcPr>
                  <w:tcW w:w="995"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设备维护</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860"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724"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 w:val="24"/>
                      <w:szCs w:val="24"/>
                    </w:rPr>
                  </w:pPr>
                  <w:r>
                    <w:rPr>
                      <w:rFonts w:hint="eastAsia" w:eastAsiaTheme="minorEastAsia"/>
                      <w:color w:val="000000" w:themeColor="text1"/>
                      <w:szCs w:val="24"/>
                    </w:rPr>
                    <w:t>厂区已建设了1个15m²的危险废物贮存间</w:t>
                  </w:r>
                  <w:r>
                    <w:rPr>
                      <w:rFonts w:eastAsiaTheme="minorEastAsia"/>
                      <w:color w:val="000000" w:themeColor="text1"/>
                      <w:szCs w:val="24"/>
                    </w:rPr>
                    <w:t>对项目区废机油进行暂存</w:t>
                  </w:r>
                  <w:r>
                    <w:rPr>
                      <w:rFonts w:hint="eastAsia" w:eastAsiaTheme="minorEastAsia"/>
                      <w:color w:val="000000" w:themeColor="text1"/>
                      <w:szCs w:val="24"/>
                    </w:rPr>
                    <w:t>。</w:t>
                  </w:r>
                </w:p>
              </w:tc>
              <w:tc>
                <w:tcPr>
                  <w:tcW w:w="1822"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color w:val="000000" w:themeColor="text1"/>
                      <w:szCs w:val="21"/>
                    </w:rPr>
                    <w:t>委托有资质的单位处置。</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Merge w:val="continue"/>
                  <w:vAlign w:val="center"/>
                </w:tcPr>
                <w:p>
                  <w:pPr>
                    <w:pStyle w:val="33"/>
                    <w:spacing w:line="360" w:lineRule="exact"/>
                    <w:rPr>
                      <w:rFonts w:eastAsiaTheme="minorEastAsia"/>
                      <w:color w:val="000000" w:themeColor="text1"/>
                      <w:szCs w:val="21"/>
                    </w:rPr>
                  </w:pPr>
                </w:p>
              </w:tc>
              <w:tc>
                <w:tcPr>
                  <w:tcW w:w="995" w:type="dxa"/>
                  <w:vMerge w:val="continue"/>
                  <w:vAlign w:val="center"/>
                </w:tcPr>
                <w:p>
                  <w:pPr>
                    <w:pStyle w:val="33"/>
                    <w:spacing w:line="360" w:lineRule="exact"/>
                    <w:rPr>
                      <w:rFonts w:eastAsiaTheme="minorEastAsia"/>
                      <w:color w:val="000000" w:themeColor="text1"/>
                      <w:szCs w:val="21"/>
                    </w:rPr>
                  </w:pP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60" w:type="dxa"/>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724"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w:t>
                  </w:r>
                  <w:r>
                    <w:rPr>
                      <w:rFonts w:hint="eastAsia" w:eastAsiaTheme="minorEastAsia"/>
                      <w:color w:val="000000" w:themeColor="text1"/>
                      <w:szCs w:val="24"/>
                    </w:rPr>
                    <w:t>。</w:t>
                  </w:r>
                </w:p>
              </w:tc>
              <w:tc>
                <w:tcPr>
                  <w:tcW w:w="1822"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员工生活</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86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生活固废</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r>
                    <w:rPr>
                      <w:rFonts w:hint="eastAsia" w:eastAsiaTheme="minorEastAsia"/>
                      <w:color w:val="000000" w:themeColor="text1"/>
                      <w:szCs w:val="24"/>
                    </w:rPr>
                    <w:t>。</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r>
          </w:tbl>
          <w:p>
            <w:pPr>
              <w:pStyle w:val="41"/>
              <w:spacing w:beforeLines="50"/>
              <w:ind w:firstLine="480"/>
              <w:rPr>
                <w:color w:val="000000" w:themeColor="text1"/>
                <w:szCs w:val="24"/>
              </w:rPr>
            </w:pPr>
            <w:r>
              <w:rPr>
                <w:color w:val="000000" w:themeColor="text1"/>
                <w:szCs w:val="24"/>
              </w:rPr>
              <w:t>由上表可知，项目针对固废废物采取的保护措施具体实施如下：</w:t>
            </w:r>
          </w:p>
          <w:p>
            <w:pPr>
              <w:pStyle w:val="41"/>
              <w:ind w:firstLine="480"/>
              <w:rPr>
                <w:rFonts w:eastAsiaTheme="minorEastAsia"/>
                <w:color w:val="000000" w:themeColor="text1"/>
                <w:szCs w:val="21"/>
              </w:rPr>
            </w:pPr>
            <w:r>
              <w:rPr>
                <w:rFonts w:hint="eastAsia" w:eastAsiaTheme="minorEastAsia"/>
                <w:color w:val="000000" w:themeColor="text1"/>
                <w:szCs w:val="21"/>
              </w:rPr>
              <w:t>①</w:t>
            </w:r>
            <w:r>
              <w:rPr>
                <w:rFonts w:eastAsiaTheme="minorEastAsia"/>
                <w:color w:val="000000" w:themeColor="text1"/>
                <w:szCs w:val="21"/>
              </w:rPr>
              <w:t>项目产生的</w:t>
            </w:r>
            <w:r>
              <w:rPr>
                <w:rFonts w:hint="eastAsia" w:eastAsiaTheme="minorEastAsia"/>
                <w:color w:val="000000" w:themeColor="text1"/>
                <w:szCs w:val="21"/>
              </w:rPr>
              <w:t>废渣、袋式除尘器收集烟尘、灰渣为一般工业固废，项目已设置了1个600m²废渣暂存库对其进行暂存，委托四方地工业园区弃渣场处置。</w:t>
            </w:r>
          </w:p>
          <w:p>
            <w:pPr>
              <w:pStyle w:val="41"/>
              <w:ind w:firstLine="480"/>
              <w:rPr>
                <w:rFonts w:eastAsiaTheme="minorEastAsia"/>
                <w:color w:val="000000" w:themeColor="text1"/>
                <w:szCs w:val="21"/>
              </w:rPr>
            </w:pPr>
            <w:r>
              <w:rPr>
                <w:rFonts w:hint="eastAsia" w:eastAsiaTheme="minorEastAsia"/>
                <w:color w:val="000000" w:themeColor="text1"/>
                <w:szCs w:val="21"/>
              </w:rPr>
              <w:t>②</w:t>
            </w: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r>
              <w:rPr>
                <w:rFonts w:hint="eastAsia" w:eastAsiaTheme="minorEastAsia"/>
                <w:color w:val="000000" w:themeColor="text1"/>
                <w:szCs w:val="21"/>
              </w:rPr>
              <w:t>主要成分铁粉，收集后返回生产工序烘干包装后外卖。</w:t>
            </w:r>
          </w:p>
          <w:p>
            <w:pPr>
              <w:pStyle w:val="41"/>
              <w:ind w:firstLine="480"/>
              <w:rPr>
                <w:rFonts w:eastAsiaTheme="minorEastAsia"/>
                <w:color w:val="000000" w:themeColor="text1"/>
                <w:szCs w:val="21"/>
              </w:rPr>
            </w:pPr>
            <w:r>
              <w:rPr>
                <w:rFonts w:hint="eastAsia" w:eastAsiaTheme="minorEastAsia"/>
                <w:color w:val="000000" w:themeColor="text1"/>
                <w:szCs w:val="21"/>
              </w:rPr>
              <w:t>③</w:t>
            </w:r>
            <w:r>
              <w:rPr>
                <w:rFonts w:eastAsiaTheme="minorEastAsia"/>
                <w:color w:val="000000" w:themeColor="text1"/>
                <w:szCs w:val="21"/>
              </w:rPr>
              <w:t>针对项目产生的废机油，厂区</w:t>
            </w:r>
            <w:r>
              <w:rPr>
                <w:rFonts w:hint="eastAsia" w:eastAsiaTheme="minorEastAsia"/>
                <w:color w:val="000000" w:themeColor="text1"/>
                <w:szCs w:val="21"/>
              </w:rPr>
              <w:t>已建设了1个15m²的危险废物贮存间</w:t>
            </w:r>
            <w:r>
              <w:rPr>
                <w:rFonts w:eastAsiaTheme="minorEastAsia"/>
                <w:color w:val="000000" w:themeColor="text1"/>
                <w:szCs w:val="21"/>
              </w:rPr>
              <w:t>对危险废物进行暂存。委托有资质的单位处置，危险废物贮存间严格进行地面和裙墙防腐防渗，内部设置导流渠和收集池，规范设置标识标牌等。</w:t>
            </w:r>
          </w:p>
          <w:p>
            <w:pPr>
              <w:pStyle w:val="41"/>
              <w:ind w:firstLine="480"/>
              <w:rPr>
                <w:rFonts w:eastAsiaTheme="minorEastAsia"/>
                <w:color w:val="000000" w:themeColor="text1"/>
                <w:szCs w:val="21"/>
              </w:rPr>
            </w:pPr>
            <w:r>
              <w:rPr>
                <w:rFonts w:hint="eastAsia" w:eastAsiaTheme="minorEastAsia"/>
                <w:color w:val="000000" w:themeColor="text1"/>
                <w:szCs w:val="21"/>
              </w:rPr>
              <w:t>④</w:t>
            </w:r>
            <w:r>
              <w:rPr>
                <w:rFonts w:eastAsiaTheme="minorEastAsia"/>
                <w:color w:val="000000" w:themeColor="text1"/>
                <w:szCs w:val="21"/>
              </w:rPr>
              <w:t>针对员生活垃圾</w:t>
            </w:r>
            <w:r>
              <w:rPr>
                <w:rFonts w:hint="eastAsia" w:eastAsiaTheme="minorEastAsia"/>
                <w:color w:val="000000" w:themeColor="text1"/>
                <w:szCs w:val="21"/>
              </w:rPr>
              <w:t>和</w:t>
            </w:r>
            <w:r>
              <w:rPr>
                <w:rFonts w:eastAsiaTheme="minorEastAsia"/>
                <w:color w:val="000000" w:themeColor="text1"/>
                <w:szCs w:val="21"/>
              </w:rPr>
              <w:t>废弃沾油抹布，委托环卫部门定期清运处置</w:t>
            </w:r>
            <w:r>
              <w:rPr>
                <w:rFonts w:hint="eastAsia" w:eastAsiaTheme="minorEastAsia"/>
                <w:color w:val="000000" w:themeColor="text1"/>
                <w:szCs w:val="21"/>
              </w:rPr>
              <w:t>。</w:t>
            </w:r>
          </w:p>
          <w:p>
            <w:pPr>
              <w:pStyle w:val="41"/>
              <w:ind w:firstLine="480"/>
              <w:rPr>
                <w:rFonts w:eastAsiaTheme="minorEastAsia"/>
                <w:color w:val="000000" w:themeColor="text1"/>
                <w:szCs w:val="21"/>
              </w:rPr>
            </w:pPr>
            <w:r>
              <w:rPr>
                <w:rFonts w:eastAsiaTheme="minorEastAsia"/>
                <w:color w:val="000000" w:themeColor="text1"/>
                <w:szCs w:val="21"/>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41"/>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危险废物管理要求</w:t>
            </w:r>
          </w:p>
          <w:p>
            <w:pPr>
              <w:pStyle w:val="41"/>
              <w:ind w:firstLine="480"/>
              <w:rPr>
                <w:color w:val="000000" w:themeColor="text1"/>
                <w:szCs w:val="24"/>
              </w:rPr>
            </w:pPr>
            <w:r>
              <w:rPr>
                <w:color w:val="000000" w:themeColor="text1"/>
                <w:szCs w:val="24"/>
              </w:rPr>
              <w:t>针对项目产生的危险废物，项目在日常管理过程中，必须严格按照《危险废物贮存污染控制标准》（GB</w:t>
            </w:r>
            <w:r>
              <w:rPr>
                <w:rFonts w:hint="eastAsia"/>
                <w:color w:val="000000" w:themeColor="text1"/>
                <w:szCs w:val="24"/>
                <w:lang w:eastAsia="zh-CN"/>
              </w:rPr>
              <w:t>*****</w:t>
            </w:r>
            <w:r>
              <w:rPr>
                <w:color w:val="000000" w:themeColor="text1"/>
                <w:szCs w:val="24"/>
              </w:rPr>
              <w:t>-2023）的要求，做到下表提出的要求。</w:t>
            </w:r>
          </w:p>
          <w:p>
            <w:pPr>
              <w:pStyle w:val="16"/>
              <w:rPr>
                <w:color w:val="000000" w:themeColor="text1"/>
              </w:rPr>
            </w:pPr>
            <w:r>
              <w:rPr>
                <w:color w:val="000000" w:themeColor="text1"/>
              </w:rPr>
              <w:t>表4.2.4-</w:t>
            </w:r>
            <w:r>
              <w:rPr>
                <w:rFonts w:hint="eastAsia"/>
                <w:color w:val="000000" w:themeColor="text1"/>
              </w:rPr>
              <w:t>3</w:t>
            </w:r>
            <w:r>
              <w:rPr>
                <w:color w:val="000000" w:themeColor="text1"/>
              </w:rPr>
              <w:t xml:space="preserve"> 项目危险废物管理要求一览表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rPr>
                  </w:pPr>
                  <w:r>
                    <w:rPr>
                      <w:rFonts w:hint="eastAsia"/>
                      <w:color w:val="000000" w:themeColor="text1"/>
                      <w:szCs w:val="18"/>
                    </w:rPr>
                    <w:t>总体</w:t>
                  </w:r>
                  <w:r>
                    <w:rPr>
                      <w:color w:val="000000" w:themeColor="text1"/>
                      <w:szCs w:val="18"/>
                    </w:rPr>
                    <w:t>要求</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color w:val="000000" w:themeColor="text1"/>
                    </w:rPr>
                  </w:pPr>
                  <w:r>
                    <w:rPr>
                      <w:rFonts w:hint="eastAsia"/>
                      <w:color w:val="000000" w:themeColor="text1"/>
                    </w:rPr>
                    <w:t>①贮存危险废物应根据危险废物的类别、形态、物理化学性质和污染防治要求进行分类贮存，且应避免危险废物与不相容的物质或材料接触</w:t>
                  </w:r>
                  <w:r>
                    <w:rPr>
                      <w:color w:val="000000" w:themeColor="text1"/>
                    </w:rPr>
                    <w:t>；</w:t>
                  </w:r>
                </w:p>
                <w:p>
                  <w:pPr>
                    <w:pStyle w:val="52"/>
                    <w:spacing w:line="360" w:lineRule="exact"/>
                    <w:ind w:firstLine="210" w:firstLineChars="100"/>
                    <w:rPr>
                      <w:color w:val="000000" w:themeColor="text1"/>
                    </w:rPr>
                  </w:pPr>
                  <w:r>
                    <w:rPr>
                      <w:rFonts w:hint="eastAsia" w:ascii="宋体" w:hAnsi="宋体" w:cs="宋体"/>
                      <w:color w:val="000000" w:themeColor="text1"/>
                      <w:szCs w:val="24"/>
                    </w:rPr>
                    <w:t>②</w:t>
                  </w:r>
                  <w:r>
                    <w:rPr>
                      <w:rFonts w:cs="sans-serif"/>
                      <w:color w:val="000000" w:themeColor="text1"/>
                      <w:szCs w:val="24"/>
                    </w:rPr>
                    <w:t>危险废物贮存过程产生的液态废物和固态废物应分类收集，按其环境管理要求妥善处理</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ascii="宋体" w:hAnsi="宋体" w:cs="宋体"/>
                      <w:color w:val="000000" w:themeColor="text1"/>
                      <w:szCs w:val="24"/>
                    </w:rPr>
                    <w:t>③</w:t>
                  </w:r>
                  <w:r>
                    <w:rPr>
                      <w:rFonts w:cs="sans-serif"/>
                      <w:color w:val="000000" w:themeColor="text1"/>
                      <w:szCs w:val="24"/>
                    </w:rPr>
                    <w:t xml:space="preserve">贮存设施或场所、容器和包装物应按 </w:t>
                  </w:r>
                  <w:r>
                    <w:rPr>
                      <w:rFonts w:cs="serif"/>
                      <w:color w:val="000000" w:themeColor="text1"/>
                      <w:szCs w:val="24"/>
                    </w:rPr>
                    <w:t xml:space="preserve">HJ 1276 </w:t>
                  </w:r>
                  <w:r>
                    <w:rPr>
                      <w:rFonts w:cs="sans-serif"/>
                      <w:color w:val="000000" w:themeColor="text1"/>
                      <w:szCs w:val="24"/>
                    </w:rPr>
                    <w:t>要求设置危险废物贮存设施或场所标志、危险废物贮存分区标志和危险废物标签等危险废物识别标志</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szCs w:val="18"/>
                    </w:rPr>
                    <w:t>贮存设施</w:t>
                  </w:r>
                  <w:r>
                    <w:rPr>
                      <w:rFonts w:hint="eastAsia"/>
                      <w:color w:val="000000" w:themeColor="text1"/>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②</w:t>
                  </w:r>
                  <w:r>
                    <w:rPr>
                      <w:rFonts w:cs="sans-serif"/>
                      <w:color w:val="000000" w:themeColor="text1"/>
                      <w:szCs w:val="24"/>
                    </w:rPr>
                    <w:t>贮存设施应根据危险废物的类别、数量、形态、物理化学性质和污染防治等要求设置必要的贮存分区，避免不相容的危险废物接触、混合</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③</w:t>
                  </w:r>
                  <w:r>
                    <w:rPr>
                      <w:rFonts w:cs="sans-serif"/>
                      <w:color w:val="000000" w:themeColor="text1"/>
                      <w:szCs w:val="24"/>
                    </w:rPr>
                    <w:t>贮存设施或贮存分区内地面、墙面裙脚、堵截泄漏的围堰、接触危险废物的隔板和墙体等应采用坚固的材料建造，表面无裂缝</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④</w:t>
                  </w:r>
                  <w:r>
                    <w:rPr>
                      <w:rFonts w:cs="sans-serif"/>
                      <w:color w:val="000000" w:themeColor="text1"/>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 10-10 cm/s），或其他防渗性能等效的材料</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⑤</w:t>
                  </w:r>
                  <w:r>
                    <w:rPr>
                      <w:rFonts w:cs="sans-serif"/>
                      <w:color w:val="000000" w:themeColor="text1"/>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cs="sans-serif"/>
                      <w:color w:val="000000" w:themeColor="text1"/>
                      <w:szCs w:val="24"/>
                    </w:rPr>
                    <w:t>⑥</w:t>
                  </w:r>
                  <w:r>
                    <w:rPr>
                      <w:rFonts w:cs="sans-serif"/>
                      <w:color w:val="000000" w:themeColor="text1"/>
                      <w:szCs w:val="24"/>
                    </w:rPr>
                    <w:t>贮存设施应采取技术和管理措施防止无关人员进入</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危险废物存入贮存设施前应对危险废物类别和特性与危险废物标签等危险废物识别标志的一致性进行核验，不一致的或类别、特性不明的不应存入</w:t>
                  </w:r>
                  <w:r>
                    <w:rPr>
                      <w:rFonts w:hint="eastAsia" w:cs="sans-serif"/>
                      <w:color w:val="000000" w:themeColor="text1"/>
                      <w:szCs w:val="24"/>
                    </w:rPr>
                    <w:t>；</w:t>
                  </w:r>
                  <w:r>
                    <w:rPr>
                      <w:rFonts w:cs="sans-serif"/>
                      <w:color w:val="000000" w:themeColor="text1"/>
                      <w:szCs w:val="24"/>
                    </w:rPr>
                    <w:t>应定期检查危险废物的贮存状况，及时清理贮存设施地面，更换破损泄漏的危险废物贮存容器和包装物，保证堆存危险废物的防雨、防风、防扬尘等设施功能完好</w:t>
                  </w:r>
                  <w:r>
                    <w:rPr>
                      <w:rFonts w:hint="eastAsia" w:cs="sans-serif"/>
                      <w:color w:val="000000" w:themeColor="text1"/>
                      <w:szCs w:val="24"/>
                    </w:rPr>
                    <w:t>；</w:t>
                  </w:r>
                  <w:r>
                    <w:rPr>
                      <w:rFonts w:cs="sans-serif"/>
                      <w:color w:val="000000" w:themeColor="text1"/>
                      <w:szCs w:val="24"/>
                    </w:rPr>
                    <w:t>作业设备及车辆等结束作业离开贮存设施时，应对其残留的危险废物进行清理，清理的废物或清洗废水应收集处理</w:t>
                  </w:r>
                  <w:r>
                    <w:rPr>
                      <w:rFonts w:hint="eastAsia" w:cs="sans-serif"/>
                      <w:color w:val="000000" w:themeColor="text1"/>
                      <w:szCs w:val="24"/>
                    </w:rPr>
                    <w:t>；</w:t>
                  </w:r>
                  <w:r>
                    <w:rPr>
                      <w:rFonts w:cs="sans-serif"/>
                      <w:color w:val="000000" w:themeColor="text1"/>
                      <w:szCs w:val="24"/>
                    </w:rPr>
                    <w:t>贮存设施运行期间，应按国家有关标准和规定建立危险废物管理台账并保存</w:t>
                  </w:r>
                  <w:r>
                    <w:rPr>
                      <w:rFonts w:hint="eastAsia" w:cs="sans-serif"/>
                      <w:color w:val="000000" w:themeColor="text1"/>
                      <w:szCs w:val="24"/>
                    </w:rPr>
                    <w:t>；</w:t>
                  </w:r>
                  <w:r>
                    <w:rPr>
                      <w:rFonts w:cs="sans-serif"/>
                      <w:color w:val="000000" w:themeColor="text1"/>
                      <w:szCs w:val="24"/>
                    </w:rPr>
                    <w:t>贮存设施所有者或运营者应建立贮存设施环境管理制度、管理人员岗位职责制度、设施运行操作制度、人员岗位培训制度等</w:t>
                  </w:r>
                  <w:r>
                    <w:rPr>
                      <w:rFonts w:hint="eastAsia" w:cs="sans-serif"/>
                      <w:color w:val="000000" w:themeColor="text1"/>
                      <w:szCs w:val="24"/>
                    </w:rPr>
                    <w:t>；</w:t>
                  </w:r>
                  <w:r>
                    <w:rPr>
                      <w:rFonts w:cs="sans-serif"/>
                      <w:color w:val="000000" w:themeColor="text1"/>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color w:val="000000" w:themeColor="text1"/>
                      <w:szCs w:val="24"/>
                    </w:rPr>
                    <w:t>；</w:t>
                  </w:r>
                  <w:r>
                    <w:rPr>
                      <w:rFonts w:cs="sans-serif"/>
                      <w:color w:val="000000" w:themeColor="text1"/>
                      <w:szCs w:val="24"/>
                    </w:rPr>
                    <w:t>贮存设施所有者或运营者应建立贮存设施全部档案，包括设计、施工、验收、运行、监测和环境应急等，应按国家有关档案管理的法律法规进行整理和归档</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cs="sans-serif"/>
                      <w:color w:val="000000" w:themeColor="text1"/>
                      <w:szCs w:val="24"/>
                    </w:rPr>
                    <w:t>②</w:t>
                  </w:r>
                  <w:r>
                    <w:rPr>
                      <w:rFonts w:cs="sans-serif"/>
                      <w:color w:val="000000" w:themeColor="text1"/>
                      <w:szCs w:val="24"/>
                    </w:rPr>
                    <w:t>贮存点应具有固定的区域边界，并应采取与其他区域进行隔离的措施</w:t>
                  </w:r>
                  <w:r>
                    <w:rPr>
                      <w:rFonts w:hint="eastAsia" w:cs="sans-serif"/>
                      <w:color w:val="000000" w:themeColor="text1"/>
                      <w:szCs w:val="24"/>
                    </w:rPr>
                    <w:t>；</w:t>
                  </w:r>
                  <w:r>
                    <w:rPr>
                      <w:rFonts w:cs="sans-serif"/>
                      <w:color w:val="000000" w:themeColor="text1"/>
                      <w:szCs w:val="24"/>
                    </w:rPr>
                    <w:t>贮存点应采取防风、防雨、防晒和防止危险废物流失、扬散等措施</w:t>
                  </w:r>
                  <w:r>
                    <w:rPr>
                      <w:rFonts w:hint="eastAsia" w:cs="sans-serif"/>
                      <w:color w:val="000000" w:themeColor="text1"/>
                      <w:szCs w:val="24"/>
                    </w:rPr>
                    <w:t>；</w:t>
                  </w:r>
                  <w:r>
                    <w:rPr>
                      <w:rFonts w:cs="sans-serif"/>
                      <w:color w:val="000000" w:themeColor="text1"/>
                      <w:szCs w:val="24"/>
                    </w:rPr>
                    <w:t>贮存点贮存的危险废物应置于容器或包装物中，不应直接散堆</w:t>
                  </w:r>
                  <w:r>
                    <w:rPr>
                      <w:rFonts w:hint="eastAsia" w:cs="sans-serif"/>
                      <w:color w:val="000000" w:themeColor="text1"/>
                      <w:szCs w:val="24"/>
                    </w:rPr>
                    <w:t>；</w:t>
                  </w:r>
                  <w:r>
                    <w:rPr>
                      <w:rFonts w:cs="sans-serif"/>
                      <w:color w:val="000000" w:themeColor="text1"/>
                      <w:szCs w:val="24"/>
                    </w:rPr>
                    <w:t>贮存点应根据危险废物的形态、物理化学性质、包装形式等，采取防渗、防漏等污染防治措施或采用具有相应功能的装置</w:t>
                  </w:r>
                  <w:r>
                    <w:rPr>
                      <w:rFonts w:hint="eastAsia" w:cs="sans-serif"/>
                      <w:color w:val="000000" w:themeColor="text1"/>
                      <w:szCs w:val="24"/>
                    </w:rPr>
                    <w:t>；</w:t>
                  </w:r>
                  <w:r>
                    <w:rPr>
                      <w:rFonts w:cs="sans-serif"/>
                      <w:color w:val="000000" w:themeColor="text1"/>
                      <w:szCs w:val="24"/>
                    </w:rPr>
                    <w:t>贮存点应及时清运贮存的危险废物，实时贮存量不应超过 3 吨</w:t>
                  </w:r>
                  <w:r>
                    <w:rPr>
                      <w:rFonts w:hint="eastAsia" w:cs="sans-serif"/>
                      <w:color w:val="000000" w:themeColor="text1"/>
                      <w:szCs w:val="24"/>
                    </w:rPr>
                    <w:t>。</w:t>
                  </w:r>
                </w:p>
              </w:tc>
            </w:tr>
          </w:tbl>
          <w:p>
            <w:pPr>
              <w:pStyle w:val="41"/>
              <w:spacing w:beforeLines="50"/>
              <w:ind w:firstLine="482"/>
              <w:jc w:val="left"/>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生活垃圾管理要求</w:t>
            </w:r>
          </w:p>
          <w:p>
            <w:pPr>
              <w:pStyle w:val="41"/>
              <w:ind w:firstLine="480"/>
              <w:rPr>
                <w:rFonts w:eastAsiaTheme="minorEastAsia"/>
                <w:color w:val="000000" w:themeColor="text1"/>
                <w:szCs w:val="24"/>
              </w:rPr>
            </w:pPr>
            <w:r>
              <w:rPr>
                <w:color w:val="000000" w:themeColor="text1"/>
                <w:szCs w:val="24"/>
              </w:rPr>
              <w:t>项目产生的生活垃圾应做到日产日清。</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污染物从污染源进入地下水、土壤所经过的路径称为地下水、土壤污染途径，地下水、土壤污染途径是多种多样的</w:t>
            </w:r>
            <w:r>
              <w:rPr>
                <w:rFonts w:hint="eastAsia" w:ascii="Times New Roman" w:hAnsi="Times New Roman" w:cs="Times New Roman"/>
                <w:color w:val="000000" w:themeColor="text1"/>
                <w:sz w:val="24"/>
                <w:szCs w:val="24"/>
              </w:rPr>
              <w:t>。本项目对地下水环境的影响主要为氧化锌尾渣（水淬渣）、废渣和废机油贮存不当，废水处理系统渗漏等，污染地下水水质和土壤。</w:t>
            </w:r>
            <w:r>
              <w:rPr>
                <w:rFonts w:ascii="Times New Roman" w:hAnsi="Times New Roman" w:cs="Times New Roman"/>
                <w:color w:val="000000" w:themeColor="text1"/>
                <w:sz w:val="24"/>
                <w:szCs w:val="24"/>
              </w:rPr>
              <w:t>其污染物类型包括石油类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镉</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铅</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铁</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锰</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氟化物</w:t>
            </w:r>
            <w:r>
              <w:rPr>
                <w:rFonts w:hint="eastAsia" w:ascii="Times New Roman" w:hAnsi="Times New Roman" w:cs="Times New Roman"/>
                <w:color w:val="000000" w:themeColor="text1"/>
                <w:sz w:val="24"/>
                <w:szCs w:val="24"/>
              </w:rPr>
              <w:t>等。</w:t>
            </w:r>
          </w:p>
          <w:p>
            <w:pPr>
              <w:pStyle w:val="41"/>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1"/>
              <w:ind w:firstLine="480"/>
              <w:rPr>
                <w:color w:val="000000" w:themeColor="text1"/>
                <w:szCs w:val="24"/>
              </w:rPr>
            </w:pPr>
            <w:r>
              <w:rPr>
                <w:color w:val="000000" w:themeColor="text1"/>
                <w:szCs w:val="24"/>
              </w:rPr>
              <w:t>根据项目的特点，本项目可能对地下水、土壤造成污染的途径主要有：</w:t>
            </w:r>
          </w:p>
          <w:p>
            <w:pPr>
              <w:pStyle w:val="41"/>
              <w:ind w:firstLine="482"/>
              <w:rPr>
                <w:b/>
                <w:color w:val="000000" w:themeColor="text1"/>
                <w:szCs w:val="24"/>
              </w:rPr>
            </w:pPr>
            <w:r>
              <w:rPr>
                <w:rFonts w:hint="eastAsia"/>
                <w:b/>
                <w:color w:val="000000" w:themeColor="text1"/>
                <w:szCs w:val="24"/>
              </w:rPr>
              <w:t>①</w:t>
            </w:r>
            <w:r>
              <w:rPr>
                <w:b/>
                <w:color w:val="000000" w:themeColor="text1"/>
                <w:szCs w:val="24"/>
              </w:rPr>
              <w:t>废机油</w:t>
            </w:r>
            <w:r>
              <w:rPr>
                <w:rFonts w:hint="eastAsia"/>
                <w:b/>
                <w:color w:val="000000" w:themeColor="text1"/>
                <w:szCs w:val="24"/>
              </w:rPr>
              <w:t>污染途径</w:t>
            </w:r>
          </w:p>
          <w:p>
            <w:pPr>
              <w:pStyle w:val="41"/>
              <w:ind w:firstLine="480"/>
              <w:rPr>
                <w:color w:val="000000" w:themeColor="text1"/>
                <w:szCs w:val="24"/>
              </w:rPr>
            </w:pPr>
            <w:r>
              <w:rPr>
                <w:color w:val="000000" w:themeColor="text1"/>
                <w:szCs w:val="24"/>
              </w:rPr>
              <w:t>废机油在地面防渗层发生破损的情况下会发生渗漏，对地下水、土壤造成污染。</w:t>
            </w:r>
          </w:p>
          <w:p>
            <w:pPr>
              <w:pStyle w:val="41"/>
              <w:ind w:firstLine="482"/>
              <w:rPr>
                <w:b/>
                <w:color w:val="000000" w:themeColor="text1"/>
                <w:szCs w:val="24"/>
              </w:rPr>
            </w:pPr>
            <w:r>
              <w:rPr>
                <w:rFonts w:hint="eastAsia"/>
                <w:b/>
                <w:color w:val="000000" w:themeColor="text1"/>
                <w:szCs w:val="24"/>
              </w:rPr>
              <w:t>②选别废水污染途径</w:t>
            </w:r>
          </w:p>
          <w:p>
            <w:pPr>
              <w:pStyle w:val="41"/>
              <w:ind w:firstLine="480"/>
              <w:rPr>
                <w:color w:val="000000" w:themeColor="text1"/>
                <w:szCs w:val="24"/>
              </w:rPr>
            </w:pPr>
            <w:r>
              <w:rPr>
                <w:rFonts w:hint="eastAsia"/>
                <w:color w:val="000000" w:themeColor="text1"/>
                <w:szCs w:val="24"/>
              </w:rPr>
              <w:t>正常运行工况下，选别废水全部流入</w:t>
            </w:r>
            <w:r>
              <w:rPr>
                <w:rFonts w:hint="eastAsia"/>
                <w:bCs/>
                <w:color w:val="000000" w:themeColor="text1"/>
                <w:szCs w:val="24"/>
              </w:rPr>
              <w:t>废水处理系统循环沉淀过滤处理后回用于生产，不外排</w:t>
            </w:r>
            <w:r>
              <w:rPr>
                <w:rFonts w:hint="eastAsia"/>
                <w:color w:val="000000" w:themeColor="text1"/>
                <w:szCs w:val="24"/>
              </w:rPr>
              <w:t>。主要途径为事故情况下，工艺废水溢出生产设施与设备，选别废水外溢对</w:t>
            </w:r>
            <w:r>
              <w:rPr>
                <w:color w:val="000000" w:themeColor="text1"/>
                <w:szCs w:val="24"/>
              </w:rPr>
              <w:t>地下水、土壤</w:t>
            </w:r>
            <w:r>
              <w:rPr>
                <w:rFonts w:hint="eastAsia"/>
                <w:color w:val="000000" w:themeColor="text1"/>
                <w:szCs w:val="24"/>
              </w:rPr>
              <w:t>造成污染。</w:t>
            </w:r>
          </w:p>
          <w:p>
            <w:pPr>
              <w:pStyle w:val="41"/>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41"/>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1"/>
              <w:ind w:firstLine="482"/>
              <w:rPr>
                <w:b/>
                <w:color w:val="000000" w:themeColor="text1"/>
                <w:szCs w:val="24"/>
              </w:rPr>
            </w:pPr>
            <w:r>
              <w:rPr>
                <w:b/>
                <w:color w:val="000000" w:themeColor="text1"/>
                <w:szCs w:val="24"/>
              </w:rPr>
              <w:t>①源头控制措施</w:t>
            </w:r>
          </w:p>
          <w:p>
            <w:pPr>
              <w:pStyle w:val="41"/>
              <w:ind w:firstLine="480"/>
              <w:rPr>
                <w:color w:val="000000" w:themeColor="text1"/>
                <w:szCs w:val="24"/>
              </w:rPr>
            </w:pPr>
            <w:r>
              <w:rPr>
                <w:color w:val="000000" w:themeColor="text1"/>
                <w:szCs w:val="24"/>
              </w:rPr>
              <w:t>严格按照公司制定的规范管理要求进行危险废物的管理。</w:t>
            </w:r>
          </w:p>
          <w:p>
            <w:pPr>
              <w:pStyle w:val="41"/>
              <w:ind w:firstLine="482"/>
              <w:rPr>
                <w:b/>
                <w:color w:val="000000" w:themeColor="text1"/>
                <w:szCs w:val="24"/>
              </w:rPr>
            </w:pPr>
            <w:r>
              <w:rPr>
                <w:b/>
                <w:color w:val="000000" w:themeColor="text1"/>
                <w:szCs w:val="24"/>
              </w:rPr>
              <w:t>②分区控制措施</w:t>
            </w:r>
          </w:p>
          <w:p>
            <w:pPr>
              <w:pStyle w:val="41"/>
              <w:ind w:firstLine="480"/>
              <w:rPr>
                <w:color w:val="000000" w:themeColor="text1"/>
                <w:szCs w:val="24"/>
              </w:rPr>
            </w:pPr>
            <w:r>
              <w:rPr>
                <w:color w:val="000000" w:themeColor="text1"/>
                <w:szCs w:val="24"/>
              </w:rPr>
              <w:t>根据《环境影响评价技术导则-地下水环境》（HJ610-2016），项目分区防控措施根据建设项目场地天然包气带防污性能、污染控制难易程度和污染物特性提出防渗技术要求。污染控制难易程度分级如下表所示。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4.2.5-1  </w:t>
            </w:r>
            <w:r>
              <w:rPr>
                <w:rFonts w:ascii="Times New Roman" w:cs="Times New Roman" w:hAnsiTheme="minorEastAsia"/>
                <w:b/>
                <w:color w:val="000000" w:themeColor="text1"/>
              </w:rPr>
              <w:t>污染控制难易程度分级参照表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污染物控制难易程度</w:t>
                  </w:r>
                </w:p>
              </w:tc>
              <w:tc>
                <w:tcPr>
                  <w:tcW w:w="6875"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6875"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6875"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4.2.5-2  </w:t>
            </w:r>
            <w:r>
              <w:rPr>
                <w:rFonts w:ascii="Times New Roman" w:cs="Times New Roman" w:hAnsiTheme="minorEastAsia"/>
                <w:b/>
                <w:color w:val="000000" w:themeColor="text1"/>
              </w:rPr>
              <w:t>天然包气带防污性能分级</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分级</w:t>
                  </w:r>
                </w:p>
              </w:tc>
              <w:tc>
                <w:tcPr>
                  <w:tcW w:w="7867"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0.5m≤Mb</w:t>
                  </w:r>
                  <w:r>
                    <w:rPr>
                      <w:rFonts w:hAnsiTheme="minorEastAsia" w:eastAsiaTheme="minorEastAsia"/>
                      <w:color w:val="000000" w:themeColor="text1"/>
                      <w:szCs w:val="21"/>
                    </w:rPr>
                    <w:t>＜</w:t>
                  </w:r>
                  <w:r>
                    <w:rPr>
                      <w:rFonts w:eastAsiaTheme="minorEastAsia"/>
                      <w:color w:val="000000" w:themeColor="text1"/>
                      <w:szCs w:val="21"/>
                    </w:rPr>
                    <w:t>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w:t>
                  </w:r>
                  <w:r>
                    <w:rPr>
                      <w:rFonts w:eastAsiaTheme="minorEastAsia"/>
                      <w:color w:val="000000" w:themeColor="text1"/>
                      <w:szCs w:val="21"/>
                    </w:rPr>
                    <w:t>K≤10</w:t>
                  </w:r>
                  <w:r>
                    <w:rPr>
                      <w:rFonts w:eastAsiaTheme="minorEastAsia"/>
                      <w:color w:val="000000" w:themeColor="text1"/>
                      <w:szCs w:val="21"/>
                      <w:vertAlign w:val="superscript"/>
                    </w:rPr>
                    <w:t>-4</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岩（土）层不满足上述</w:t>
                  </w:r>
                  <w:r>
                    <w:rPr>
                      <w:rFonts w:eastAsiaTheme="minorEastAsia"/>
                      <w:color w:val="000000" w:themeColor="text1"/>
                      <w:szCs w:val="21"/>
                    </w:rPr>
                    <w:t>“</w:t>
                  </w:r>
                  <w:r>
                    <w:rPr>
                      <w:rFonts w:hAnsiTheme="minorEastAsia" w:eastAsiaTheme="minorEastAsia"/>
                      <w:color w:val="000000" w:themeColor="text1"/>
                      <w:szCs w:val="21"/>
                    </w:rPr>
                    <w:t>强</w:t>
                  </w:r>
                  <w:r>
                    <w:rPr>
                      <w:rFonts w:eastAsiaTheme="minorEastAsia"/>
                      <w:color w:val="000000" w:themeColor="text1"/>
                      <w:szCs w:val="21"/>
                    </w:rPr>
                    <w:t>”</w:t>
                  </w:r>
                  <w:r>
                    <w:rPr>
                      <w:rFonts w:hAnsiTheme="minorEastAsia" w:eastAsiaTheme="minorEastAsia"/>
                      <w:color w:val="000000" w:themeColor="text1"/>
                      <w:szCs w:val="21"/>
                    </w:rPr>
                    <w:t>和</w:t>
                  </w:r>
                  <w:r>
                    <w:rPr>
                      <w:rFonts w:eastAsiaTheme="minorEastAsia"/>
                      <w:color w:val="000000" w:themeColor="text1"/>
                      <w:szCs w:val="21"/>
                    </w:rPr>
                    <w:t>“</w:t>
                  </w: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备注</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项目区地下水类型主要为岩溶水，含水层岩性主要为古生界石炭系大塘阶组（</w:t>
                  </w:r>
                  <w:r>
                    <w:rPr>
                      <w:rFonts w:eastAsiaTheme="minorEastAsia"/>
                      <w:color w:val="000000" w:themeColor="text1"/>
                      <w:szCs w:val="21"/>
                    </w:rPr>
                    <w:t>C1d</w:t>
                  </w:r>
                  <w:r>
                    <w:rPr>
                      <w:rFonts w:hAnsiTheme="minorEastAsia" w:eastAsiaTheme="minorEastAsia"/>
                      <w:color w:val="000000" w:themeColor="text1"/>
                      <w:szCs w:val="21"/>
                    </w:rPr>
                    <w:t>）浅海相泥质灰岩或白云岩，综上确定包气带防污性能为</w:t>
                  </w:r>
                  <w:r>
                    <w:rPr>
                      <w:rFonts w:eastAsiaTheme="minorEastAsia"/>
                      <w:color w:val="000000" w:themeColor="text1"/>
                      <w:szCs w:val="21"/>
                    </w:rPr>
                    <w:t>“</w:t>
                  </w:r>
                  <w:r>
                    <w:rPr>
                      <w:rFonts w:hAnsiTheme="minorEastAsia" w:eastAsiaTheme="minorEastAsia"/>
                      <w:color w:val="000000" w:themeColor="text1"/>
                      <w:szCs w:val="21"/>
                    </w:rPr>
                    <w:t>弱</w:t>
                  </w:r>
                  <w:r>
                    <w:rPr>
                      <w:rFonts w:eastAsiaTheme="minorEastAsia"/>
                      <w:color w:val="000000" w:themeColor="text1"/>
                      <w:szCs w:val="21"/>
                    </w:rPr>
                    <w:t>”</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4.2.5-3  </w:t>
            </w:r>
            <w:r>
              <w:rPr>
                <w:rFonts w:ascii="Times New Roman" w:cs="Times New Roman" w:hAnsiTheme="minorEastAsia"/>
                <w:b/>
                <w:color w:val="000000" w:themeColor="text1"/>
              </w:rPr>
              <w:t>地下水污染防渗分区</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9"/>
              <w:gridCol w:w="1560"/>
              <w:gridCol w:w="156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防渗分区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天然包气带防污性能</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污染控制难易程度</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污染物类型</w:t>
                  </w:r>
                </w:p>
              </w:tc>
              <w:tc>
                <w:tcPr>
                  <w:tcW w:w="1608"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重点防渗区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restar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Mb≥6.0m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GB18598</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一般防渗区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r>
                    <w:rPr>
                      <w:rFonts w:eastAsiaTheme="minorEastAsia"/>
                      <w:color w:val="000000" w:themeColor="text1"/>
                      <w:szCs w:val="21"/>
                    </w:rPr>
                    <w:t>-</w:t>
                  </w:r>
                  <w:r>
                    <w:rPr>
                      <w:rFonts w:hAnsiTheme="minorEastAsia" w:eastAsiaTheme="minorEastAsia"/>
                      <w:color w:val="000000" w:themeColor="text1"/>
                      <w:szCs w:val="21"/>
                    </w:rPr>
                    <w:t>难</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Merge w:val="restar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Mb≥1.5m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GB16889</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简单防渗区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一般地面硬化</w:t>
                  </w:r>
                </w:p>
              </w:tc>
            </w:tr>
          </w:tbl>
          <w:p>
            <w:pPr>
              <w:pStyle w:val="41"/>
              <w:spacing w:beforeLines="50"/>
              <w:ind w:firstLine="480"/>
              <w:rPr>
                <w:color w:val="000000" w:themeColor="text1"/>
                <w:szCs w:val="24"/>
              </w:rPr>
            </w:pPr>
            <w:r>
              <w:rPr>
                <w:color w:val="000000" w:themeColor="text1"/>
                <w:szCs w:val="24"/>
              </w:rPr>
              <w:t>根据以上分区原则可知，项目分区防渗具体如下：</w:t>
            </w:r>
          </w:p>
          <w:p>
            <w:pPr>
              <w:pStyle w:val="41"/>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b/>
                <w:color w:val="000000" w:themeColor="text1"/>
                <w:szCs w:val="24"/>
              </w:rPr>
              <w:t>⑴</w:t>
            </w:r>
            <w:r>
              <w:rPr>
                <w:b/>
                <w:color w:val="000000" w:themeColor="text1"/>
                <w:szCs w:val="24"/>
              </w:rPr>
              <w:fldChar w:fldCharType="end"/>
            </w:r>
            <w:r>
              <w:rPr>
                <w:b/>
                <w:color w:val="000000" w:themeColor="text1"/>
                <w:szCs w:val="24"/>
              </w:rPr>
              <w:t>重点防渗区</w:t>
            </w:r>
          </w:p>
          <w:p>
            <w:pPr>
              <w:pStyle w:val="41"/>
              <w:ind w:firstLine="480"/>
              <w:rPr>
                <w:color w:val="000000" w:themeColor="text1"/>
                <w:szCs w:val="24"/>
              </w:rPr>
            </w:pPr>
            <w:r>
              <w:rPr>
                <w:color w:val="000000" w:themeColor="text1"/>
                <w:szCs w:val="24"/>
              </w:rPr>
              <w:t>项目重点防渗区为危险废物贮存间</w:t>
            </w:r>
            <w:r>
              <w:rPr>
                <w:rFonts w:hint="eastAsia"/>
                <w:color w:val="000000" w:themeColor="text1"/>
                <w:szCs w:val="24"/>
              </w:rPr>
              <w:t>：</w:t>
            </w:r>
            <w:r>
              <w:rPr>
                <w:color w:val="000000" w:themeColor="text1"/>
                <w:szCs w:val="24"/>
              </w:rPr>
              <w:t>危险废物贮存间</w:t>
            </w:r>
            <w:r>
              <w:rPr>
                <w:rFonts w:hint="eastAsia"/>
                <w:color w:val="000000" w:themeColor="text1"/>
                <w:szCs w:val="24"/>
              </w:rPr>
              <w:t>地面及裙墙已采用了</w:t>
            </w:r>
            <w:r>
              <w:rPr>
                <w:color w:val="000000" w:themeColor="text1"/>
                <w:szCs w:val="24"/>
              </w:rPr>
              <w:t>2mm后的HDPE膜进行防渗，使其渗透系数≤10</w:t>
            </w:r>
            <w:r>
              <w:rPr>
                <w:color w:val="000000" w:themeColor="text1"/>
                <w:szCs w:val="24"/>
                <w:vertAlign w:val="superscript"/>
              </w:rPr>
              <w:t>-10</w:t>
            </w:r>
            <w:r>
              <w:rPr>
                <w:color w:val="000000" w:themeColor="text1"/>
                <w:szCs w:val="24"/>
              </w:rPr>
              <w:t>cm/s；</w:t>
            </w:r>
          </w:p>
          <w:p>
            <w:pPr>
              <w:pStyle w:val="41"/>
              <w:ind w:firstLine="482"/>
              <w:rPr>
                <w:b/>
                <w:color w:val="000000" w:themeColor="text1"/>
                <w:szCs w:val="24"/>
              </w:rPr>
            </w:pPr>
            <w:r>
              <w:rPr>
                <w:b/>
                <w:color w:val="000000" w:themeColor="text1"/>
                <w:szCs w:val="24"/>
              </w:rPr>
              <w:fldChar w:fldCharType="begin"/>
            </w:r>
            <w:r>
              <w:rPr>
                <w:b/>
                <w:color w:val="000000" w:themeColor="text1"/>
                <w:szCs w:val="24"/>
              </w:rPr>
              <w:instrText xml:space="preserve"> = 2 \* GB2 </w:instrText>
            </w:r>
            <w:r>
              <w:rPr>
                <w:b/>
                <w:color w:val="000000" w:themeColor="text1"/>
                <w:szCs w:val="24"/>
              </w:rPr>
              <w:fldChar w:fldCharType="separate"/>
            </w:r>
            <w:r>
              <w:rPr>
                <w:b/>
                <w:color w:val="000000" w:themeColor="text1"/>
                <w:szCs w:val="24"/>
              </w:rPr>
              <w:t>⑵</w:t>
            </w:r>
            <w:r>
              <w:rPr>
                <w:b/>
                <w:color w:val="000000" w:themeColor="text1"/>
                <w:szCs w:val="24"/>
              </w:rPr>
              <w:fldChar w:fldCharType="end"/>
            </w:r>
            <w:r>
              <w:rPr>
                <w:b/>
                <w:color w:val="000000" w:themeColor="text1"/>
                <w:szCs w:val="24"/>
              </w:rPr>
              <w:t>一般防渗区</w:t>
            </w:r>
          </w:p>
          <w:p>
            <w:pPr>
              <w:pStyle w:val="41"/>
              <w:ind w:firstLine="480"/>
              <w:rPr>
                <w:color w:val="000000" w:themeColor="text1"/>
                <w:szCs w:val="24"/>
              </w:rPr>
            </w:pPr>
            <w:r>
              <w:rPr>
                <w:rFonts w:hint="eastAsia"/>
                <w:color w:val="000000" w:themeColor="text1"/>
                <w:szCs w:val="24"/>
              </w:rPr>
              <w:t>根据分区防渗规范要求，项目生产车间、废水处理系统、水淬渣暂存库、废渣暂存库区域均划定为一般防渗区</w:t>
            </w:r>
            <w:r>
              <w:rPr>
                <w:color w:val="000000" w:themeColor="text1"/>
                <w:szCs w:val="24"/>
              </w:rPr>
              <w:t>，</w:t>
            </w:r>
            <w:r>
              <w:rPr>
                <w:rFonts w:hint="eastAsia"/>
                <w:color w:val="000000" w:themeColor="text1"/>
                <w:szCs w:val="24"/>
              </w:rPr>
              <w:t>根据业主介绍，废水处理系统已采取了防腐防渗措施，其</w:t>
            </w:r>
            <w:r>
              <w:rPr>
                <w:color w:val="000000" w:themeColor="text1"/>
                <w:szCs w:val="24"/>
              </w:rPr>
              <w:t>渗透系数≤1.0×10</w:t>
            </w:r>
            <w:r>
              <w:rPr>
                <w:color w:val="000000" w:themeColor="text1"/>
                <w:szCs w:val="24"/>
                <w:vertAlign w:val="superscript"/>
              </w:rPr>
              <w:t>-</w:t>
            </w:r>
            <w:r>
              <w:rPr>
                <w:rFonts w:hint="eastAsia"/>
                <w:color w:val="000000" w:themeColor="text1"/>
                <w:szCs w:val="24"/>
                <w:vertAlign w:val="superscript"/>
              </w:rPr>
              <w:t>10</w:t>
            </w:r>
            <w:r>
              <w:rPr>
                <w:color w:val="000000" w:themeColor="text1"/>
                <w:szCs w:val="24"/>
              </w:rPr>
              <w:t>cm/s</w:t>
            </w:r>
            <w:r>
              <w:rPr>
                <w:rFonts w:hint="eastAsia"/>
                <w:color w:val="000000" w:themeColor="text1"/>
                <w:szCs w:val="24"/>
              </w:rPr>
              <w:t>；而水淬渣暂存库和废渣暂存库均已进行了防渗施工，其</w:t>
            </w:r>
            <w:r>
              <w:rPr>
                <w:color w:val="000000" w:themeColor="text1"/>
                <w:szCs w:val="24"/>
              </w:rPr>
              <w:t>渗透系数≤1.0×10</w:t>
            </w:r>
            <w:r>
              <w:rPr>
                <w:color w:val="000000" w:themeColor="text1"/>
                <w:szCs w:val="24"/>
                <w:vertAlign w:val="superscript"/>
              </w:rPr>
              <w:t>-</w:t>
            </w:r>
            <w:r>
              <w:rPr>
                <w:rFonts w:hint="eastAsia"/>
                <w:color w:val="000000" w:themeColor="text1"/>
                <w:szCs w:val="24"/>
                <w:vertAlign w:val="superscript"/>
              </w:rPr>
              <w:t>7</w:t>
            </w:r>
            <w:r>
              <w:rPr>
                <w:color w:val="000000" w:themeColor="text1"/>
                <w:szCs w:val="24"/>
              </w:rPr>
              <w:t>cm/s</w:t>
            </w:r>
            <w:r>
              <w:rPr>
                <w:rFonts w:hint="eastAsia"/>
                <w:color w:val="000000" w:themeColor="text1"/>
                <w:szCs w:val="24"/>
              </w:rPr>
              <w:t>；生产车间各区域已采用粘土铺底</w:t>
            </w:r>
            <w:r>
              <w:rPr>
                <w:color w:val="000000" w:themeColor="text1"/>
                <w:szCs w:val="24"/>
              </w:rPr>
              <w:t>，并在上层铺30cm的混凝土进行硬化。确保防渗性能，使其渗透系数≤1.0×10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本项目主要对厂区次氧化锌生产线产生的水淬渣进行资源综合利用，属于一般工业固体废物综合利用项目，</w:t>
            </w:r>
            <w:r>
              <w:rPr>
                <w:rFonts w:ascii="Times New Roman" w:hAnsi="Times New Roman" w:cs="Times New Roman"/>
                <w:color w:val="000000" w:themeColor="text1"/>
                <w:sz w:val="24"/>
                <w:szCs w:val="24"/>
              </w:rPr>
              <w:t>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危险特性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44"/>
              <w:gridCol w:w="1418"/>
              <w:gridCol w:w="992"/>
              <w:gridCol w:w="977"/>
              <w:gridCol w:w="1102"/>
              <w:gridCol w:w="23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6" w:type="dxa"/>
                  <w:vAlign w:val="center"/>
                </w:tcPr>
                <w:p>
                  <w:pPr>
                    <w:pStyle w:val="33"/>
                    <w:spacing w:line="360" w:lineRule="exact"/>
                    <w:rPr>
                      <w:color w:val="000000" w:themeColor="text1"/>
                      <w:szCs w:val="21"/>
                    </w:rPr>
                  </w:pPr>
                  <w:r>
                    <w:rPr>
                      <w:color w:val="000000" w:themeColor="text1"/>
                      <w:szCs w:val="21"/>
                    </w:rPr>
                    <w:t>产生环节</w:t>
                  </w:r>
                </w:p>
              </w:tc>
              <w:tc>
                <w:tcPr>
                  <w:tcW w:w="1044" w:type="dxa"/>
                  <w:vAlign w:val="center"/>
                </w:tcPr>
                <w:p>
                  <w:pPr>
                    <w:pStyle w:val="33"/>
                    <w:spacing w:line="360" w:lineRule="exact"/>
                    <w:rPr>
                      <w:color w:val="000000" w:themeColor="text1"/>
                      <w:szCs w:val="21"/>
                    </w:rPr>
                  </w:pPr>
                  <w:r>
                    <w:rPr>
                      <w:color w:val="000000" w:themeColor="text1"/>
                      <w:szCs w:val="21"/>
                    </w:rPr>
                    <w:t>危险物质</w:t>
                  </w:r>
                </w:p>
              </w:tc>
              <w:tc>
                <w:tcPr>
                  <w:tcW w:w="1418" w:type="dxa"/>
                  <w:vAlign w:val="center"/>
                </w:tcPr>
                <w:p>
                  <w:pPr>
                    <w:pStyle w:val="33"/>
                    <w:spacing w:line="360" w:lineRule="exact"/>
                    <w:rPr>
                      <w:color w:val="000000" w:themeColor="text1"/>
                      <w:szCs w:val="21"/>
                    </w:rPr>
                  </w:pPr>
                  <w:r>
                    <w:rPr>
                      <w:color w:val="000000" w:themeColor="text1"/>
                      <w:szCs w:val="21"/>
                    </w:rPr>
                    <w:t>年使用/产生量</w:t>
                  </w:r>
                </w:p>
              </w:tc>
              <w:tc>
                <w:tcPr>
                  <w:tcW w:w="992" w:type="dxa"/>
                  <w:tcBorders>
                    <w:right w:val="single" w:color="auto" w:sz="4" w:space="0"/>
                  </w:tcBorders>
                  <w:vAlign w:val="center"/>
                </w:tcPr>
                <w:p>
                  <w:pPr>
                    <w:pStyle w:val="33"/>
                    <w:spacing w:line="360" w:lineRule="exact"/>
                    <w:rPr>
                      <w:color w:val="000000" w:themeColor="text1"/>
                      <w:szCs w:val="21"/>
                    </w:rPr>
                  </w:pPr>
                  <w:r>
                    <w:rPr>
                      <w:color w:val="000000" w:themeColor="text1"/>
                      <w:szCs w:val="21"/>
                    </w:rPr>
                    <w:t>最大储存量</w:t>
                  </w:r>
                </w:p>
              </w:tc>
              <w:tc>
                <w:tcPr>
                  <w:tcW w:w="977" w:type="dxa"/>
                  <w:tcBorders>
                    <w:left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临界量</w:t>
                  </w:r>
                </w:p>
              </w:tc>
              <w:tc>
                <w:tcPr>
                  <w:tcW w:w="1102" w:type="dxa"/>
                  <w:tcBorders>
                    <w:left w:val="single" w:color="auto" w:sz="4" w:space="0"/>
                  </w:tcBorders>
                  <w:vAlign w:val="center"/>
                </w:tcPr>
                <w:p>
                  <w:pPr>
                    <w:pStyle w:val="33"/>
                    <w:spacing w:line="360" w:lineRule="exact"/>
                    <w:rPr>
                      <w:color w:val="000000" w:themeColor="text1"/>
                      <w:szCs w:val="21"/>
                    </w:rPr>
                  </w:pPr>
                  <w:r>
                    <w:rPr>
                      <w:rFonts w:hint="eastAsia"/>
                      <w:color w:val="000000" w:themeColor="text1"/>
                      <w:szCs w:val="21"/>
                    </w:rPr>
                    <w:t>Q值</w:t>
                  </w:r>
                </w:p>
              </w:tc>
              <w:tc>
                <w:tcPr>
                  <w:tcW w:w="2389" w:type="dxa"/>
                  <w:vAlign w:val="center"/>
                </w:tcPr>
                <w:p>
                  <w:pPr>
                    <w:pStyle w:val="33"/>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686" w:type="dxa"/>
                  <w:vAlign w:val="center"/>
                </w:tcPr>
                <w:p>
                  <w:pPr>
                    <w:pStyle w:val="33"/>
                    <w:spacing w:line="360" w:lineRule="exact"/>
                    <w:rPr>
                      <w:color w:val="000000" w:themeColor="text1"/>
                      <w:szCs w:val="21"/>
                    </w:rPr>
                  </w:pPr>
                  <w:r>
                    <w:rPr>
                      <w:color w:val="000000" w:themeColor="text1"/>
                      <w:szCs w:val="21"/>
                    </w:rPr>
                    <w:t>产生污染物</w:t>
                  </w:r>
                </w:p>
              </w:tc>
              <w:tc>
                <w:tcPr>
                  <w:tcW w:w="1044" w:type="dxa"/>
                  <w:vAlign w:val="center"/>
                </w:tcPr>
                <w:p>
                  <w:pPr>
                    <w:pStyle w:val="33"/>
                    <w:spacing w:line="360" w:lineRule="exact"/>
                    <w:rPr>
                      <w:color w:val="000000" w:themeColor="text1"/>
                      <w:szCs w:val="21"/>
                    </w:rPr>
                  </w:pPr>
                  <w:r>
                    <w:rPr>
                      <w:color w:val="000000" w:themeColor="text1"/>
                      <w:szCs w:val="21"/>
                    </w:rPr>
                    <w:t>废机油</w:t>
                  </w:r>
                </w:p>
              </w:tc>
              <w:tc>
                <w:tcPr>
                  <w:tcW w:w="1418" w:type="dxa"/>
                  <w:vAlign w:val="center"/>
                </w:tcPr>
                <w:p>
                  <w:pPr>
                    <w:pStyle w:val="33"/>
                    <w:spacing w:line="360" w:lineRule="exact"/>
                    <w:rPr>
                      <w:color w:val="000000" w:themeColor="text1"/>
                      <w:szCs w:val="21"/>
                    </w:rPr>
                  </w:pPr>
                  <w:r>
                    <w:rPr>
                      <w:color w:val="000000" w:themeColor="text1"/>
                      <w:szCs w:val="21"/>
                    </w:rPr>
                    <w:t>80kg/a</w:t>
                  </w:r>
                </w:p>
              </w:tc>
              <w:tc>
                <w:tcPr>
                  <w:tcW w:w="992" w:type="dxa"/>
                  <w:tcBorders>
                    <w:right w:val="single" w:color="auto" w:sz="4" w:space="0"/>
                  </w:tcBorders>
                  <w:vAlign w:val="center"/>
                </w:tcPr>
                <w:p>
                  <w:pPr>
                    <w:pStyle w:val="33"/>
                    <w:spacing w:line="360" w:lineRule="exact"/>
                    <w:rPr>
                      <w:color w:val="000000" w:themeColor="text1"/>
                      <w:szCs w:val="21"/>
                    </w:rPr>
                  </w:pPr>
                  <w:r>
                    <w:rPr>
                      <w:color w:val="000000" w:themeColor="text1"/>
                      <w:szCs w:val="21"/>
                    </w:rPr>
                    <w:t>0.08t/a</w:t>
                  </w:r>
                </w:p>
              </w:tc>
              <w:tc>
                <w:tcPr>
                  <w:tcW w:w="977" w:type="dxa"/>
                  <w:tcBorders>
                    <w:left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2500</w:t>
                  </w:r>
                  <w:r>
                    <w:rPr>
                      <w:color w:val="000000" w:themeColor="text1"/>
                      <w:szCs w:val="21"/>
                    </w:rPr>
                    <w:t>t/a</w:t>
                  </w:r>
                </w:p>
              </w:tc>
              <w:tc>
                <w:tcPr>
                  <w:tcW w:w="1102" w:type="dxa"/>
                  <w:tcBorders>
                    <w:left w:val="single" w:color="auto" w:sz="4" w:space="0"/>
                  </w:tcBorders>
                  <w:vAlign w:val="center"/>
                </w:tcPr>
                <w:p>
                  <w:pPr>
                    <w:jc w:val="center"/>
                    <w:rPr>
                      <w:color w:val="000000" w:themeColor="text1"/>
                    </w:rPr>
                  </w:pPr>
                  <w:r>
                    <w:rPr>
                      <w:rFonts w:hint="eastAsia" w:ascii="Times New Roman" w:hAnsi="Times New Roman" w:eastAsia="宋体" w:cs="Times New Roman"/>
                      <w:bCs/>
                      <w:snapToGrid w:val="0"/>
                      <w:color w:val="000000" w:themeColor="text1"/>
                      <w:kern w:val="32"/>
                      <w:lang w:val="zh-CN"/>
                    </w:rPr>
                    <w:t>0.000032</w:t>
                  </w:r>
                </w:p>
              </w:tc>
              <w:tc>
                <w:tcPr>
                  <w:tcW w:w="2389" w:type="dxa"/>
                  <w:vAlign w:val="center"/>
                </w:tcPr>
                <w:p>
                  <w:pPr>
                    <w:pStyle w:val="33"/>
                    <w:spacing w:line="360" w:lineRule="exact"/>
                    <w:ind w:left="11" w:firstLine="210" w:firstLineChars="100"/>
                    <w:jc w:val="both"/>
                    <w:rPr>
                      <w:rFonts w:eastAsiaTheme="minorEastAsia"/>
                      <w:color w:val="000000" w:themeColor="text1"/>
                      <w:szCs w:val="21"/>
                    </w:rPr>
                  </w:pPr>
                  <w:r>
                    <w:rPr>
                      <w:rFonts w:hint="eastAsia" w:eastAsiaTheme="minorEastAsia"/>
                      <w:color w:val="000000" w:themeColor="text1"/>
                      <w:szCs w:val="21"/>
                    </w:rPr>
                    <w:t>已</w:t>
                  </w:r>
                  <w:r>
                    <w:rPr>
                      <w:rFonts w:eastAsiaTheme="minorEastAsia"/>
                      <w:color w:val="000000" w:themeColor="text1"/>
                      <w:szCs w:val="21"/>
                    </w:rPr>
                    <w:t>设置1个15m²的危险废物贮存间，对项目产生的危险废物进行分类暂存。</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 xml:space="preserve">表4.2.7-2 </w:t>
            </w:r>
            <w:r>
              <w:rPr>
                <w:rFonts w:hint="eastAsia" w:hAnsi="Times New Roman" w:eastAsiaTheme="minorEastAsia"/>
                <w:color w:val="000000" w:themeColor="text1"/>
                <w:sz w:val="21"/>
                <w:szCs w:val="21"/>
              </w:rPr>
              <w:t xml:space="preserve"> </w:t>
            </w:r>
            <w:r>
              <w:rPr>
                <w:rFonts w:hAnsi="Times New Roman" w:eastAsiaTheme="minorEastAsia"/>
                <w:color w:val="000000" w:themeColor="text1"/>
                <w:sz w:val="21"/>
                <w:szCs w:val="21"/>
              </w:rPr>
              <w:t>危险物质主要成分基本性质一览表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1349"/>
              <w:gridCol w:w="6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color w:val="000000" w:themeColor="text1"/>
                      <w:szCs w:val="21"/>
                    </w:rPr>
                  </w:pPr>
                  <w:r>
                    <w:rPr>
                      <w:color w:val="000000" w:themeColor="text1"/>
                      <w:szCs w:val="21"/>
                    </w:rPr>
                    <w:t>废机油</w:t>
                  </w:r>
                </w:p>
              </w:tc>
              <w:tc>
                <w:tcPr>
                  <w:tcW w:w="1349" w:type="dxa"/>
                </w:tcPr>
                <w:p>
                  <w:pPr>
                    <w:pStyle w:val="33"/>
                    <w:spacing w:line="360" w:lineRule="exact"/>
                    <w:rPr>
                      <w:color w:val="000000" w:themeColor="text1"/>
                      <w:szCs w:val="21"/>
                    </w:rPr>
                  </w:pPr>
                  <w:r>
                    <w:rPr>
                      <w:color w:val="000000" w:themeColor="text1"/>
                      <w:szCs w:val="21"/>
                    </w:rPr>
                    <w:t>废物类别</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废物代码</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危险特征</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危险特性</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1"/>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②操作人员</w:t>
            </w:r>
            <w:r>
              <w:rPr>
                <w:rFonts w:ascii="Times New Roman" w:hAnsi="Times New Roman" w:cs="Times New Roman"/>
                <w:color w:val="000000" w:themeColor="text1"/>
                <w:sz w:val="24"/>
                <w:szCs w:val="24"/>
              </w:rPr>
              <w:t>违规操作</w:t>
            </w:r>
            <w:r>
              <w:rPr>
                <w:rFonts w:hint="eastAsia" w:ascii="Times New Roman" w:hAnsi="Times New Roman" w:cs="Times New Roman"/>
                <w:color w:val="000000" w:themeColor="text1"/>
                <w:sz w:val="24"/>
                <w:szCs w:val="24"/>
              </w:rPr>
              <w:t>，如</w:t>
            </w:r>
            <w:r>
              <w:rPr>
                <w:rFonts w:ascii="Times New Roman" w:hAnsi="Times New Roman" w:cs="Times New Roman"/>
                <w:color w:val="000000" w:themeColor="text1"/>
                <w:sz w:val="24"/>
                <w:szCs w:val="24"/>
              </w:rPr>
              <w:t>在设备内检维修作业时，未采取可靠隔离、切断电源、通风置换等措施，则可能发生火灾爆炸等</w:t>
            </w:r>
            <w:r>
              <w:rPr>
                <w:rFonts w:hint="eastAsia" w:ascii="Times New Roman" w:hAnsi="Times New Roman" w:cs="Times New Roman"/>
                <w:color w:val="000000" w:themeColor="text1"/>
                <w:sz w:val="24"/>
                <w:szCs w:val="24"/>
              </w:rPr>
              <w:t>风险</w:t>
            </w:r>
            <w:r>
              <w:rPr>
                <w:rFonts w:ascii="Times New Roman" w:hAnsi="Times New Roman" w:cs="Times New Roman"/>
                <w:color w:val="000000" w:themeColor="text1"/>
                <w:sz w:val="24"/>
                <w:szCs w:val="24"/>
              </w:rPr>
              <w:t>。</w:t>
            </w:r>
          </w:p>
          <w:p>
            <w:pPr>
              <w:pStyle w:val="41"/>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⑥项目将厂区内的</w:t>
            </w:r>
            <w:r>
              <w:rPr>
                <w:rFonts w:ascii="Times New Roman" w:hAnsi="Times New Roman" w:cs="Times New Roman"/>
                <w:color w:val="000000" w:themeColor="text1"/>
                <w:sz w:val="24"/>
                <w:szCs w:val="24"/>
              </w:rPr>
              <w:t>最后1个循环水池作为事故池使用，该循环水池的尺寸均为Φ4.6m、深4.5m的圆柱体，其有效容积为80m³</w:t>
            </w:r>
            <w:r>
              <w:rPr>
                <w:rFonts w:hint="eastAsia" w:ascii="Times New Roman" w:hAnsi="Times New Roman" w:cs="Times New Roman"/>
                <w:color w:val="000000" w:themeColor="text1"/>
                <w:sz w:val="24"/>
                <w:szCs w:val="24"/>
              </w:rPr>
              <w:t>，对风险事故废水进行收集，以满足事故状态下收集泄漏物料、污染消防水、污染雨水和生活污水的需要。</w:t>
            </w:r>
          </w:p>
          <w:p>
            <w:pPr>
              <w:pStyle w:val="41"/>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12" w:name="_Toc72228649"/>
            <w:r>
              <w:rPr>
                <w:rFonts w:ascii="Times New Roman" w:hAnsi="Times New Roman" w:cs="Times New Roman"/>
                <w:b/>
                <w:color w:val="000000" w:themeColor="text1"/>
                <w:sz w:val="24"/>
                <w:szCs w:val="24"/>
              </w:rPr>
              <w:t>4.3 环保投资估算</w:t>
            </w:r>
            <w:bookmarkEnd w:id="1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项目总投资688.23万元，其中基建环保投资为</w:t>
            </w:r>
            <w:r>
              <w:rPr>
                <w:rFonts w:hint="eastAsia" w:ascii="Times New Roman" w:hAnsi="Times New Roman" w:cs="Times New Roman"/>
                <w:color w:val="000000" w:themeColor="text1"/>
                <w:sz w:val="24"/>
                <w:szCs w:val="24"/>
              </w:rPr>
              <w:t>137.81</w:t>
            </w:r>
            <w:r>
              <w:rPr>
                <w:rFonts w:ascii="Times New Roman" w:hAnsi="Times New Roman" w:cs="Times New Roman"/>
                <w:color w:val="000000" w:themeColor="text1"/>
                <w:sz w:val="24"/>
                <w:szCs w:val="24"/>
              </w:rPr>
              <w:t>万元，占总投资的20.024%。年环保投资运行费用约为12.8万元，项目拟采取措施的具体内容、责任主体、实施时段及环境保护投入资金如下表所示。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97"/>
              <w:gridCol w:w="673"/>
              <w:gridCol w:w="1422"/>
              <w:gridCol w:w="2553"/>
              <w:gridCol w:w="852"/>
              <w:gridCol w:w="708"/>
              <w:gridCol w:w="64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restart"/>
                  <w:vAlign w:val="center"/>
                </w:tcPr>
                <w:p>
                  <w:pPr>
                    <w:pStyle w:val="33"/>
                    <w:spacing w:line="360" w:lineRule="exact"/>
                    <w:rPr>
                      <w:color w:val="000000" w:themeColor="text1"/>
                      <w:szCs w:val="21"/>
                    </w:rPr>
                  </w:pPr>
                  <w:r>
                    <w:rPr>
                      <w:color w:val="000000" w:themeColor="text1"/>
                      <w:szCs w:val="21"/>
                    </w:rPr>
                    <w:t>时期</w:t>
                  </w:r>
                </w:p>
              </w:tc>
              <w:tc>
                <w:tcPr>
                  <w:tcW w:w="738" w:type="pct"/>
                  <w:gridSpan w:val="2"/>
                  <w:vMerge w:val="restart"/>
                  <w:vAlign w:val="center"/>
                </w:tcPr>
                <w:p>
                  <w:pPr>
                    <w:pStyle w:val="33"/>
                    <w:spacing w:line="360" w:lineRule="exact"/>
                    <w:rPr>
                      <w:color w:val="000000" w:themeColor="text1"/>
                      <w:szCs w:val="21"/>
                    </w:rPr>
                  </w:pPr>
                  <w:r>
                    <w:rPr>
                      <w:color w:val="000000" w:themeColor="text1"/>
                      <w:szCs w:val="21"/>
                    </w:rPr>
                    <w:t>类型</w:t>
                  </w:r>
                </w:p>
              </w:tc>
              <w:tc>
                <w:tcPr>
                  <w:tcW w:w="2309" w:type="pct"/>
                  <w:gridSpan w:val="2"/>
                  <w:vAlign w:val="center"/>
                </w:tcPr>
                <w:p>
                  <w:pPr>
                    <w:pStyle w:val="33"/>
                    <w:spacing w:line="360" w:lineRule="exact"/>
                    <w:rPr>
                      <w:color w:val="000000" w:themeColor="text1"/>
                      <w:szCs w:val="21"/>
                    </w:rPr>
                  </w:pPr>
                  <w:r>
                    <w:rPr>
                      <w:color w:val="000000" w:themeColor="text1"/>
                      <w:szCs w:val="21"/>
                    </w:rPr>
                    <w:t>环保措施</w:t>
                  </w:r>
                </w:p>
              </w:tc>
              <w:tc>
                <w:tcPr>
                  <w:tcW w:w="906" w:type="pct"/>
                  <w:gridSpan w:val="2"/>
                  <w:vAlign w:val="center"/>
                </w:tcPr>
                <w:p>
                  <w:pPr>
                    <w:pStyle w:val="33"/>
                    <w:spacing w:line="360" w:lineRule="exact"/>
                    <w:rPr>
                      <w:color w:val="000000" w:themeColor="text1"/>
                      <w:szCs w:val="21"/>
                    </w:rPr>
                  </w:pPr>
                  <w:r>
                    <w:rPr>
                      <w:color w:val="000000" w:themeColor="text1"/>
                      <w:szCs w:val="21"/>
                    </w:rPr>
                    <w:t>建设期资金投入（万元）</w:t>
                  </w:r>
                </w:p>
              </w:tc>
              <w:tc>
                <w:tcPr>
                  <w:tcW w:w="782" w:type="pct"/>
                  <w:gridSpan w:val="2"/>
                  <w:vAlign w:val="center"/>
                </w:tcPr>
                <w:p>
                  <w:pPr>
                    <w:pStyle w:val="33"/>
                    <w:spacing w:line="360" w:lineRule="exact"/>
                    <w:rPr>
                      <w:color w:val="000000" w:themeColor="text1"/>
                      <w:szCs w:val="21"/>
                    </w:rPr>
                  </w:pPr>
                  <w:r>
                    <w:rPr>
                      <w:color w:val="000000" w:themeColor="text1"/>
                      <w:szCs w:val="21"/>
                    </w:rPr>
                    <w:t>运行资金投入（万元/a）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环保项目</w:t>
                  </w:r>
                </w:p>
              </w:tc>
              <w:tc>
                <w:tcPr>
                  <w:tcW w:w="1483" w:type="pct"/>
                  <w:vAlign w:val="center"/>
                </w:tcPr>
                <w:p>
                  <w:pPr>
                    <w:pStyle w:val="33"/>
                    <w:spacing w:line="360" w:lineRule="exact"/>
                    <w:rPr>
                      <w:color w:val="000000" w:themeColor="text1"/>
                      <w:szCs w:val="21"/>
                    </w:rPr>
                  </w:pPr>
                  <w:r>
                    <w:rPr>
                      <w:color w:val="000000" w:themeColor="text1"/>
                      <w:szCs w:val="21"/>
                    </w:rPr>
                    <w:t>数量</w:t>
                  </w:r>
                </w:p>
              </w:tc>
              <w:tc>
                <w:tcPr>
                  <w:tcW w:w="495" w:type="pct"/>
                  <w:vAlign w:val="center"/>
                </w:tcPr>
                <w:p>
                  <w:pPr>
                    <w:pStyle w:val="33"/>
                    <w:spacing w:line="360" w:lineRule="exact"/>
                    <w:rPr>
                      <w:color w:val="000000" w:themeColor="text1"/>
                      <w:szCs w:val="21"/>
                    </w:rPr>
                  </w:pPr>
                  <w:r>
                    <w:rPr>
                      <w:color w:val="000000" w:themeColor="text1"/>
                      <w:szCs w:val="21"/>
                    </w:rPr>
                    <w:t>建设费用</w:t>
                  </w:r>
                </w:p>
              </w:tc>
              <w:tc>
                <w:tcPr>
                  <w:tcW w:w="411" w:type="pct"/>
                  <w:vAlign w:val="center"/>
                </w:tcPr>
                <w:p>
                  <w:pPr>
                    <w:pStyle w:val="33"/>
                    <w:spacing w:line="360" w:lineRule="exact"/>
                    <w:rPr>
                      <w:color w:val="000000" w:themeColor="text1"/>
                      <w:szCs w:val="21"/>
                    </w:rPr>
                  </w:pPr>
                  <w:r>
                    <w:rPr>
                      <w:color w:val="000000" w:themeColor="text1"/>
                      <w:szCs w:val="21"/>
                    </w:rPr>
                    <w:t>责任主体</w:t>
                  </w:r>
                </w:p>
              </w:tc>
              <w:tc>
                <w:tcPr>
                  <w:tcW w:w="374" w:type="pct"/>
                  <w:vAlign w:val="center"/>
                </w:tcPr>
                <w:p>
                  <w:pPr>
                    <w:pStyle w:val="33"/>
                    <w:spacing w:line="360" w:lineRule="exact"/>
                    <w:rPr>
                      <w:color w:val="000000" w:themeColor="text1"/>
                      <w:szCs w:val="21"/>
                    </w:rPr>
                  </w:pPr>
                  <w:r>
                    <w:rPr>
                      <w:color w:val="000000" w:themeColor="text1"/>
                      <w:szCs w:val="21"/>
                    </w:rPr>
                    <w:t>运行维护费用</w:t>
                  </w:r>
                </w:p>
              </w:tc>
              <w:tc>
                <w:tcPr>
                  <w:tcW w:w="408" w:type="pct"/>
                  <w:vAlign w:val="center"/>
                </w:tcPr>
                <w:p>
                  <w:pPr>
                    <w:pStyle w:val="33"/>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265" w:type="pct"/>
                  <w:vMerge w:val="restart"/>
                  <w:vAlign w:val="center"/>
                </w:tcPr>
                <w:p>
                  <w:pPr>
                    <w:pStyle w:val="33"/>
                    <w:spacing w:line="360" w:lineRule="exact"/>
                    <w:rPr>
                      <w:color w:val="000000" w:themeColor="text1"/>
                      <w:szCs w:val="21"/>
                    </w:rPr>
                  </w:pPr>
                  <w:r>
                    <w:rPr>
                      <w:color w:val="000000" w:themeColor="text1"/>
                      <w:szCs w:val="21"/>
                    </w:rPr>
                    <w:t>运营期污染源</w:t>
                  </w:r>
                </w:p>
              </w:tc>
              <w:tc>
                <w:tcPr>
                  <w:tcW w:w="347" w:type="pct"/>
                  <w:vMerge w:val="restart"/>
                  <w:vAlign w:val="center"/>
                </w:tcPr>
                <w:p>
                  <w:pPr>
                    <w:pStyle w:val="33"/>
                    <w:spacing w:line="360" w:lineRule="exact"/>
                    <w:rPr>
                      <w:color w:val="000000" w:themeColor="text1"/>
                      <w:szCs w:val="21"/>
                    </w:rPr>
                  </w:pPr>
                  <w:r>
                    <w:rPr>
                      <w:color w:val="000000" w:themeColor="text1"/>
                      <w:szCs w:val="21"/>
                    </w:rPr>
                    <w:t>废气</w:t>
                  </w:r>
                </w:p>
              </w:tc>
              <w:tc>
                <w:tcPr>
                  <w:tcW w:w="391" w:type="pct"/>
                  <w:vAlign w:val="center"/>
                </w:tcPr>
                <w:p>
                  <w:pPr>
                    <w:pStyle w:val="33"/>
                    <w:spacing w:line="360" w:lineRule="exact"/>
                    <w:rPr>
                      <w:color w:val="000000" w:themeColor="text1"/>
                      <w:szCs w:val="21"/>
                    </w:rPr>
                  </w:pPr>
                  <w:r>
                    <w:rPr>
                      <w:color w:val="000000" w:themeColor="text1"/>
                      <w:szCs w:val="21"/>
                    </w:rPr>
                    <w:t>燃烧烟气</w:t>
                  </w:r>
                </w:p>
              </w:tc>
              <w:tc>
                <w:tcPr>
                  <w:tcW w:w="826" w:type="pct"/>
                  <w:vAlign w:val="center"/>
                </w:tcPr>
                <w:p>
                  <w:pPr>
                    <w:pStyle w:val="33"/>
                    <w:spacing w:line="360" w:lineRule="exact"/>
                    <w:rPr>
                      <w:color w:val="000000" w:themeColor="text1"/>
                      <w:szCs w:val="21"/>
                    </w:rPr>
                  </w:pPr>
                  <w:r>
                    <w:rPr>
                      <w:color w:val="000000" w:themeColor="text1"/>
                      <w:szCs w:val="21"/>
                    </w:rPr>
                    <w:t>燃烧烟气处理系统</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1套，由低氮燃烧+非催化还原（SNCR）脱硝技术+袋式除尘器组成，其中低氮燃烧+非催化还原（SNCR）脱硝的NOx去除效率为45.4%，1#布袋除尘除尘效率为99.7%，燃烧烟气经处理后通过1根Φ0.4m、高</w:t>
                  </w:r>
                  <w:r>
                    <w:rPr>
                      <w:rFonts w:hint="eastAsia"/>
                      <w:color w:val="000000" w:themeColor="text1"/>
                      <w:szCs w:val="21"/>
                    </w:rPr>
                    <w:t>20</w:t>
                  </w:r>
                  <w:r>
                    <w:rPr>
                      <w:color w:val="000000" w:themeColor="text1"/>
                      <w:szCs w:val="21"/>
                    </w:rPr>
                    <w:t>m的排气筒（DA003）外排。</w:t>
                  </w:r>
                </w:p>
              </w:tc>
              <w:tc>
                <w:tcPr>
                  <w:tcW w:w="495" w:type="pct"/>
                  <w:vAlign w:val="center"/>
                </w:tcPr>
                <w:p>
                  <w:pPr>
                    <w:pStyle w:val="33"/>
                    <w:spacing w:line="360" w:lineRule="exact"/>
                    <w:rPr>
                      <w:color w:val="000000" w:themeColor="text1"/>
                      <w:szCs w:val="21"/>
                    </w:rPr>
                  </w:pPr>
                  <w:r>
                    <w:rPr>
                      <w:color w:val="000000" w:themeColor="text1"/>
                      <w:szCs w:val="21"/>
                    </w:rPr>
                    <w:t>16</w:t>
                  </w:r>
                </w:p>
              </w:tc>
              <w:tc>
                <w:tcPr>
                  <w:tcW w:w="411" w:type="pct"/>
                  <w:vMerge w:val="restart"/>
                  <w:vAlign w:val="center"/>
                </w:tcPr>
                <w:p>
                  <w:pPr>
                    <w:pStyle w:val="33"/>
                    <w:spacing w:line="360" w:lineRule="exact"/>
                    <w:rPr>
                      <w:color w:val="000000" w:themeColor="text1"/>
                      <w:szCs w:val="21"/>
                    </w:rPr>
                  </w:pPr>
                  <w:r>
                    <w:rPr>
                      <w:color w:val="000000" w:themeColor="text1"/>
                      <w:szCs w:val="21"/>
                    </w:rPr>
                    <w:t>施工单位</w:t>
                  </w:r>
                </w:p>
              </w:tc>
              <w:tc>
                <w:tcPr>
                  <w:tcW w:w="374" w:type="pct"/>
                  <w:vAlign w:val="center"/>
                </w:tcPr>
                <w:p>
                  <w:pPr>
                    <w:pStyle w:val="33"/>
                    <w:spacing w:line="360" w:lineRule="exact"/>
                    <w:rPr>
                      <w:color w:val="000000" w:themeColor="text1"/>
                      <w:szCs w:val="21"/>
                    </w:rPr>
                  </w:pPr>
                  <w:r>
                    <w:rPr>
                      <w:color w:val="000000" w:themeColor="text1"/>
                      <w:szCs w:val="21"/>
                    </w:rPr>
                    <w:t>1.3</w:t>
                  </w:r>
                </w:p>
              </w:tc>
              <w:tc>
                <w:tcPr>
                  <w:tcW w:w="408" w:type="pct"/>
                  <w:vMerge w:val="restart"/>
                  <w:vAlign w:val="center"/>
                </w:tcPr>
                <w:p>
                  <w:pPr>
                    <w:pStyle w:val="33"/>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烘干粉尘</w:t>
                  </w:r>
                </w:p>
              </w:tc>
              <w:tc>
                <w:tcPr>
                  <w:tcW w:w="826" w:type="pct"/>
                  <w:vAlign w:val="center"/>
                </w:tcPr>
                <w:p>
                  <w:pPr>
                    <w:pStyle w:val="33"/>
                    <w:spacing w:line="360" w:lineRule="exact"/>
                    <w:rPr>
                      <w:color w:val="000000" w:themeColor="text1"/>
                      <w:szCs w:val="21"/>
                    </w:rPr>
                  </w:pPr>
                  <w:r>
                    <w:rPr>
                      <w:color w:val="000000" w:themeColor="text1"/>
                      <w:szCs w:val="21"/>
                    </w:rPr>
                    <w:t>烘干粉尘处理系统</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1套，由旋风除尘+袋式除尘器组成，其中旋风除尘效率为70%，2#布袋除尘除尘效率为98.4%，则综合除尘效率约为99.5%，烘干粉尘经处理后通过1根Φ0.5m、高15m的排气筒（DA004）外排。</w:t>
                  </w:r>
                </w:p>
              </w:tc>
              <w:tc>
                <w:tcPr>
                  <w:tcW w:w="495" w:type="pct"/>
                  <w:vAlign w:val="center"/>
                </w:tcPr>
                <w:p>
                  <w:pPr>
                    <w:pStyle w:val="33"/>
                    <w:spacing w:line="360" w:lineRule="exact"/>
                    <w:rPr>
                      <w:color w:val="000000" w:themeColor="text1"/>
                      <w:szCs w:val="21"/>
                    </w:rPr>
                  </w:pPr>
                  <w:r>
                    <w:rPr>
                      <w:color w:val="000000" w:themeColor="text1"/>
                      <w:szCs w:val="21"/>
                    </w:rPr>
                    <w:t>23</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1.5</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堆场扬尘</w:t>
                  </w:r>
                </w:p>
              </w:tc>
              <w:tc>
                <w:tcPr>
                  <w:tcW w:w="826" w:type="pct"/>
                  <w:vAlign w:val="center"/>
                </w:tcPr>
                <w:p>
                  <w:pPr>
                    <w:pStyle w:val="33"/>
                    <w:spacing w:line="360" w:lineRule="exact"/>
                    <w:rPr>
                      <w:color w:val="000000" w:themeColor="text1"/>
                      <w:szCs w:val="21"/>
                    </w:rPr>
                  </w:pPr>
                  <w:r>
                    <w:rPr>
                      <w:color w:val="000000" w:themeColor="text1"/>
                      <w:szCs w:val="21"/>
                    </w:rPr>
                    <w:t>围挡及顶棚</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水淬渣暂存库设有顶棚和三面围挡设施。渣库设有顶棚和三面围挡，但存在围挡破损情况，应对其进行修善。围挡及顶棚扬尘抑制率约为60%。</w:t>
                  </w:r>
                </w:p>
              </w:tc>
              <w:tc>
                <w:tcPr>
                  <w:tcW w:w="495" w:type="pct"/>
                  <w:vAlign w:val="center"/>
                </w:tcPr>
                <w:p>
                  <w:pPr>
                    <w:pStyle w:val="33"/>
                    <w:spacing w:line="360" w:lineRule="exact"/>
                    <w:rPr>
                      <w:color w:val="000000" w:themeColor="text1"/>
                      <w:szCs w:val="21"/>
                    </w:rPr>
                  </w:pPr>
                  <w:r>
                    <w:rPr>
                      <w:color w:val="000000" w:themeColor="text1"/>
                      <w:szCs w:val="21"/>
                    </w:rPr>
                    <w:t>29</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restart"/>
                  <w:vAlign w:val="center"/>
                </w:tcPr>
                <w:p>
                  <w:pPr>
                    <w:pStyle w:val="33"/>
                    <w:spacing w:line="360" w:lineRule="exact"/>
                    <w:rPr>
                      <w:color w:val="000000" w:themeColor="text1"/>
                      <w:szCs w:val="21"/>
                    </w:rPr>
                  </w:pPr>
                  <w:r>
                    <w:rPr>
                      <w:color w:val="000000" w:themeColor="text1"/>
                      <w:szCs w:val="21"/>
                    </w:rPr>
                    <w:t>废水</w:t>
                  </w:r>
                </w:p>
              </w:tc>
              <w:tc>
                <w:tcPr>
                  <w:tcW w:w="1217" w:type="pct"/>
                  <w:gridSpan w:val="2"/>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雨污分流</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雨水管网及污水管网</w:t>
                  </w:r>
                </w:p>
              </w:tc>
              <w:tc>
                <w:tcPr>
                  <w:tcW w:w="495" w:type="pct"/>
                  <w:vAlign w:val="center"/>
                </w:tcPr>
                <w:p>
                  <w:pPr>
                    <w:pStyle w:val="33"/>
                    <w:spacing w:line="360" w:lineRule="exact"/>
                    <w:rPr>
                      <w:color w:val="000000" w:themeColor="text1"/>
                      <w:szCs w:val="21"/>
                    </w:rPr>
                  </w:pP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生产废水</w:t>
                  </w:r>
                </w:p>
              </w:tc>
              <w:tc>
                <w:tcPr>
                  <w:tcW w:w="826" w:type="pct"/>
                  <w:vAlign w:val="center"/>
                </w:tcPr>
                <w:p>
                  <w:pPr>
                    <w:pStyle w:val="33"/>
                    <w:spacing w:line="360" w:lineRule="exact"/>
                    <w:rPr>
                      <w:rFonts w:eastAsiaTheme="minorEastAsia"/>
                      <w:color w:val="000000" w:themeColor="text1"/>
                      <w:szCs w:val="21"/>
                    </w:rPr>
                  </w:pPr>
                  <w:r>
                    <w:rPr>
                      <w:color w:val="000000" w:themeColor="text1"/>
                      <w:szCs w:val="21"/>
                    </w:rPr>
                    <w:t>废水处理系统</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废水处理系统由</w:t>
                  </w:r>
                  <w:r>
                    <w:rPr>
                      <w:rFonts w:hint="eastAsia"/>
                      <w:color w:val="000000" w:themeColor="text1"/>
                      <w:szCs w:val="21"/>
                    </w:rPr>
                    <w:t>11个总容积为858m³废水收集循环池；1#废水收集循环池有效容积为</w:t>
                  </w:r>
                  <w:r>
                    <w:rPr>
                      <w:color w:val="000000" w:themeColor="text1"/>
                      <w:szCs w:val="21"/>
                    </w:rPr>
                    <w:t>18m³</w:t>
                  </w:r>
                  <w:r>
                    <w:rPr>
                      <w:rFonts w:hint="eastAsia"/>
                      <w:color w:val="000000" w:themeColor="text1"/>
                      <w:szCs w:val="21"/>
                    </w:rPr>
                    <w:t>，2#和3#废水收集循环池有效容积为200</w:t>
                  </w:r>
                  <w:r>
                    <w:rPr>
                      <w:color w:val="000000" w:themeColor="text1"/>
                      <w:szCs w:val="21"/>
                    </w:rPr>
                    <w:t>m³</w:t>
                  </w:r>
                  <w:r>
                    <w:rPr>
                      <w:rFonts w:hint="eastAsia"/>
                      <w:color w:val="000000" w:themeColor="text1"/>
                      <w:szCs w:val="21"/>
                    </w:rPr>
                    <w:t>，4#-11#废水收集循环池有效容积为64</w:t>
                  </w:r>
                  <w:r>
                    <w:rPr>
                      <w:color w:val="000000" w:themeColor="text1"/>
                      <w:szCs w:val="21"/>
                    </w:rPr>
                    <w:t>0m³</w:t>
                  </w:r>
                  <w:r>
                    <w:rPr>
                      <w:rFonts w:hint="eastAsia"/>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46</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2</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初期雨水</w:t>
                  </w:r>
                </w:p>
              </w:tc>
              <w:tc>
                <w:tcPr>
                  <w:tcW w:w="826" w:type="pct"/>
                  <w:vAlign w:val="center"/>
                </w:tcPr>
                <w:p>
                  <w:pPr>
                    <w:pStyle w:val="33"/>
                    <w:spacing w:line="360" w:lineRule="exact"/>
                    <w:rPr>
                      <w:color w:val="000000" w:themeColor="text1"/>
                      <w:szCs w:val="21"/>
                    </w:rPr>
                  </w:pPr>
                  <w:r>
                    <w:rPr>
                      <w:color w:val="000000" w:themeColor="text1"/>
                      <w:szCs w:val="21"/>
                    </w:rPr>
                    <w:t>初期雨水收集池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1个有效容积为150m³的1#初期雨水收集池</w:t>
                  </w:r>
                  <w:r>
                    <w:rPr>
                      <w:rFonts w:hint="eastAsia"/>
                      <w:color w:val="000000" w:themeColor="text1"/>
                      <w:szCs w:val="21"/>
                    </w:rPr>
                    <w:t>、</w:t>
                  </w:r>
                  <w:r>
                    <w:rPr>
                      <w:color w:val="000000" w:themeColor="text1"/>
                      <w:szCs w:val="21"/>
                    </w:rPr>
                    <w:t>1个50.8m³的2#初期雨水收集池</w:t>
                  </w:r>
                  <w:r>
                    <w:rPr>
                      <w:rFonts w:hint="eastAsia"/>
                      <w:color w:val="000000" w:themeColor="text1"/>
                      <w:szCs w:val="21"/>
                    </w:rPr>
                    <w:t>和1</w:t>
                  </w:r>
                  <w:r>
                    <w:rPr>
                      <w:color w:val="000000" w:themeColor="text1"/>
                      <w:szCs w:val="21"/>
                    </w:rPr>
                    <w:t>个有效容积为5m³的</w:t>
                  </w:r>
                  <w:r>
                    <w:rPr>
                      <w:rFonts w:hint="eastAsia"/>
                      <w:color w:val="000000" w:themeColor="text1"/>
                      <w:szCs w:val="21"/>
                    </w:rPr>
                    <w:t>3#</w:t>
                  </w:r>
                  <w:r>
                    <w:rPr>
                      <w:color w:val="000000" w:themeColor="text1"/>
                      <w:szCs w:val="21"/>
                    </w:rPr>
                    <w:t>初期雨水收集池</w:t>
                  </w:r>
                  <w:r>
                    <w:rPr>
                      <w:rFonts w:hint="eastAsia"/>
                      <w:color w:val="000000" w:themeColor="text1"/>
                      <w:szCs w:val="21"/>
                    </w:rPr>
                    <w:t>。</w:t>
                  </w:r>
                  <w:r>
                    <w:rPr>
                      <w:color w:val="000000" w:themeColor="text1"/>
                      <w:szCs w:val="21"/>
                    </w:rPr>
                    <w:t xml:space="preserve"> </w:t>
                  </w:r>
                </w:p>
              </w:tc>
              <w:tc>
                <w:tcPr>
                  <w:tcW w:w="495" w:type="pct"/>
                  <w:vAlign w:val="center"/>
                </w:tcPr>
                <w:p>
                  <w:pPr>
                    <w:pStyle w:val="33"/>
                    <w:spacing w:line="360" w:lineRule="exact"/>
                    <w:rPr>
                      <w:color w:val="000000" w:themeColor="text1"/>
                      <w:szCs w:val="21"/>
                    </w:rPr>
                  </w:pPr>
                  <w:r>
                    <w:rPr>
                      <w:color w:val="000000" w:themeColor="text1"/>
                      <w:szCs w:val="21"/>
                    </w:rPr>
                    <w:t>“9”</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restart"/>
                  <w:vAlign w:val="center"/>
                </w:tcPr>
                <w:p>
                  <w:pPr>
                    <w:pStyle w:val="33"/>
                    <w:spacing w:line="360" w:lineRule="exact"/>
                    <w:rPr>
                      <w:color w:val="000000" w:themeColor="text1"/>
                      <w:szCs w:val="21"/>
                    </w:rPr>
                  </w:pPr>
                  <w:r>
                    <w:rPr>
                      <w:color w:val="000000" w:themeColor="text1"/>
                      <w:szCs w:val="21"/>
                    </w:rPr>
                    <w:t>生活污水</w:t>
                  </w:r>
                </w:p>
              </w:tc>
              <w:tc>
                <w:tcPr>
                  <w:tcW w:w="826" w:type="pct"/>
                  <w:vAlign w:val="center"/>
                </w:tcPr>
                <w:p>
                  <w:pPr>
                    <w:pStyle w:val="33"/>
                    <w:spacing w:line="360" w:lineRule="exact"/>
                    <w:rPr>
                      <w:color w:val="000000" w:themeColor="text1"/>
                      <w:szCs w:val="21"/>
                    </w:rPr>
                  </w:pPr>
                  <w:r>
                    <w:rPr>
                      <w:color w:val="000000" w:themeColor="text1"/>
                      <w:szCs w:val="21"/>
                    </w:rPr>
                    <w:t>隔油池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 xml:space="preserve">1个，1m³ </w:t>
                  </w:r>
                </w:p>
              </w:tc>
              <w:tc>
                <w:tcPr>
                  <w:tcW w:w="495" w:type="pct"/>
                  <w:vAlign w:val="center"/>
                </w:tcPr>
                <w:p>
                  <w:pPr>
                    <w:pStyle w:val="33"/>
                    <w:spacing w:line="360" w:lineRule="exact"/>
                    <w:rPr>
                      <w:color w:val="000000" w:themeColor="text1"/>
                      <w:szCs w:val="21"/>
                    </w:rPr>
                  </w:pPr>
                  <w:r>
                    <w:rPr>
                      <w:color w:val="000000" w:themeColor="text1"/>
                      <w:szCs w:val="21"/>
                    </w:rPr>
                    <w:t>0.5</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化粪池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 xml:space="preserve">1个，有效容积为20m³ </w:t>
                  </w:r>
                </w:p>
              </w:tc>
              <w:tc>
                <w:tcPr>
                  <w:tcW w:w="495" w:type="pct"/>
                  <w:vAlign w:val="center"/>
                </w:tcPr>
                <w:p>
                  <w:pPr>
                    <w:pStyle w:val="33"/>
                    <w:spacing w:line="360" w:lineRule="exact"/>
                    <w:rPr>
                      <w:color w:val="000000" w:themeColor="text1"/>
                      <w:szCs w:val="21"/>
                    </w:rPr>
                  </w:pPr>
                  <w:r>
                    <w:rPr>
                      <w:color w:val="000000" w:themeColor="text1"/>
                      <w:szCs w:val="21"/>
                    </w:rPr>
                    <w:t>1.2</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restart"/>
                  <w:vAlign w:val="center"/>
                </w:tcPr>
                <w:p>
                  <w:pPr>
                    <w:pStyle w:val="33"/>
                    <w:spacing w:line="360" w:lineRule="exact"/>
                    <w:rPr>
                      <w:color w:val="000000" w:themeColor="text1"/>
                      <w:szCs w:val="21"/>
                    </w:rPr>
                  </w:pPr>
                  <w:r>
                    <w:rPr>
                      <w:color w:val="000000" w:themeColor="text1"/>
                      <w:szCs w:val="21"/>
                    </w:rPr>
                    <w:t>地下水防渗</w:t>
                  </w:r>
                </w:p>
              </w:tc>
              <w:tc>
                <w:tcPr>
                  <w:tcW w:w="826" w:type="pct"/>
                  <w:vAlign w:val="center"/>
                </w:tcPr>
                <w:p>
                  <w:pPr>
                    <w:pStyle w:val="33"/>
                    <w:spacing w:line="360" w:lineRule="exact"/>
                    <w:rPr>
                      <w:color w:val="000000" w:themeColor="text1"/>
                      <w:szCs w:val="21"/>
                    </w:rPr>
                  </w:pPr>
                  <w:r>
                    <w:rPr>
                      <w:color w:val="000000" w:themeColor="text1"/>
                      <w:szCs w:val="21"/>
                    </w:rPr>
                    <w:t>重点防渗区</w:t>
                  </w:r>
                </w:p>
              </w:tc>
              <w:tc>
                <w:tcPr>
                  <w:tcW w:w="1483" w:type="pct"/>
                  <w:vAlign w:val="center"/>
                </w:tcPr>
                <w:p>
                  <w:pPr>
                    <w:pStyle w:val="33"/>
                    <w:spacing w:line="360" w:lineRule="exact"/>
                    <w:ind w:firstLine="210" w:firstLineChars="100"/>
                    <w:jc w:val="left"/>
                    <w:rPr>
                      <w:color w:val="000000" w:themeColor="text1"/>
                      <w:szCs w:val="21"/>
                      <w:lang w:val="en-US"/>
                    </w:rPr>
                  </w:pPr>
                  <w:r>
                    <w:rPr>
                      <w:color w:val="000000" w:themeColor="text1"/>
                      <w:szCs w:val="21"/>
                    </w:rPr>
                    <w:t>危险废物贮存间地面及裙墙已采用了2mm后的HDPE膜进行防渗，其渗透系数≤10</w:t>
                  </w:r>
                  <w:r>
                    <w:rPr>
                      <w:color w:val="000000" w:themeColor="text1"/>
                      <w:szCs w:val="21"/>
                      <w:vertAlign w:val="superscript"/>
                    </w:rPr>
                    <w:t>-10</w:t>
                  </w:r>
                  <w:r>
                    <w:rPr>
                      <w:color w:val="000000" w:themeColor="text1"/>
                      <w:szCs w:val="21"/>
                    </w:rPr>
                    <w:t>cm/s</w:t>
                  </w:r>
                </w:p>
              </w:tc>
              <w:tc>
                <w:tcPr>
                  <w:tcW w:w="495" w:type="pct"/>
                  <w:vAlign w:val="center"/>
                </w:tcPr>
                <w:p>
                  <w:pPr>
                    <w:pStyle w:val="33"/>
                    <w:spacing w:line="360" w:lineRule="exact"/>
                    <w:rPr>
                      <w:color w:val="000000" w:themeColor="text1"/>
                      <w:szCs w:val="21"/>
                    </w:rPr>
                  </w:pPr>
                  <w:r>
                    <w:rPr>
                      <w:color w:val="000000" w:themeColor="text1"/>
                      <w:szCs w:val="21"/>
                    </w:rPr>
                    <w:t>“0.8”</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一般防渗区</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废水处理系统已采取了防腐防渗措施，其渗透系数≤1.0×10</w:t>
                  </w:r>
                  <w:r>
                    <w:rPr>
                      <w:color w:val="000000" w:themeColor="text1"/>
                      <w:szCs w:val="21"/>
                      <w:vertAlign w:val="superscript"/>
                    </w:rPr>
                    <w:t>-10</w:t>
                  </w:r>
                  <w:r>
                    <w:rPr>
                      <w:color w:val="000000" w:themeColor="text1"/>
                      <w:szCs w:val="21"/>
                    </w:rPr>
                    <w:t>cm/s；水淬渣暂存库和废渣暂存库均已进行了防渗施工，其渗透系数≤1.0×10</w:t>
                  </w:r>
                  <w:r>
                    <w:rPr>
                      <w:color w:val="000000" w:themeColor="text1"/>
                      <w:szCs w:val="21"/>
                      <w:vertAlign w:val="superscript"/>
                    </w:rPr>
                    <w:t>-7</w:t>
                  </w:r>
                  <w:r>
                    <w:rPr>
                      <w:color w:val="000000" w:themeColor="text1"/>
                      <w:szCs w:val="21"/>
                    </w:rPr>
                    <w:t>cm/s；生产车间各区域已采用粘土铺底，并在上层铺30cm的混凝土进行硬化，其渗透系数≤1.0×10</w:t>
                  </w:r>
                  <w:r>
                    <w:rPr>
                      <w:color w:val="000000" w:themeColor="text1"/>
                      <w:szCs w:val="21"/>
                      <w:vertAlign w:val="superscript"/>
                    </w:rPr>
                    <w:t>-7</w:t>
                  </w:r>
                  <w:r>
                    <w:rPr>
                      <w:color w:val="000000" w:themeColor="text1"/>
                      <w:szCs w:val="21"/>
                    </w:rPr>
                    <w:t>cm/s。</w:t>
                  </w:r>
                </w:p>
              </w:tc>
              <w:tc>
                <w:tcPr>
                  <w:tcW w:w="495" w:type="pct"/>
                  <w:vAlign w:val="center"/>
                </w:tcPr>
                <w:p>
                  <w:pPr>
                    <w:pStyle w:val="33"/>
                    <w:spacing w:line="360" w:lineRule="exact"/>
                    <w:rPr>
                      <w:color w:val="000000" w:themeColor="text1"/>
                      <w:szCs w:val="21"/>
                    </w:rPr>
                  </w:pPr>
                  <w:r>
                    <w:rPr>
                      <w:color w:val="000000" w:themeColor="text1"/>
                      <w:szCs w:val="21"/>
                    </w:rPr>
                    <w:t>“60”</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噪声</w:t>
                  </w:r>
                </w:p>
              </w:tc>
              <w:tc>
                <w:tcPr>
                  <w:tcW w:w="391" w:type="pct"/>
                  <w:vAlign w:val="center"/>
                </w:tcPr>
                <w:p>
                  <w:pPr>
                    <w:pStyle w:val="33"/>
                    <w:spacing w:line="360" w:lineRule="exact"/>
                    <w:rPr>
                      <w:color w:val="000000" w:themeColor="text1"/>
                      <w:szCs w:val="21"/>
                    </w:rPr>
                  </w:pPr>
                  <w:r>
                    <w:rPr>
                      <w:color w:val="000000" w:themeColor="text1"/>
                      <w:szCs w:val="21"/>
                    </w:rPr>
                    <w:t>设备噪声</w:t>
                  </w:r>
                </w:p>
              </w:tc>
              <w:tc>
                <w:tcPr>
                  <w:tcW w:w="826" w:type="pct"/>
                  <w:vAlign w:val="center"/>
                </w:tcPr>
                <w:p>
                  <w:pPr>
                    <w:pStyle w:val="33"/>
                    <w:spacing w:line="360" w:lineRule="exact"/>
                    <w:rPr>
                      <w:color w:val="000000" w:themeColor="text1"/>
                      <w:szCs w:val="21"/>
                    </w:rPr>
                  </w:pPr>
                  <w:r>
                    <w:rPr>
                      <w:color w:val="000000" w:themeColor="text1"/>
                      <w:szCs w:val="21"/>
                    </w:rPr>
                    <w:t>减震垫、消声器等</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95" w:type="pct"/>
                  <w:vAlign w:val="center"/>
                </w:tcPr>
                <w:p>
                  <w:pPr>
                    <w:pStyle w:val="33"/>
                    <w:spacing w:line="360" w:lineRule="exact"/>
                    <w:rPr>
                      <w:color w:val="000000" w:themeColor="text1"/>
                      <w:szCs w:val="21"/>
                    </w:rPr>
                  </w:pPr>
                  <w:r>
                    <w:rPr>
                      <w:rFonts w:hint="eastAsia"/>
                      <w:color w:val="000000" w:themeColor="text1"/>
                      <w:szCs w:val="21"/>
                    </w:rPr>
                    <w:t>2</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restart"/>
                  <w:vAlign w:val="center"/>
                </w:tcPr>
                <w:p>
                  <w:pPr>
                    <w:pStyle w:val="33"/>
                    <w:spacing w:line="360" w:lineRule="exact"/>
                    <w:rPr>
                      <w:color w:val="000000" w:themeColor="text1"/>
                      <w:szCs w:val="21"/>
                    </w:rPr>
                  </w:pPr>
                  <w:r>
                    <w:rPr>
                      <w:color w:val="000000" w:themeColor="text1"/>
                      <w:szCs w:val="21"/>
                    </w:rPr>
                    <w:t>固废</w:t>
                  </w:r>
                </w:p>
              </w:tc>
              <w:tc>
                <w:tcPr>
                  <w:tcW w:w="391" w:type="pct"/>
                  <w:vMerge w:val="restart"/>
                  <w:vAlign w:val="center"/>
                </w:tcPr>
                <w:p>
                  <w:pPr>
                    <w:pStyle w:val="33"/>
                    <w:spacing w:line="360" w:lineRule="exact"/>
                    <w:rPr>
                      <w:color w:val="000000" w:themeColor="text1"/>
                      <w:szCs w:val="21"/>
                    </w:rPr>
                  </w:pPr>
                  <w:r>
                    <w:rPr>
                      <w:color w:val="000000" w:themeColor="text1"/>
                      <w:szCs w:val="21"/>
                    </w:rPr>
                    <w:t>废渣等</w:t>
                  </w:r>
                </w:p>
              </w:tc>
              <w:tc>
                <w:tcPr>
                  <w:tcW w:w="826" w:type="pct"/>
                  <w:vAlign w:val="center"/>
                </w:tcPr>
                <w:p>
                  <w:pPr>
                    <w:pStyle w:val="33"/>
                    <w:spacing w:line="360" w:lineRule="exact"/>
                    <w:rPr>
                      <w:color w:val="000000" w:themeColor="text1"/>
                      <w:szCs w:val="21"/>
                    </w:rPr>
                  </w:pPr>
                  <w:r>
                    <w:rPr>
                      <w:rFonts w:hint="eastAsia"/>
                      <w:color w:val="000000" w:themeColor="text1"/>
                      <w:szCs w:val="21"/>
                    </w:rPr>
                    <w:t>尾渣处理系统</w:t>
                  </w:r>
                </w:p>
              </w:tc>
              <w:tc>
                <w:tcPr>
                  <w:tcW w:w="1483" w:type="pc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尾渣处理系统包括浓密+真空过滤工艺，处理后其含水率约为10%。</w:t>
                  </w:r>
                </w:p>
              </w:tc>
              <w:tc>
                <w:tcPr>
                  <w:tcW w:w="495" w:type="pct"/>
                  <w:vAlign w:val="center"/>
                </w:tcPr>
                <w:p>
                  <w:pPr>
                    <w:pStyle w:val="33"/>
                    <w:spacing w:line="360" w:lineRule="exact"/>
                    <w:rPr>
                      <w:color w:val="000000" w:themeColor="text1"/>
                      <w:szCs w:val="21"/>
                    </w:rPr>
                  </w:pPr>
                  <w:r>
                    <w:rPr>
                      <w:rFonts w:hint="eastAsia"/>
                      <w:color w:val="000000" w:themeColor="text1"/>
                      <w:szCs w:val="21"/>
                    </w:rPr>
                    <w:t>20</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rFonts w:hint="eastAsia"/>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废渣暂存库</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1个600m²，设有顶棚和三面围挡。</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30</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rFonts w:hint="eastAsia"/>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危险废物</w:t>
                  </w:r>
                </w:p>
              </w:tc>
              <w:tc>
                <w:tcPr>
                  <w:tcW w:w="826" w:type="pct"/>
                  <w:vAlign w:val="center"/>
                </w:tcPr>
                <w:p>
                  <w:pPr>
                    <w:pStyle w:val="33"/>
                    <w:spacing w:line="360" w:lineRule="exact"/>
                    <w:rPr>
                      <w:color w:val="000000" w:themeColor="text1"/>
                      <w:szCs w:val="21"/>
                    </w:rPr>
                  </w:pPr>
                  <w:r>
                    <w:rPr>
                      <w:color w:val="000000" w:themeColor="text1"/>
                      <w:szCs w:val="21"/>
                    </w:rPr>
                    <w:t>危险废物贮存间</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15</w:t>
                  </w:r>
                  <w:r>
                    <w:rPr>
                      <w:color w:val="000000" w:themeColor="text1"/>
                      <w:szCs w:val="21"/>
                    </w:rPr>
                    <w:t>m²</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1.5</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6</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生活垃圾</w:t>
                  </w:r>
                </w:p>
              </w:tc>
              <w:tc>
                <w:tcPr>
                  <w:tcW w:w="826" w:type="pct"/>
                  <w:vAlign w:val="center"/>
                </w:tcPr>
                <w:p>
                  <w:pPr>
                    <w:pStyle w:val="33"/>
                    <w:spacing w:line="360" w:lineRule="exact"/>
                    <w:rPr>
                      <w:color w:val="000000" w:themeColor="text1"/>
                      <w:szCs w:val="21"/>
                    </w:rPr>
                  </w:pPr>
                  <w:r>
                    <w:rPr>
                      <w:color w:val="000000" w:themeColor="text1"/>
                      <w:szCs w:val="21"/>
                    </w:rPr>
                    <w:t>生活垃圾桶</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0.01</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2</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环境风险</w:t>
                  </w:r>
                </w:p>
              </w:tc>
              <w:tc>
                <w:tcPr>
                  <w:tcW w:w="391" w:type="pct"/>
                  <w:vAlign w:val="center"/>
                </w:tcPr>
                <w:p>
                  <w:pPr>
                    <w:pStyle w:val="33"/>
                    <w:spacing w:line="360" w:lineRule="exact"/>
                    <w:rPr>
                      <w:color w:val="000000" w:themeColor="text1"/>
                      <w:szCs w:val="21"/>
                    </w:rPr>
                  </w:pPr>
                  <w:r>
                    <w:rPr>
                      <w:color w:val="000000" w:themeColor="text1"/>
                      <w:szCs w:val="21"/>
                    </w:rPr>
                    <w:t>事故废水</w:t>
                  </w:r>
                </w:p>
              </w:tc>
              <w:tc>
                <w:tcPr>
                  <w:tcW w:w="826" w:type="pct"/>
                  <w:vAlign w:val="center"/>
                </w:tcPr>
                <w:p>
                  <w:pPr>
                    <w:pStyle w:val="33"/>
                    <w:spacing w:line="360" w:lineRule="exact"/>
                    <w:rPr>
                      <w:color w:val="000000" w:themeColor="text1"/>
                      <w:szCs w:val="21"/>
                    </w:rPr>
                  </w:pPr>
                  <w:r>
                    <w:rPr>
                      <w:color w:val="000000" w:themeColor="text1"/>
                      <w:szCs w:val="21"/>
                    </w:rPr>
                    <w:t>事故池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1个，尺寸为Φ4.6m、深4.5m的圆柱体，其有效容积为80m³。</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3</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其他</w:t>
                  </w:r>
                </w:p>
              </w:tc>
              <w:tc>
                <w:tcPr>
                  <w:tcW w:w="1217" w:type="pct"/>
                  <w:gridSpan w:val="2"/>
                  <w:vAlign w:val="center"/>
                </w:tcPr>
                <w:p>
                  <w:pPr>
                    <w:pStyle w:val="33"/>
                    <w:spacing w:line="360" w:lineRule="exact"/>
                    <w:rPr>
                      <w:color w:val="000000" w:themeColor="text1"/>
                      <w:szCs w:val="21"/>
                    </w:rPr>
                  </w:pPr>
                  <w:r>
                    <w:rPr>
                      <w:color w:val="000000" w:themeColor="text1"/>
                      <w:szCs w:val="21"/>
                    </w:rPr>
                    <w:t>标识牌</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0.1</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pct"/>
                  <w:gridSpan w:val="5"/>
                  <w:vAlign w:val="center"/>
                </w:tcPr>
                <w:p>
                  <w:pPr>
                    <w:pStyle w:val="33"/>
                    <w:spacing w:line="360" w:lineRule="exact"/>
                    <w:rPr>
                      <w:color w:val="000000" w:themeColor="text1"/>
                      <w:szCs w:val="21"/>
                    </w:rPr>
                  </w:pPr>
                  <w:r>
                    <w:rPr>
                      <w:color w:val="000000" w:themeColor="text1"/>
                      <w:szCs w:val="21"/>
                    </w:rPr>
                    <w:t>管理相关费用</w:t>
                  </w:r>
                </w:p>
              </w:tc>
              <w:tc>
                <w:tcPr>
                  <w:tcW w:w="1688" w:type="pct"/>
                  <w:gridSpan w:val="4"/>
                  <w:vAlign w:val="center"/>
                </w:tcPr>
                <w:p>
                  <w:pPr>
                    <w:pStyle w:val="33"/>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12" w:type="pct"/>
                  <w:gridSpan w:val="5"/>
                  <w:vAlign w:val="center"/>
                </w:tcPr>
                <w:p>
                  <w:pPr>
                    <w:pStyle w:val="33"/>
                    <w:spacing w:line="360" w:lineRule="exact"/>
                    <w:rPr>
                      <w:color w:val="000000" w:themeColor="text1"/>
                      <w:szCs w:val="21"/>
                    </w:rPr>
                  </w:pPr>
                  <w:r>
                    <w:rPr>
                      <w:color w:val="000000" w:themeColor="text1"/>
                      <w:szCs w:val="21"/>
                    </w:rPr>
                    <w:t>合计</w:t>
                  </w:r>
                </w:p>
              </w:tc>
              <w:tc>
                <w:tcPr>
                  <w:tcW w:w="495" w:type="pct"/>
                  <w:vAlign w:val="center"/>
                </w:tcPr>
                <w:p>
                  <w:pPr>
                    <w:pStyle w:val="33"/>
                    <w:spacing w:line="360" w:lineRule="exact"/>
                    <w:rPr>
                      <w:color w:val="000000" w:themeColor="text1"/>
                      <w:szCs w:val="21"/>
                    </w:rPr>
                  </w:pPr>
                  <w:r>
                    <w:rPr>
                      <w:color w:val="000000" w:themeColor="text1"/>
                      <w:szCs w:val="21"/>
                    </w:rPr>
                    <w:t>137.81</w:t>
                  </w:r>
                </w:p>
              </w:tc>
              <w:tc>
                <w:tcPr>
                  <w:tcW w:w="411" w:type="pct"/>
                  <w:vAlign w:val="center"/>
                </w:tcPr>
                <w:p>
                  <w:pPr>
                    <w:pStyle w:val="33"/>
                    <w:spacing w:line="360" w:lineRule="exact"/>
                    <w:rPr>
                      <w:color w:val="000000" w:themeColor="text1"/>
                      <w:szCs w:val="21"/>
                    </w:rPr>
                  </w:pPr>
                  <w:r>
                    <w:rPr>
                      <w:color w:val="000000" w:themeColor="text1"/>
                      <w:szCs w:val="21"/>
                    </w:rPr>
                    <w:t>--</w:t>
                  </w:r>
                </w:p>
              </w:tc>
              <w:tc>
                <w:tcPr>
                  <w:tcW w:w="374" w:type="pct"/>
                  <w:vAlign w:val="center"/>
                </w:tcPr>
                <w:p>
                  <w:pPr>
                    <w:pStyle w:val="33"/>
                    <w:spacing w:line="360" w:lineRule="exact"/>
                    <w:rPr>
                      <w:color w:val="000000" w:themeColor="text1"/>
                      <w:szCs w:val="21"/>
                    </w:rPr>
                  </w:pPr>
                  <w:r>
                    <w:rPr>
                      <w:color w:val="000000" w:themeColor="text1"/>
                      <w:szCs w:val="21"/>
                    </w:rPr>
                    <w:t>12.8</w:t>
                  </w:r>
                </w:p>
              </w:tc>
              <w:tc>
                <w:tcPr>
                  <w:tcW w:w="408" w:type="pct"/>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pStyle w:val="33"/>
                    <w:spacing w:line="360" w:lineRule="exact"/>
                    <w:ind w:firstLine="210" w:firstLineChars="100"/>
                    <w:jc w:val="left"/>
                    <w:rPr>
                      <w:color w:val="000000" w:themeColor="text1"/>
                      <w:szCs w:val="21"/>
                    </w:rPr>
                  </w:pPr>
                  <w:r>
                    <w:rPr>
                      <w:color w:val="000000" w:themeColor="text1"/>
                      <w:szCs w:val="21"/>
                    </w:rPr>
                    <w:t>备注：“”表示已投资，不进行重复计算</w:t>
                  </w:r>
                </w:p>
              </w:tc>
            </w:tr>
          </w:tbl>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13" w:name="_Toc151133522"/>
      <w:r>
        <w:rPr>
          <w:rFonts w:ascii="Times New Roman" w:hAnsi="Times New Roman" w:cs="Times New Roman"/>
          <w:b/>
          <w:color w:val="000000" w:themeColor="text1"/>
          <w:sz w:val="28"/>
          <w:szCs w:val="20"/>
        </w:rPr>
        <w:t>五、环境保护措施监督检查清单</w:t>
      </w:r>
      <w:bookmarkEnd w:id="13"/>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851"/>
        <w:gridCol w:w="850"/>
        <w:gridCol w:w="1297"/>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29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Merge w:val="restart"/>
            <w:vAlign w:val="center"/>
          </w:tcPr>
          <w:p>
            <w:pPr>
              <w:pStyle w:val="33"/>
              <w:spacing w:line="360" w:lineRule="exact"/>
              <w:rPr>
                <w:color w:val="000000" w:themeColor="text1"/>
                <w:szCs w:val="21"/>
              </w:rPr>
            </w:pPr>
            <w:r>
              <w:rPr>
                <w:color w:val="000000" w:themeColor="text1"/>
                <w:szCs w:val="21"/>
              </w:rPr>
              <w:t>烘干系统</w:t>
            </w:r>
          </w:p>
        </w:tc>
        <w:tc>
          <w:tcPr>
            <w:tcW w:w="851" w:type="dxa"/>
            <w:vAlign w:val="center"/>
          </w:tcPr>
          <w:p>
            <w:pPr>
              <w:pStyle w:val="33"/>
              <w:spacing w:line="360" w:lineRule="exact"/>
              <w:rPr>
                <w:color w:val="000000" w:themeColor="text1"/>
                <w:szCs w:val="21"/>
              </w:rPr>
            </w:pPr>
            <w:r>
              <w:rPr>
                <w:color w:val="000000" w:themeColor="text1"/>
                <w:szCs w:val="21"/>
              </w:rPr>
              <w:t>热风炉</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297" w:type="dxa"/>
            <w:vAlign w:val="center"/>
          </w:tcPr>
          <w:p>
            <w:pPr>
              <w:pStyle w:val="33"/>
              <w:rPr>
                <w:rFonts w:eastAsiaTheme="minorEastAsia"/>
                <w:color w:val="000000" w:themeColor="text1"/>
                <w:szCs w:val="21"/>
              </w:rPr>
            </w:pPr>
            <w:r>
              <w:rPr>
                <w:rFonts w:hint="eastAsia"/>
                <w:color w:val="000000" w:themeColor="text1"/>
                <w:szCs w:val="21"/>
              </w:rPr>
              <w:t>颗粒物</w:t>
            </w:r>
            <w:r>
              <w:rPr>
                <w:color w:val="000000" w:themeColor="text1"/>
                <w:szCs w:val="21"/>
              </w:rPr>
              <w:t>、SO</w:t>
            </w:r>
            <w:r>
              <w:rPr>
                <w:color w:val="000000" w:themeColor="text1"/>
                <w:szCs w:val="21"/>
                <w:vertAlign w:val="subscript"/>
              </w:rPr>
              <w:t>2</w:t>
            </w:r>
            <w:r>
              <w:rPr>
                <w:color w:val="000000" w:themeColor="text1"/>
                <w:szCs w:val="21"/>
              </w:rPr>
              <w:t>、NOx</w:t>
            </w:r>
          </w:p>
        </w:tc>
        <w:tc>
          <w:tcPr>
            <w:tcW w:w="2983" w:type="dxa"/>
            <w:vAlign w:val="center"/>
          </w:tcPr>
          <w:p>
            <w:pPr>
              <w:pStyle w:val="33"/>
              <w:spacing w:line="360" w:lineRule="exact"/>
              <w:ind w:firstLine="210" w:firstLineChars="100"/>
              <w:jc w:val="both"/>
              <w:rPr>
                <w:color w:val="000000" w:themeColor="text1"/>
                <w:szCs w:val="21"/>
              </w:rPr>
            </w:pPr>
            <w:r>
              <w:rPr>
                <w:color w:val="000000" w:themeColor="text1"/>
                <w:szCs w:val="21"/>
              </w:rPr>
              <w:t>针对燃烧烟气，项目拟通过低氮燃烧+非催化还原（SNCR）脱硝技术+袋式除尘器处理，其中低氮燃烧+非催化还原（SNCR）脱硝的NOx去除效率为45.4%，1#布袋除尘除尘效率为99.7%，燃烧烟气经处理后通过1根Φ0.4m、高</w:t>
            </w:r>
            <w:r>
              <w:rPr>
                <w:rFonts w:hint="eastAsia"/>
                <w:color w:val="000000" w:themeColor="text1"/>
                <w:szCs w:val="21"/>
              </w:rPr>
              <w:t>20</w:t>
            </w:r>
            <w:r>
              <w:rPr>
                <w:color w:val="000000" w:themeColor="text1"/>
                <w:szCs w:val="21"/>
              </w:rPr>
              <w:t>m的排气筒（DA003）外排。</w:t>
            </w:r>
          </w:p>
        </w:tc>
        <w:tc>
          <w:tcPr>
            <w:tcW w:w="1719" w:type="dxa"/>
            <w:tcBorders>
              <w:bottom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《锅炉大气污染物排放标准》（GB</w:t>
            </w:r>
            <w:r>
              <w:rPr>
                <w:rFonts w:hint="eastAsia"/>
                <w:color w:val="000000" w:themeColor="text1"/>
                <w:szCs w:val="21"/>
                <w:lang w:eastAsia="zh-CN"/>
              </w:rPr>
              <w:t>*****</w:t>
            </w:r>
            <w:r>
              <w:rPr>
                <w:rFonts w:hint="eastAsia"/>
                <w:color w:val="000000" w:themeColor="text1"/>
                <w:szCs w:val="21"/>
              </w:rPr>
              <w:t>-2014）表2标准限值。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851" w:type="dxa"/>
            <w:vAlign w:val="center"/>
          </w:tcPr>
          <w:p>
            <w:pPr>
              <w:pStyle w:val="33"/>
              <w:spacing w:line="360" w:lineRule="exact"/>
              <w:rPr>
                <w:color w:val="000000" w:themeColor="text1"/>
                <w:szCs w:val="21"/>
              </w:rPr>
            </w:pPr>
            <w:r>
              <w:rPr>
                <w:color w:val="000000" w:themeColor="text1"/>
                <w:szCs w:val="21"/>
              </w:rPr>
              <w:t>烘干机</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297" w:type="dxa"/>
            <w:vAlign w:val="center"/>
          </w:tcPr>
          <w:p>
            <w:pPr>
              <w:pStyle w:val="33"/>
              <w:rPr>
                <w:color w:val="000000" w:themeColor="text1"/>
                <w:szCs w:val="21"/>
              </w:rPr>
            </w:pPr>
            <w:r>
              <w:rPr>
                <w:color w:val="000000" w:themeColor="text1"/>
                <w:szCs w:val="21"/>
              </w:rPr>
              <w:t>颗粒物</w:t>
            </w:r>
          </w:p>
        </w:tc>
        <w:tc>
          <w:tcPr>
            <w:tcW w:w="2983"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针对烘干粉尘，项目拟通过旋风除尘+袋式除尘器处理，其中旋风除尘效率为70%，2#布袋除尘除尘效率为98.4%，则综合除尘效率约为99.5%，烘干粉尘经处理后通过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1719" w:type="dxa"/>
            <w:tcBorders>
              <w:bottom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-1996）中二级标准限值。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851"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无</w:t>
            </w:r>
            <w:r>
              <w:rPr>
                <w:rFonts w:eastAsiaTheme="minorEastAsia"/>
                <w:bCs w:val="0"/>
                <w:snapToGrid/>
                <w:color w:val="000000" w:themeColor="text1"/>
                <w:kern w:val="0"/>
                <w:szCs w:val="21"/>
                <w:lang w:val="en-US"/>
              </w:rPr>
              <w:t>组织</w:t>
            </w:r>
          </w:p>
        </w:tc>
        <w:tc>
          <w:tcPr>
            <w:tcW w:w="1297" w:type="dxa"/>
            <w:vAlign w:val="center"/>
          </w:tcPr>
          <w:p>
            <w:pPr>
              <w:pStyle w:val="33"/>
              <w:rPr>
                <w:color w:val="000000" w:themeColor="text1"/>
                <w:szCs w:val="21"/>
              </w:rPr>
            </w:pPr>
            <w:r>
              <w:rPr>
                <w:color w:val="000000" w:themeColor="text1"/>
                <w:szCs w:val="21"/>
              </w:rPr>
              <w:t>颗粒物</w:t>
            </w:r>
          </w:p>
        </w:tc>
        <w:tc>
          <w:tcPr>
            <w:tcW w:w="2983"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该水淬渣暂存库设有三面围挡和顶棚设施。而废渣暂存库设有顶棚和三面围挡，但存在围挡破损情况，应对其进行修善。</w:t>
            </w:r>
          </w:p>
        </w:tc>
        <w:tc>
          <w:tcPr>
            <w:tcW w:w="1719" w:type="dxa"/>
            <w:tcBorders>
              <w:top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w:t>
            </w:r>
            <w:r>
              <w:rPr>
                <w:rFonts w:hint="eastAsia"/>
                <w:color w:val="000000" w:themeColor="text1"/>
                <w:szCs w:val="21"/>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701" w:type="dxa"/>
            <w:gridSpan w:val="2"/>
            <w:vAlign w:val="center"/>
          </w:tcPr>
          <w:p>
            <w:pPr>
              <w:pStyle w:val="33"/>
              <w:spacing w:line="360" w:lineRule="exact"/>
              <w:rPr>
                <w:color w:val="000000" w:themeColor="text1"/>
                <w:szCs w:val="21"/>
              </w:rPr>
            </w:pPr>
            <w:r>
              <w:rPr>
                <w:rFonts w:hint="eastAsia" w:eastAsiaTheme="minorEastAsia"/>
                <w:color w:val="000000" w:themeColor="text1"/>
                <w:szCs w:val="21"/>
              </w:rPr>
              <w:t>生产车间</w:t>
            </w:r>
          </w:p>
        </w:tc>
        <w:tc>
          <w:tcPr>
            <w:tcW w:w="850" w:type="dxa"/>
            <w:vAlign w:val="center"/>
          </w:tcPr>
          <w:p>
            <w:pPr>
              <w:pStyle w:val="33"/>
              <w:spacing w:line="360" w:lineRule="exact"/>
              <w:rPr>
                <w:color w:val="000000" w:themeColor="text1"/>
                <w:szCs w:val="21"/>
              </w:rPr>
            </w:pPr>
            <w:r>
              <w:rPr>
                <w:color w:val="000000" w:themeColor="text1"/>
                <w:szCs w:val="21"/>
              </w:rPr>
              <w:t>不外排</w:t>
            </w:r>
          </w:p>
        </w:tc>
        <w:tc>
          <w:tcPr>
            <w:tcW w:w="1297"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rPr>
              <w:t>氨氮</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color w:val="000000" w:themeColor="text1"/>
                <w:szCs w:val="21"/>
              </w:rPr>
              <w:t>、</w:t>
            </w:r>
            <w:r>
              <w:rPr>
                <w:rFonts w:eastAsiaTheme="minorEastAsia"/>
                <w:color w:val="000000" w:themeColor="text1"/>
                <w:szCs w:val="21"/>
              </w:rPr>
              <w:t>镉</w:t>
            </w:r>
            <w:r>
              <w:rPr>
                <w:rFonts w:hint="eastAsia" w:eastAsiaTheme="minorEastAsia"/>
                <w:color w:val="000000" w:themeColor="text1"/>
                <w:szCs w:val="21"/>
              </w:rPr>
              <w:t>、</w:t>
            </w:r>
            <w:r>
              <w:rPr>
                <w:rFonts w:eastAsiaTheme="minorEastAsia"/>
                <w:color w:val="000000" w:themeColor="text1"/>
                <w:szCs w:val="21"/>
              </w:rPr>
              <w:t>铅</w:t>
            </w:r>
            <w:r>
              <w:rPr>
                <w:rFonts w:hint="eastAsia" w:eastAsiaTheme="minorEastAsia"/>
                <w:color w:val="000000" w:themeColor="text1"/>
                <w:szCs w:val="21"/>
              </w:rPr>
              <w:t>、</w:t>
            </w:r>
            <w:r>
              <w:rPr>
                <w:rFonts w:eastAsiaTheme="minorEastAsia"/>
                <w:color w:val="000000" w:themeColor="text1"/>
                <w:szCs w:val="21"/>
              </w:rPr>
              <w:t>铁</w:t>
            </w:r>
            <w:r>
              <w:rPr>
                <w:rFonts w:hint="eastAsia" w:eastAsiaTheme="minorEastAsia"/>
                <w:color w:val="000000" w:themeColor="text1"/>
                <w:szCs w:val="21"/>
              </w:rPr>
              <w:t>、</w:t>
            </w:r>
            <w:r>
              <w:rPr>
                <w:rFonts w:eastAsiaTheme="minorEastAsia"/>
                <w:color w:val="000000" w:themeColor="text1"/>
                <w:szCs w:val="21"/>
              </w:rPr>
              <w:t>锰</w:t>
            </w:r>
            <w:r>
              <w:rPr>
                <w:rFonts w:hint="eastAsia" w:eastAsiaTheme="minorEastAsia"/>
                <w:color w:val="000000" w:themeColor="text1"/>
                <w:szCs w:val="21"/>
              </w:rPr>
              <w:t>、</w:t>
            </w:r>
            <w:r>
              <w:rPr>
                <w:rFonts w:eastAsiaTheme="minorEastAsia"/>
                <w:color w:val="000000" w:themeColor="text1"/>
                <w:szCs w:val="21"/>
              </w:rPr>
              <w:t>氟化物</w:t>
            </w:r>
            <w:r>
              <w:rPr>
                <w:rFonts w:hint="eastAsia" w:eastAsiaTheme="minorEastAsia"/>
                <w:color w:val="000000" w:themeColor="text1"/>
                <w:szCs w:val="21"/>
              </w:rPr>
              <w:t>）</w:t>
            </w:r>
          </w:p>
        </w:tc>
        <w:tc>
          <w:tcPr>
            <w:tcW w:w="2983" w:type="dxa"/>
            <w:vAlign w:val="center"/>
          </w:tcPr>
          <w:p>
            <w:pPr>
              <w:pStyle w:val="33"/>
              <w:spacing w:line="360" w:lineRule="exact"/>
              <w:ind w:firstLine="210" w:firstLineChars="100"/>
              <w:jc w:val="both"/>
              <w:rPr>
                <w:rFonts w:eastAsiaTheme="minorEastAsia"/>
                <w:color w:val="000000" w:themeColor="text1"/>
                <w:szCs w:val="21"/>
              </w:rPr>
            </w:pPr>
            <w:r>
              <w:rPr>
                <w:rFonts w:hint="eastAsia"/>
                <w:color w:val="000000" w:themeColor="text1"/>
                <w:szCs w:val="21"/>
              </w:rPr>
              <w:t>废水进入废水处理系统循环沉淀过滤处理后回用于生产，不外排。</w:t>
            </w:r>
          </w:p>
        </w:tc>
        <w:tc>
          <w:tcPr>
            <w:tcW w:w="1719"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33"/>
              <w:spacing w:line="360" w:lineRule="exact"/>
              <w:rPr>
                <w:rFonts w:eastAsiaTheme="minorEastAsia"/>
                <w:color w:val="000000" w:themeColor="text1"/>
                <w:szCs w:val="21"/>
              </w:rPr>
            </w:pPr>
            <w:r>
              <w:rPr>
                <w:color w:val="000000" w:themeColor="text1"/>
                <w:szCs w:val="21"/>
              </w:rPr>
              <w:t>员工生活</w:t>
            </w:r>
          </w:p>
        </w:tc>
        <w:tc>
          <w:tcPr>
            <w:tcW w:w="850" w:type="dxa"/>
            <w:vAlign w:val="center"/>
          </w:tcPr>
          <w:p>
            <w:pPr>
              <w:pStyle w:val="33"/>
              <w:spacing w:line="360" w:lineRule="exact"/>
              <w:rPr>
                <w:color w:val="000000" w:themeColor="text1"/>
                <w:szCs w:val="21"/>
              </w:rPr>
            </w:pPr>
            <w:r>
              <w:rPr>
                <w:rFonts w:eastAsiaTheme="minorEastAsia"/>
                <w:bCs w:val="0"/>
                <w:snapToGrid/>
                <w:color w:val="000000" w:themeColor="text1"/>
                <w:kern w:val="0"/>
                <w:szCs w:val="21"/>
                <w:lang w:val="en-US"/>
              </w:rPr>
              <w:t>隔油池、化粪池</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生活污水（pH、CODcr、BOD</w:t>
            </w:r>
            <w:r>
              <w:rPr>
                <w:rFonts w:eastAsiaTheme="minorEastAsia"/>
                <w:color w:val="000000" w:themeColor="text1"/>
                <w:szCs w:val="21"/>
                <w:vertAlign w:val="subscript"/>
              </w:rPr>
              <w:t>5</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-N、SS、总磷、总氮、</w:t>
            </w:r>
            <w:r>
              <w:rPr>
                <w:rFonts w:hint="eastAsia" w:eastAsiaTheme="minorEastAsia"/>
                <w:color w:val="000000" w:themeColor="text1"/>
                <w:szCs w:val="21"/>
              </w:rPr>
              <w:t>动植物油、</w:t>
            </w:r>
            <w:r>
              <w:rPr>
                <w:rFonts w:eastAsiaTheme="minorEastAsia"/>
                <w:color w:val="000000" w:themeColor="text1"/>
                <w:szCs w:val="21"/>
              </w:rPr>
              <w:t>阴离子表面活性剂、粪大肠菌群数）</w:t>
            </w:r>
          </w:p>
        </w:tc>
        <w:tc>
          <w:tcPr>
            <w:tcW w:w="2983"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000000" w:themeColor="text1"/>
                <w:szCs w:val="21"/>
                <w:lang w:eastAsia="zh-CN"/>
              </w:rPr>
              <w:t>*****</w:t>
            </w:r>
            <w:r>
              <w:rPr>
                <w:rFonts w:eastAsiaTheme="minorEastAsia"/>
                <w:color w:val="000000" w:themeColor="text1"/>
                <w:szCs w:val="21"/>
              </w:rPr>
              <w:t>-2015）B等级标准后，通过园区污水管网进入四方地与碧谷园区污水处理厂处理。</w:t>
            </w:r>
          </w:p>
        </w:tc>
        <w:tc>
          <w:tcPr>
            <w:tcW w:w="1719"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eastAsiaTheme="minorEastAsia"/>
                <w:color w:val="000000" w:themeColor="text1"/>
              </w:rPr>
              <w:t>《污水排入城镇下水道水质标准》（GB/T</w:t>
            </w:r>
            <w:r>
              <w:rPr>
                <w:rFonts w:hint="eastAsia" w:eastAsiaTheme="minorEastAsia"/>
                <w:color w:val="000000" w:themeColor="text1"/>
                <w:lang w:eastAsia="zh-CN"/>
              </w:rPr>
              <w:t>*****</w:t>
            </w:r>
            <w:r>
              <w:rPr>
                <w:rFonts w:eastAsiaTheme="minorEastAsia"/>
                <w:color w:val="000000" w:themeColor="text1"/>
              </w:rPr>
              <w:t>-2015）的B等级标准。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restart"/>
            <w:vAlign w:val="center"/>
          </w:tcPr>
          <w:p>
            <w:pPr>
              <w:pStyle w:val="33"/>
              <w:spacing w:line="360" w:lineRule="exact"/>
              <w:rPr>
                <w:color w:val="000000" w:themeColor="text1"/>
                <w:szCs w:val="21"/>
              </w:rPr>
            </w:pPr>
            <w:r>
              <w:rPr>
                <w:color w:val="000000" w:themeColor="text1"/>
                <w:szCs w:val="21"/>
              </w:rPr>
              <w:t>厂区范围</w:t>
            </w:r>
          </w:p>
        </w:tc>
        <w:tc>
          <w:tcPr>
            <w:tcW w:w="850" w:type="dxa"/>
            <w:vAlign w:val="center"/>
          </w:tcPr>
          <w:p>
            <w:pPr>
              <w:pStyle w:val="33"/>
              <w:spacing w:line="360" w:lineRule="exact"/>
              <w:rPr>
                <w:color w:val="000000" w:themeColor="text1"/>
                <w:szCs w:val="21"/>
              </w:rPr>
            </w:pPr>
            <w:r>
              <w:rPr>
                <w:color w:val="000000" w:themeColor="text1"/>
                <w:szCs w:val="21"/>
              </w:rPr>
              <w:t>不外排</w:t>
            </w:r>
          </w:p>
        </w:tc>
        <w:tc>
          <w:tcPr>
            <w:tcW w:w="1297" w:type="dxa"/>
            <w:vAlign w:val="center"/>
          </w:tcPr>
          <w:p>
            <w:pPr>
              <w:pStyle w:val="33"/>
              <w:spacing w:line="360" w:lineRule="exact"/>
              <w:rPr>
                <w:color w:val="000000" w:themeColor="text1"/>
                <w:szCs w:val="21"/>
              </w:rPr>
            </w:pPr>
            <w:r>
              <w:rPr>
                <w:color w:val="000000" w:themeColor="text1"/>
                <w:szCs w:val="21"/>
              </w:rPr>
              <w:t>初期雨水</w:t>
            </w:r>
          </w:p>
        </w:tc>
        <w:tc>
          <w:tcPr>
            <w:tcW w:w="2983" w:type="dxa"/>
            <w:vAlign w:val="center"/>
          </w:tcPr>
          <w:p>
            <w:pPr>
              <w:pStyle w:val="33"/>
              <w:spacing w:line="360" w:lineRule="exact"/>
              <w:ind w:firstLine="210" w:firstLineChars="100"/>
              <w:jc w:val="both"/>
              <w:rPr>
                <w:color w:val="000000" w:themeColor="text1"/>
                <w:szCs w:val="21"/>
              </w:rPr>
            </w:pPr>
            <w:r>
              <w:rPr>
                <w:rFonts w:eastAsiaTheme="minorEastAsia"/>
                <w:color w:val="000000" w:themeColor="text1"/>
                <w:szCs w:val="21"/>
              </w:rPr>
              <w:t>本项目现有厂区已设置了1个有效容积为150m³的1#初期雨水收集池和1个50.8m³的2#初期雨水收集池对其收集</w:t>
            </w:r>
            <w:r>
              <w:rPr>
                <w:rFonts w:hint="eastAsia" w:eastAsiaTheme="minorEastAsia"/>
                <w:color w:val="000000" w:themeColor="text1"/>
                <w:szCs w:val="21"/>
              </w:rPr>
              <w:t>；整改后，拟再在</w:t>
            </w:r>
            <w:r>
              <w:rPr>
                <w:rFonts w:eastAsiaTheme="minorEastAsia"/>
                <w:color w:val="000000" w:themeColor="text1"/>
                <w:szCs w:val="21"/>
              </w:rPr>
              <w:t>厂区</w:t>
            </w:r>
            <w:r>
              <w:rPr>
                <w:rFonts w:hint="eastAsia" w:eastAsiaTheme="minorEastAsia"/>
                <w:color w:val="000000" w:themeColor="text1"/>
                <w:szCs w:val="21"/>
              </w:rPr>
              <w:t>低</w:t>
            </w:r>
            <w:r>
              <w:rPr>
                <w:rFonts w:eastAsiaTheme="minorEastAsia"/>
                <w:color w:val="000000" w:themeColor="text1"/>
                <w:szCs w:val="21"/>
              </w:rPr>
              <w:t>处建设一个有效容积为5m³的</w:t>
            </w:r>
            <w:r>
              <w:rPr>
                <w:rFonts w:hint="eastAsia" w:eastAsiaTheme="minorEastAsia"/>
                <w:color w:val="000000" w:themeColor="text1"/>
                <w:szCs w:val="21"/>
              </w:rPr>
              <w:t>3#</w:t>
            </w:r>
            <w:r>
              <w:rPr>
                <w:rFonts w:eastAsiaTheme="minorEastAsia"/>
                <w:color w:val="000000" w:themeColor="text1"/>
                <w:szCs w:val="21"/>
              </w:rPr>
              <w:t>初期雨水收集池</w:t>
            </w:r>
            <w:r>
              <w:rPr>
                <w:rFonts w:hint="eastAsia" w:eastAsiaTheme="minorEastAsia"/>
                <w:color w:val="000000" w:themeColor="text1"/>
                <w:szCs w:val="21"/>
              </w:rPr>
              <w:t>，初期雨水经</w:t>
            </w:r>
            <w:r>
              <w:rPr>
                <w:rFonts w:eastAsiaTheme="minorEastAsia"/>
                <w:color w:val="000000" w:themeColor="text1"/>
                <w:szCs w:val="21"/>
              </w:rPr>
              <w:t>收集后，</w:t>
            </w:r>
            <w:r>
              <w:rPr>
                <w:rFonts w:hint="eastAsia" w:eastAsiaTheme="minorEastAsia"/>
                <w:color w:val="000000" w:themeColor="text1"/>
                <w:szCs w:val="21"/>
              </w:rPr>
              <w:t>用于次氧化锌生产线</w:t>
            </w:r>
            <w:r>
              <w:rPr>
                <w:rFonts w:eastAsiaTheme="minorEastAsia"/>
                <w:color w:val="000000" w:themeColor="text1"/>
                <w:szCs w:val="21"/>
              </w:rPr>
              <w:t>原料堆场</w:t>
            </w:r>
            <w:r>
              <w:rPr>
                <w:rFonts w:hint="eastAsia" w:eastAsiaTheme="minorEastAsia"/>
                <w:color w:val="000000" w:themeColor="text1"/>
                <w:szCs w:val="21"/>
              </w:rPr>
              <w:t>、厂区道路等区域进行洒水抑尘，不外排。</w:t>
            </w:r>
          </w:p>
        </w:tc>
        <w:tc>
          <w:tcPr>
            <w:tcW w:w="1719"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color w:val="000000" w:themeColor="text1"/>
                <w:szCs w:val="21"/>
              </w:rPr>
              <w:t>雨水口</w:t>
            </w:r>
          </w:p>
        </w:tc>
        <w:tc>
          <w:tcPr>
            <w:tcW w:w="1297" w:type="dxa"/>
            <w:vAlign w:val="center"/>
          </w:tcPr>
          <w:p>
            <w:pPr>
              <w:pStyle w:val="33"/>
              <w:spacing w:line="360" w:lineRule="exact"/>
              <w:rPr>
                <w:color w:val="000000" w:themeColor="text1"/>
                <w:szCs w:val="21"/>
              </w:rPr>
            </w:pPr>
            <w:r>
              <w:rPr>
                <w:color w:val="000000" w:themeColor="text1"/>
                <w:szCs w:val="21"/>
              </w:rPr>
              <w:t>雨水</w:t>
            </w:r>
          </w:p>
        </w:tc>
        <w:tc>
          <w:tcPr>
            <w:tcW w:w="2983" w:type="dxa"/>
            <w:vAlign w:val="center"/>
          </w:tcPr>
          <w:p>
            <w:pPr>
              <w:pStyle w:val="33"/>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3"/>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3"/>
              <w:spacing w:line="360" w:lineRule="exact"/>
              <w:rPr>
                <w:color w:val="000000" w:themeColor="text1"/>
                <w:szCs w:val="21"/>
              </w:rPr>
            </w:pPr>
            <w:r>
              <w:rPr>
                <w:color w:val="000000" w:themeColor="text1"/>
                <w:szCs w:val="21"/>
              </w:rPr>
              <w:t>球磨分级系统</w:t>
            </w: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料斗</w:t>
            </w:r>
          </w:p>
        </w:tc>
        <w:tc>
          <w:tcPr>
            <w:tcW w:w="1297"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w:t>
            </w:r>
            <w:r>
              <w:rPr>
                <w:rFonts w:hint="eastAsia" w:eastAsiaTheme="minorEastAsia"/>
                <w:color w:val="000000" w:themeColor="text1"/>
                <w:szCs w:val="21"/>
                <w:lang w:eastAsia="zh-CN"/>
              </w:rPr>
              <w:t>*****</w:t>
            </w:r>
            <w:r>
              <w:rPr>
                <w:rFonts w:eastAsiaTheme="minorEastAsia"/>
                <w:color w:val="000000" w:themeColor="text1"/>
                <w:szCs w:val="21"/>
              </w:rPr>
              <w:t>-2008）3类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选别系统</w:t>
            </w: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磁选机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弱磁机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摇床</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烘干系统</w:t>
            </w:r>
          </w:p>
        </w:tc>
        <w:tc>
          <w:tcPr>
            <w:tcW w:w="1701" w:type="dxa"/>
            <w:gridSpan w:val="2"/>
            <w:vAlign w:val="center"/>
          </w:tcPr>
          <w:p>
            <w:pPr>
              <w:pStyle w:val="33"/>
              <w:spacing w:line="360" w:lineRule="exact"/>
              <w:rPr>
                <w:color w:val="000000" w:themeColor="text1"/>
                <w:szCs w:val="21"/>
              </w:rPr>
            </w:pPr>
            <w:r>
              <w:rPr>
                <w:color w:val="000000" w:themeColor="text1"/>
                <w:szCs w:val="21"/>
              </w:rPr>
              <w:t>过滤机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螺旋进料机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烘干机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热风供应系统</w:t>
            </w:r>
          </w:p>
        </w:tc>
        <w:tc>
          <w:tcPr>
            <w:tcW w:w="1701" w:type="dxa"/>
            <w:gridSpan w:val="2"/>
            <w:vAlign w:val="center"/>
          </w:tcPr>
          <w:p>
            <w:pPr>
              <w:pStyle w:val="33"/>
              <w:spacing w:line="360" w:lineRule="exact"/>
              <w:rPr>
                <w:color w:val="000000" w:themeColor="text1"/>
                <w:szCs w:val="21"/>
              </w:rPr>
            </w:pPr>
            <w:r>
              <w:rPr>
                <w:color w:val="000000" w:themeColor="text1"/>
                <w:szCs w:val="21"/>
              </w:rPr>
              <w:t>热风炉</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3"/>
              <w:spacing w:line="360" w:lineRule="exact"/>
              <w:rPr>
                <w:color w:val="000000" w:themeColor="text1"/>
                <w:szCs w:val="21"/>
              </w:rPr>
            </w:pPr>
            <w:r>
              <w:rPr>
                <w:rFonts w:hint="eastAsia"/>
                <w:color w:val="000000" w:themeColor="text1"/>
                <w:szCs w:val="21"/>
              </w:rPr>
              <w:t>包装</w:t>
            </w:r>
            <w:r>
              <w:rPr>
                <w:color w:val="000000" w:themeColor="text1"/>
                <w:szCs w:val="21"/>
              </w:rPr>
              <w:t>工序</w:t>
            </w:r>
          </w:p>
        </w:tc>
        <w:tc>
          <w:tcPr>
            <w:tcW w:w="1701" w:type="dxa"/>
            <w:gridSpan w:val="2"/>
            <w:tcBorders>
              <w:top w:val="single" w:color="auto" w:sz="4" w:space="0"/>
            </w:tcBorders>
            <w:vAlign w:val="center"/>
          </w:tcPr>
          <w:p>
            <w:pPr>
              <w:pStyle w:val="33"/>
              <w:spacing w:line="360" w:lineRule="exact"/>
              <w:rPr>
                <w:color w:val="000000" w:themeColor="text1"/>
                <w:szCs w:val="21"/>
              </w:rPr>
            </w:pPr>
            <w:r>
              <w:rPr>
                <w:color w:val="000000" w:themeColor="text1"/>
                <w:szCs w:val="21"/>
              </w:rPr>
              <w:t>成品料斗</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51" w:type="dxa"/>
            <w:gridSpan w:val="3"/>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2983"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热风炉配套环保设施</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烘干机配套环保设施</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收集后返回生产工序烘干包装后外卖。</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热风炉</w:t>
            </w:r>
          </w:p>
        </w:tc>
        <w:tc>
          <w:tcPr>
            <w:tcW w:w="1297" w:type="dxa"/>
            <w:tcBorders>
              <w:top w:val="single" w:color="auto" w:sz="4" w:space="0"/>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厂区已建设了1个15m²的危险废物贮存间</w:t>
            </w:r>
            <w:r>
              <w:rPr>
                <w:rFonts w:eastAsiaTheme="minorEastAsia"/>
                <w:color w:val="000000" w:themeColor="text1"/>
                <w:szCs w:val="24"/>
              </w:rPr>
              <w:t>对项目区废机油进行暂存</w:t>
            </w:r>
            <w:r>
              <w:rPr>
                <w:rFonts w:hint="eastAsia" w:eastAsiaTheme="minorEastAsia"/>
                <w:color w:val="000000" w:themeColor="text1"/>
                <w:szCs w:val="24"/>
              </w:rPr>
              <w:t>，并委托有资质的单位处置</w:t>
            </w:r>
            <w:r>
              <w:rPr>
                <w:rFonts w:eastAsiaTheme="minorEastAsia"/>
                <w:color w:val="000000" w:themeColor="text1"/>
                <w:szCs w:val="24"/>
              </w:rPr>
              <w:t>。</w:t>
            </w:r>
          </w:p>
        </w:tc>
        <w:tc>
          <w:tcPr>
            <w:tcW w:w="1719"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w:t>
            </w:r>
            <w:r>
              <w:rPr>
                <w:rFonts w:hint="eastAsia" w:eastAsiaTheme="minorEastAsia"/>
                <w:color w:val="000000" w:themeColor="text1"/>
                <w:szCs w:val="21"/>
                <w:lang w:eastAsia="zh-CN"/>
              </w:rPr>
              <w:t>*****</w:t>
            </w:r>
            <w:r>
              <w:rPr>
                <w:rFonts w:eastAsiaTheme="minorEastAsia"/>
                <w:color w:val="000000" w:themeColor="text1"/>
                <w:szCs w:val="21"/>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color w:val="000000" w:themeColor="text1"/>
                <w:szCs w:val="21"/>
              </w:rPr>
            </w:pPr>
            <w:r>
              <w:rPr>
                <w:color w:val="000000" w:themeColor="text1"/>
                <w:szCs w:val="21"/>
              </w:rPr>
              <w:t>员工生活</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w:t>
            </w:r>
            <w:r>
              <w:rPr>
                <w:rFonts w:hint="eastAsia" w:eastAsiaTheme="minorEastAsia"/>
                <w:color w:val="000000" w:themeColor="text1"/>
                <w:sz w:val="24"/>
                <w:szCs w:val="21"/>
              </w:rPr>
              <w:t>：</w:t>
            </w:r>
            <w:r>
              <w:rPr>
                <w:rFonts w:eastAsiaTheme="minorEastAsia"/>
                <w:color w:val="000000" w:themeColor="text1"/>
                <w:sz w:val="24"/>
                <w:szCs w:val="21"/>
              </w:rPr>
              <w:t>危险废物贮存间</w:t>
            </w:r>
            <w:r>
              <w:rPr>
                <w:rFonts w:hint="eastAsia" w:eastAsiaTheme="minorEastAsia"/>
                <w:color w:val="000000" w:themeColor="text1"/>
                <w:sz w:val="24"/>
                <w:szCs w:val="21"/>
              </w:rPr>
              <w:t>地面及裙墙已采用了</w:t>
            </w:r>
            <w:r>
              <w:rPr>
                <w:rFonts w:eastAsiaTheme="minorEastAsia"/>
                <w:color w:val="000000" w:themeColor="text1"/>
                <w:sz w:val="24"/>
                <w:szCs w:val="21"/>
              </w:rPr>
              <w:t>2mm后的HDPE膜进行防渗，使其渗透系数≤10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根据分区防渗规范要求，项目生产车间、废水处理系统、水淬渣暂存库、废渣暂存库区域均划定为一般防渗区</w:t>
            </w:r>
            <w:r>
              <w:rPr>
                <w:rFonts w:eastAsiaTheme="minorEastAsia"/>
                <w:color w:val="000000" w:themeColor="text1"/>
                <w:sz w:val="24"/>
                <w:szCs w:val="21"/>
              </w:rPr>
              <w:t>，</w:t>
            </w:r>
            <w:r>
              <w:rPr>
                <w:rFonts w:hint="eastAsia" w:eastAsiaTheme="minorEastAsia"/>
                <w:color w:val="000000" w:themeColor="text1"/>
                <w:sz w:val="24"/>
                <w:szCs w:val="21"/>
              </w:rPr>
              <w:t>根据业主介绍，废水处理系统已采取了防腐防渗措施，其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；而水淬渣暂存库和废渣暂存库均已进行了防渗施工，其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；生产车间各区域已采用粘土铺底</w:t>
            </w:r>
            <w:r>
              <w:rPr>
                <w:rFonts w:eastAsiaTheme="minorEastAsia"/>
                <w:color w:val="000000" w:themeColor="text1"/>
                <w:sz w:val="24"/>
                <w:szCs w:val="21"/>
              </w:rPr>
              <w:t>，并在上层铺30cm的混凝土进行硬化。确保防渗性能，使其渗透系数≤1.0×10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3"/>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根据本项目环境影响途经，提出以下风险防范措施：</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废机油应储存于规范的危险废物贮存间；</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项目区配备相应品种的消防器材；</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3"/>
              <w:spacing w:line="360" w:lineRule="auto"/>
              <w:ind w:firstLine="240" w:firstLineChars="100"/>
              <w:jc w:val="both"/>
              <w:rPr>
                <w:rFonts w:eastAsiaTheme="minorEastAsia"/>
                <w:color w:val="000000" w:themeColor="text1"/>
                <w:sz w:val="24"/>
                <w:szCs w:val="24"/>
                <w:lang w:val="en-US"/>
              </w:rPr>
            </w:pPr>
            <w:r>
              <w:rPr>
                <w:rFonts w:hint="eastAsia" w:eastAsiaTheme="minorEastAsia"/>
                <w:color w:val="000000" w:themeColor="text1"/>
                <w:sz w:val="24"/>
                <w:szCs w:val="21"/>
              </w:rPr>
              <w:t>⑥项目将厂区内的</w:t>
            </w:r>
            <w:r>
              <w:rPr>
                <w:rFonts w:eastAsiaTheme="minorEastAsia"/>
                <w:color w:val="000000" w:themeColor="text1"/>
                <w:sz w:val="24"/>
                <w:szCs w:val="21"/>
              </w:rPr>
              <w:t>最后1个</w:t>
            </w:r>
            <w:r>
              <w:rPr>
                <w:color w:val="000000" w:themeColor="text1"/>
                <w:sz w:val="24"/>
                <w:szCs w:val="24"/>
              </w:rPr>
              <w:t>循环水池</w:t>
            </w:r>
            <w:r>
              <w:rPr>
                <w:rFonts w:eastAsiaTheme="minorEastAsia"/>
                <w:color w:val="000000" w:themeColor="text1"/>
                <w:sz w:val="24"/>
                <w:szCs w:val="21"/>
              </w:rPr>
              <w:t>作为事故池使用，该</w:t>
            </w:r>
            <w:r>
              <w:rPr>
                <w:color w:val="000000" w:themeColor="text1"/>
                <w:sz w:val="24"/>
                <w:szCs w:val="24"/>
              </w:rPr>
              <w:t>循环水池</w:t>
            </w:r>
            <w:r>
              <w:rPr>
                <w:rFonts w:eastAsiaTheme="minorEastAsia"/>
                <w:color w:val="000000" w:themeColor="text1"/>
                <w:sz w:val="24"/>
                <w:szCs w:val="21"/>
              </w:rPr>
              <w:t>的尺寸均为Φ4.6m、深4.5m的圆柱体，其有效容积为80m³</w:t>
            </w:r>
            <w:r>
              <w:rPr>
                <w:rFonts w:hint="eastAsia" w:eastAsiaTheme="minorEastAsia"/>
                <w:color w:val="000000" w:themeColor="text1"/>
                <w:sz w:val="24"/>
                <w:szCs w:val="21"/>
              </w:rPr>
              <w:t>，对风险事故废水进行收集，以满足事故状态下收集泄漏物料、污染消防水、污染雨水和生活污水的需要。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3"/>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jc w:val="both"/>
              <w:rPr>
                <w:rFonts w:eastAsiaTheme="minorEastAsia"/>
                <w:color w:val="000000" w:themeColor="text1"/>
                <w:szCs w:val="21"/>
              </w:rPr>
            </w:pPr>
            <w:r>
              <w:rPr>
                <w:rFonts w:hint="eastAsia" w:eastAsiaTheme="minorEastAsia"/>
                <w:color w:val="000000" w:themeColor="text1"/>
                <w:sz w:val="24"/>
                <w:szCs w:val="21"/>
              </w:rPr>
              <w:t xml:space="preserve">  </w:t>
            </w:r>
          </w:p>
        </w:tc>
      </w:tr>
    </w:tbl>
    <w:p>
      <w:pPr>
        <w:spacing w:line="360" w:lineRule="auto"/>
        <w:jc w:val="left"/>
        <w:outlineLvl w:val="0"/>
        <w:rPr>
          <w:rFonts w:ascii="Times New Roman" w:hAnsi="Times New Roman" w:cs="Times New Roman"/>
          <w:b/>
          <w:color w:val="000000" w:themeColor="text1"/>
          <w:sz w:val="28"/>
          <w:szCs w:val="20"/>
        </w:rPr>
      </w:pPr>
      <w:bookmarkStart w:id="14" w:name="_Toc151133523"/>
      <w:r>
        <w:rPr>
          <w:rFonts w:ascii="Times New Roman" w:hAnsi="Times New Roman" w:cs="Times New Roman"/>
          <w:b/>
          <w:color w:val="000000" w:themeColor="text1"/>
          <w:sz w:val="28"/>
          <w:szCs w:val="20"/>
        </w:rPr>
        <w:t>六、结论</w:t>
      </w:r>
      <w:bookmarkEnd w:id="14"/>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拟建设的昆明合旺有色金属有限公司固体废物综合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pgNumType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bookmarkStart w:id="15" w:name="_Toc151133524"/>
      <w:r>
        <w:rPr>
          <w:rFonts w:ascii="Times New Roman" w:hAnsi="Times New Roman" w:cs="Times New Roman"/>
          <w:b/>
          <w:color w:val="000000" w:themeColor="text1"/>
          <w:sz w:val="28"/>
          <w:szCs w:val="20"/>
        </w:rPr>
        <w:t>附表</w:t>
      </w:r>
      <w:bookmarkEnd w:id="15"/>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3"/>
              <w:spacing w:line="360" w:lineRule="exact"/>
              <w:rPr>
                <w:color w:val="000000" w:themeColor="text1"/>
                <w:szCs w:val="21"/>
              </w:rPr>
            </w:pPr>
            <w:r>
              <w:rPr>
                <w:rFonts w:hint="eastAsia"/>
                <w:color w:val="000000" w:themeColor="text1"/>
                <w:szCs w:val="21"/>
              </w:rPr>
              <w:t>颗粒物（有组织）</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rFonts w:hint="eastAsia"/>
                <w:color w:val="000000" w:themeColor="text1"/>
                <w:szCs w:val="21"/>
              </w:rPr>
              <w:t>0.112</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rFonts w:hint="eastAsia"/>
                <w:color w:val="000000" w:themeColor="text1"/>
                <w:szCs w:val="21"/>
              </w:rPr>
              <w:t>0.112</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color w:val="000000" w:themeColor="text1"/>
                <w:szCs w:val="21"/>
              </w:rPr>
              <w:t>1.36t/a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color w:val="000000" w:themeColor="text1"/>
                <w:szCs w:val="21"/>
              </w:rPr>
              <w:t>1.36t/a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NOx</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color w:val="000000" w:themeColor="text1"/>
                <w:szCs w:val="21"/>
              </w:rPr>
              <w:t>0.56t/a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color w:val="000000" w:themeColor="text1"/>
                <w:szCs w:val="21"/>
              </w:rPr>
              <w:t>0.56t/a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颗粒物（无组织）</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rFonts w:hint="eastAsia"/>
                <w:color w:val="000000" w:themeColor="text1"/>
                <w:szCs w:val="21"/>
              </w:rPr>
              <w:t>32.09</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rFonts w:hint="eastAsia"/>
                <w:color w:val="000000" w:themeColor="text1"/>
                <w:szCs w:val="21"/>
              </w:rPr>
              <w:t>32.09</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0.12</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0.12</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BOD5</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NH3-N</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0.07</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0.07</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0.017</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0.017</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KHaSLACv+/llFLI95dzzyXWac+w=" w:salt="cCtPuA+Y4GRCirZFuJHlj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2314"/>
    <w:rsid w:val="00006965"/>
    <w:rsid w:val="00010518"/>
    <w:rsid w:val="0001072D"/>
    <w:rsid w:val="00010A49"/>
    <w:rsid w:val="00010CB7"/>
    <w:rsid w:val="00010E27"/>
    <w:rsid w:val="00012C80"/>
    <w:rsid w:val="00013833"/>
    <w:rsid w:val="00020BF9"/>
    <w:rsid w:val="00021721"/>
    <w:rsid w:val="0002285A"/>
    <w:rsid w:val="00022E88"/>
    <w:rsid w:val="0002600C"/>
    <w:rsid w:val="0002637E"/>
    <w:rsid w:val="00031A59"/>
    <w:rsid w:val="00032B08"/>
    <w:rsid w:val="000344EF"/>
    <w:rsid w:val="00034809"/>
    <w:rsid w:val="00034BCB"/>
    <w:rsid w:val="00034E08"/>
    <w:rsid w:val="00035576"/>
    <w:rsid w:val="00035E53"/>
    <w:rsid w:val="0003626F"/>
    <w:rsid w:val="00037A96"/>
    <w:rsid w:val="00040A28"/>
    <w:rsid w:val="00040D99"/>
    <w:rsid w:val="00041527"/>
    <w:rsid w:val="00041801"/>
    <w:rsid w:val="00042762"/>
    <w:rsid w:val="000438CA"/>
    <w:rsid w:val="00044769"/>
    <w:rsid w:val="000464AC"/>
    <w:rsid w:val="00046D9B"/>
    <w:rsid w:val="00050973"/>
    <w:rsid w:val="00050E55"/>
    <w:rsid w:val="00051E67"/>
    <w:rsid w:val="00052BD5"/>
    <w:rsid w:val="00053C3A"/>
    <w:rsid w:val="00054F28"/>
    <w:rsid w:val="00055DB8"/>
    <w:rsid w:val="00057208"/>
    <w:rsid w:val="0005744F"/>
    <w:rsid w:val="00057FEE"/>
    <w:rsid w:val="000607FD"/>
    <w:rsid w:val="00062FAD"/>
    <w:rsid w:val="00063347"/>
    <w:rsid w:val="0006358B"/>
    <w:rsid w:val="00065728"/>
    <w:rsid w:val="00067BF4"/>
    <w:rsid w:val="00070F66"/>
    <w:rsid w:val="000740ED"/>
    <w:rsid w:val="00075144"/>
    <w:rsid w:val="00075FFD"/>
    <w:rsid w:val="000760FE"/>
    <w:rsid w:val="00077A07"/>
    <w:rsid w:val="000814E1"/>
    <w:rsid w:val="000816EB"/>
    <w:rsid w:val="00082602"/>
    <w:rsid w:val="00086577"/>
    <w:rsid w:val="000874EA"/>
    <w:rsid w:val="000937C3"/>
    <w:rsid w:val="000937C8"/>
    <w:rsid w:val="00094A5C"/>
    <w:rsid w:val="000954A9"/>
    <w:rsid w:val="00096181"/>
    <w:rsid w:val="0009690E"/>
    <w:rsid w:val="00096EF1"/>
    <w:rsid w:val="000A1339"/>
    <w:rsid w:val="000A210B"/>
    <w:rsid w:val="000A300A"/>
    <w:rsid w:val="000A68EF"/>
    <w:rsid w:val="000B04E4"/>
    <w:rsid w:val="000B1397"/>
    <w:rsid w:val="000B35C4"/>
    <w:rsid w:val="000B5F10"/>
    <w:rsid w:val="000B6EE8"/>
    <w:rsid w:val="000B7436"/>
    <w:rsid w:val="000B7547"/>
    <w:rsid w:val="000B7CA6"/>
    <w:rsid w:val="000C1A95"/>
    <w:rsid w:val="000C3E43"/>
    <w:rsid w:val="000C7F4D"/>
    <w:rsid w:val="000D1B94"/>
    <w:rsid w:val="000D4915"/>
    <w:rsid w:val="000D4A13"/>
    <w:rsid w:val="000D4A25"/>
    <w:rsid w:val="000D4D91"/>
    <w:rsid w:val="000D6372"/>
    <w:rsid w:val="000D6CBC"/>
    <w:rsid w:val="000D758D"/>
    <w:rsid w:val="000E0211"/>
    <w:rsid w:val="000E2BC7"/>
    <w:rsid w:val="000E500A"/>
    <w:rsid w:val="000E6F05"/>
    <w:rsid w:val="000F27DA"/>
    <w:rsid w:val="000F2BCA"/>
    <w:rsid w:val="000F2C43"/>
    <w:rsid w:val="000F3504"/>
    <w:rsid w:val="000F3C38"/>
    <w:rsid w:val="000F5394"/>
    <w:rsid w:val="000F5DE9"/>
    <w:rsid w:val="000F6FB2"/>
    <w:rsid w:val="00101DC1"/>
    <w:rsid w:val="0010241D"/>
    <w:rsid w:val="001035AE"/>
    <w:rsid w:val="00103773"/>
    <w:rsid w:val="00104E12"/>
    <w:rsid w:val="00106B47"/>
    <w:rsid w:val="00106BF5"/>
    <w:rsid w:val="00111B02"/>
    <w:rsid w:val="00111F14"/>
    <w:rsid w:val="00113083"/>
    <w:rsid w:val="00116200"/>
    <w:rsid w:val="00121AAE"/>
    <w:rsid w:val="00122036"/>
    <w:rsid w:val="00124D61"/>
    <w:rsid w:val="001250CA"/>
    <w:rsid w:val="00125B5D"/>
    <w:rsid w:val="00126836"/>
    <w:rsid w:val="00127ECB"/>
    <w:rsid w:val="001307E7"/>
    <w:rsid w:val="00134859"/>
    <w:rsid w:val="00135F33"/>
    <w:rsid w:val="00137165"/>
    <w:rsid w:val="00141A1D"/>
    <w:rsid w:val="001441E0"/>
    <w:rsid w:val="00144B2A"/>
    <w:rsid w:val="001463C7"/>
    <w:rsid w:val="001476D8"/>
    <w:rsid w:val="0015464F"/>
    <w:rsid w:val="001575F5"/>
    <w:rsid w:val="001603DF"/>
    <w:rsid w:val="00160E25"/>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383"/>
    <w:rsid w:val="0018089D"/>
    <w:rsid w:val="00182D5B"/>
    <w:rsid w:val="00182E34"/>
    <w:rsid w:val="00183565"/>
    <w:rsid w:val="00183AD8"/>
    <w:rsid w:val="001864CE"/>
    <w:rsid w:val="00187A7F"/>
    <w:rsid w:val="00187B44"/>
    <w:rsid w:val="00187D74"/>
    <w:rsid w:val="00192A77"/>
    <w:rsid w:val="00197070"/>
    <w:rsid w:val="001977B7"/>
    <w:rsid w:val="00197A97"/>
    <w:rsid w:val="00197C78"/>
    <w:rsid w:val="001A023F"/>
    <w:rsid w:val="001A4245"/>
    <w:rsid w:val="001A5927"/>
    <w:rsid w:val="001A6330"/>
    <w:rsid w:val="001A70EF"/>
    <w:rsid w:val="001B071C"/>
    <w:rsid w:val="001B0D06"/>
    <w:rsid w:val="001B0D8D"/>
    <w:rsid w:val="001B3F75"/>
    <w:rsid w:val="001B3FC9"/>
    <w:rsid w:val="001B4D27"/>
    <w:rsid w:val="001C04D4"/>
    <w:rsid w:val="001C0A81"/>
    <w:rsid w:val="001C3FC6"/>
    <w:rsid w:val="001D1DBF"/>
    <w:rsid w:val="001D29FB"/>
    <w:rsid w:val="001D36CB"/>
    <w:rsid w:val="001D3CCB"/>
    <w:rsid w:val="001D510D"/>
    <w:rsid w:val="001E143D"/>
    <w:rsid w:val="001E1551"/>
    <w:rsid w:val="001E1D66"/>
    <w:rsid w:val="001E1D94"/>
    <w:rsid w:val="001E296E"/>
    <w:rsid w:val="001E35E6"/>
    <w:rsid w:val="001E5F00"/>
    <w:rsid w:val="001E68D7"/>
    <w:rsid w:val="001E6DE2"/>
    <w:rsid w:val="001E6F65"/>
    <w:rsid w:val="001E7F46"/>
    <w:rsid w:val="001F03FE"/>
    <w:rsid w:val="001F0A05"/>
    <w:rsid w:val="001F298D"/>
    <w:rsid w:val="001F2DED"/>
    <w:rsid w:val="001F348B"/>
    <w:rsid w:val="001F522D"/>
    <w:rsid w:val="001F6029"/>
    <w:rsid w:val="002003B8"/>
    <w:rsid w:val="002010C8"/>
    <w:rsid w:val="00203A93"/>
    <w:rsid w:val="00203E7C"/>
    <w:rsid w:val="00204DBF"/>
    <w:rsid w:val="0021020E"/>
    <w:rsid w:val="00213D48"/>
    <w:rsid w:val="0021516A"/>
    <w:rsid w:val="002210A0"/>
    <w:rsid w:val="00224AFE"/>
    <w:rsid w:val="002340F7"/>
    <w:rsid w:val="00235720"/>
    <w:rsid w:val="00242446"/>
    <w:rsid w:val="0024363B"/>
    <w:rsid w:val="002449EE"/>
    <w:rsid w:val="00245CA3"/>
    <w:rsid w:val="00247689"/>
    <w:rsid w:val="0024786E"/>
    <w:rsid w:val="00247CF7"/>
    <w:rsid w:val="00252D41"/>
    <w:rsid w:val="002540E1"/>
    <w:rsid w:val="0025475F"/>
    <w:rsid w:val="002552FB"/>
    <w:rsid w:val="00257C11"/>
    <w:rsid w:val="0026029A"/>
    <w:rsid w:val="002615D7"/>
    <w:rsid w:val="002619C3"/>
    <w:rsid w:val="00262006"/>
    <w:rsid w:val="00262823"/>
    <w:rsid w:val="00264DB3"/>
    <w:rsid w:val="002666BE"/>
    <w:rsid w:val="00271EF2"/>
    <w:rsid w:val="002735A4"/>
    <w:rsid w:val="00273DDC"/>
    <w:rsid w:val="00275CD2"/>
    <w:rsid w:val="00277862"/>
    <w:rsid w:val="002813AB"/>
    <w:rsid w:val="00281AA2"/>
    <w:rsid w:val="00282347"/>
    <w:rsid w:val="00283425"/>
    <w:rsid w:val="00283568"/>
    <w:rsid w:val="00283E7B"/>
    <w:rsid w:val="0029185D"/>
    <w:rsid w:val="00292D0B"/>
    <w:rsid w:val="002931E6"/>
    <w:rsid w:val="002947F6"/>
    <w:rsid w:val="002963A7"/>
    <w:rsid w:val="00296512"/>
    <w:rsid w:val="00296E3C"/>
    <w:rsid w:val="002A0F82"/>
    <w:rsid w:val="002A1028"/>
    <w:rsid w:val="002A17DA"/>
    <w:rsid w:val="002A1981"/>
    <w:rsid w:val="002A1BFA"/>
    <w:rsid w:val="002A1DB1"/>
    <w:rsid w:val="002A1EAA"/>
    <w:rsid w:val="002A736A"/>
    <w:rsid w:val="002A7A00"/>
    <w:rsid w:val="002B2BE4"/>
    <w:rsid w:val="002B40E5"/>
    <w:rsid w:val="002B4C32"/>
    <w:rsid w:val="002B5B05"/>
    <w:rsid w:val="002B62FB"/>
    <w:rsid w:val="002B7A5A"/>
    <w:rsid w:val="002C07C0"/>
    <w:rsid w:val="002C0B79"/>
    <w:rsid w:val="002C1CFF"/>
    <w:rsid w:val="002C1E30"/>
    <w:rsid w:val="002C2FBC"/>
    <w:rsid w:val="002C3853"/>
    <w:rsid w:val="002D0111"/>
    <w:rsid w:val="002D208B"/>
    <w:rsid w:val="002D2352"/>
    <w:rsid w:val="002D31B2"/>
    <w:rsid w:val="002D4D58"/>
    <w:rsid w:val="002D6140"/>
    <w:rsid w:val="002E21DE"/>
    <w:rsid w:val="002E25DE"/>
    <w:rsid w:val="002E3C02"/>
    <w:rsid w:val="002E3E71"/>
    <w:rsid w:val="002E3F5D"/>
    <w:rsid w:val="002E49EF"/>
    <w:rsid w:val="002E4EE2"/>
    <w:rsid w:val="002E5628"/>
    <w:rsid w:val="002E75FC"/>
    <w:rsid w:val="002F37F6"/>
    <w:rsid w:val="002F3854"/>
    <w:rsid w:val="002F6B45"/>
    <w:rsid w:val="00300220"/>
    <w:rsid w:val="003012BB"/>
    <w:rsid w:val="003015F8"/>
    <w:rsid w:val="0030173E"/>
    <w:rsid w:val="003024F2"/>
    <w:rsid w:val="0030385F"/>
    <w:rsid w:val="00304186"/>
    <w:rsid w:val="003041C9"/>
    <w:rsid w:val="00305EB9"/>
    <w:rsid w:val="003115CF"/>
    <w:rsid w:val="0031189D"/>
    <w:rsid w:val="00314239"/>
    <w:rsid w:val="00317F26"/>
    <w:rsid w:val="00320B3A"/>
    <w:rsid w:val="00322356"/>
    <w:rsid w:val="00322C23"/>
    <w:rsid w:val="00322DCE"/>
    <w:rsid w:val="00322E15"/>
    <w:rsid w:val="00323170"/>
    <w:rsid w:val="003251CD"/>
    <w:rsid w:val="00325224"/>
    <w:rsid w:val="003268A6"/>
    <w:rsid w:val="00327766"/>
    <w:rsid w:val="00332BCA"/>
    <w:rsid w:val="00332E06"/>
    <w:rsid w:val="00335E70"/>
    <w:rsid w:val="003372E0"/>
    <w:rsid w:val="00340DCE"/>
    <w:rsid w:val="0034317D"/>
    <w:rsid w:val="00344278"/>
    <w:rsid w:val="0034429D"/>
    <w:rsid w:val="00344442"/>
    <w:rsid w:val="00344B4D"/>
    <w:rsid w:val="00344F6A"/>
    <w:rsid w:val="003471CB"/>
    <w:rsid w:val="00354B52"/>
    <w:rsid w:val="00361C1A"/>
    <w:rsid w:val="00361CF9"/>
    <w:rsid w:val="0036211A"/>
    <w:rsid w:val="0036783D"/>
    <w:rsid w:val="00371986"/>
    <w:rsid w:val="00371B13"/>
    <w:rsid w:val="00372641"/>
    <w:rsid w:val="00372FF4"/>
    <w:rsid w:val="00377A08"/>
    <w:rsid w:val="00377DC3"/>
    <w:rsid w:val="003807A3"/>
    <w:rsid w:val="00384096"/>
    <w:rsid w:val="003852E6"/>
    <w:rsid w:val="00385DE6"/>
    <w:rsid w:val="00387588"/>
    <w:rsid w:val="003879AF"/>
    <w:rsid w:val="003900EB"/>
    <w:rsid w:val="00390401"/>
    <w:rsid w:val="003940B4"/>
    <w:rsid w:val="00394E91"/>
    <w:rsid w:val="003965C2"/>
    <w:rsid w:val="003A1A97"/>
    <w:rsid w:val="003A2C94"/>
    <w:rsid w:val="003A4F39"/>
    <w:rsid w:val="003A593B"/>
    <w:rsid w:val="003A69BA"/>
    <w:rsid w:val="003B0CA6"/>
    <w:rsid w:val="003B149E"/>
    <w:rsid w:val="003B27A0"/>
    <w:rsid w:val="003B3E08"/>
    <w:rsid w:val="003B46F2"/>
    <w:rsid w:val="003B69D3"/>
    <w:rsid w:val="003B6B9D"/>
    <w:rsid w:val="003C01B9"/>
    <w:rsid w:val="003C1553"/>
    <w:rsid w:val="003C4D0F"/>
    <w:rsid w:val="003D03A2"/>
    <w:rsid w:val="003D15BD"/>
    <w:rsid w:val="003D2351"/>
    <w:rsid w:val="003D25E7"/>
    <w:rsid w:val="003D4831"/>
    <w:rsid w:val="003D587A"/>
    <w:rsid w:val="003D6EFF"/>
    <w:rsid w:val="003D7B53"/>
    <w:rsid w:val="003D7D56"/>
    <w:rsid w:val="003E0E2B"/>
    <w:rsid w:val="003E1314"/>
    <w:rsid w:val="003E1A39"/>
    <w:rsid w:val="003E1A96"/>
    <w:rsid w:val="003E24A1"/>
    <w:rsid w:val="003E2878"/>
    <w:rsid w:val="003E35D9"/>
    <w:rsid w:val="003E4647"/>
    <w:rsid w:val="003F03B7"/>
    <w:rsid w:val="003F0CB4"/>
    <w:rsid w:val="003F4B40"/>
    <w:rsid w:val="003F5310"/>
    <w:rsid w:val="003F6BE4"/>
    <w:rsid w:val="00400041"/>
    <w:rsid w:val="00404505"/>
    <w:rsid w:val="00405DB9"/>
    <w:rsid w:val="00406521"/>
    <w:rsid w:val="00406D99"/>
    <w:rsid w:val="00407D01"/>
    <w:rsid w:val="00412056"/>
    <w:rsid w:val="00412478"/>
    <w:rsid w:val="00412CB6"/>
    <w:rsid w:val="00413DDA"/>
    <w:rsid w:val="00416860"/>
    <w:rsid w:val="0042165D"/>
    <w:rsid w:val="0042483F"/>
    <w:rsid w:val="00431D91"/>
    <w:rsid w:val="0043268F"/>
    <w:rsid w:val="004329BC"/>
    <w:rsid w:val="00432FCA"/>
    <w:rsid w:val="00434AFC"/>
    <w:rsid w:val="004369B4"/>
    <w:rsid w:val="004407A6"/>
    <w:rsid w:val="00442410"/>
    <w:rsid w:val="004429ED"/>
    <w:rsid w:val="004431BA"/>
    <w:rsid w:val="00445631"/>
    <w:rsid w:val="004459AB"/>
    <w:rsid w:val="00445CD5"/>
    <w:rsid w:val="0045161D"/>
    <w:rsid w:val="00451F9B"/>
    <w:rsid w:val="004521CF"/>
    <w:rsid w:val="00452F00"/>
    <w:rsid w:val="00460B11"/>
    <w:rsid w:val="00463BDC"/>
    <w:rsid w:val="00465080"/>
    <w:rsid w:val="00465AA2"/>
    <w:rsid w:val="004662C7"/>
    <w:rsid w:val="004670AB"/>
    <w:rsid w:val="00471AD5"/>
    <w:rsid w:val="004726FA"/>
    <w:rsid w:val="00476210"/>
    <w:rsid w:val="00477A89"/>
    <w:rsid w:val="0048039E"/>
    <w:rsid w:val="00482E80"/>
    <w:rsid w:val="004840C4"/>
    <w:rsid w:val="00484777"/>
    <w:rsid w:val="00486CFE"/>
    <w:rsid w:val="00490019"/>
    <w:rsid w:val="0049067C"/>
    <w:rsid w:val="00490DAF"/>
    <w:rsid w:val="00490ECA"/>
    <w:rsid w:val="00491554"/>
    <w:rsid w:val="004922A1"/>
    <w:rsid w:val="00492E0F"/>
    <w:rsid w:val="004A0E4C"/>
    <w:rsid w:val="004A1EEA"/>
    <w:rsid w:val="004A2FFF"/>
    <w:rsid w:val="004A30C2"/>
    <w:rsid w:val="004A37C5"/>
    <w:rsid w:val="004A4E36"/>
    <w:rsid w:val="004A52F5"/>
    <w:rsid w:val="004A5C36"/>
    <w:rsid w:val="004A7486"/>
    <w:rsid w:val="004A78E1"/>
    <w:rsid w:val="004B2C95"/>
    <w:rsid w:val="004B47E3"/>
    <w:rsid w:val="004B5722"/>
    <w:rsid w:val="004C06E1"/>
    <w:rsid w:val="004C343F"/>
    <w:rsid w:val="004C55BF"/>
    <w:rsid w:val="004C7D2E"/>
    <w:rsid w:val="004D004C"/>
    <w:rsid w:val="004D07B2"/>
    <w:rsid w:val="004D164D"/>
    <w:rsid w:val="004D2751"/>
    <w:rsid w:val="004D3DA8"/>
    <w:rsid w:val="004D5133"/>
    <w:rsid w:val="004E0B6A"/>
    <w:rsid w:val="004E7972"/>
    <w:rsid w:val="004F046C"/>
    <w:rsid w:val="004F243F"/>
    <w:rsid w:val="004F43D6"/>
    <w:rsid w:val="004F441C"/>
    <w:rsid w:val="004F5D49"/>
    <w:rsid w:val="004F5E7C"/>
    <w:rsid w:val="004F79F0"/>
    <w:rsid w:val="004F7D4D"/>
    <w:rsid w:val="004F7ED7"/>
    <w:rsid w:val="00505002"/>
    <w:rsid w:val="005059D4"/>
    <w:rsid w:val="0050780B"/>
    <w:rsid w:val="00511B6E"/>
    <w:rsid w:val="005123D3"/>
    <w:rsid w:val="005153FD"/>
    <w:rsid w:val="00515A1E"/>
    <w:rsid w:val="005164B3"/>
    <w:rsid w:val="00516F69"/>
    <w:rsid w:val="00522BBF"/>
    <w:rsid w:val="0052679C"/>
    <w:rsid w:val="00527BC5"/>
    <w:rsid w:val="00531AD8"/>
    <w:rsid w:val="00531E5D"/>
    <w:rsid w:val="005324D0"/>
    <w:rsid w:val="0053286F"/>
    <w:rsid w:val="00533467"/>
    <w:rsid w:val="00534075"/>
    <w:rsid w:val="005340F1"/>
    <w:rsid w:val="005342CF"/>
    <w:rsid w:val="005344D8"/>
    <w:rsid w:val="00534689"/>
    <w:rsid w:val="00534EF3"/>
    <w:rsid w:val="005356B8"/>
    <w:rsid w:val="00535FDC"/>
    <w:rsid w:val="00536875"/>
    <w:rsid w:val="00540530"/>
    <w:rsid w:val="00542078"/>
    <w:rsid w:val="005420E0"/>
    <w:rsid w:val="00543C10"/>
    <w:rsid w:val="00544F28"/>
    <w:rsid w:val="00550012"/>
    <w:rsid w:val="00551B30"/>
    <w:rsid w:val="00551E76"/>
    <w:rsid w:val="0055254C"/>
    <w:rsid w:val="005528F5"/>
    <w:rsid w:val="00552B40"/>
    <w:rsid w:val="0055331A"/>
    <w:rsid w:val="0055687A"/>
    <w:rsid w:val="005568AC"/>
    <w:rsid w:val="005571AA"/>
    <w:rsid w:val="00560C22"/>
    <w:rsid w:val="00561BEF"/>
    <w:rsid w:val="0056408D"/>
    <w:rsid w:val="00565D34"/>
    <w:rsid w:val="00570AC5"/>
    <w:rsid w:val="00570B7C"/>
    <w:rsid w:val="00570F48"/>
    <w:rsid w:val="00570FC3"/>
    <w:rsid w:val="005719DF"/>
    <w:rsid w:val="00572A09"/>
    <w:rsid w:val="0057365C"/>
    <w:rsid w:val="00582D37"/>
    <w:rsid w:val="00582E9E"/>
    <w:rsid w:val="0058375C"/>
    <w:rsid w:val="00583FEB"/>
    <w:rsid w:val="00586942"/>
    <w:rsid w:val="00593696"/>
    <w:rsid w:val="00595DFB"/>
    <w:rsid w:val="00595DFF"/>
    <w:rsid w:val="005A040B"/>
    <w:rsid w:val="005A0B8C"/>
    <w:rsid w:val="005A390C"/>
    <w:rsid w:val="005A468F"/>
    <w:rsid w:val="005A4F7F"/>
    <w:rsid w:val="005A7C25"/>
    <w:rsid w:val="005B13F2"/>
    <w:rsid w:val="005B19F5"/>
    <w:rsid w:val="005B2F98"/>
    <w:rsid w:val="005B5075"/>
    <w:rsid w:val="005B60E2"/>
    <w:rsid w:val="005B6529"/>
    <w:rsid w:val="005C0E90"/>
    <w:rsid w:val="005C270F"/>
    <w:rsid w:val="005C2D3D"/>
    <w:rsid w:val="005C3240"/>
    <w:rsid w:val="005C358A"/>
    <w:rsid w:val="005C38F9"/>
    <w:rsid w:val="005C478B"/>
    <w:rsid w:val="005C5209"/>
    <w:rsid w:val="005C6ECF"/>
    <w:rsid w:val="005C780A"/>
    <w:rsid w:val="005D1BB5"/>
    <w:rsid w:val="005D20BC"/>
    <w:rsid w:val="005D2878"/>
    <w:rsid w:val="005D2DAC"/>
    <w:rsid w:val="005D40A7"/>
    <w:rsid w:val="005D6D94"/>
    <w:rsid w:val="005D7B1B"/>
    <w:rsid w:val="005E43DF"/>
    <w:rsid w:val="005E53C8"/>
    <w:rsid w:val="005E7578"/>
    <w:rsid w:val="005F1128"/>
    <w:rsid w:val="005F31C5"/>
    <w:rsid w:val="005F36DF"/>
    <w:rsid w:val="006002DA"/>
    <w:rsid w:val="00602BDF"/>
    <w:rsid w:val="00603BAF"/>
    <w:rsid w:val="00606ED5"/>
    <w:rsid w:val="00607B6F"/>
    <w:rsid w:val="0061026D"/>
    <w:rsid w:val="00611305"/>
    <w:rsid w:val="00613C50"/>
    <w:rsid w:val="00614617"/>
    <w:rsid w:val="00616F4F"/>
    <w:rsid w:val="006179D4"/>
    <w:rsid w:val="00617A01"/>
    <w:rsid w:val="0062045F"/>
    <w:rsid w:val="0062070A"/>
    <w:rsid w:val="00621929"/>
    <w:rsid w:val="006237D0"/>
    <w:rsid w:val="00623A6B"/>
    <w:rsid w:val="006247CC"/>
    <w:rsid w:val="00633250"/>
    <w:rsid w:val="0063362F"/>
    <w:rsid w:val="00634AB7"/>
    <w:rsid w:val="0063583F"/>
    <w:rsid w:val="00636BF7"/>
    <w:rsid w:val="00637600"/>
    <w:rsid w:val="006379C6"/>
    <w:rsid w:val="006411B3"/>
    <w:rsid w:val="006420B7"/>
    <w:rsid w:val="00642BBC"/>
    <w:rsid w:val="00645F0B"/>
    <w:rsid w:val="0064649D"/>
    <w:rsid w:val="00647C5E"/>
    <w:rsid w:val="00656365"/>
    <w:rsid w:val="0066259B"/>
    <w:rsid w:val="00663A36"/>
    <w:rsid w:val="00663F4D"/>
    <w:rsid w:val="006641F1"/>
    <w:rsid w:val="006641FE"/>
    <w:rsid w:val="0066506A"/>
    <w:rsid w:val="00667E93"/>
    <w:rsid w:val="00670366"/>
    <w:rsid w:val="00670600"/>
    <w:rsid w:val="00682443"/>
    <w:rsid w:val="006826DF"/>
    <w:rsid w:val="00685451"/>
    <w:rsid w:val="0068738A"/>
    <w:rsid w:val="00687932"/>
    <w:rsid w:val="00687D0A"/>
    <w:rsid w:val="006946BA"/>
    <w:rsid w:val="006952FD"/>
    <w:rsid w:val="006956DC"/>
    <w:rsid w:val="006967FD"/>
    <w:rsid w:val="006975FA"/>
    <w:rsid w:val="006A0111"/>
    <w:rsid w:val="006A0148"/>
    <w:rsid w:val="006A1718"/>
    <w:rsid w:val="006A2739"/>
    <w:rsid w:val="006A310F"/>
    <w:rsid w:val="006A5256"/>
    <w:rsid w:val="006A7586"/>
    <w:rsid w:val="006B0FC1"/>
    <w:rsid w:val="006B179B"/>
    <w:rsid w:val="006B30E2"/>
    <w:rsid w:val="006B3849"/>
    <w:rsid w:val="006B6254"/>
    <w:rsid w:val="006B737C"/>
    <w:rsid w:val="006C0272"/>
    <w:rsid w:val="006C0B93"/>
    <w:rsid w:val="006C1364"/>
    <w:rsid w:val="006C1666"/>
    <w:rsid w:val="006C1D02"/>
    <w:rsid w:val="006C1F44"/>
    <w:rsid w:val="006C34B9"/>
    <w:rsid w:val="006C52A7"/>
    <w:rsid w:val="006C58DC"/>
    <w:rsid w:val="006C640B"/>
    <w:rsid w:val="006C7124"/>
    <w:rsid w:val="006D0C06"/>
    <w:rsid w:val="006D1F47"/>
    <w:rsid w:val="006D349D"/>
    <w:rsid w:val="006D449A"/>
    <w:rsid w:val="006D469B"/>
    <w:rsid w:val="006D4F2D"/>
    <w:rsid w:val="006D56E9"/>
    <w:rsid w:val="006D7038"/>
    <w:rsid w:val="006D705B"/>
    <w:rsid w:val="006E079D"/>
    <w:rsid w:val="006E20AC"/>
    <w:rsid w:val="006E20DA"/>
    <w:rsid w:val="006E2C47"/>
    <w:rsid w:val="006E3BBE"/>
    <w:rsid w:val="006E4148"/>
    <w:rsid w:val="006E5D90"/>
    <w:rsid w:val="006E69D9"/>
    <w:rsid w:val="006F2742"/>
    <w:rsid w:val="006F31A9"/>
    <w:rsid w:val="006F404F"/>
    <w:rsid w:val="006F6817"/>
    <w:rsid w:val="007008B2"/>
    <w:rsid w:val="007015CA"/>
    <w:rsid w:val="007019CF"/>
    <w:rsid w:val="00702658"/>
    <w:rsid w:val="00702A5D"/>
    <w:rsid w:val="00704E77"/>
    <w:rsid w:val="00710575"/>
    <w:rsid w:val="007106BC"/>
    <w:rsid w:val="00711E6E"/>
    <w:rsid w:val="00712452"/>
    <w:rsid w:val="0071387B"/>
    <w:rsid w:val="0071455A"/>
    <w:rsid w:val="00715081"/>
    <w:rsid w:val="007173A8"/>
    <w:rsid w:val="007205B9"/>
    <w:rsid w:val="00720B5F"/>
    <w:rsid w:val="007242B2"/>
    <w:rsid w:val="00733BA9"/>
    <w:rsid w:val="00734F3E"/>
    <w:rsid w:val="00736B7D"/>
    <w:rsid w:val="00740A4F"/>
    <w:rsid w:val="007411A2"/>
    <w:rsid w:val="007431C8"/>
    <w:rsid w:val="00745C1E"/>
    <w:rsid w:val="00746002"/>
    <w:rsid w:val="00747147"/>
    <w:rsid w:val="00751732"/>
    <w:rsid w:val="00751969"/>
    <w:rsid w:val="00755489"/>
    <w:rsid w:val="0075551E"/>
    <w:rsid w:val="00756F3F"/>
    <w:rsid w:val="00760397"/>
    <w:rsid w:val="00761524"/>
    <w:rsid w:val="007620A6"/>
    <w:rsid w:val="0076339E"/>
    <w:rsid w:val="0076372A"/>
    <w:rsid w:val="00764286"/>
    <w:rsid w:val="00765550"/>
    <w:rsid w:val="00766209"/>
    <w:rsid w:val="00766AE0"/>
    <w:rsid w:val="00766D22"/>
    <w:rsid w:val="0077006B"/>
    <w:rsid w:val="00771B0E"/>
    <w:rsid w:val="00771C0E"/>
    <w:rsid w:val="007721B1"/>
    <w:rsid w:val="007725F6"/>
    <w:rsid w:val="007752A9"/>
    <w:rsid w:val="00775FC8"/>
    <w:rsid w:val="00777A4B"/>
    <w:rsid w:val="007809B0"/>
    <w:rsid w:val="00781641"/>
    <w:rsid w:val="00782109"/>
    <w:rsid w:val="00785FBC"/>
    <w:rsid w:val="00786210"/>
    <w:rsid w:val="00786705"/>
    <w:rsid w:val="00786DA9"/>
    <w:rsid w:val="0079096A"/>
    <w:rsid w:val="00790D94"/>
    <w:rsid w:val="007910D2"/>
    <w:rsid w:val="007923CD"/>
    <w:rsid w:val="00793033"/>
    <w:rsid w:val="00793C8B"/>
    <w:rsid w:val="007942B5"/>
    <w:rsid w:val="007958EA"/>
    <w:rsid w:val="00797D3A"/>
    <w:rsid w:val="007A00E2"/>
    <w:rsid w:val="007A17E9"/>
    <w:rsid w:val="007A1811"/>
    <w:rsid w:val="007A25AA"/>
    <w:rsid w:val="007A3394"/>
    <w:rsid w:val="007A4B48"/>
    <w:rsid w:val="007A6586"/>
    <w:rsid w:val="007B0225"/>
    <w:rsid w:val="007B296B"/>
    <w:rsid w:val="007B31C4"/>
    <w:rsid w:val="007B4B4E"/>
    <w:rsid w:val="007B5504"/>
    <w:rsid w:val="007B5DB7"/>
    <w:rsid w:val="007B62A8"/>
    <w:rsid w:val="007B6A3A"/>
    <w:rsid w:val="007B741C"/>
    <w:rsid w:val="007C037E"/>
    <w:rsid w:val="007C0DE2"/>
    <w:rsid w:val="007C222D"/>
    <w:rsid w:val="007C32DA"/>
    <w:rsid w:val="007C48B8"/>
    <w:rsid w:val="007C68E9"/>
    <w:rsid w:val="007D01C3"/>
    <w:rsid w:val="007D01EC"/>
    <w:rsid w:val="007D04D8"/>
    <w:rsid w:val="007D180E"/>
    <w:rsid w:val="007D1959"/>
    <w:rsid w:val="007D28A1"/>
    <w:rsid w:val="007D3FF0"/>
    <w:rsid w:val="007D440B"/>
    <w:rsid w:val="007D66D8"/>
    <w:rsid w:val="007E0A1C"/>
    <w:rsid w:val="007E1BE0"/>
    <w:rsid w:val="007E2B38"/>
    <w:rsid w:val="007E5687"/>
    <w:rsid w:val="007E58CE"/>
    <w:rsid w:val="007E62B8"/>
    <w:rsid w:val="007E7373"/>
    <w:rsid w:val="007F4217"/>
    <w:rsid w:val="007F4C63"/>
    <w:rsid w:val="007F60A3"/>
    <w:rsid w:val="007F7111"/>
    <w:rsid w:val="007F72CF"/>
    <w:rsid w:val="007F7E77"/>
    <w:rsid w:val="00800713"/>
    <w:rsid w:val="0080313A"/>
    <w:rsid w:val="008037FF"/>
    <w:rsid w:val="00804005"/>
    <w:rsid w:val="00804BBD"/>
    <w:rsid w:val="008104AE"/>
    <w:rsid w:val="0081079E"/>
    <w:rsid w:val="00811309"/>
    <w:rsid w:val="00811780"/>
    <w:rsid w:val="008122FD"/>
    <w:rsid w:val="0081398F"/>
    <w:rsid w:val="00813D79"/>
    <w:rsid w:val="00814387"/>
    <w:rsid w:val="00820EEF"/>
    <w:rsid w:val="00821B76"/>
    <w:rsid w:val="00824EC0"/>
    <w:rsid w:val="00826A71"/>
    <w:rsid w:val="008278FC"/>
    <w:rsid w:val="00827D2F"/>
    <w:rsid w:val="00827D85"/>
    <w:rsid w:val="008325C5"/>
    <w:rsid w:val="0083260C"/>
    <w:rsid w:val="008400C8"/>
    <w:rsid w:val="00840A79"/>
    <w:rsid w:val="00841CE0"/>
    <w:rsid w:val="00844558"/>
    <w:rsid w:val="008448B1"/>
    <w:rsid w:val="008468FB"/>
    <w:rsid w:val="00847A3B"/>
    <w:rsid w:val="00850229"/>
    <w:rsid w:val="00850DAA"/>
    <w:rsid w:val="0085166B"/>
    <w:rsid w:val="00853681"/>
    <w:rsid w:val="00854B7E"/>
    <w:rsid w:val="00856447"/>
    <w:rsid w:val="00857DB7"/>
    <w:rsid w:val="008610E2"/>
    <w:rsid w:val="00861F57"/>
    <w:rsid w:val="00862A78"/>
    <w:rsid w:val="0086307C"/>
    <w:rsid w:val="00864BD6"/>
    <w:rsid w:val="00866DAF"/>
    <w:rsid w:val="00866FD9"/>
    <w:rsid w:val="008710F5"/>
    <w:rsid w:val="00872FEB"/>
    <w:rsid w:val="0087341F"/>
    <w:rsid w:val="00876278"/>
    <w:rsid w:val="0087758A"/>
    <w:rsid w:val="00877DC6"/>
    <w:rsid w:val="00877E2C"/>
    <w:rsid w:val="0088062A"/>
    <w:rsid w:val="00884880"/>
    <w:rsid w:val="008902AE"/>
    <w:rsid w:val="00892FB6"/>
    <w:rsid w:val="00893EF2"/>
    <w:rsid w:val="0089429D"/>
    <w:rsid w:val="008948EB"/>
    <w:rsid w:val="00897E97"/>
    <w:rsid w:val="00897FC9"/>
    <w:rsid w:val="008A1159"/>
    <w:rsid w:val="008A6FD6"/>
    <w:rsid w:val="008A7883"/>
    <w:rsid w:val="008B0590"/>
    <w:rsid w:val="008B06C1"/>
    <w:rsid w:val="008B21E0"/>
    <w:rsid w:val="008B250B"/>
    <w:rsid w:val="008B3268"/>
    <w:rsid w:val="008B702B"/>
    <w:rsid w:val="008C08AB"/>
    <w:rsid w:val="008C10CD"/>
    <w:rsid w:val="008C1FB7"/>
    <w:rsid w:val="008C33DC"/>
    <w:rsid w:val="008C3EFE"/>
    <w:rsid w:val="008C50F0"/>
    <w:rsid w:val="008C6990"/>
    <w:rsid w:val="008C7652"/>
    <w:rsid w:val="008C7927"/>
    <w:rsid w:val="008D15CE"/>
    <w:rsid w:val="008D164F"/>
    <w:rsid w:val="008D1CB6"/>
    <w:rsid w:val="008D2CBB"/>
    <w:rsid w:val="008D35CB"/>
    <w:rsid w:val="008D547C"/>
    <w:rsid w:val="008D63D5"/>
    <w:rsid w:val="008D71B5"/>
    <w:rsid w:val="008E150B"/>
    <w:rsid w:val="008E2D86"/>
    <w:rsid w:val="008E375A"/>
    <w:rsid w:val="008E56A4"/>
    <w:rsid w:val="008E608D"/>
    <w:rsid w:val="008F0ED1"/>
    <w:rsid w:val="008F15FB"/>
    <w:rsid w:val="008F1E24"/>
    <w:rsid w:val="008F4139"/>
    <w:rsid w:val="008F4CE6"/>
    <w:rsid w:val="008F5F3E"/>
    <w:rsid w:val="008F74C5"/>
    <w:rsid w:val="008F7660"/>
    <w:rsid w:val="008F7AE0"/>
    <w:rsid w:val="00901504"/>
    <w:rsid w:val="009020D0"/>
    <w:rsid w:val="00903A8B"/>
    <w:rsid w:val="009050A1"/>
    <w:rsid w:val="00913273"/>
    <w:rsid w:val="00913BBF"/>
    <w:rsid w:val="00914885"/>
    <w:rsid w:val="00915356"/>
    <w:rsid w:val="00917C50"/>
    <w:rsid w:val="00917C58"/>
    <w:rsid w:val="009206AC"/>
    <w:rsid w:val="009252EF"/>
    <w:rsid w:val="00925E63"/>
    <w:rsid w:val="00927433"/>
    <w:rsid w:val="00927438"/>
    <w:rsid w:val="00927C70"/>
    <w:rsid w:val="00931F67"/>
    <w:rsid w:val="00935E07"/>
    <w:rsid w:val="00936AFA"/>
    <w:rsid w:val="009371D8"/>
    <w:rsid w:val="00942EAF"/>
    <w:rsid w:val="00945C5E"/>
    <w:rsid w:val="009512AA"/>
    <w:rsid w:val="00954268"/>
    <w:rsid w:val="009545F8"/>
    <w:rsid w:val="00955FBB"/>
    <w:rsid w:val="00961096"/>
    <w:rsid w:val="00962FE7"/>
    <w:rsid w:val="00966221"/>
    <w:rsid w:val="0096793E"/>
    <w:rsid w:val="0097199A"/>
    <w:rsid w:val="00972136"/>
    <w:rsid w:val="00973DC5"/>
    <w:rsid w:val="00973FEE"/>
    <w:rsid w:val="00974646"/>
    <w:rsid w:val="009773F8"/>
    <w:rsid w:val="0097785B"/>
    <w:rsid w:val="009800F5"/>
    <w:rsid w:val="00981D79"/>
    <w:rsid w:val="00986814"/>
    <w:rsid w:val="00987D4A"/>
    <w:rsid w:val="00992423"/>
    <w:rsid w:val="00994933"/>
    <w:rsid w:val="0099505A"/>
    <w:rsid w:val="00997EBB"/>
    <w:rsid w:val="009A28F3"/>
    <w:rsid w:val="009A570D"/>
    <w:rsid w:val="009A5AE9"/>
    <w:rsid w:val="009A6B88"/>
    <w:rsid w:val="009A7332"/>
    <w:rsid w:val="009A76FF"/>
    <w:rsid w:val="009B1B10"/>
    <w:rsid w:val="009B4A69"/>
    <w:rsid w:val="009B4CB9"/>
    <w:rsid w:val="009B75EA"/>
    <w:rsid w:val="009B7740"/>
    <w:rsid w:val="009C091A"/>
    <w:rsid w:val="009C1384"/>
    <w:rsid w:val="009C166B"/>
    <w:rsid w:val="009C5216"/>
    <w:rsid w:val="009C6D9C"/>
    <w:rsid w:val="009D27CC"/>
    <w:rsid w:val="009D3066"/>
    <w:rsid w:val="009D368A"/>
    <w:rsid w:val="009D41A3"/>
    <w:rsid w:val="009E0D00"/>
    <w:rsid w:val="009E1F4B"/>
    <w:rsid w:val="009E20A5"/>
    <w:rsid w:val="009E33D7"/>
    <w:rsid w:val="009E461F"/>
    <w:rsid w:val="009E4666"/>
    <w:rsid w:val="009E5130"/>
    <w:rsid w:val="009E69BE"/>
    <w:rsid w:val="009E7159"/>
    <w:rsid w:val="009F0187"/>
    <w:rsid w:val="009F11FE"/>
    <w:rsid w:val="009F1793"/>
    <w:rsid w:val="009F2273"/>
    <w:rsid w:val="009F2D07"/>
    <w:rsid w:val="009F3906"/>
    <w:rsid w:val="009F7214"/>
    <w:rsid w:val="009F7C15"/>
    <w:rsid w:val="00A0047A"/>
    <w:rsid w:val="00A01FE3"/>
    <w:rsid w:val="00A05998"/>
    <w:rsid w:val="00A06B38"/>
    <w:rsid w:val="00A100F9"/>
    <w:rsid w:val="00A13648"/>
    <w:rsid w:val="00A13F7C"/>
    <w:rsid w:val="00A14CAB"/>
    <w:rsid w:val="00A158CC"/>
    <w:rsid w:val="00A22965"/>
    <w:rsid w:val="00A233C0"/>
    <w:rsid w:val="00A23664"/>
    <w:rsid w:val="00A23BE2"/>
    <w:rsid w:val="00A264E8"/>
    <w:rsid w:val="00A268CC"/>
    <w:rsid w:val="00A27475"/>
    <w:rsid w:val="00A32548"/>
    <w:rsid w:val="00A35FB8"/>
    <w:rsid w:val="00A3685D"/>
    <w:rsid w:val="00A378E7"/>
    <w:rsid w:val="00A37D8D"/>
    <w:rsid w:val="00A37D9B"/>
    <w:rsid w:val="00A402CD"/>
    <w:rsid w:val="00A40F4A"/>
    <w:rsid w:val="00A410A3"/>
    <w:rsid w:val="00A4202F"/>
    <w:rsid w:val="00A4354F"/>
    <w:rsid w:val="00A44C6C"/>
    <w:rsid w:val="00A457BA"/>
    <w:rsid w:val="00A4616E"/>
    <w:rsid w:val="00A46859"/>
    <w:rsid w:val="00A46F3A"/>
    <w:rsid w:val="00A475BE"/>
    <w:rsid w:val="00A50C9A"/>
    <w:rsid w:val="00A52AFE"/>
    <w:rsid w:val="00A5362A"/>
    <w:rsid w:val="00A53A9D"/>
    <w:rsid w:val="00A53E67"/>
    <w:rsid w:val="00A54A27"/>
    <w:rsid w:val="00A61CCD"/>
    <w:rsid w:val="00A645DD"/>
    <w:rsid w:val="00A66D50"/>
    <w:rsid w:val="00A66E67"/>
    <w:rsid w:val="00A67B2E"/>
    <w:rsid w:val="00A707E4"/>
    <w:rsid w:val="00A719DE"/>
    <w:rsid w:val="00A73A9F"/>
    <w:rsid w:val="00A74B4A"/>
    <w:rsid w:val="00A75CF9"/>
    <w:rsid w:val="00A77714"/>
    <w:rsid w:val="00A809E1"/>
    <w:rsid w:val="00A80A3E"/>
    <w:rsid w:val="00A80C65"/>
    <w:rsid w:val="00A81757"/>
    <w:rsid w:val="00A853F5"/>
    <w:rsid w:val="00A87C02"/>
    <w:rsid w:val="00A923EE"/>
    <w:rsid w:val="00A92F34"/>
    <w:rsid w:val="00A9542C"/>
    <w:rsid w:val="00A96334"/>
    <w:rsid w:val="00A9765C"/>
    <w:rsid w:val="00A97D54"/>
    <w:rsid w:val="00AA1BE8"/>
    <w:rsid w:val="00AA1FA5"/>
    <w:rsid w:val="00AA2FAB"/>
    <w:rsid w:val="00AA4DC1"/>
    <w:rsid w:val="00AA5A9C"/>
    <w:rsid w:val="00AA7709"/>
    <w:rsid w:val="00AA7855"/>
    <w:rsid w:val="00AB199B"/>
    <w:rsid w:val="00AB571D"/>
    <w:rsid w:val="00AB5A04"/>
    <w:rsid w:val="00AB68A8"/>
    <w:rsid w:val="00AB6D1E"/>
    <w:rsid w:val="00AC017B"/>
    <w:rsid w:val="00AC07DE"/>
    <w:rsid w:val="00AC2BFC"/>
    <w:rsid w:val="00AC6D60"/>
    <w:rsid w:val="00AD07F8"/>
    <w:rsid w:val="00AD1B30"/>
    <w:rsid w:val="00AD5A01"/>
    <w:rsid w:val="00AD70C8"/>
    <w:rsid w:val="00AD7371"/>
    <w:rsid w:val="00AE0377"/>
    <w:rsid w:val="00AE0565"/>
    <w:rsid w:val="00AE15E0"/>
    <w:rsid w:val="00AE1FB4"/>
    <w:rsid w:val="00AE2131"/>
    <w:rsid w:val="00AE2950"/>
    <w:rsid w:val="00AE343D"/>
    <w:rsid w:val="00AE48A8"/>
    <w:rsid w:val="00AE6373"/>
    <w:rsid w:val="00AF0DF7"/>
    <w:rsid w:val="00AF12AA"/>
    <w:rsid w:val="00AF16A4"/>
    <w:rsid w:val="00AF4315"/>
    <w:rsid w:val="00AF5A82"/>
    <w:rsid w:val="00AF65EC"/>
    <w:rsid w:val="00AF700C"/>
    <w:rsid w:val="00AF7020"/>
    <w:rsid w:val="00AF7529"/>
    <w:rsid w:val="00AF7CC5"/>
    <w:rsid w:val="00B007B5"/>
    <w:rsid w:val="00B00C4F"/>
    <w:rsid w:val="00B00E07"/>
    <w:rsid w:val="00B01382"/>
    <w:rsid w:val="00B02F03"/>
    <w:rsid w:val="00B059C2"/>
    <w:rsid w:val="00B11487"/>
    <w:rsid w:val="00B12184"/>
    <w:rsid w:val="00B12430"/>
    <w:rsid w:val="00B12986"/>
    <w:rsid w:val="00B1302D"/>
    <w:rsid w:val="00B13650"/>
    <w:rsid w:val="00B1473D"/>
    <w:rsid w:val="00B1487D"/>
    <w:rsid w:val="00B150A0"/>
    <w:rsid w:val="00B15497"/>
    <w:rsid w:val="00B1596E"/>
    <w:rsid w:val="00B20232"/>
    <w:rsid w:val="00B20653"/>
    <w:rsid w:val="00B20787"/>
    <w:rsid w:val="00B20ADE"/>
    <w:rsid w:val="00B20C7F"/>
    <w:rsid w:val="00B21DB0"/>
    <w:rsid w:val="00B2328E"/>
    <w:rsid w:val="00B244C6"/>
    <w:rsid w:val="00B25CC2"/>
    <w:rsid w:val="00B26AB9"/>
    <w:rsid w:val="00B3109F"/>
    <w:rsid w:val="00B31882"/>
    <w:rsid w:val="00B32EBF"/>
    <w:rsid w:val="00B33013"/>
    <w:rsid w:val="00B33F22"/>
    <w:rsid w:val="00B36D8A"/>
    <w:rsid w:val="00B40F11"/>
    <w:rsid w:val="00B4575C"/>
    <w:rsid w:val="00B45819"/>
    <w:rsid w:val="00B45987"/>
    <w:rsid w:val="00B45CFC"/>
    <w:rsid w:val="00B46837"/>
    <w:rsid w:val="00B46E0F"/>
    <w:rsid w:val="00B5125D"/>
    <w:rsid w:val="00B53D4D"/>
    <w:rsid w:val="00B54312"/>
    <w:rsid w:val="00B55689"/>
    <w:rsid w:val="00B56333"/>
    <w:rsid w:val="00B56CF8"/>
    <w:rsid w:val="00B579EC"/>
    <w:rsid w:val="00B605C4"/>
    <w:rsid w:val="00B60665"/>
    <w:rsid w:val="00B620DD"/>
    <w:rsid w:val="00B62767"/>
    <w:rsid w:val="00B64B8F"/>
    <w:rsid w:val="00B658A9"/>
    <w:rsid w:val="00B70A90"/>
    <w:rsid w:val="00B71E97"/>
    <w:rsid w:val="00B7307D"/>
    <w:rsid w:val="00B73834"/>
    <w:rsid w:val="00B7584C"/>
    <w:rsid w:val="00B77F51"/>
    <w:rsid w:val="00B80331"/>
    <w:rsid w:val="00B80C0C"/>
    <w:rsid w:val="00B8415E"/>
    <w:rsid w:val="00B8599C"/>
    <w:rsid w:val="00B85ADA"/>
    <w:rsid w:val="00B863DF"/>
    <w:rsid w:val="00B87833"/>
    <w:rsid w:val="00B9121B"/>
    <w:rsid w:val="00B935B0"/>
    <w:rsid w:val="00B9657F"/>
    <w:rsid w:val="00BA0DD2"/>
    <w:rsid w:val="00BA3923"/>
    <w:rsid w:val="00BA39DB"/>
    <w:rsid w:val="00BA4DC1"/>
    <w:rsid w:val="00BA5C31"/>
    <w:rsid w:val="00BA69CB"/>
    <w:rsid w:val="00BA79D2"/>
    <w:rsid w:val="00BB1999"/>
    <w:rsid w:val="00BB2F47"/>
    <w:rsid w:val="00BB5F36"/>
    <w:rsid w:val="00BC30F0"/>
    <w:rsid w:val="00BC42B9"/>
    <w:rsid w:val="00BC4C15"/>
    <w:rsid w:val="00BC5093"/>
    <w:rsid w:val="00BC545B"/>
    <w:rsid w:val="00BC5C9B"/>
    <w:rsid w:val="00BC6DA1"/>
    <w:rsid w:val="00BC78F6"/>
    <w:rsid w:val="00BD0523"/>
    <w:rsid w:val="00BD0FFC"/>
    <w:rsid w:val="00BD317E"/>
    <w:rsid w:val="00BD3D55"/>
    <w:rsid w:val="00BD6D30"/>
    <w:rsid w:val="00BE0032"/>
    <w:rsid w:val="00BE0418"/>
    <w:rsid w:val="00BE2390"/>
    <w:rsid w:val="00BE3F4A"/>
    <w:rsid w:val="00BE4393"/>
    <w:rsid w:val="00BE65FF"/>
    <w:rsid w:val="00BE6965"/>
    <w:rsid w:val="00BE716A"/>
    <w:rsid w:val="00BE72AB"/>
    <w:rsid w:val="00BF0309"/>
    <w:rsid w:val="00BF0650"/>
    <w:rsid w:val="00BF0822"/>
    <w:rsid w:val="00BF117C"/>
    <w:rsid w:val="00BF204F"/>
    <w:rsid w:val="00BF35B2"/>
    <w:rsid w:val="00BF5489"/>
    <w:rsid w:val="00BF592F"/>
    <w:rsid w:val="00BF65DD"/>
    <w:rsid w:val="00BF739D"/>
    <w:rsid w:val="00BF7C1F"/>
    <w:rsid w:val="00C01A74"/>
    <w:rsid w:val="00C023BF"/>
    <w:rsid w:val="00C04D07"/>
    <w:rsid w:val="00C11EC6"/>
    <w:rsid w:val="00C1469D"/>
    <w:rsid w:val="00C15E0E"/>
    <w:rsid w:val="00C20A2D"/>
    <w:rsid w:val="00C21282"/>
    <w:rsid w:val="00C22A84"/>
    <w:rsid w:val="00C23A0D"/>
    <w:rsid w:val="00C23DA0"/>
    <w:rsid w:val="00C2445F"/>
    <w:rsid w:val="00C24616"/>
    <w:rsid w:val="00C256BE"/>
    <w:rsid w:val="00C2765D"/>
    <w:rsid w:val="00C30954"/>
    <w:rsid w:val="00C31F22"/>
    <w:rsid w:val="00C337D6"/>
    <w:rsid w:val="00C36564"/>
    <w:rsid w:val="00C37163"/>
    <w:rsid w:val="00C37EB4"/>
    <w:rsid w:val="00C416AA"/>
    <w:rsid w:val="00C43DEB"/>
    <w:rsid w:val="00C458A2"/>
    <w:rsid w:val="00C458C4"/>
    <w:rsid w:val="00C45A52"/>
    <w:rsid w:val="00C466EA"/>
    <w:rsid w:val="00C46C54"/>
    <w:rsid w:val="00C51A7A"/>
    <w:rsid w:val="00C520B8"/>
    <w:rsid w:val="00C529F7"/>
    <w:rsid w:val="00C557EE"/>
    <w:rsid w:val="00C5657F"/>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6A2"/>
    <w:rsid w:val="00C72737"/>
    <w:rsid w:val="00C72DAD"/>
    <w:rsid w:val="00C73ECB"/>
    <w:rsid w:val="00C75065"/>
    <w:rsid w:val="00C7601F"/>
    <w:rsid w:val="00C7602A"/>
    <w:rsid w:val="00C77C13"/>
    <w:rsid w:val="00C83E9E"/>
    <w:rsid w:val="00C85CB3"/>
    <w:rsid w:val="00C87811"/>
    <w:rsid w:val="00C91CCF"/>
    <w:rsid w:val="00C92CDF"/>
    <w:rsid w:val="00C9314B"/>
    <w:rsid w:val="00C959F8"/>
    <w:rsid w:val="00C9674D"/>
    <w:rsid w:val="00CA1213"/>
    <w:rsid w:val="00CA12C1"/>
    <w:rsid w:val="00CA2ECA"/>
    <w:rsid w:val="00CA4BB4"/>
    <w:rsid w:val="00CA4DD5"/>
    <w:rsid w:val="00CA6CE9"/>
    <w:rsid w:val="00CB067B"/>
    <w:rsid w:val="00CB0CAB"/>
    <w:rsid w:val="00CB0D47"/>
    <w:rsid w:val="00CB20C7"/>
    <w:rsid w:val="00CB2F29"/>
    <w:rsid w:val="00CB6B6A"/>
    <w:rsid w:val="00CB7739"/>
    <w:rsid w:val="00CC2BD0"/>
    <w:rsid w:val="00CC3974"/>
    <w:rsid w:val="00CC5962"/>
    <w:rsid w:val="00CC5AB6"/>
    <w:rsid w:val="00CC600C"/>
    <w:rsid w:val="00CD0508"/>
    <w:rsid w:val="00CD0C29"/>
    <w:rsid w:val="00CD10E5"/>
    <w:rsid w:val="00CD19D9"/>
    <w:rsid w:val="00CD1F33"/>
    <w:rsid w:val="00CD232A"/>
    <w:rsid w:val="00CD42BA"/>
    <w:rsid w:val="00CD485D"/>
    <w:rsid w:val="00CD511C"/>
    <w:rsid w:val="00CE061B"/>
    <w:rsid w:val="00CE1B2D"/>
    <w:rsid w:val="00CE2306"/>
    <w:rsid w:val="00CE3245"/>
    <w:rsid w:val="00CE32C0"/>
    <w:rsid w:val="00CE3876"/>
    <w:rsid w:val="00CE4D56"/>
    <w:rsid w:val="00CE707C"/>
    <w:rsid w:val="00CF1F6F"/>
    <w:rsid w:val="00CF2AC6"/>
    <w:rsid w:val="00CF31B0"/>
    <w:rsid w:val="00CF3D6D"/>
    <w:rsid w:val="00CF5DE2"/>
    <w:rsid w:val="00CF64FE"/>
    <w:rsid w:val="00CF7FB1"/>
    <w:rsid w:val="00D02159"/>
    <w:rsid w:val="00D041BF"/>
    <w:rsid w:val="00D054A8"/>
    <w:rsid w:val="00D07345"/>
    <w:rsid w:val="00D1108B"/>
    <w:rsid w:val="00D11373"/>
    <w:rsid w:val="00D11CB4"/>
    <w:rsid w:val="00D11EC0"/>
    <w:rsid w:val="00D13852"/>
    <w:rsid w:val="00D13EA8"/>
    <w:rsid w:val="00D1449F"/>
    <w:rsid w:val="00D14861"/>
    <w:rsid w:val="00D1586F"/>
    <w:rsid w:val="00D166CF"/>
    <w:rsid w:val="00D17162"/>
    <w:rsid w:val="00D2157C"/>
    <w:rsid w:val="00D21A6D"/>
    <w:rsid w:val="00D21E22"/>
    <w:rsid w:val="00D22F9C"/>
    <w:rsid w:val="00D23738"/>
    <w:rsid w:val="00D243B7"/>
    <w:rsid w:val="00D2536F"/>
    <w:rsid w:val="00D26794"/>
    <w:rsid w:val="00D27F81"/>
    <w:rsid w:val="00D329B3"/>
    <w:rsid w:val="00D33433"/>
    <w:rsid w:val="00D33CC5"/>
    <w:rsid w:val="00D33F3C"/>
    <w:rsid w:val="00D347F2"/>
    <w:rsid w:val="00D426F0"/>
    <w:rsid w:val="00D428EC"/>
    <w:rsid w:val="00D441ED"/>
    <w:rsid w:val="00D454BB"/>
    <w:rsid w:val="00D45EAE"/>
    <w:rsid w:val="00D47800"/>
    <w:rsid w:val="00D47B8D"/>
    <w:rsid w:val="00D517AE"/>
    <w:rsid w:val="00D51EA8"/>
    <w:rsid w:val="00D52226"/>
    <w:rsid w:val="00D52D5B"/>
    <w:rsid w:val="00D52DC6"/>
    <w:rsid w:val="00D54364"/>
    <w:rsid w:val="00D554CF"/>
    <w:rsid w:val="00D55CD0"/>
    <w:rsid w:val="00D56234"/>
    <w:rsid w:val="00D62262"/>
    <w:rsid w:val="00D66B7D"/>
    <w:rsid w:val="00D707F7"/>
    <w:rsid w:val="00D708CF"/>
    <w:rsid w:val="00D71E9C"/>
    <w:rsid w:val="00D72434"/>
    <w:rsid w:val="00D731D2"/>
    <w:rsid w:val="00D73B45"/>
    <w:rsid w:val="00D802C2"/>
    <w:rsid w:val="00D80E40"/>
    <w:rsid w:val="00D83485"/>
    <w:rsid w:val="00D84A5C"/>
    <w:rsid w:val="00D86B2B"/>
    <w:rsid w:val="00D875D1"/>
    <w:rsid w:val="00D87F06"/>
    <w:rsid w:val="00D911B2"/>
    <w:rsid w:val="00D91E59"/>
    <w:rsid w:val="00D965D5"/>
    <w:rsid w:val="00D96602"/>
    <w:rsid w:val="00D97FE5"/>
    <w:rsid w:val="00DA1769"/>
    <w:rsid w:val="00DA2FBA"/>
    <w:rsid w:val="00DA4341"/>
    <w:rsid w:val="00DA465B"/>
    <w:rsid w:val="00DA4F63"/>
    <w:rsid w:val="00DA6C99"/>
    <w:rsid w:val="00DA707D"/>
    <w:rsid w:val="00DA7AF5"/>
    <w:rsid w:val="00DB017B"/>
    <w:rsid w:val="00DB0213"/>
    <w:rsid w:val="00DB378E"/>
    <w:rsid w:val="00DB3F8F"/>
    <w:rsid w:val="00DB6353"/>
    <w:rsid w:val="00DB680A"/>
    <w:rsid w:val="00DC06F8"/>
    <w:rsid w:val="00DC1392"/>
    <w:rsid w:val="00DC1D24"/>
    <w:rsid w:val="00DC20B6"/>
    <w:rsid w:val="00DC2EEA"/>
    <w:rsid w:val="00DC2F9F"/>
    <w:rsid w:val="00DC36AC"/>
    <w:rsid w:val="00DC5359"/>
    <w:rsid w:val="00DC63C6"/>
    <w:rsid w:val="00DC671C"/>
    <w:rsid w:val="00DC67B5"/>
    <w:rsid w:val="00DD0426"/>
    <w:rsid w:val="00DD0F54"/>
    <w:rsid w:val="00DD1999"/>
    <w:rsid w:val="00DD2265"/>
    <w:rsid w:val="00DD2721"/>
    <w:rsid w:val="00DD3936"/>
    <w:rsid w:val="00DD7A9F"/>
    <w:rsid w:val="00DE4B23"/>
    <w:rsid w:val="00DE5BCE"/>
    <w:rsid w:val="00DF31E2"/>
    <w:rsid w:val="00DF389A"/>
    <w:rsid w:val="00DF42B8"/>
    <w:rsid w:val="00DF563E"/>
    <w:rsid w:val="00DF5A36"/>
    <w:rsid w:val="00DF7764"/>
    <w:rsid w:val="00E0084D"/>
    <w:rsid w:val="00E01BE9"/>
    <w:rsid w:val="00E01CDE"/>
    <w:rsid w:val="00E03CCC"/>
    <w:rsid w:val="00E03E1D"/>
    <w:rsid w:val="00E06F82"/>
    <w:rsid w:val="00E07CDE"/>
    <w:rsid w:val="00E1063F"/>
    <w:rsid w:val="00E107DF"/>
    <w:rsid w:val="00E13608"/>
    <w:rsid w:val="00E16C03"/>
    <w:rsid w:val="00E173DA"/>
    <w:rsid w:val="00E17E36"/>
    <w:rsid w:val="00E2185D"/>
    <w:rsid w:val="00E240F7"/>
    <w:rsid w:val="00E25E37"/>
    <w:rsid w:val="00E264C8"/>
    <w:rsid w:val="00E27815"/>
    <w:rsid w:val="00E303D4"/>
    <w:rsid w:val="00E30FB6"/>
    <w:rsid w:val="00E327E1"/>
    <w:rsid w:val="00E343D3"/>
    <w:rsid w:val="00E349A9"/>
    <w:rsid w:val="00E35AAF"/>
    <w:rsid w:val="00E37DA1"/>
    <w:rsid w:val="00E41921"/>
    <w:rsid w:val="00E4239A"/>
    <w:rsid w:val="00E42FBC"/>
    <w:rsid w:val="00E447CF"/>
    <w:rsid w:val="00E44DA7"/>
    <w:rsid w:val="00E463B2"/>
    <w:rsid w:val="00E46EA4"/>
    <w:rsid w:val="00E473A2"/>
    <w:rsid w:val="00E47D8B"/>
    <w:rsid w:val="00E47DD5"/>
    <w:rsid w:val="00E519CE"/>
    <w:rsid w:val="00E51BFD"/>
    <w:rsid w:val="00E52093"/>
    <w:rsid w:val="00E536F0"/>
    <w:rsid w:val="00E53D2E"/>
    <w:rsid w:val="00E56B18"/>
    <w:rsid w:val="00E60D48"/>
    <w:rsid w:val="00E631B4"/>
    <w:rsid w:val="00E63B58"/>
    <w:rsid w:val="00E661F8"/>
    <w:rsid w:val="00E66A27"/>
    <w:rsid w:val="00E66D1F"/>
    <w:rsid w:val="00E6708D"/>
    <w:rsid w:val="00E67620"/>
    <w:rsid w:val="00E73632"/>
    <w:rsid w:val="00E73C73"/>
    <w:rsid w:val="00E7474A"/>
    <w:rsid w:val="00E75E2F"/>
    <w:rsid w:val="00E76FE5"/>
    <w:rsid w:val="00E7725B"/>
    <w:rsid w:val="00E8453C"/>
    <w:rsid w:val="00E86ED5"/>
    <w:rsid w:val="00E87672"/>
    <w:rsid w:val="00E87BC1"/>
    <w:rsid w:val="00E908D5"/>
    <w:rsid w:val="00E914AF"/>
    <w:rsid w:val="00E9156B"/>
    <w:rsid w:val="00E91797"/>
    <w:rsid w:val="00E92C24"/>
    <w:rsid w:val="00E939F1"/>
    <w:rsid w:val="00E964EA"/>
    <w:rsid w:val="00E97084"/>
    <w:rsid w:val="00E9735A"/>
    <w:rsid w:val="00EA0CF8"/>
    <w:rsid w:val="00EA3639"/>
    <w:rsid w:val="00EA3913"/>
    <w:rsid w:val="00EA4DCA"/>
    <w:rsid w:val="00EA5A64"/>
    <w:rsid w:val="00EA5BB4"/>
    <w:rsid w:val="00EA7D37"/>
    <w:rsid w:val="00EB0DD5"/>
    <w:rsid w:val="00EB0E32"/>
    <w:rsid w:val="00EB160B"/>
    <w:rsid w:val="00EB1CB2"/>
    <w:rsid w:val="00EB297D"/>
    <w:rsid w:val="00EB2C43"/>
    <w:rsid w:val="00EB3235"/>
    <w:rsid w:val="00EB4591"/>
    <w:rsid w:val="00EB681D"/>
    <w:rsid w:val="00EB6CFB"/>
    <w:rsid w:val="00EC0172"/>
    <w:rsid w:val="00EC01DC"/>
    <w:rsid w:val="00EC0446"/>
    <w:rsid w:val="00EC04E3"/>
    <w:rsid w:val="00EC4FEC"/>
    <w:rsid w:val="00EC57DC"/>
    <w:rsid w:val="00ED1DD8"/>
    <w:rsid w:val="00ED2D72"/>
    <w:rsid w:val="00ED2EC4"/>
    <w:rsid w:val="00ED35F4"/>
    <w:rsid w:val="00ED3963"/>
    <w:rsid w:val="00ED3A56"/>
    <w:rsid w:val="00ED71D0"/>
    <w:rsid w:val="00EE0F72"/>
    <w:rsid w:val="00EE14D0"/>
    <w:rsid w:val="00EE1F5D"/>
    <w:rsid w:val="00EE2861"/>
    <w:rsid w:val="00EE44A3"/>
    <w:rsid w:val="00EE506C"/>
    <w:rsid w:val="00EE65E6"/>
    <w:rsid w:val="00EE66D1"/>
    <w:rsid w:val="00EE6B20"/>
    <w:rsid w:val="00EE6FDE"/>
    <w:rsid w:val="00EF36F5"/>
    <w:rsid w:val="00EF3C0E"/>
    <w:rsid w:val="00EF4749"/>
    <w:rsid w:val="00EF5D4E"/>
    <w:rsid w:val="00EF62C3"/>
    <w:rsid w:val="00F003D2"/>
    <w:rsid w:val="00F020A5"/>
    <w:rsid w:val="00F02D22"/>
    <w:rsid w:val="00F05B9B"/>
    <w:rsid w:val="00F05E66"/>
    <w:rsid w:val="00F07E2C"/>
    <w:rsid w:val="00F11FF5"/>
    <w:rsid w:val="00F12E9C"/>
    <w:rsid w:val="00F1433A"/>
    <w:rsid w:val="00F14388"/>
    <w:rsid w:val="00F153FF"/>
    <w:rsid w:val="00F15818"/>
    <w:rsid w:val="00F234D9"/>
    <w:rsid w:val="00F2498F"/>
    <w:rsid w:val="00F249CA"/>
    <w:rsid w:val="00F2526D"/>
    <w:rsid w:val="00F3099E"/>
    <w:rsid w:val="00F31064"/>
    <w:rsid w:val="00F32629"/>
    <w:rsid w:val="00F33532"/>
    <w:rsid w:val="00F33608"/>
    <w:rsid w:val="00F344C5"/>
    <w:rsid w:val="00F34579"/>
    <w:rsid w:val="00F36D56"/>
    <w:rsid w:val="00F41EA4"/>
    <w:rsid w:val="00F500E4"/>
    <w:rsid w:val="00F53A6F"/>
    <w:rsid w:val="00F550F3"/>
    <w:rsid w:val="00F55261"/>
    <w:rsid w:val="00F56050"/>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878E9"/>
    <w:rsid w:val="00F90BD7"/>
    <w:rsid w:val="00F919A7"/>
    <w:rsid w:val="00F91A83"/>
    <w:rsid w:val="00F91ABB"/>
    <w:rsid w:val="00F91AD7"/>
    <w:rsid w:val="00F924C3"/>
    <w:rsid w:val="00F93088"/>
    <w:rsid w:val="00F97DC0"/>
    <w:rsid w:val="00FA0B2F"/>
    <w:rsid w:val="00FA1481"/>
    <w:rsid w:val="00FA5145"/>
    <w:rsid w:val="00FB01E5"/>
    <w:rsid w:val="00FB1246"/>
    <w:rsid w:val="00FB2A67"/>
    <w:rsid w:val="00FB37BE"/>
    <w:rsid w:val="00FB484A"/>
    <w:rsid w:val="00FB5B45"/>
    <w:rsid w:val="00FB7E10"/>
    <w:rsid w:val="00FC09F8"/>
    <w:rsid w:val="00FC0D85"/>
    <w:rsid w:val="00FC3E3A"/>
    <w:rsid w:val="00FC5C61"/>
    <w:rsid w:val="00FD2AE4"/>
    <w:rsid w:val="00FD2BFA"/>
    <w:rsid w:val="00FD5973"/>
    <w:rsid w:val="00FD6217"/>
    <w:rsid w:val="00FD675C"/>
    <w:rsid w:val="00FD7052"/>
    <w:rsid w:val="00FD70E4"/>
    <w:rsid w:val="00FE0813"/>
    <w:rsid w:val="00FE1A1E"/>
    <w:rsid w:val="00FE27FD"/>
    <w:rsid w:val="00FE2E68"/>
    <w:rsid w:val="00FE4015"/>
    <w:rsid w:val="00FE596E"/>
    <w:rsid w:val="00FF2CDA"/>
    <w:rsid w:val="00FF3D00"/>
    <w:rsid w:val="00FF5C9B"/>
    <w:rsid w:val="00FF6DC3"/>
    <w:rsid w:val="00FF727E"/>
    <w:rsid w:val="2D611E72"/>
    <w:rsid w:val="389011FB"/>
    <w:rsid w:val="3FC5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3"/>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30"/>
    <w:semiHidden/>
    <w:unhideWhenUsed/>
    <w:qFormat/>
    <w:uiPriority w:val="99"/>
    <w:rPr>
      <w:rFonts w:ascii="宋体" w:eastAsia="宋体"/>
      <w:sz w:val="20"/>
      <w:szCs w:val="18"/>
    </w:rPr>
  </w:style>
  <w:style w:type="paragraph" w:styleId="8">
    <w:name w:val="annotation text"/>
    <w:basedOn w:val="1"/>
    <w:link w:val="37"/>
    <w:semiHidden/>
    <w:unhideWhenUsed/>
    <w:uiPriority w:val="99"/>
    <w:pPr>
      <w:jc w:val="left"/>
    </w:pPr>
  </w:style>
  <w:style w:type="paragraph" w:styleId="9">
    <w:name w:val="Salutation"/>
    <w:basedOn w:val="1"/>
    <w:next w:val="1"/>
    <w:link w:val="59"/>
    <w:semiHidden/>
    <w:unhideWhenUsed/>
    <w:uiPriority w:val="99"/>
  </w:style>
  <w:style w:type="paragraph" w:styleId="10">
    <w:name w:val="Body Text"/>
    <w:basedOn w:val="1"/>
    <w:link w:val="46"/>
    <w:semiHidden/>
    <w:unhideWhenUsed/>
    <w:uiPriority w:val="99"/>
    <w:pPr>
      <w:spacing w:after="120"/>
    </w:pPr>
  </w:style>
  <w:style w:type="paragraph" w:styleId="11">
    <w:name w:val="Plain Text"/>
    <w:basedOn w:val="1"/>
    <w:next w:val="9"/>
    <w:link w:val="57"/>
    <w:qFormat/>
    <w:uiPriority w:val="5"/>
    <w:pPr>
      <w:spacing w:line="360" w:lineRule="exact"/>
    </w:pPr>
    <w:rPr>
      <w:rFonts w:ascii="宋体" w:hAnsi="Courier New" w:eastAsia="宋体" w:cs="Times New Roman"/>
      <w:szCs w:val="20"/>
    </w:rPr>
  </w:style>
  <w:style w:type="paragraph" w:styleId="12">
    <w:name w:val="Balloon Text"/>
    <w:basedOn w:val="1"/>
    <w:link w:val="29"/>
    <w:unhideWhenUsed/>
    <w:uiPriority w:val="99"/>
    <w:rPr>
      <w:sz w:val="18"/>
      <w:szCs w:val="18"/>
    </w:rPr>
  </w:style>
  <w:style w:type="paragraph" w:styleId="13">
    <w:name w:val="footer"/>
    <w:basedOn w:val="1"/>
    <w:link w:val="32"/>
    <w:semiHidden/>
    <w:unhideWhenUsed/>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Subtitle"/>
    <w:basedOn w:val="1"/>
    <w:next w:val="1"/>
    <w:link w:val="67"/>
    <w:qFormat/>
    <w:uiPriority w:val="11"/>
    <w:pPr>
      <w:jc w:val="center"/>
    </w:pPr>
    <w:rPr>
      <w:rFonts w:ascii="Times New Roman" w:hAnsi="Times New Roman" w:eastAsia="宋体" w:cstheme="majorBidi"/>
      <w:b/>
      <w:bCs/>
      <w:kern w:val="28"/>
      <w:szCs w:val="32"/>
    </w:rPr>
  </w:style>
  <w:style w:type="paragraph" w:styleId="17">
    <w:name w:val="Body Text Indent 3"/>
    <w:basedOn w:val="1"/>
    <w:link w:val="34"/>
    <w:qFormat/>
    <w:uiPriority w:val="0"/>
    <w:pPr>
      <w:spacing w:after="120"/>
      <w:ind w:left="420" w:leftChars="200"/>
    </w:pPr>
    <w:rPr>
      <w:rFonts w:ascii="Times New Roman" w:hAnsi="Times New Roman" w:eastAsia="宋体" w:cs="Times New Roman"/>
      <w:sz w:val="16"/>
      <w:szCs w:val="16"/>
    </w:rPr>
  </w:style>
  <w:style w:type="paragraph" w:styleId="1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index 1"/>
    <w:basedOn w:val="1"/>
    <w:next w:val="1"/>
    <w:qFormat/>
    <w:uiPriority w:val="0"/>
    <w:pPr>
      <w:ind w:left="560" w:hanging="560"/>
    </w:pPr>
    <w:rPr>
      <w:rFonts w:ascii="Times New Roman" w:hAnsi="宋体" w:eastAsia="宋体" w:cs="Times New Roman"/>
      <w:spacing w:val="10"/>
      <w:szCs w:val="24"/>
    </w:rPr>
  </w:style>
  <w:style w:type="paragraph" w:styleId="20">
    <w:name w:val="Title"/>
    <w:basedOn w:val="1"/>
    <w:next w:val="1"/>
    <w:qFormat/>
    <w:uiPriority w:val="0"/>
    <w:pPr>
      <w:spacing w:before="300" w:after="300" w:line="520" w:lineRule="exact"/>
      <w:jc w:val="center"/>
      <w:outlineLvl w:val="0"/>
    </w:pPr>
    <w:rPr>
      <w:rFonts w:eastAsia="黑体"/>
      <w:b/>
      <w:bCs/>
      <w:sz w:val="36"/>
      <w:szCs w:val="32"/>
    </w:rPr>
  </w:style>
  <w:style w:type="paragraph" w:styleId="21">
    <w:name w:val="annotation subject"/>
    <w:basedOn w:val="8"/>
    <w:next w:val="8"/>
    <w:link w:val="38"/>
    <w:semiHidden/>
    <w:unhideWhenUsed/>
    <w:uiPriority w:val="99"/>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uiPriority w:val="0"/>
  </w:style>
  <w:style w:type="character" w:styleId="27">
    <w:name w:val="Hyperlink"/>
    <w:basedOn w:val="24"/>
    <w:unhideWhenUsed/>
    <w:qFormat/>
    <w:uiPriority w:val="99"/>
    <w:rPr>
      <w:color w:val="0000FF"/>
      <w:u w:val="single"/>
    </w:rPr>
  </w:style>
  <w:style w:type="character" w:styleId="28">
    <w:name w:val="annotation reference"/>
    <w:basedOn w:val="24"/>
    <w:semiHidden/>
    <w:unhideWhenUsed/>
    <w:uiPriority w:val="99"/>
    <w:rPr>
      <w:sz w:val="21"/>
      <w:szCs w:val="21"/>
    </w:rPr>
  </w:style>
  <w:style w:type="character" w:customStyle="1" w:styleId="29">
    <w:name w:val="批注框文本 Char"/>
    <w:basedOn w:val="24"/>
    <w:link w:val="12"/>
    <w:uiPriority w:val="99"/>
    <w:rPr>
      <w:sz w:val="18"/>
      <w:szCs w:val="18"/>
    </w:rPr>
  </w:style>
  <w:style w:type="character" w:customStyle="1" w:styleId="30">
    <w:name w:val="文档结构图 Char"/>
    <w:basedOn w:val="24"/>
    <w:link w:val="7"/>
    <w:semiHidden/>
    <w:uiPriority w:val="99"/>
    <w:rPr>
      <w:rFonts w:ascii="宋体" w:eastAsia="宋体"/>
      <w:sz w:val="20"/>
      <w:szCs w:val="18"/>
    </w:rPr>
  </w:style>
  <w:style w:type="character" w:customStyle="1" w:styleId="31">
    <w:name w:val="页眉 Char"/>
    <w:basedOn w:val="24"/>
    <w:link w:val="14"/>
    <w:uiPriority w:val="0"/>
    <w:rPr>
      <w:sz w:val="18"/>
      <w:szCs w:val="18"/>
    </w:rPr>
  </w:style>
  <w:style w:type="character" w:customStyle="1" w:styleId="32">
    <w:name w:val="页脚 Char"/>
    <w:basedOn w:val="24"/>
    <w:link w:val="13"/>
    <w:semiHidden/>
    <w:uiPriority w:val="99"/>
    <w:rPr>
      <w:sz w:val="18"/>
      <w:szCs w:val="18"/>
    </w:rPr>
  </w:style>
  <w:style w:type="paragraph" w:customStyle="1" w:styleId="33">
    <w:name w:val="表体"/>
    <w:basedOn w:val="1"/>
    <w:link w:val="45"/>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4">
    <w:name w:val="正文文本缩进 3 Char"/>
    <w:basedOn w:val="24"/>
    <w:link w:val="17"/>
    <w:uiPriority w:val="0"/>
    <w:rPr>
      <w:rFonts w:ascii="Times New Roman" w:hAnsi="Times New Roman" w:eastAsia="宋体" w:cs="Times New Roman"/>
      <w:sz w:val="16"/>
      <w:szCs w:val="16"/>
    </w:rPr>
  </w:style>
  <w:style w:type="paragraph" w:customStyle="1" w:styleId="35">
    <w:name w:val="表头"/>
    <w:basedOn w:val="1"/>
    <w:link w:val="36"/>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6">
    <w:name w:val="表头 Char Char"/>
    <w:link w:val="35"/>
    <w:uiPriority w:val="0"/>
    <w:rPr>
      <w:rFonts w:ascii="Times New Roman" w:hAnsi="宋体" w:eastAsia="FangSong_GB2312" w:cs="Times New Roman"/>
      <w:b/>
      <w:kern w:val="0"/>
      <w:sz w:val="28"/>
      <w:szCs w:val="28"/>
    </w:rPr>
  </w:style>
  <w:style w:type="character" w:customStyle="1" w:styleId="37">
    <w:name w:val="批注文字 Char"/>
    <w:basedOn w:val="24"/>
    <w:link w:val="8"/>
    <w:semiHidden/>
    <w:uiPriority w:val="99"/>
  </w:style>
  <w:style w:type="character" w:customStyle="1" w:styleId="38">
    <w:name w:val="批注主题 Char"/>
    <w:basedOn w:val="37"/>
    <w:link w:val="21"/>
    <w:semiHidden/>
    <w:uiPriority w:val="99"/>
    <w:rPr>
      <w:b/>
      <w:bCs/>
    </w:rPr>
  </w:style>
  <w:style w:type="character" w:customStyle="1" w:styleId="39">
    <w:name w:val="题注1 Char"/>
    <w:link w:val="40"/>
    <w:uiPriority w:val="0"/>
    <w:rPr>
      <w:rFonts w:cs="宋体"/>
      <w:b/>
      <w:bCs/>
      <w:spacing w:val="10"/>
      <w:szCs w:val="24"/>
    </w:rPr>
  </w:style>
  <w:style w:type="paragraph" w:customStyle="1" w:styleId="40">
    <w:name w:val="题注1"/>
    <w:basedOn w:val="1"/>
    <w:link w:val="39"/>
    <w:qFormat/>
    <w:uiPriority w:val="0"/>
    <w:pPr>
      <w:spacing w:beforeLines="20" w:afterLines="20"/>
      <w:jc w:val="center"/>
    </w:pPr>
    <w:rPr>
      <w:rFonts w:cs="宋体"/>
      <w:b/>
      <w:bCs/>
      <w:spacing w:val="10"/>
      <w:szCs w:val="24"/>
    </w:rPr>
  </w:style>
  <w:style w:type="paragraph" w:customStyle="1" w:styleId="41">
    <w:name w:val="赵"/>
    <w:basedOn w:val="1"/>
    <w:link w:val="42"/>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2">
    <w:name w:val="赵 Char"/>
    <w:basedOn w:val="24"/>
    <w:link w:val="41"/>
    <w:qFormat/>
    <w:uiPriority w:val="0"/>
    <w:rPr>
      <w:rFonts w:ascii="Times New Roman" w:hAnsi="Times New Roman" w:eastAsia="宋体" w:cs="Times New Roman"/>
      <w:sz w:val="24"/>
      <w:szCs w:val="30"/>
    </w:rPr>
  </w:style>
  <w:style w:type="paragraph" w:customStyle="1" w:styleId="43">
    <w:name w:val="【表头】"/>
    <w:basedOn w:val="1"/>
    <w:link w:val="44"/>
    <w:qFormat/>
    <w:uiPriority w:val="0"/>
    <w:pPr>
      <w:jc w:val="center"/>
    </w:pPr>
    <w:rPr>
      <w:rFonts w:ascii="Times New Roman" w:hAnsi="Times New Roman" w:eastAsia="宋体" w:cs="Times New Roman"/>
      <w:b/>
      <w:szCs w:val="24"/>
    </w:rPr>
  </w:style>
  <w:style w:type="character" w:customStyle="1" w:styleId="44">
    <w:name w:val="【表头】 Char"/>
    <w:link w:val="43"/>
    <w:qFormat/>
    <w:uiPriority w:val="0"/>
    <w:rPr>
      <w:rFonts w:ascii="Times New Roman" w:hAnsi="Times New Roman" w:eastAsia="宋体" w:cs="Times New Roman"/>
      <w:b/>
      <w:szCs w:val="24"/>
    </w:rPr>
  </w:style>
  <w:style w:type="character" w:customStyle="1" w:styleId="45">
    <w:name w:val="表体 Char Char"/>
    <w:link w:val="33"/>
    <w:qFormat/>
    <w:locked/>
    <w:uiPriority w:val="0"/>
    <w:rPr>
      <w:rFonts w:ascii="Times New Roman" w:hAnsi="Times New Roman" w:eastAsia="宋体" w:cs="Times New Roman"/>
      <w:bCs/>
      <w:snapToGrid w:val="0"/>
      <w:color w:val="000000"/>
      <w:kern w:val="32"/>
      <w:szCs w:val="20"/>
      <w:lang w:val="zh-CN"/>
    </w:rPr>
  </w:style>
  <w:style w:type="character" w:customStyle="1" w:styleId="46">
    <w:name w:val="正文文本 Char"/>
    <w:basedOn w:val="24"/>
    <w:link w:val="10"/>
    <w:semiHidden/>
    <w:uiPriority w:val="99"/>
  </w:style>
  <w:style w:type="character" w:customStyle="1" w:styleId="47">
    <w:name w:val="标题 2 Char"/>
    <w:basedOn w:val="24"/>
    <w:link w:val="3"/>
    <w:uiPriority w:val="0"/>
    <w:rPr>
      <w:rFonts w:ascii="Times New Roman" w:hAnsi="Times New Roman" w:eastAsia="黑体" w:cs="Times New Roman"/>
      <w:color w:val="000000" w:themeColor="text1"/>
      <w:sz w:val="30"/>
      <w:szCs w:val="24"/>
    </w:rPr>
  </w:style>
  <w:style w:type="character" w:customStyle="1" w:styleId="48">
    <w:name w:val="表头 Char1"/>
    <w:basedOn w:val="24"/>
    <w:uiPriority w:val="0"/>
    <w:rPr>
      <w:rFonts w:ascii="Times New Roman" w:hAnsi="Times New Roman" w:eastAsia="宋体" w:cs="Times New Roman"/>
      <w:b/>
      <w:bCs/>
      <w:kern w:val="0"/>
      <w:szCs w:val="28"/>
    </w:rPr>
  </w:style>
  <w:style w:type="character" w:customStyle="1" w:styleId="49">
    <w:name w:val="标题 3 Char"/>
    <w:basedOn w:val="24"/>
    <w:link w:val="4"/>
    <w:semiHidden/>
    <w:uiPriority w:val="9"/>
    <w:rPr>
      <w:b/>
      <w:bCs/>
      <w:sz w:val="32"/>
      <w:szCs w:val="32"/>
    </w:rPr>
  </w:style>
  <w:style w:type="table" w:customStyle="1" w:styleId="50">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1">
    <w:name w:val="标题 8 Char"/>
    <w:basedOn w:val="24"/>
    <w:link w:val="5"/>
    <w:uiPriority w:val="9"/>
    <w:rPr>
      <w:rFonts w:asciiTheme="majorHAnsi" w:hAnsiTheme="majorHAnsi" w:eastAsiaTheme="majorEastAsia" w:cstheme="majorBidi"/>
      <w:sz w:val="24"/>
      <w:szCs w:val="24"/>
    </w:rPr>
  </w:style>
  <w:style w:type="paragraph" w:customStyle="1" w:styleId="52">
    <w:name w:val="表格正文"/>
    <w:basedOn w:val="1"/>
    <w:link w:val="68"/>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3">
    <w:name w:val="正文缩进 Char1"/>
    <w:link w:val="6"/>
    <w:uiPriority w:val="99"/>
    <w:rPr>
      <w:rFonts w:ascii="Calibri" w:hAnsi="Calibri" w:eastAsia="宋体" w:cs="Times New Roman"/>
      <w:sz w:val="28"/>
      <w:szCs w:val="20"/>
    </w:rPr>
  </w:style>
  <w:style w:type="paragraph" w:customStyle="1" w:styleId="54">
    <w:name w:val="样式1"/>
    <w:basedOn w:val="1"/>
    <w:link w:val="55"/>
    <w:qFormat/>
    <w:uiPriority w:val="0"/>
    <w:pPr>
      <w:spacing w:line="360" w:lineRule="auto"/>
      <w:ind w:firstLine="510"/>
    </w:pPr>
    <w:rPr>
      <w:rFonts w:ascii="Times New Roman" w:hAnsi="Times New Roman" w:eastAsia="宋体" w:cs="Times New Roman"/>
      <w:sz w:val="24"/>
      <w:szCs w:val="20"/>
    </w:rPr>
  </w:style>
  <w:style w:type="character" w:customStyle="1" w:styleId="55">
    <w:name w:val="样式1 Char"/>
    <w:link w:val="54"/>
    <w:locked/>
    <w:uiPriority w:val="0"/>
    <w:rPr>
      <w:rFonts w:ascii="Times New Roman" w:hAnsi="Times New Roman" w:eastAsia="宋体" w:cs="Times New Roman"/>
      <w:sz w:val="24"/>
      <w:szCs w:val="20"/>
    </w:rPr>
  </w:style>
  <w:style w:type="paragraph" w:customStyle="1" w:styleId="56">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7">
    <w:name w:val="纯文本 Char"/>
    <w:basedOn w:val="24"/>
    <w:link w:val="11"/>
    <w:uiPriority w:val="5"/>
    <w:rPr>
      <w:rFonts w:ascii="宋体" w:hAnsi="Courier New" w:eastAsia="宋体" w:cs="Times New Roman"/>
      <w:szCs w:val="20"/>
    </w:rPr>
  </w:style>
  <w:style w:type="character" w:customStyle="1" w:styleId="58">
    <w:name w:val="15"/>
    <w:uiPriority w:val="0"/>
    <w:rPr>
      <w:rFonts w:hint="default" w:ascii="Calibri" w:hAnsi="Calibri"/>
      <w:sz w:val="21"/>
      <w:szCs w:val="21"/>
    </w:rPr>
  </w:style>
  <w:style w:type="character" w:customStyle="1" w:styleId="59">
    <w:name w:val="称呼 Char"/>
    <w:basedOn w:val="24"/>
    <w:link w:val="9"/>
    <w:semiHidden/>
    <w:uiPriority w:val="99"/>
  </w:style>
  <w:style w:type="paragraph" w:customStyle="1" w:styleId="60">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1">
    <w:name w:val="正文1"/>
    <w:basedOn w:val="1"/>
    <w:uiPriority w:val="0"/>
    <w:pPr>
      <w:widowControl/>
    </w:pPr>
    <w:rPr>
      <w:rFonts w:ascii="Calibri" w:hAnsi="Calibri" w:eastAsia="宋体" w:cs="宋体"/>
    </w:rPr>
  </w:style>
  <w:style w:type="paragraph" w:customStyle="1" w:styleId="62">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3">
    <w:name w:val="表格文字 Char"/>
    <w:basedOn w:val="24"/>
    <w:link w:val="64"/>
    <w:uiPriority w:val="0"/>
    <w:rPr>
      <w:rFonts w:eastAsia="宋体"/>
      <w:kern w:val="24"/>
      <w:sz w:val="24"/>
    </w:rPr>
  </w:style>
  <w:style w:type="paragraph" w:customStyle="1" w:styleId="64">
    <w:name w:val="表格文字"/>
    <w:basedOn w:val="1"/>
    <w:link w:val="63"/>
    <w:qFormat/>
    <w:uiPriority w:val="0"/>
    <w:pPr>
      <w:adjustRightInd w:val="0"/>
      <w:spacing w:line="400" w:lineRule="atLeast"/>
      <w:jc w:val="center"/>
    </w:pPr>
    <w:rPr>
      <w:rFonts w:eastAsia="宋体"/>
      <w:kern w:val="24"/>
      <w:sz w:val="24"/>
    </w:rPr>
  </w:style>
  <w:style w:type="character" w:customStyle="1" w:styleId="65">
    <w:name w:val="表格 Char Char"/>
    <w:basedOn w:val="24"/>
    <w:uiPriority w:val="59"/>
    <w:rPr>
      <w:sz w:val="21"/>
      <w:szCs w:val="21"/>
      <w:lang w:bidi="ar-SA"/>
    </w:rPr>
  </w:style>
  <w:style w:type="paragraph" w:customStyle="1" w:styleId="66">
    <w:name w:val="_Style 17"/>
    <w:basedOn w:val="1"/>
    <w:qFormat/>
    <w:uiPriority w:val="0"/>
    <w:rPr>
      <w:rFonts w:ascii="Times New Roman" w:hAnsi="Times New Roman" w:eastAsia="宋体" w:cs="Times New Roman"/>
      <w:szCs w:val="24"/>
    </w:rPr>
  </w:style>
  <w:style w:type="character" w:customStyle="1" w:styleId="67">
    <w:name w:val="副标题 Char"/>
    <w:basedOn w:val="24"/>
    <w:link w:val="16"/>
    <w:uiPriority w:val="11"/>
    <w:rPr>
      <w:rFonts w:ascii="Times New Roman" w:hAnsi="Times New Roman" w:eastAsia="宋体" w:cstheme="majorBidi"/>
      <w:b/>
      <w:bCs/>
      <w:kern w:val="28"/>
      <w:szCs w:val="32"/>
    </w:rPr>
  </w:style>
  <w:style w:type="character" w:customStyle="1" w:styleId="68">
    <w:name w:val="表格正文 Char"/>
    <w:link w:val="52"/>
    <w:qFormat/>
    <w:uiPriority w:val="0"/>
    <w:rPr>
      <w:rFonts w:ascii="Times New Roman" w:hAnsi="Times New Roman" w:eastAsia="宋体" w:cs="Times New Roman"/>
      <w:szCs w:val="20"/>
    </w:rPr>
  </w:style>
  <w:style w:type="character" w:customStyle="1" w:styleId="69">
    <w:name w:val="标题 1 Char"/>
    <w:basedOn w:val="24"/>
    <w:link w:val="2"/>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5A39-D3F2-4B03-83F2-E81238D9A7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13831</Words>
  <Characters>78842</Characters>
  <Lines>657</Lines>
  <Paragraphs>184</Paragraphs>
  <TotalTime>11</TotalTime>
  <ScaleCrop>false</ScaleCrop>
  <LinksUpToDate>false</LinksUpToDate>
  <CharactersWithSpaces>92489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周律</cp:lastModifiedBy>
  <cp:lastPrinted>2023-11-08T03:08:00Z</cp:lastPrinted>
  <dcterms:modified xsi:type="dcterms:W3CDTF">2023-12-08T03:25:05Z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F31DCAD52C3E4F7BB9FE7D9FE151AA83</vt:lpwstr>
  </property>
</Properties>
</file>