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00" w:themeColor="text1"/>
          <w:sz w:val="24"/>
        </w:rPr>
      </w:pPr>
      <w:bookmarkStart w:id="45" w:name="_GoBack"/>
      <w:bookmarkEnd w:id="45"/>
      <w:bookmarkStart w:id="0" w:name="_Toc422302930"/>
      <w:bookmarkStart w:id="1" w:name="_Toc430182957"/>
      <w:r>
        <w:rPr>
          <w:rFonts w:ascii="Times New Roman" w:hAnsi="Times New Roman" w:cs="Times New Roman"/>
          <w:b/>
          <w:color w:val="000000" w:themeColor="text1"/>
          <w:sz w:val="24"/>
        </w:rPr>
        <w:t>目 录</w:t>
      </w:r>
    </w:p>
    <w:p>
      <w:pPr>
        <w:pStyle w:val="13"/>
        <w:tabs>
          <w:tab w:val="right" w:leader="dot" w:pos="8302"/>
        </w:tabs>
        <w:spacing w:line="360" w:lineRule="auto"/>
        <w:rPr>
          <w:rFonts w:ascii="Times New Roman" w:hAnsi="Times New Roman" w:eastAsia="宋体"/>
          <w:color w:val="000000" w:themeColor="text1"/>
          <w:kern w:val="2"/>
          <w:sz w:val="21"/>
          <w:szCs w:val="21"/>
        </w:rPr>
      </w:pPr>
      <w:r>
        <w:rPr>
          <w:rFonts w:ascii="Times New Roman" w:hAnsi="Times New Roman" w:eastAsia="宋体"/>
          <w:bCs/>
          <w:caps/>
          <w:color w:val="000000" w:themeColor="text1"/>
          <w:sz w:val="21"/>
          <w:szCs w:val="21"/>
        </w:rPr>
        <w:fldChar w:fldCharType="begin"/>
      </w:r>
      <w:r>
        <w:rPr>
          <w:rFonts w:ascii="Times New Roman" w:hAnsi="Times New Roman" w:eastAsia="宋体"/>
          <w:color w:val="000000" w:themeColor="text1"/>
          <w:sz w:val="21"/>
          <w:szCs w:val="21"/>
        </w:rPr>
        <w:instrText xml:space="preserve"> TOC \o "1-2" \h \z \u </w:instrText>
      </w:r>
      <w:r>
        <w:rPr>
          <w:rFonts w:ascii="Times New Roman" w:hAnsi="Times New Roman" w:eastAsia="宋体"/>
          <w:bCs/>
          <w:caps/>
          <w:color w:val="000000" w:themeColor="text1"/>
          <w:sz w:val="21"/>
          <w:szCs w:val="21"/>
        </w:rPr>
        <w:fldChar w:fldCharType="separate"/>
      </w:r>
      <w:r>
        <w:fldChar w:fldCharType="begin"/>
      </w:r>
      <w:r>
        <w:instrText xml:space="preserve"> HYPERLINK \l "_Toc146789443" </w:instrText>
      </w:r>
      <w:r>
        <w:fldChar w:fldCharType="separate"/>
      </w:r>
      <w:r>
        <w:rPr>
          <w:rStyle w:val="23"/>
          <w:rFonts w:ascii="Times New Roman" w:hAnsi="宋体" w:eastAsia="宋体"/>
          <w:color w:val="000000" w:themeColor="text1"/>
          <w:sz w:val="21"/>
          <w:szCs w:val="21"/>
        </w:rPr>
        <w:t>一、建设项目基本情况</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_Toc146789443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1</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Fonts w:ascii="Times New Roman" w:hAnsi="Times New Roman" w:eastAsia="宋体"/>
          <w:color w:val="000000" w:themeColor="text1"/>
          <w:kern w:val="2"/>
          <w:sz w:val="21"/>
          <w:szCs w:val="21"/>
        </w:rPr>
      </w:pPr>
      <w:r>
        <w:fldChar w:fldCharType="begin"/>
      </w:r>
      <w:r>
        <w:instrText xml:space="preserve"> HYPERLINK \l "_Toc146789444" </w:instrText>
      </w:r>
      <w:r>
        <w:fldChar w:fldCharType="separate"/>
      </w:r>
      <w:r>
        <w:rPr>
          <w:rStyle w:val="23"/>
          <w:rFonts w:ascii="Times New Roman" w:hAnsi="宋体" w:eastAsia="宋体"/>
          <w:color w:val="000000" w:themeColor="text1"/>
          <w:sz w:val="21"/>
          <w:szCs w:val="21"/>
        </w:rPr>
        <w:t>二、建设项目工程分析</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_Toc146789444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32</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Fonts w:ascii="Times New Roman" w:hAnsi="Times New Roman" w:eastAsia="宋体"/>
          <w:color w:val="000000" w:themeColor="text1"/>
          <w:kern w:val="2"/>
          <w:sz w:val="21"/>
          <w:szCs w:val="21"/>
        </w:rPr>
      </w:pPr>
      <w:r>
        <w:fldChar w:fldCharType="begin"/>
      </w:r>
      <w:r>
        <w:instrText xml:space="preserve"> HYPERLINK \l "_Toc146789445" </w:instrText>
      </w:r>
      <w:r>
        <w:fldChar w:fldCharType="separate"/>
      </w:r>
      <w:r>
        <w:rPr>
          <w:rStyle w:val="23"/>
          <w:rFonts w:ascii="Times New Roman" w:hAnsi="宋体" w:eastAsia="宋体"/>
          <w:color w:val="000000" w:themeColor="text1"/>
          <w:sz w:val="21"/>
          <w:szCs w:val="21"/>
        </w:rPr>
        <w:t>三、区域环境质量现状、环境保护目标及评价标准</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_Toc146789445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66</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Fonts w:ascii="Times New Roman" w:hAnsi="Times New Roman" w:eastAsia="宋体"/>
          <w:color w:val="000000" w:themeColor="text1"/>
          <w:kern w:val="2"/>
          <w:sz w:val="21"/>
          <w:szCs w:val="21"/>
        </w:rPr>
      </w:pPr>
      <w:r>
        <w:fldChar w:fldCharType="begin"/>
      </w:r>
      <w:r>
        <w:instrText xml:space="preserve"> HYPERLINK \l "_Toc146789446" </w:instrText>
      </w:r>
      <w:r>
        <w:fldChar w:fldCharType="separate"/>
      </w:r>
      <w:r>
        <w:rPr>
          <w:rStyle w:val="23"/>
          <w:rFonts w:ascii="Times New Roman" w:hAnsi="宋体" w:eastAsia="宋体"/>
          <w:color w:val="000000" w:themeColor="text1"/>
          <w:sz w:val="21"/>
          <w:szCs w:val="21"/>
        </w:rPr>
        <w:t>四、主要环境影响和保护措施</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_Toc146789446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77</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Fonts w:ascii="Times New Roman" w:hAnsi="Times New Roman" w:eastAsia="宋体"/>
          <w:color w:val="000000" w:themeColor="text1"/>
          <w:kern w:val="2"/>
          <w:sz w:val="21"/>
          <w:szCs w:val="21"/>
        </w:rPr>
      </w:pPr>
      <w:r>
        <w:fldChar w:fldCharType="begin"/>
      </w:r>
      <w:r>
        <w:instrText xml:space="preserve"> HYPERLINK \l "_Toc146789447" </w:instrText>
      </w:r>
      <w:r>
        <w:fldChar w:fldCharType="separate"/>
      </w:r>
      <w:r>
        <w:rPr>
          <w:rStyle w:val="23"/>
          <w:rFonts w:ascii="Times New Roman" w:hAnsi="宋体" w:eastAsia="宋体"/>
          <w:color w:val="000000" w:themeColor="text1"/>
          <w:sz w:val="21"/>
          <w:szCs w:val="21"/>
        </w:rPr>
        <w:t>五、环境保护措施监督检查清单</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_Toc146789447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100</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Fonts w:ascii="Times New Roman" w:hAnsi="Times New Roman" w:eastAsia="宋体"/>
          <w:color w:val="000000" w:themeColor="text1"/>
          <w:kern w:val="2"/>
          <w:sz w:val="21"/>
          <w:szCs w:val="21"/>
        </w:rPr>
      </w:pPr>
      <w:r>
        <w:fldChar w:fldCharType="begin"/>
      </w:r>
      <w:r>
        <w:instrText xml:space="preserve"> HYPERLINK \l "_Toc146789448" </w:instrText>
      </w:r>
      <w:r>
        <w:fldChar w:fldCharType="separate"/>
      </w:r>
      <w:r>
        <w:rPr>
          <w:rStyle w:val="23"/>
          <w:rFonts w:ascii="Times New Roman" w:hAnsi="宋体" w:eastAsia="宋体"/>
          <w:color w:val="000000" w:themeColor="text1"/>
          <w:sz w:val="21"/>
          <w:szCs w:val="21"/>
        </w:rPr>
        <w:t>六、结论</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_Toc146789448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107</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Fonts w:ascii="Times New Roman" w:hAnsi="Times New Roman" w:eastAsia="宋体"/>
          <w:color w:val="000000" w:themeColor="text1"/>
          <w:kern w:val="2"/>
          <w:sz w:val="21"/>
          <w:szCs w:val="21"/>
        </w:rPr>
      </w:pPr>
      <w:r>
        <w:fldChar w:fldCharType="begin"/>
      </w:r>
      <w:r>
        <w:instrText xml:space="preserve"> HYPERLINK \l "_Toc146789449" </w:instrText>
      </w:r>
      <w:r>
        <w:fldChar w:fldCharType="separate"/>
      </w:r>
      <w:r>
        <w:rPr>
          <w:rStyle w:val="23"/>
          <w:rFonts w:ascii="Times New Roman" w:hAnsi="宋体" w:eastAsia="宋体"/>
          <w:color w:val="000000" w:themeColor="text1"/>
          <w:sz w:val="21"/>
          <w:szCs w:val="21"/>
        </w:rPr>
        <w:t>附表</w:t>
      </w:r>
      <w:r>
        <w:rPr>
          <w:rFonts w:ascii="Times New Roman" w:hAnsi="Times New Roman" w:eastAsia="宋体"/>
          <w:color w:val="000000" w:themeColor="text1"/>
          <w:sz w:val="21"/>
          <w:szCs w:val="21"/>
        </w:rPr>
        <w:tab/>
      </w:r>
      <w:r>
        <w:rPr>
          <w:rFonts w:ascii="Times New Roman" w:hAnsi="Times New Roman" w:eastAsia="宋体"/>
          <w:color w:val="000000" w:themeColor="text1"/>
          <w:sz w:val="21"/>
          <w:szCs w:val="21"/>
        </w:rPr>
        <w:fldChar w:fldCharType="begin"/>
      </w:r>
      <w:r>
        <w:rPr>
          <w:rFonts w:ascii="Times New Roman" w:hAnsi="Times New Roman" w:eastAsia="宋体"/>
          <w:color w:val="000000" w:themeColor="text1"/>
          <w:sz w:val="21"/>
          <w:szCs w:val="21"/>
        </w:rPr>
        <w:instrText xml:space="preserve"> PAGEREF _Toc146789449 \h </w:instrText>
      </w:r>
      <w:r>
        <w:rPr>
          <w:rFonts w:ascii="Times New Roman" w:hAnsi="Times New Roman" w:eastAsia="宋体"/>
          <w:color w:val="000000" w:themeColor="text1"/>
          <w:sz w:val="21"/>
          <w:szCs w:val="21"/>
        </w:rPr>
        <w:fldChar w:fldCharType="separate"/>
      </w:r>
      <w:r>
        <w:rPr>
          <w:rFonts w:ascii="Times New Roman" w:hAnsi="Times New Roman" w:eastAsia="宋体"/>
          <w:color w:val="000000" w:themeColor="text1"/>
          <w:sz w:val="21"/>
          <w:szCs w:val="21"/>
        </w:rPr>
        <w:t>109</w:t>
      </w:r>
      <w:r>
        <w:rPr>
          <w:rFonts w:ascii="Times New Roman" w:hAnsi="Times New Roman" w:eastAsia="宋体"/>
          <w:color w:val="000000" w:themeColor="text1"/>
          <w:sz w:val="21"/>
          <w:szCs w:val="21"/>
        </w:rPr>
        <w:fldChar w:fldCharType="end"/>
      </w:r>
      <w:r>
        <w:rPr>
          <w:rFonts w:ascii="Times New Roman" w:hAnsi="Times New Roman" w:eastAsia="宋体"/>
          <w:color w:val="000000" w:themeColor="text1"/>
          <w:sz w:val="21"/>
          <w:szCs w:val="21"/>
        </w:rPr>
        <w:fldChar w:fldCharType="end"/>
      </w:r>
    </w:p>
    <w:p>
      <w:pPr>
        <w:pStyle w:val="13"/>
        <w:tabs>
          <w:tab w:val="right" w:leader="dot" w:pos="8302"/>
        </w:tabs>
        <w:spacing w:line="360" w:lineRule="auto"/>
        <w:rPr>
          <w:rStyle w:val="23"/>
          <w:rFonts w:hAnsi="宋体" w:eastAsia="宋体"/>
          <w:color w:val="000000" w:themeColor="text1"/>
          <w:sz w:val="21"/>
          <w:szCs w:val="21"/>
        </w:rPr>
      </w:pPr>
      <w:r>
        <w:rPr>
          <w:rFonts w:ascii="Times New Roman" w:hAnsi="Times New Roman" w:eastAsia="宋体"/>
          <w:color w:val="000000" w:themeColor="text1"/>
          <w:sz w:val="21"/>
          <w:szCs w:val="21"/>
        </w:rPr>
        <w:fldChar w:fldCharType="end"/>
      </w:r>
      <w:bookmarkEnd w:id="0"/>
      <w:bookmarkEnd w:id="1"/>
    </w:p>
    <w:p>
      <w:pPr>
        <w:pStyle w:val="13"/>
        <w:tabs>
          <w:tab w:val="right" w:leader="dot" w:pos="8302"/>
        </w:tabs>
        <w:spacing w:after="0" w:line="360" w:lineRule="auto"/>
        <w:rPr>
          <w:rStyle w:val="23"/>
          <w:rFonts w:ascii="Times New Roman" w:hAnsi="Times New Roman" w:eastAsia="宋体"/>
          <w:b/>
          <w:color w:val="000000" w:themeColor="text1"/>
          <w:sz w:val="21"/>
          <w:szCs w:val="21"/>
          <w:u w:val="none"/>
        </w:rPr>
      </w:pPr>
      <w:r>
        <w:rPr>
          <w:rStyle w:val="23"/>
          <w:rFonts w:ascii="Times New Roman" w:hAnsi="Times New Roman" w:eastAsia="宋体"/>
          <w:b/>
          <w:color w:val="000000" w:themeColor="text1"/>
          <w:sz w:val="21"/>
          <w:szCs w:val="21"/>
          <w:u w:val="none"/>
        </w:rPr>
        <w:t>附图：</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 xml:space="preserve">附图1 </w:t>
      </w:r>
      <w:r>
        <w:rPr>
          <w:rFonts w:hint="eastAsia" w:ascii="Times New Roman"/>
          <w:color w:val="000000" w:themeColor="text1"/>
          <w:kern w:val="2"/>
          <w:sz w:val="21"/>
        </w:rPr>
        <w:t xml:space="preserve"> </w:t>
      </w:r>
      <w:r>
        <w:rPr>
          <w:rFonts w:ascii="Times New Roman"/>
          <w:color w:val="000000" w:themeColor="text1"/>
          <w:kern w:val="2"/>
          <w:sz w:val="21"/>
        </w:rPr>
        <w:t>项目区地理位置图</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附图2-1项目在厂区位置示意图</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附图2-2原料库内部平面布置示意图</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附图3  项目环境保护目标分布及现状监测点位示意图</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 xml:space="preserve">附图4 </w:t>
      </w:r>
      <w:r>
        <w:rPr>
          <w:rFonts w:hint="eastAsia" w:ascii="Times New Roman"/>
          <w:color w:val="000000" w:themeColor="text1"/>
          <w:kern w:val="2"/>
          <w:sz w:val="21"/>
        </w:rPr>
        <w:t xml:space="preserve"> </w:t>
      </w:r>
      <w:r>
        <w:rPr>
          <w:rFonts w:ascii="Times New Roman"/>
          <w:color w:val="000000" w:themeColor="text1"/>
          <w:kern w:val="2"/>
          <w:sz w:val="21"/>
        </w:rPr>
        <w:t>项目区水文地质图</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附图5  项目环境风险评价范围图</w:t>
      </w:r>
    </w:p>
    <w:p>
      <w:pPr>
        <w:pStyle w:val="13"/>
        <w:tabs>
          <w:tab w:val="right" w:leader="dot" w:pos="8302"/>
        </w:tabs>
        <w:spacing w:after="0" w:line="360" w:lineRule="auto"/>
        <w:rPr>
          <w:rStyle w:val="23"/>
          <w:rFonts w:eastAsia="宋体"/>
          <w:b/>
          <w:color w:val="000000" w:themeColor="text1"/>
          <w:sz w:val="21"/>
          <w:szCs w:val="21"/>
          <w:u w:val="none"/>
        </w:rPr>
      </w:pPr>
      <w:r>
        <w:rPr>
          <w:rStyle w:val="23"/>
          <w:rFonts w:hint="eastAsia" w:eastAsia="宋体"/>
          <w:b/>
          <w:color w:val="000000" w:themeColor="text1"/>
          <w:sz w:val="21"/>
          <w:szCs w:val="21"/>
          <w:u w:val="none"/>
        </w:rPr>
        <w:t>附件：</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  委托书</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附件2  投资备案证</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附件3  昆明市小微企业试点单位名单</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附件4  两公司危险废物集中收集试点申请表</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附件5  开展小微企业危险废物收集试点实施方案</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附件6  寻甸网点环保手续相关文件</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附件7云南省生态环境厅关于印发《云南省小微企业危险废物收集试点工作方案》的通知</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附件8  现有项目环评批复</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附件9  现有项目排污许可证</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附件10  现有项目危险废物经营许可证</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附件11  现有项目验收意见</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附件12  现有项目综合应急预案备案表</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附件13  现有项目专项预案备案表</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附件14  现有项目运输合同及资质</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附件15  现有工程验收监测报告</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 xml:space="preserve">附件16  </w:t>
      </w:r>
      <w:r>
        <w:rPr>
          <w:rFonts w:ascii="Times New Roman"/>
          <w:color w:val="000000" w:themeColor="text1"/>
          <w:kern w:val="2"/>
          <w:sz w:val="21"/>
        </w:rPr>
        <w:t>昆明旭鑫环保科技有限公司原料暂存库</w:t>
      </w:r>
      <w:r>
        <w:rPr>
          <w:rFonts w:hint="eastAsia" w:ascii="Times New Roman"/>
          <w:color w:val="000000" w:themeColor="text1"/>
          <w:kern w:val="2"/>
          <w:sz w:val="21"/>
        </w:rPr>
        <w:t>防渗材料合格证</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附件17  环境质量现状监测报告</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附件18  园区规划环评审查意见</w:t>
      </w:r>
    </w:p>
    <w:p>
      <w:pPr>
        <w:pStyle w:val="13"/>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附件19  全本信息公开</w:t>
      </w: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pPr>
    </w:p>
    <w:p>
      <w:pPr>
        <w:pStyle w:val="13"/>
        <w:tabs>
          <w:tab w:val="right" w:leader="dot" w:pos="8302"/>
        </w:tabs>
        <w:spacing w:after="0" w:line="360" w:lineRule="auto"/>
        <w:ind w:firstLine="210" w:firstLineChars="100"/>
        <w:jc w:val="both"/>
        <w:rPr>
          <w:rFonts w:ascii="Times New Roman"/>
          <w:color w:val="000000" w:themeColor="text1"/>
          <w:kern w:val="2"/>
          <w:sz w:val="21"/>
        </w:rPr>
        <w:sectPr>
          <w:footerReference r:id="rId3" w:type="default"/>
          <w:pgSz w:w="11906" w:h="16838"/>
          <w:pgMar w:top="1440" w:right="1797" w:bottom="1440" w:left="1797" w:header="851" w:footer="992" w:gutter="0"/>
          <w:pgNumType w:fmt="upperRoman" w:start="1"/>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bookmarkStart w:id="2" w:name="_Toc146789443"/>
      <w:r>
        <w:rPr>
          <w:rFonts w:ascii="Times New Roman" w:hAnsi="Times New Roman" w:cs="Times New Roman"/>
          <w:b/>
          <w:color w:val="000000" w:themeColor="text1"/>
          <w:sz w:val="28"/>
          <w:szCs w:val="20"/>
        </w:rPr>
        <w:t>一、建设项目基本情况</w:t>
      </w:r>
      <w:bookmarkEnd w:id="2"/>
    </w:p>
    <w:tbl>
      <w:tblPr>
        <w:tblStyle w:val="19"/>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561"/>
        <w:gridCol w:w="2261"/>
        <w:gridCol w:w="1352"/>
        <w:gridCol w:w="1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开展小微企业危险废物收集试点东川网点项目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昆明旭鑫环保科技有限公司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4"/>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-04-02-</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561"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唐</w:t>
            </w:r>
            <w:r>
              <w:rPr>
                <w:rFonts w:hint="eastAsia" w:ascii="Times New Roman" w:hAnsi="Times New Roman" w:cs="Times New Roman"/>
                <w:color w:val="000000" w:themeColor="text1"/>
                <w:sz w:val="24"/>
                <w:szCs w:val="24"/>
                <w:lang w:eastAsia="zh-CN"/>
              </w:rPr>
              <w:t>**</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1" w:type="dxa"/>
            <w:gridSpan w:val="2"/>
            <w:tcBorders>
              <w:lef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138</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云南东川产业园区四方地片区昆明旭鑫环保科技有限公司厂区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东经103°7'41.520"，北纬26°11'6.576"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56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7724 危险废物治理</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1" w:type="dxa"/>
            <w:gridSpan w:val="2"/>
            <w:tcBorders>
              <w:left w:val="single" w:color="auto" w:sz="4" w:space="0"/>
            </w:tcBorders>
            <w:vAlign w:val="center"/>
          </w:tcPr>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四十七、生态保护和环境治理业“危险废物（不含医疗废物）利用及处置”中“其他”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561" w:type="dxa"/>
            <w:tcBorders>
              <w:right w:val="single" w:color="auto" w:sz="4" w:space="0"/>
            </w:tcBorders>
            <w:vAlign w:val="center"/>
          </w:tcPr>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1" w:type="dxa"/>
            <w:gridSpan w:val="2"/>
            <w:tcBorders>
              <w:left w:val="single" w:color="auto" w:sz="4" w:space="0"/>
            </w:tcBorders>
            <w:vAlign w:val="center"/>
          </w:tcPr>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ind w:firstLine="120" w:firstLineChars="5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56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东川区发展和改革局</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1" w:type="dxa"/>
            <w:gridSpan w:val="2"/>
            <w:tcBorders>
              <w:lef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-04-02-</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56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152.3</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1"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56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20.617%</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1"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2个月（完善环保工程施工）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4822"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13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180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5"/>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298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26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该项目情况</w:t>
                  </w:r>
                </w:p>
              </w:tc>
              <w:tc>
                <w:tcPr>
                  <w:tcW w:w="64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大气</w:t>
                  </w:r>
                </w:p>
              </w:tc>
              <w:tc>
                <w:tcPr>
                  <w:tcW w:w="2984" w:type="dxa"/>
                  <w:vAlign w:val="center"/>
                </w:tcPr>
                <w:p>
                  <w:pPr>
                    <w:pStyle w:val="29"/>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260" w:type="dxa"/>
                  <w:vAlign w:val="center"/>
                </w:tcPr>
                <w:p>
                  <w:pPr>
                    <w:pStyle w:val="29"/>
                    <w:spacing w:line="360" w:lineRule="exact"/>
                    <w:ind w:firstLine="210" w:firstLineChars="100"/>
                    <w:jc w:val="both"/>
                    <w:rPr>
                      <w:color w:val="000000" w:themeColor="text1"/>
                      <w:szCs w:val="21"/>
                    </w:rPr>
                  </w:pPr>
                  <w:r>
                    <w:rPr>
                      <w:color w:val="000000" w:themeColor="text1"/>
                      <w:szCs w:val="21"/>
                    </w:rPr>
                    <w:t>该项目排放的大气污染物主要包括有机废气（非甲烷总烃）、酸性废气（HCl）、恶臭废气（氨、硫化氢和臭气浓度）；</w:t>
                  </w:r>
                  <w:r>
                    <w:rPr>
                      <w:rFonts w:hint="eastAsia"/>
                      <w:color w:val="000000" w:themeColor="text1"/>
                      <w:szCs w:val="21"/>
                    </w:rPr>
                    <w:t>现有项目</w:t>
                  </w:r>
                  <w:r>
                    <w:rPr>
                      <w:color w:val="000000" w:themeColor="text1"/>
                      <w:szCs w:val="21"/>
                    </w:rPr>
                    <w:t>排放的</w:t>
                  </w:r>
                  <w:r>
                    <w:rPr>
                      <w:rFonts w:hint="eastAsia"/>
                      <w:color w:val="000000" w:themeColor="text1"/>
                      <w:szCs w:val="21"/>
                    </w:rPr>
                    <w:t>主要污染物为：</w:t>
                  </w:r>
                  <w:r>
                    <w:rPr>
                      <w:color w:val="000000" w:themeColor="text1"/>
                      <w:szCs w:val="21"/>
                    </w:rPr>
                    <w:t>颗粒物和硫酸雾。不含上述需设置大气专项评价的排放因子，因此不设置大气专项评价。</w:t>
                  </w:r>
                </w:p>
              </w:tc>
              <w:tc>
                <w:tcPr>
                  <w:tcW w:w="641"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地表水</w:t>
                  </w:r>
                </w:p>
              </w:tc>
              <w:tc>
                <w:tcPr>
                  <w:tcW w:w="2984" w:type="dxa"/>
                  <w:vAlign w:val="center"/>
                </w:tcPr>
                <w:p>
                  <w:pPr>
                    <w:pStyle w:val="29"/>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260" w:type="dxa"/>
                  <w:vAlign w:val="center"/>
                </w:tcPr>
                <w:p>
                  <w:pPr>
                    <w:pStyle w:val="29"/>
                    <w:spacing w:line="360" w:lineRule="exact"/>
                    <w:ind w:firstLine="210" w:firstLineChars="100"/>
                    <w:jc w:val="both"/>
                    <w:rPr>
                      <w:color w:val="000000" w:themeColor="text1"/>
                      <w:szCs w:val="21"/>
                    </w:rPr>
                  </w:pPr>
                  <w:r>
                    <w:rPr>
                      <w:color w:val="000000" w:themeColor="text1"/>
                      <w:szCs w:val="21"/>
                    </w:rPr>
                    <w:t>该项目无废水外排，因此不设置地表水专项评价。</w:t>
                  </w:r>
                </w:p>
              </w:tc>
              <w:tc>
                <w:tcPr>
                  <w:tcW w:w="64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环境风险</w:t>
                  </w:r>
                </w:p>
              </w:tc>
              <w:tc>
                <w:tcPr>
                  <w:tcW w:w="2984" w:type="dxa"/>
                  <w:vAlign w:val="center"/>
                </w:tcPr>
                <w:p>
                  <w:pPr>
                    <w:pStyle w:val="29"/>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260" w:type="dxa"/>
                  <w:vAlign w:val="center"/>
                </w:tcPr>
                <w:p>
                  <w:pPr>
                    <w:pStyle w:val="29"/>
                    <w:spacing w:line="360" w:lineRule="exact"/>
                    <w:ind w:firstLine="210" w:firstLineChars="100"/>
                    <w:jc w:val="both"/>
                    <w:rPr>
                      <w:color w:val="000000" w:themeColor="text1"/>
                      <w:szCs w:val="21"/>
                    </w:rPr>
                  </w:pPr>
                  <w:r>
                    <w:rPr>
                      <w:color w:val="000000" w:themeColor="text1"/>
                      <w:szCs w:val="21"/>
                    </w:rPr>
                    <w:t>该项目涉及的18大类65小类危险废物，其中废矿物油类危险废物的临界量为2500t，而其他危险废物临界量是50t，废矿物油类危险废物的堆存量为98.33t，其他危险废物堆存大堆存量为</w:t>
                  </w:r>
                  <w:r>
                    <w:rPr>
                      <w:rFonts w:hint="eastAsia"/>
                      <w:color w:val="000000" w:themeColor="text1"/>
                      <w:szCs w:val="21"/>
                    </w:rPr>
                    <w:t>276.66</w:t>
                  </w:r>
                  <w:r>
                    <w:rPr>
                      <w:color w:val="000000" w:themeColor="text1"/>
                      <w:szCs w:val="21"/>
                    </w:rPr>
                    <w:t>t，已超过临界量，因此设置环境风险专项评价。</w:t>
                  </w:r>
                </w:p>
              </w:tc>
              <w:tc>
                <w:tcPr>
                  <w:tcW w:w="641"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生态</w:t>
                  </w:r>
                </w:p>
              </w:tc>
              <w:tc>
                <w:tcPr>
                  <w:tcW w:w="2984" w:type="dxa"/>
                  <w:vAlign w:val="center"/>
                </w:tcPr>
                <w:p>
                  <w:pPr>
                    <w:pStyle w:val="29"/>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260" w:type="dxa"/>
                  <w:vAlign w:val="center"/>
                </w:tcPr>
                <w:p>
                  <w:pPr>
                    <w:pStyle w:val="29"/>
                    <w:spacing w:line="360" w:lineRule="exact"/>
                    <w:ind w:firstLine="210" w:firstLineChars="100"/>
                    <w:jc w:val="both"/>
                    <w:rPr>
                      <w:color w:val="000000" w:themeColor="text1"/>
                      <w:szCs w:val="21"/>
                    </w:rPr>
                  </w:pPr>
                  <w:r>
                    <w:rPr>
                      <w:color w:val="000000" w:themeColor="text1"/>
                      <w:szCs w:val="21"/>
                    </w:rPr>
                    <w:t>该项目不涉及河道取水，因此不设置生态专项评价。</w:t>
                  </w:r>
                </w:p>
              </w:tc>
              <w:tc>
                <w:tcPr>
                  <w:tcW w:w="641"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海洋</w:t>
                  </w:r>
                </w:p>
              </w:tc>
              <w:tc>
                <w:tcPr>
                  <w:tcW w:w="2984" w:type="dxa"/>
                  <w:vAlign w:val="center"/>
                </w:tcPr>
                <w:p>
                  <w:pPr>
                    <w:pStyle w:val="29"/>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260" w:type="dxa"/>
                  <w:vAlign w:val="center"/>
                </w:tcPr>
                <w:p>
                  <w:pPr>
                    <w:pStyle w:val="29"/>
                    <w:spacing w:line="360" w:lineRule="exact"/>
                    <w:ind w:firstLine="210" w:firstLineChars="100"/>
                    <w:jc w:val="both"/>
                    <w:rPr>
                      <w:color w:val="000000" w:themeColor="text1"/>
                      <w:szCs w:val="21"/>
                    </w:rPr>
                  </w:pPr>
                  <w:r>
                    <w:rPr>
                      <w:color w:val="000000" w:themeColor="text1"/>
                      <w:szCs w:val="21"/>
                    </w:rPr>
                    <w:t>该项目不涉及海洋，因此不设置海洋专项评价。</w:t>
                  </w:r>
                </w:p>
              </w:tc>
              <w:tc>
                <w:tcPr>
                  <w:tcW w:w="641"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综上，该项目设置环境风险专项评价。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该项目位于云南东川产业园区四方地片区昆明旭鑫环保科技有限公司厂区</w:t>
            </w:r>
            <w:r>
              <w:rPr>
                <w:rFonts w:hint="eastAsia" w:ascii="Times New Roman" w:hAnsi="Times New Roman" w:cs="Times New Roman"/>
                <w:color w:val="000000" w:themeColor="text1"/>
                <w:sz w:val="24"/>
                <w:szCs w:val="24"/>
              </w:rPr>
              <w:t>，2023年7月21日，昆明市人民政府下发了《关于云南东川产业园区总体规划修编（2021-2035年）的批复》（昆政复【2023】37号）</w:t>
            </w:r>
            <w:r>
              <w:rPr>
                <w:rFonts w:ascii="Times New Roman" w:hAnsi="Times New Roman" w:cs="Times New Roman"/>
                <w:color w:val="000000" w:themeColor="text1"/>
                <w:sz w:val="24"/>
                <w:szCs w:val="24"/>
              </w:rPr>
              <w:t>。根据《云南东川产业园区总体规划修编（2021-2035）》，园区空间布局为“一园三片区”， 规划总面积为1408.01hm²，其中项目所在的四方地片区面积为5.4699km²，四方地片区主导产业为：有色金属材料及稀贵金属材料、化工新材料、新型建材产业、新能源材料产业。</w:t>
            </w: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区管理委员会组织编制完成了《云南东川产业园区总体规划修编（2021-2035）环境影响报告书》；2022年10月19日，由昆明市生态环境局召集专家及有关部门代表对该规划环评进行审查，2023年5月4日，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8834"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选址区域属于云南东川产业园区四方地片区，根据《云南东川产业园区总体规划修编（2021-2035）》，四方地片区的主导产业为：重点布局先进有色金属材料及稀贵金属材料、化工新材料产业。先进金属材料以铜基新材料为主，重点延伸有色金属冶炼及压延一体化产业链，发展电解铜等产品，拓展发展电线电缆、铜箔、铜带、专用铜材及铜基合金等加工；稀贵金属材料以稀贵金属二次资源综合回收利用为重点，拓展发展电接触材料、键合材料、电子浆料、靶材等稀贵金属材料加工；化工新材料领域发展无机酸、无机盐制造为重点的磷化工、化工新材料产业；新能源材料。其配套产业为：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③项目基本情况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属于小微企业危险废物收集试点项目，东川网点主要对东川区及寻甸境内的小微企业产生的18大类、65小类危险废物进行统一收集后，委托有资质的单位进行处理，属于"加大对电池等危险废物无害化处理力度"范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综上，该项目符合云南东川产业园区四方地片区的产业定位。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①与园区规划环境影响评价结论的符合性分析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查阅《云南东川产业园区总体规划修编（2021-2035）环境影响报告书》，该项目与规划环评结论符合性分析如下表所示。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与园区规划环评结论符合性分析一览表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026"/>
              <w:gridCol w:w="3420"/>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要求</w:t>
                  </w:r>
                </w:p>
              </w:tc>
              <w:tc>
                <w:tcPr>
                  <w:tcW w:w="40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规划环评结论要求</w:t>
                  </w:r>
                </w:p>
              </w:tc>
              <w:tc>
                <w:tcPr>
                  <w:tcW w:w="342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2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w:t>
                  </w:r>
                </w:p>
              </w:tc>
              <w:tc>
                <w:tcPr>
                  <w:tcW w:w="4026" w:type="dxa"/>
                  <w:vAlign w:val="center"/>
                </w:tcPr>
                <w:p>
                  <w:pPr>
                    <w:pStyle w:val="29"/>
                    <w:spacing w:line="360" w:lineRule="exact"/>
                    <w:ind w:firstLine="210" w:firstLineChars="100"/>
                    <w:jc w:val="both"/>
                    <w:rPr>
                      <w:color w:val="000000" w:themeColor="text1"/>
                      <w:szCs w:val="21"/>
                    </w:rPr>
                  </w:pPr>
                  <w:r>
                    <w:rPr>
                      <w:color w:val="000000" w:themeColor="text1"/>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涉重金属重点行业实行重金属污染物“减量削减”，削减比例不得低于1.2：1，铅锌冶炼和铜冶炼企业须执行颗粒物和重点重金属污染物特别排放限值。</w:t>
                  </w:r>
                </w:p>
              </w:tc>
              <w:tc>
                <w:tcPr>
                  <w:tcW w:w="3420"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东川网点主要对东川区及寻甸境内的小微企业产生的18大类、65小类危险废物进行统一收集后，委托有资质的单位进行处理，不涉及危险废物处理及综合利用。不属于两高行业，也不属于涉重金属重点行业。</w:t>
                  </w:r>
                </w:p>
              </w:tc>
              <w:tc>
                <w:tcPr>
                  <w:tcW w:w="62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4026" w:type="dxa"/>
                  <w:vAlign w:val="center"/>
                </w:tcPr>
                <w:p>
                  <w:pPr>
                    <w:pStyle w:val="29"/>
                    <w:spacing w:line="360" w:lineRule="exact"/>
                    <w:ind w:firstLine="210" w:firstLineChars="100"/>
                    <w:jc w:val="both"/>
                    <w:rPr>
                      <w:color w:val="000000" w:themeColor="text1"/>
                      <w:szCs w:val="21"/>
                    </w:rPr>
                  </w:pPr>
                  <w:r>
                    <w:rPr>
                      <w:color w:val="000000" w:themeColor="text1"/>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p>
              </w:tc>
              <w:tc>
                <w:tcPr>
                  <w:tcW w:w="3420" w:type="dxa"/>
                  <w:vAlign w:val="center"/>
                </w:tcPr>
                <w:p>
                  <w:pPr>
                    <w:pStyle w:val="29"/>
                    <w:spacing w:line="360" w:lineRule="exact"/>
                    <w:ind w:firstLine="210" w:firstLineChars="100"/>
                    <w:jc w:val="both"/>
                    <w:rPr>
                      <w:color w:val="000000" w:themeColor="text1"/>
                      <w:szCs w:val="21"/>
                    </w:rPr>
                  </w:pPr>
                  <w:r>
                    <w:rPr>
                      <w:color w:val="000000" w:themeColor="text1"/>
                      <w:szCs w:val="21"/>
                    </w:rPr>
                    <w:t>该项目位于云南东川产业园区四方地片区昆明旭鑫环保科技有限公司厂区不涉及碧谷片区。</w:t>
                  </w:r>
                </w:p>
              </w:tc>
              <w:tc>
                <w:tcPr>
                  <w:tcW w:w="62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w:t>
                  </w:r>
                </w:p>
              </w:tc>
              <w:tc>
                <w:tcPr>
                  <w:tcW w:w="4026" w:type="dxa"/>
                  <w:vAlign w:val="center"/>
                </w:tcPr>
                <w:p>
                  <w:pPr>
                    <w:pStyle w:val="29"/>
                    <w:spacing w:line="360" w:lineRule="exact"/>
                    <w:ind w:firstLine="210" w:firstLineChars="100"/>
                    <w:jc w:val="both"/>
                    <w:rPr>
                      <w:color w:val="000000" w:themeColor="text1"/>
                      <w:szCs w:val="21"/>
                    </w:rPr>
                  </w:pPr>
                  <w:r>
                    <w:rPr>
                      <w:color w:val="000000" w:themeColor="text1"/>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420" w:type="dxa"/>
                  <w:vAlign w:val="center"/>
                </w:tcPr>
                <w:p>
                  <w:pPr>
                    <w:pStyle w:val="29"/>
                    <w:spacing w:line="360" w:lineRule="exact"/>
                    <w:ind w:firstLine="210" w:firstLineChars="100"/>
                    <w:jc w:val="both"/>
                    <w:rPr>
                      <w:color w:val="000000" w:themeColor="text1"/>
                      <w:szCs w:val="21"/>
                    </w:rPr>
                  </w:pPr>
                  <w:r>
                    <w:rPr>
                      <w:color w:val="000000" w:themeColor="text1"/>
                      <w:szCs w:val="21"/>
                    </w:rPr>
                    <w:t>该项目主要污染物为有机废气（非甲烷总烃）、酸性废气（HCl）、恶臭废气（氨、硫化氢和臭气浓度），</w:t>
                  </w:r>
                  <w:r>
                    <w:rPr>
                      <w:rFonts w:hint="eastAsia"/>
                      <w:color w:val="000000" w:themeColor="text1"/>
                      <w:szCs w:val="21"/>
                    </w:rPr>
                    <w:t>项目审批前将向昆明市生态环境局东川分局申请总量指标</w:t>
                  </w:r>
                  <w:r>
                    <w:rPr>
                      <w:color w:val="000000" w:themeColor="text1"/>
                      <w:szCs w:val="21"/>
                    </w:rPr>
                    <w:t>，符合《东川区主要污染物区域削减方案（2021-2025年）》的要求。</w:t>
                  </w:r>
                </w:p>
              </w:tc>
              <w:tc>
                <w:tcPr>
                  <w:tcW w:w="62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w:t>
                  </w:r>
                </w:p>
              </w:tc>
              <w:tc>
                <w:tcPr>
                  <w:tcW w:w="4026" w:type="dxa"/>
                  <w:vAlign w:val="center"/>
                </w:tcPr>
                <w:p>
                  <w:pPr>
                    <w:pStyle w:val="29"/>
                    <w:spacing w:line="360" w:lineRule="exact"/>
                    <w:ind w:firstLine="200" w:firstLineChars="100"/>
                    <w:jc w:val="both"/>
                    <w:rPr>
                      <w:color w:val="000000" w:themeColor="text1"/>
                      <w:sz w:val="20"/>
                      <w:szCs w:val="21"/>
                    </w:rPr>
                  </w:pPr>
                  <w:r>
                    <w:rPr>
                      <w:color w:val="000000" w:themeColor="text1"/>
                      <w:sz w:val="20"/>
                      <w:szCs w:val="21"/>
                    </w:rPr>
                    <w:t>将产业园区划分为重点保护区、重点控制区、其他区域三类，对其实施分级管控；具体如下：</w:t>
                  </w:r>
                </w:p>
                <w:p>
                  <w:pPr>
                    <w:pStyle w:val="29"/>
                    <w:spacing w:line="360" w:lineRule="exact"/>
                    <w:ind w:firstLine="210" w:firstLineChars="100"/>
                    <w:jc w:val="both"/>
                    <w:rPr>
                      <w:color w:val="000000" w:themeColor="text1"/>
                      <w:szCs w:val="21"/>
                    </w:rPr>
                  </w:pPr>
                  <w:r>
                    <w:rPr>
                      <w:color w:val="000000" w:themeColor="text1"/>
                      <w:szCs w:val="21"/>
                    </w:rPr>
                    <w:t>①在重点保护区内应严格管控项目的入驻，加强对洗马塘2#泉点、小新街1#泉点、小新街2#泉点、小龙潭村泉点、大龙潭村泉点等的保护。</w:t>
                  </w:r>
                </w:p>
                <w:p>
                  <w:pPr>
                    <w:pStyle w:val="29"/>
                    <w:spacing w:line="360" w:lineRule="exact"/>
                    <w:ind w:firstLine="210" w:firstLineChars="100"/>
                    <w:jc w:val="both"/>
                    <w:rPr>
                      <w:color w:val="000000" w:themeColor="text1"/>
                      <w:szCs w:val="21"/>
                    </w:rPr>
                  </w:pPr>
                  <w:r>
                    <w:rPr>
                      <w:color w:val="000000" w:themeColor="text1"/>
                      <w:szCs w:val="21"/>
                    </w:rPr>
                    <w:t>②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29"/>
                    <w:spacing w:line="360" w:lineRule="exact"/>
                    <w:ind w:firstLine="210" w:firstLineChars="100"/>
                    <w:jc w:val="both"/>
                    <w:rPr>
                      <w:color w:val="000000" w:themeColor="text1"/>
                      <w:szCs w:val="21"/>
                    </w:rPr>
                  </w:pPr>
                  <w:r>
                    <w:rPr>
                      <w:color w:val="000000" w:themeColor="text1"/>
                      <w:szCs w:val="21"/>
                    </w:rPr>
                    <w:t>③在其他区域内可引导项目入驻，但入驻企业仍须做好厂区的污染防渗措施。</w:t>
                  </w:r>
                </w:p>
              </w:tc>
              <w:tc>
                <w:tcPr>
                  <w:tcW w:w="3420" w:type="dxa"/>
                  <w:vAlign w:val="center"/>
                </w:tcPr>
                <w:p>
                  <w:pPr>
                    <w:pStyle w:val="29"/>
                    <w:spacing w:line="360" w:lineRule="exact"/>
                    <w:ind w:firstLine="210" w:firstLineChars="100"/>
                    <w:jc w:val="both"/>
                    <w:rPr>
                      <w:color w:val="000000" w:themeColor="text1"/>
                      <w:szCs w:val="21"/>
                    </w:rPr>
                  </w:pPr>
                  <w:r>
                    <w:rPr>
                      <w:color w:val="000000" w:themeColor="text1"/>
                      <w:szCs w:val="21"/>
                    </w:rPr>
                    <w:t>根据对照规划环评分析，该项目位于云南东川产业园区四方地片区昆明旭鑫环保科技有限公司厂区该区域属于重点控制区域，项目不使用地下水，不涉及《地下水管理条例》（2021年）的相关规定要求；</w:t>
                  </w:r>
                </w:p>
                <w:p>
                  <w:pPr>
                    <w:pStyle w:val="29"/>
                    <w:spacing w:line="360" w:lineRule="exact"/>
                    <w:ind w:firstLine="210" w:firstLineChars="100"/>
                    <w:jc w:val="both"/>
                    <w:rPr>
                      <w:color w:val="000000" w:themeColor="text1"/>
                      <w:szCs w:val="24"/>
                    </w:rPr>
                  </w:pPr>
                  <w:r>
                    <w:rPr>
                      <w:rFonts w:eastAsiaTheme="minorEastAsia"/>
                      <w:color w:val="000000" w:themeColor="text1"/>
                      <w:szCs w:val="21"/>
                    </w:rPr>
                    <w:t>根据分区防渗规范要求，</w:t>
                  </w:r>
                  <w:r>
                    <w:rPr>
                      <w:color w:val="000000" w:themeColor="text1"/>
                      <w:szCs w:val="24"/>
                    </w:rPr>
                    <w:t>项目</w:t>
                  </w:r>
                  <w:r>
                    <w:rPr>
                      <w:rFonts w:hint="eastAsia"/>
                      <w:color w:val="000000" w:themeColor="text1"/>
                      <w:szCs w:val="24"/>
                    </w:rPr>
                    <w:t>贮存区、导流渠、</w:t>
                  </w:r>
                  <w:r>
                    <w:rPr>
                      <w:color w:val="000000" w:themeColor="text1"/>
                      <w:szCs w:val="24"/>
                    </w:rPr>
                    <w:t>渗滤液收集池</w:t>
                  </w:r>
                  <w:r>
                    <w:rPr>
                      <w:rFonts w:hint="eastAsia"/>
                      <w:color w:val="000000" w:themeColor="text1"/>
                      <w:szCs w:val="24"/>
                    </w:rPr>
                    <w:t>、事故池等所有区域</w:t>
                  </w:r>
                  <w:r>
                    <w:rPr>
                      <w:color w:val="000000" w:themeColor="text1"/>
                      <w:szCs w:val="24"/>
                    </w:rPr>
                    <w:t>均属于重点防渗区，根据调查，项目全部区域均采用复合土工膜防渗后，再浇筑混凝土；该复合土工膜防渗云南睿利能工程材料制造有限公司生产的土工膜，根据其检测报告，其防渗系数达到渗透系数≤2.3×10</w:t>
                  </w:r>
                  <w:r>
                    <w:rPr>
                      <w:color w:val="000000" w:themeColor="text1"/>
                      <w:szCs w:val="24"/>
                      <w:vertAlign w:val="superscript"/>
                    </w:rPr>
                    <w:t>-12</w:t>
                  </w:r>
                  <w:r>
                    <w:rPr>
                      <w:color w:val="000000" w:themeColor="text1"/>
                      <w:szCs w:val="24"/>
                    </w:rPr>
                    <w:t>cm/s，满足渗透系数≤10</w:t>
                  </w:r>
                  <w:r>
                    <w:rPr>
                      <w:color w:val="000000" w:themeColor="text1"/>
                      <w:szCs w:val="24"/>
                      <w:vertAlign w:val="superscript"/>
                    </w:rPr>
                    <w:t>-10</w:t>
                  </w:r>
                  <w:r>
                    <w:rPr>
                      <w:color w:val="000000" w:themeColor="text1"/>
                      <w:szCs w:val="24"/>
                    </w:rPr>
                    <w:t>cm/s的要求</w:t>
                  </w:r>
                  <w:r>
                    <w:rPr>
                      <w:rFonts w:hint="eastAsia"/>
                      <w:color w:val="000000" w:themeColor="text1"/>
                      <w:szCs w:val="24"/>
                    </w:rPr>
                    <w:t>；但在导流渠、</w:t>
                  </w:r>
                  <w:r>
                    <w:rPr>
                      <w:color w:val="000000" w:themeColor="text1"/>
                      <w:szCs w:val="24"/>
                    </w:rPr>
                    <w:t>渗滤液收集池</w:t>
                  </w:r>
                  <w:r>
                    <w:rPr>
                      <w:rFonts w:hint="eastAsia"/>
                      <w:color w:val="000000" w:themeColor="text1"/>
                      <w:szCs w:val="24"/>
                    </w:rPr>
                    <w:t>的施工过程中，会对原有防渗层造成进行局部破坏，因此项目拟对导流渠、</w:t>
                  </w:r>
                  <w:r>
                    <w:rPr>
                      <w:color w:val="000000" w:themeColor="text1"/>
                      <w:szCs w:val="24"/>
                    </w:rPr>
                    <w:t>渗滤液收集池</w:t>
                  </w:r>
                  <w:r>
                    <w:rPr>
                      <w:rFonts w:hint="eastAsia"/>
                      <w:color w:val="000000" w:themeColor="text1"/>
                      <w:szCs w:val="24"/>
                    </w:rPr>
                    <w:t>重新铺设</w:t>
                  </w:r>
                  <w:r>
                    <w:rPr>
                      <w:color w:val="000000" w:themeColor="text1"/>
                      <w:szCs w:val="24"/>
                    </w:rPr>
                    <w:t>土工防渗膜</w:t>
                  </w:r>
                  <w:r>
                    <w:rPr>
                      <w:rFonts w:hint="eastAsia"/>
                      <w:color w:val="000000" w:themeColor="text1"/>
                      <w:szCs w:val="24"/>
                    </w:rPr>
                    <w:t>，同时对事故池铺设</w:t>
                  </w:r>
                  <w:r>
                    <w:rPr>
                      <w:color w:val="000000" w:themeColor="text1"/>
                      <w:szCs w:val="24"/>
                    </w:rPr>
                    <w:t>土工防渗膜</w:t>
                  </w:r>
                  <w:r>
                    <w:rPr>
                      <w:rFonts w:hint="eastAsia"/>
                      <w:color w:val="000000" w:themeColor="text1"/>
                      <w:szCs w:val="24"/>
                    </w:rPr>
                    <w:t>，另外</w:t>
                  </w:r>
                  <w:r>
                    <w:rPr>
                      <w:color w:val="000000" w:themeColor="text1"/>
                      <w:szCs w:val="24"/>
                    </w:rPr>
                    <w:t>项目拟对含油类及腐蚀性类液态类贮存区再次铺设土工防渗膜，确保危险废物在贮存及储运过程不对现有厂区地面进行污染。</w:t>
                  </w:r>
                </w:p>
              </w:tc>
              <w:tc>
                <w:tcPr>
                  <w:tcW w:w="62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5</w:t>
                  </w:r>
                </w:p>
              </w:tc>
              <w:tc>
                <w:tcPr>
                  <w:tcW w:w="4026" w:type="dxa"/>
                  <w:vAlign w:val="center"/>
                </w:tcPr>
                <w:p>
                  <w:pPr>
                    <w:pStyle w:val="29"/>
                    <w:spacing w:line="360" w:lineRule="exact"/>
                    <w:ind w:firstLine="200" w:firstLineChars="100"/>
                    <w:jc w:val="both"/>
                    <w:rPr>
                      <w:color w:val="000000" w:themeColor="text1"/>
                      <w:szCs w:val="21"/>
                    </w:rPr>
                  </w:pPr>
                  <w:r>
                    <w:rPr>
                      <w:color w:val="000000" w:themeColor="text1"/>
                      <w:sz w:val="20"/>
                      <w:szCs w:val="21"/>
                    </w:rPr>
                    <w:t>建议园区入园项目避开河道管理范围，并根据河道管理的相关要求，开展涉河项目洪水影响评价，并征求水务部门的意见，满足《昆明市河道管理条例》的要求。</w:t>
                  </w:r>
                </w:p>
              </w:tc>
              <w:tc>
                <w:tcPr>
                  <w:tcW w:w="3420" w:type="dxa"/>
                  <w:vAlign w:val="center"/>
                </w:tcPr>
                <w:p>
                  <w:pPr>
                    <w:pStyle w:val="29"/>
                    <w:spacing w:line="360" w:lineRule="exact"/>
                    <w:ind w:firstLine="210" w:firstLineChars="100"/>
                    <w:jc w:val="both"/>
                    <w:rPr>
                      <w:color w:val="000000" w:themeColor="text1"/>
                      <w:szCs w:val="21"/>
                    </w:rPr>
                  </w:pPr>
                  <w:r>
                    <w:rPr>
                      <w:color w:val="000000" w:themeColor="text1"/>
                      <w:szCs w:val="21"/>
                    </w:rPr>
                    <w:t>该项目位于</w:t>
                  </w:r>
                  <w:r>
                    <w:rPr>
                      <w:color w:val="000000" w:themeColor="text1"/>
                      <w:sz w:val="20"/>
                      <w:szCs w:val="21"/>
                    </w:rPr>
                    <w:t>云南东川产业园区四方地片区昆明旭鑫环保科技有限公司厂区，</w:t>
                  </w:r>
                  <w:r>
                    <w:rPr>
                      <w:color w:val="000000" w:themeColor="text1"/>
                      <w:szCs w:val="21"/>
                    </w:rPr>
                    <w:t>不涉及</w:t>
                  </w:r>
                  <w:r>
                    <w:rPr>
                      <w:color w:val="000000" w:themeColor="text1"/>
                      <w:sz w:val="20"/>
                      <w:szCs w:val="21"/>
                    </w:rPr>
                    <w:t>河道管理范围。</w:t>
                  </w:r>
                </w:p>
              </w:tc>
              <w:tc>
                <w:tcPr>
                  <w:tcW w:w="62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由上表可知，该项目建设符合规划环评结论的相关要求。</w:t>
            </w:r>
          </w:p>
          <w:p>
            <w:pPr>
              <w:spacing w:line="360" w:lineRule="auto"/>
              <w:ind w:firstLine="482" w:firstLineChars="200"/>
              <w:rPr>
                <w:rFonts w:ascii="Times New Roman" w:hAnsi="Times New Roman" w:cs="Times New Roman"/>
                <w:b/>
                <w:color w:val="000000" w:themeColor="text1"/>
                <w:sz w:val="24"/>
              </w:rPr>
            </w:pPr>
            <w:r>
              <w:rPr>
                <w:rFonts w:ascii="Times New Roman" w:hAnsi="宋体" w:cs="Times New Roman"/>
                <w:b/>
                <w:color w:val="000000" w:themeColor="text1"/>
                <w:sz w:val="24"/>
              </w:rPr>
              <w:t>②</w:t>
            </w:r>
            <w:r>
              <w:rPr>
                <w:rFonts w:ascii="Times New Roman" w:cs="Times New Roman"/>
                <w:b/>
                <w:color w:val="000000" w:themeColor="text1"/>
                <w:sz w:val="24"/>
              </w:rPr>
              <w:t>入驻项目</w:t>
            </w:r>
            <w:r>
              <w:rPr>
                <w:rFonts w:ascii="Times New Roman" w:hAnsi="Times New Roman" w:cs="Times New Roman"/>
                <w:b/>
                <w:color w:val="000000" w:themeColor="text1"/>
                <w:sz w:val="24"/>
              </w:rPr>
              <w:t>与</w:t>
            </w:r>
            <w:r>
              <w:rPr>
                <w:rFonts w:ascii="Times New Roman" w:cs="Times New Roman"/>
                <w:b/>
                <w:color w:val="000000" w:themeColor="text1"/>
                <w:sz w:val="24"/>
              </w:rPr>
              <w:t>园区规划环境准入负面清单</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cs="Times New Roman"/>
                <w:color w:val="000000" w:themeColor="text1"/>
                <w:sz w:val="24"/>
              </w:rPr>
            </w:pPr>
            <w:r>
              <w:rPr>
                <w:rFonts w:ascii="Times New Roman" w:cs="Times New Roman"/>
                <w:color w:val="000000" w:themeColor="text1"/>
                <w:sz w:val="24"/>
              </w:rPr>
              <w:t>查阅《云南东川产业园区总体规划修编（2021-2035）环境影响报告书》，该项目与园区规划环境准入负面清单的符合性分析如下表所示。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园区规划环境准入负面清单的符合性分析一览表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315"/>
              <w:gridCol w:w="3969"/>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要求</w:t>
                  </w:r>
                </w:p>
              </w:tc>
              <w:tc>
                <w:tcPr>
                  <w:tcW w:w="3315" w:type="dxa"/>
                  <w:vAlign w:val="center"/>
                </w:tcPr>
                <w:p>
                  <w:pPr>
                    <w:pStyle w:val="29"/>
                    <w:spacing w:line="360" w:lineRule="exact"/>
                    <w:rPr>
                      <w:rFonts w:eastAsiaTheme="minorEastAsia"/>
                      <w:color w:val="000000" w:themeColor="text1"/>
                      <w:szCs w:val="21"/>
                    </w:rPr>
                  </w:pPr>
                  <w:r>
                    <w:rPr>
                      <w:rFonts w:eastAsiaTheme="minorEastAsia"/>
                      <w:color w:val="000000" w:themeColor="text1"/>
                      <w:sz w:val="20"/>
                      <w:szCs w:val="21"/>
                    </w:rPr>
                    <w:t>规划环境准入负面清单</w:t>
                  </w:r>
                </w:p>
              </w:tc>
              <w:tc>
                <w:tcPr>
                  <w:tcW w:w="396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8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w:t>
                  </w:r>
                </w:p>
              </w:tc>
              <w:tc>
                <w:tcPr>
                  <w:tcW w:w="3315" w:type="dxa"/>
                  <w:vAlign w:val="center"/>
                </w:tcPr>
                <w:p>
                  <w:pPr>
                    <w:pStyle w:val="29"/>
                    <w:spacing w:line="360" w:lineRule="exact"/>
                    <w:ind w:firstLine="210" w:firstLineChars="100"/>
                    <w:jc w:val="both"/>
                    <w:rPr>
                      <w:color w:val="000000" w:themeColor="text1"/>
                      <w:szCs w:val="21"/>
                    </w:rPr>
                  </w:pPr>
                  <w:r>
                    <w:rPr>
                      <w:color w:val="000000" w:themeColor="text1"/>
                      <w:szCs w:val="21"/>
                    </w:rPr>
                    <w:t>不符合园区规划产业的项目</w:t>
                  </w:r>
                </w:p>
              </w:tc>
              <w:tc>
                <w:tcPr>
                  <w:tcW w:w="3969"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东川网点主要对东川区及寻甸境内的小微企业产生的18大类、65小类危险废物进行统一收集后，委托有资质的单位进行处理，属于"加大对电池等危险废物无害化处理力度"范畴，符合云南东川产业园区四方地片区的产业定位。</w:t>
                  </w:r>
                </w:p>
              </w:tc>
              <w:tc>
                <w:tcPr>
                  <w:tcW w:w="78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3315" w:type="dxa"/>
                  <w:vAlign w:val="center"/>
                </w:tcPr>
                <w:p>
                  <w:pPr>
                    <w:pStyle w:val="29"/>
                    <w:spacing w:line="360" w:lineRule="exact"/>
                    <w:ind w:firstLine="210" w:firstLineChars="100"/>
                    <w:jc w:val="both"/>
                    <w:rPr>
                      <w:color w:val="000000" w:themeColor="text1"/>
                      <w:szCs w:val="21"/>
                    </w:rPr>
                  </w:pPr>
                  <w:r>
                    <w:rPr>
                      <w:color w:val="000000" w:themeColor="text1"/>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969"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该项目属于小微企业危险废物收集试点项目，属于《产业结构调整指导目录（2019 年本）》（国家发展和改革委员会令第29号），该项目属于鼓励类“四十三、环境保护与资源节约综合利用”中“15、‘三废’综合利用与治理技术、装备和工程”。不属于《产业结构调整指导目录（2019 年本）》、《云南省工业产业结构调整指导目录（2006 年本）》、《外商投资产业指导目录（2015 修订）》、《产业转移指导目录（2012 年本）》等文件中淘汰类的项目；不属于《环境保护综合名录（2021 年版）》中高风险高污染行业；不属于《工商投资领域制止重复建设目录》、《禁止外商投资产业目录》、《严重污染环境的淘汰工艺与设备名录》。</w:t>
                  </w:r>
                </w:p>
              </w:tc>
              <w:tc>
                <w:tcPr>
                  <w:tcW w:w="78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w:t>
                  </w:r>
                </w:p>
              </w:tc>
              <w:tc>
                <w:tcPr>
                  <w:tcW w:w="3315" w:type="dxa"/>
                  <w:vAlign w:val="center"/>
                </w:tcPr>
                <w:p>
                  <w:pPr>
                    <w:pStyle w:val="29"/>
                    <w:spacing w:line="360" w:lineRule="exact"/>
                    <w:ind w:firstLine="210" w:firstLineChars="100"/>
                    <w:jc w:val="both"/>
                    <w:rPr>
                      <w:color w:val="000000" w:themeColor="text1"/>
                      <w:szCs w:val="21"/>
                    </w:rPr>
                  </w:pPr>
                  <w:r>
                    <w:rPr>
                      <w:color w:val="000000" w:themeColor="text1"/>
                      <w:szCs w:val="21"/>
                    </w:rPr>
                    <w:t>单位产值水耗、能耗、污染物产生和排放量等清洁生产指标低于国内平均水平的产业（项目）</w:t>
                  </w:r>
                </w:p>
              </w:tc>
              <w:tc>
                <w:tcPr>
                  <w:tcW w:w="3969"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东川网点主要对东川区及寻甸境内的小微企业产生的18大类、65小类危险废物进行统一收集后，委托有资质的单位进行处理，不涉及用水，能耗、污染物产生和排放量等清洁生产指标均可低于国内平均水平。</w:t>
                  </w:r>
                </w:p>
              </w:tc>
              <w:tc>
                <w:tcPr>
                  <w:tcW w:w="78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由上表可知，该项目不属于园区规划环境准入负面清单内项目。</w:t>
            </w:r>
          </w:p>
          <w:p>
            <w:pPr>
              <w:spacing w:line="360" w:lineRule="auto"/>
              <w:ind w:firstLine="482" w:firstLineChars="200"/>
              <w:rPr>
                <w:rFonts w:ascii="Times New Roman" w:hAnsi="Times New Roman" w:cs="Times New Roman"/>
                <w:b/>
                <w:color w:val="000000" w:themeColor="text1"/>
                <w:sz w:val="24"/>
              </w:rPr>
            </w:pPr>
            <w:r>
              <w:rPr>
                <w:rFonts w:ascii="Times New Roman" w:hAnsi="宋体" w:cs="Times New Roman"/>
                <w:b/>
                <w:color w:val="000000" w:themeColor="text1"/>
                <w:sz w:val="24"/>
              </w:rPr>
              <w:t>③</w:t>
            </w:r>
            <w:r>
              <w:rPr>
                <w:rFonts w:ascii="Times New Roman" w:hAnsi="Times New Roman" w:cs="Times New Roman"/>
                <w:b/>
                <w:color w:val="000000" w:themeColor="text1"/>
                <w:sz w:val="24"/>
              </w:rPr>
              <w:t>与</w:t>
            </w:r>
            <w:r>
              <w:rPr>
                <w:rFonts w:ascii="Times New Roman" w:cs="Times New Roman"/>
                <w:b/>
                <w:color w:val="000000" w:themeColor="text1"/>
                <w:sz w:val="24"/>
              </w:rPr>
              <w:t>园区规划环评审查意见</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cs="Times New Roman"/>
                <w:color w:val="000000" w:themeColor="text1"/>
                <w:sz w:val="24"/>
              </w:rPr>
            </w:pPr>
            <w:r>
              <w:rPr>
                <w:rFonts w:ascii="Times New Roman" w:cs="Times New Roman"/>
                <w:color w:val="000000" w:themeColor="text1"/>
                <w:sz w:val="24"/>
              </w:rPr>
              <w:t>查阅《昆明市生态环境局关于云南东川产业园区总体规划修编（</w:t>
            </w:r>
            <w:r>
              <w:rPr>
                <w:rFonts w:ascii="Times New Roman" w:hAnsi="Times New Roman" w:cs="Times New Roman"/>
                <w:color w:val="000000" w:themeColor="text1"/>
                <w:sz w:val="24"/>
              </w:rPr>
              <w:t>2021-2035</w:t>
            </w:r>
            <w:r>
              <w:rPr>
                <w:rFonts w:ascii="Times New Roman" w:cs="Times New Roman"/>
                <w:color w:val="000000" w:themeColor="text1"/>
                <w:sz w:val="24"/>
              </w:rPr>
              <w:t>）环境影响报告书的审查意见》，该项目与规划环评结论符合性分析如下表所示。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表1-3 与园区规划环评结论符合性分析一览表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要求</w:t>
                  </w:r>
                </w:p>
              </w:tc>
              <w:tc>
                <w:tcPr>
                  <w:tcW w:w="3983" w:type="dxa"/>
                  <w:vAlign w:val="center"/>
                </w:tcPr>
                <w:p>
                  <w:pPr>
                    <w:pStyle w:val="29"/>
                    <w:spacing w:line="360" w:lineRule="exact"/>
                    <w:rPr>
                      <w:color w:val="000000" w:themeColor="text1"/>
                      <w:szCs w:val="21"/>
                    </w:rPr>
                  </w:pPr>
                  <w:r>
                    <w:rPr>
                      <w:color w:val="000000" w:themeColor="text1"/>
                      <w:szCs w:val="21"/>
                    </w:rPr>
                    <w:t>审查意见要求</w:t>
                  </w:r>
                </w:p>
              </w:tc>
              <w:tc>
                <w:tcPr>
                  <w:tcW w:w="3384" w:type="dxa"/>
                  <w:vAlign w:val="center"/>
                </w:tcPr>
                <w:p>
                  <w:pPr>
                    <w:pStyle w:val="29"/>
                    <w:spacing w:line="360" w:lineRule="exact"/>
                    <w:rPr>
                      <w:color w:val="000000" w:themeColor="text1"/>
                      <w:szCs w:val="21"/>
                    </w:rPr>
                  </w:pPr>
                  <w:r>
                    <w:rPr>
                      <w:color w:val="000000" w:themeColor="text1"/>
                      <w:szCs w:val="21"/>
                    </w:rPr>
                    <w:t>项目实际情况</w:t>
                  </w:r>
                </w:p>
              </w:tc>
              <w:tc>
                <w:tcPr>
                  <w:tcW w:w="619" w:type="dxa"/>
                  <w:vAlign w:val="center"/>
                </w:tcPr>
                <w:p>
                  <w:pPr>
                    <w:pStyle w:val="29"/>
                    <w:spacing w:line="360" w:lineRule="exact"/>
                    <w:rPr>
                      <w:color w:val="000000" w:themeColor="text1"/>
                      <w:szCs w:val="21"/>
                    </w:rPr>
                  </w:pPr>
                  <w:r>
                    <w:rPr>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1</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2018年）》中污染物的企业。</w:t>
                  </w:r>
                </w:p>
              </w:tc>
              <w:tc>
                <w:tcPr>
                  <w:tcW w:w="3384"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东川网点主要对东川区及寻甸境内的小微企业产生的18大类、65小类危险废物进行统一收集后，委托有资质的单位进行处理，不属于有色金属冶炼、化工、建材等“两高”行业，因此不需要废气主要污染物区域“等量削减”；也不属于重金属重点行业，因此不需要进行重金属污染物“减量削减”；该项目主要污染物为有机废气（非甲烷总烃）、酸性废气（HCl）、恶臭废气（氨、硫化氢和臭气浓度）</w:t>
                  </w:r>
                  <w:r>
                    <w:rPr>
                      <w:rFonts w:hint="eastAsia"/>
                      <w:color w:val="000000" w:themeColor="text1"/>
                      <w:szCs w:val="21"/>
                    </w:rPr>
                    <w:t>，项目审批前将向昆明市生态环境局东川分局申请总量指标。</w:t>
                  </w:r>
                </w:p>
              </w:tc>
              <w:tc>
                <w:tcPr>
                  <w:tcW w:w="619" w:type="dxa"/>
                  <w:vAlign w:val="center"/>
                </w:tcPr>
                <w:p>
                  <w:pPr>
                    <w:pStyle w:val="29"/>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2</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规划》产业布局、发展规模应严格执行《中华人民共和国长江保护法》、《长江经济带发展负面清单指南（试行，2022年版）》、《云南省长江经济带发展负面清单指南实施细则（试行，2022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29"/>
                    <w:spacing w:line="360" w:lineRule="exact"/>
                    <w:ind w:firstLine="210" w:firstLineChars="100"/>
                    <w:jc w:val="both"/>
                    <w:rPr>
                      <w:color w:val="000000" w:themeColor="text1"/>
                      <w:szCs w:val="21"/>
                    </w:rPr>
                  </w:pPr>
                  <w:r>
                    <w:rPr>
                      <w:color w:val="000000" w:themeColor="text1"/>
                      <w:szCs w:val="21"/>
                    </w:rPr>
                    <w:t>根据分析，该项目不属于化工项目，项目建设符合《中华人民共和国长江保护法》、《长江经济带发展负面清单指南（试行，2022年版）》、《云南省长江经济带发展负面清单指南实施细则（试行，2022年版）》等相关规定。</w:t>
                  </w:r>
                </w:p>
              </w:tc>
              <w:tc>
                <w:tcPr>
                  <w:tcW w:w="619" w:type="dxa"/>
                  <w:vAlign w:val="center"/>
                </w:tcPr>
                <w:p>
                  <w:pPr>
                    <w:pStyle w:val="29"/>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3</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根据国家、云南省和“三线一单”有关大气污染防洽的相关要求，落实主要污染物区域削减方案，严格执行园区大气污染物管控要求，合理确定产业规模、布局、建设时序。有色金属冶炼、化工、建材等“两高”行业应实行主要污染物区域等量削滅，重点行业重点重金属排放减量替代比例不得低于1.2：1，铅锌冶炼和铜治炼企业须执行颗粒物和重点重金属污染物特别排放限值。</w:t>
                  </w:r>
                </w:p>
              </w:tc>
              <w:tc>
                <w:tcPr>
                  <w:tcW w:w="3384" w:type="dxa"/>
                  <w:vAlign w:val="center"/>
                </w:tcPr>
                <w:p>
                  <w:pPr>
                    <w:pStyle w:val="29"/>
                    <w:spacing w:line="360" w:lineRule="exact"/>
                    <w:ind w:firstLine="210" w:firstLineChars="100"/>
                    <w:jc w:val="both"/>
                    <w:rPr>
                      <w:color w:val="000000" w:themeColor="text1"/>
                      <w:szCs w:val="21"/>
                    </w:rPr>
                  </w:pPr>
                  <w:r>
                    <w:rPr>
                      <w:color w:val="000000" w:themeColor="text1"/>
                      <w:szCs w:val="21"/>
                    </w:rPr>
                    <w:t>项目建设符合云南省和“三线一单”有关大气污染防洽的相关要求，项目不属于有色金属冶炼、化工、建材等“两高”行业，因此不需要废气主要污染物区域“等量削减”；也不属于重金属重点行业，因此不需要进行重金属污染物“减量削减”。</w:t>
                  </w:r>
                </w:p>
              </w:tc>
              <w:tc>
                <w:tcPr>
                  <w:tcW w:w="619" w:type="dxa"/>
                  <w:vAlign w:val="center"/>
                </w:tcPr>
                <w:p>
                  <w:pPr>
                    <w:pStyle w:val="29"/>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4</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29"/>
                    <w:spacing w:line="360" w:lineRule="exact"/>
                    <w:ind w:firstLine="210" w:firstLineChars="100"/>
                    <w:jc w:val="both"/>
                    <w:rPr>
                      <w:color w:val="000000" w:themeColor="text1"/>
                      <w:szCs w:val="21"/>
                    </w:rPr>
                  </w:pPr>
                  <w:r>
                    <w:rPr>
                      <w:color w:val="000000" w:themeColor="text1"/>
                      <w:szCs w:val="21"/>
                    </w:rPr>
                    <w:t>该项目东川网点主要对东川区及寻甸境内的小微企业产生的18大类、65小类危险废物进行统一收集后，委托有资质的单位进行处理，厂区内污染物主要是各类危险废物在贮存过程产生，针对小微企业危险废物贮存库区产生的废气，通过1套负压收集系统对其收集后，拟设置1套废气处理装置对其进行处理，处理后通过1根Φ0.68、高15m的排气筒（DA001）外排。</w:t>
                  </w:r>
                </w:p>
              </w:tc>
              <w:tc>
                <w:tcPr>
                  <w:tcW w:w="619" w:type="dxa"/>
                  <w:vAlign w:val="center"/>
                </w:tcPr>
                <w:p>
                  <w:pPr>
                    <w:pStyle w:val="29"/>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5</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重视园区废水收集、处理、回用、排放的环境管理。全面实施“雨污分流”“清污分流”制度，提高入驻企业工业用水重复利用率和中水回用率。</w:t>
                  </w:r>
                </w:p>
              </w:tc>
              <w:tc>
                <w:tcPr>
                  <w:tcW w:w="3384" w:type="dxa"/>
                  <w:vAlign w:val="center"/>
                </w:tcPr>
                <w:p>
                  <w:pPr>
                    <w:pStyle w:val="29"/>
                    <w:spacing w:line="360" w:lineRule="exact"/>
                    <w:ind w:firstLine="210" w:firstLineChars="100"/>
                    <w:jc w:val="both"/>
                    <w:rPr>
                      <w:color w:val="000000" w:themeColor="text1"/>
                      <w:szCs w:val="21"/>
                    </w:rPr>
                  </w:pPr>
                  <w:r>
                    <w:rPr>
                      <w:color w:val="000000" w:themeColor="text1"/>
                      <w:szCs w:val="21"/>
                    </w:rPr>
                    <w:t>项目无生产废水外排。</w:t>
                  </w:r>
                </w:p>
              </w:tc>
              <w:tc>
                <w:tcPr>
                  <w:tcW w:w="619" w:type="dxa"/>
                  <w:vAlign w:val="center"/>
                </w:tcPr>
                <w:p>
                  <w:pPr>
                    <w:pStyle w:val="29"/>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6</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入驻企业按相关规范要求采取针对性防渗措施，确保区域地下水安全。</w:t>
                  </w:r>
                </w:p>
              </w:tc>
              <w:tc>
                <w:tcPr>
                  <w:tcW w:w="338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根据分区防渗规范要求，</w:t>
                  </w:r>
                  <w:r>
                    <w:rPr>
                      <w:color w:val="000000" w:themeColor="text1"/>
                      <w:szCs w:val="24"/>
                    </w:rPr>
                    <w:t>项目</w:t>
                  </w:r>
                  <w:r>
                    <w:rPr>
                      <w:rFonts w:hint="eastAsia"/>
                      <w:color w:val="000000" w:themeColor="text1"/>
                      <w:szCs w:val="24"/>
                    </w:rPr>
                    <w:t>贮存区、导流渠、</w:t>
                  </w:r>
                  <w:r>
                    <w:rPr>
                      <w:color w:val="000000" w:themeColor="text1"/>
                      <w:szCs w:val="24"/>
                    </w:rPr>
                    <w:t>渗滤液收集池</w:t>
                  </w:r>
                  <w:r>
                    <w:rPr>
                      <w:rFonts w:hint="eastAsia"/>
                      <w:color w:val="000000" w:themeColor="text1"/>
                      <w:szCs w:val="24"/>
                    </w:rPr>
                    <w:t>、事故池等所有区域</w:t>
                  </w:r>
                  <w:r>
                    <w:rPr>
                      <w:color w:val="000000" w:themeColor="text1"/>
                      <w:szCs w:val="24"/>
                    </w:rPr>
                    <w:t>均属于重点防渗区，根据调查，项目全部区域均采用复合土工膜防渗后，再浇筑混凝土；该复合土工膜防渗云南睿利能工程材料制造有限公司生产的土工膜，根据其检测报告，其防渗系数达到渗透系数≤2.3×10</w:t>
                  </w:r>
                  <w:r>
                    <w:rPr>
                      <w:color w:val="000000" w:themeColor="text1"/>
                      <w:szCs w:val="24"/>
                      <w:vertAlign w:val="superscript"/>
                    </w:rPr>
                    <w:t>-12</w:t>
                  </w:r>
                  <w:r>
                    <w:rPr>
                      <w:color w:val="000000" w:themeColor="text1"/>
                      <w:szCs w:val="24"/>
                    </w:rPr>
                    <w:t>cm/s，满足渗透系数≤10</w:t>
                  </w:r>
                  <w:r>
                    <w:rPr>
                      <w:color w:val="000000" w:themeColor="text1"/>
                      <w:szCs w:val="24"/>
                      <w:vertAlign w:val="superscript"/>
                    </w:rPr>
                    <w:t>-10</w:t>
                  </w:r>
                  <w:r>
                    <w:rPr>
                      <w:color w:val="000000" w:themeColor="text1"/>
                      <w:szCs w:val="24"/>
                    </w:rPr>
                    <w:t>cm/s的要求</w:t>
                  </w:r>
                  <w:r>
                    <w:rPr>
                      <w:rFonts w:hint="eastAsia"/>
                      <w:color w:val="000000" w:themeColor="text1"/>
                      <w:szCs w:val="24"/>
                    </w:rPr>
                    <w:t>；但在导流渠、</w:t>
                  </w:r>
                  <w:r>
                    <w:rPr>
                      <w:color w:val="000000" w:themeColor="text1"/>
                      <w:szCs w:val="24"/>
                    </w:rPr>
                    <w:t>渗滤液收集池</w:t>
                  </w:r>
                  <w:r>
                    <w:rPr>
                      <w:rFonts w:hint="eastAsia"/>
                      <w:color w:val="000000" w:themeColor="text1"/>
                      <w:szCs w:val="24"/>
                    </w:rPr>
                    <w:t>的施工过程中，会对原有防渗层造成进行局部破坏，因此项目拟对导流渠、</w:t>
                  </w:r>
                  <w:r>
                    <w:rPr>
                      <w:color w:val="000000" w:themeColor="text1"/>
                      <w:szCs w:val="24"/>
                    </w:rPr>
                    <w:t>渗滤液收集池</w:t>
                  </w:r>
                  <w:r>
                    <w:rPr>
                      <w:rFonts w:hint="eastAsia"/>
                      <w:color w:val="000000" w:themeColor="text1"/>
                      <w:szCs w:val="24"/>
                    </w:rPr>
                    <w:t>重新铺设</w:t>
                  </w:r>
                  <w:r>
                    <w:rPr>
                      <w:color w:val="000000" w:themeColor="text1"/>
                      <w:szCs w:val="24"/>
                    </w:rPr>
                    <w:t>土工防渗膜</w:t>
                  </w:r>
                  <w:r>
                    <w:rPr>
                      <w:rFonts w:hint="eastAsia"/>
                      <w:color w:val="000000" w:themeColor="text1"/>
                      <w:szCs w:val="24"/>
                    </w:rPr>
                    <w:t>，同时对事故池铺设</w:t>
                  </w:r>
                  <w:r>
                    <w:rPr>
                      <w:color w:val="000000" w:themeColor="text1"/>
                      <w:szCs w:val="24"/>
                    </w:rPr>
                    <w:t>土工防渗膜</w:t>
                  </w:r>
                  <w:r>
                    <w:rPr>
                      <w:rFonts w:hint="eastAsia"/>
                      <w:color w:val="000000" w:themeColor="text1"/>
                      <w:szCs w:val="24"/>
                    </w:rPr>
                    <w:t>，另外</w:t>
                  </w:r>
                  <w:r>
                    <w:rPr>
                      <w:color w:val="000000" w:themeColor="text1"/>
                      <w:szCs w:val="24"/>
                    </w:rPr>
                    <w:t>项目拟对含油类及腐蚀性类液态类贮存区再次铺设土工防渗膜，确保危险废物在贮存及储运过程不对现有厂区地面进行污染。</w:t>
                  </w:r>
                </w:p>
              </w:tc>
              <w:tc>
                <w:tcPr>
                  <w:tcW w:w="619" w:type="dxa"/>
                  <w:vAlign w:val="center"/>
                </w:tcPr>
                <w:p>
                  <w:pPr>
                    <w:pStyle w:val="29"/>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9"/>
                    <w:spacing w:line="360" w:lineRule="exact"/>
                    <w:rPr>
                      <w:color w:val="000000" w:themeColor="text1"/>
                      <w:szCs w:val="21"/>
                    </w:rPr>
                  </w:pPr>
                  <w:r>
                    <w:rPr>
                      <w:color w:val="000000" w:themeColor="text1"/>
                      <w:szCs w:val="21"/>
                    </w:rPr>
                    <w:t>7</w:t>
                  </w:r>
                </w:p>
              </w:tc>
              <w:tc>
                <w:tcPr>
                  <w:tcW w:w="3983" w:type="dxa"/>
                  <w:vAlign w:val="center"/>
                </w:tcPr>
                <w:p>
                  <w:pPr>
                    <w:pStyle w:val="29"/>
                    <w:spacing w:line="360" w:lineRule="exact"/>
                    <w:ind w:firstLine="210" w:firstLineChars="100"/>
                    <w:jc w:val="both"/>
                    <w:rPr>
                      <w:color w:val="000000" w:themeColor="text1"/>
                      <w:szCs w:val="21"/>
                    </w:rPr>
                  </w:pPr>
                  <w:r>
                    <w:rPr>
                      <w:color w:val="000000" w:themeColor="text1"/>
                      <w:szCs w:val="21"/>
                    </w:rPr>
                    <w:t>〔四）制定准入清单，严格入园项目生态环境准入管理。加强“两高”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三线一单”大气、水、土壤等重点管控单元要求。</w:t>
                  </w:r>
                </w:p>
              </w:tc>
              <w:tc>
                <w:tcPr>
                  <w:tcW w:w="3384"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东川网点主要对东川区及寻甸境内的小微企业产生的18大类、65小类危险废物进行统一收集后，委托有资质的单位进行处理，不涉及用水，其单位产值能耗、污染物产生和排放量等均可达到国内先进水平。项目符合国家产业政策、产业布局规划要求，符合“三线一单”大气、水、土壤等重点管控单元要求。</w:t>
                  </w:r>
                </w:p>
              </w:tc>
              <w:tc>
                <w:tcPr>
                  <w:tcW w:w="619" w:type="dxa"/>
                  <w:vAlign w:val="center"/>
                </w:tcPr>
                <w:p>
                  <w:pPr>
                    <w:pStyle w:val="29"/>
                    <w:spacing w:line="360" w:lineRule="exact"/>
                    <w:rPr>
                      <w:color w:val="000000" w:themeColor="text1"/>
                      <w:szCs w:val="21"/>
                    </w:rPr>
                  </w:pPr>
                  <w:r>
                    <w:rPr>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由上表可知，该项目建设符合规划环评审查意见的相关要求。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该项目建设符合《云南东川产业园区总体规划修编（2021-2035）环境影响报告书》及《昆明市生态环境局关于云南东川产业园区总体规划修编（2021-2035）环境影响报告书的审查意见》（昆环审【2023】1号）的管理要求；符合园区的总体规划。</w:t>
            </w: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5"/>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bookmarkStart w:id="3" w:name="_Toc433545018"/>
            <w:r>
              <w:rPr>
                <w:rFonts w:ascii="Times New Roman" w:hAnsi="Times New Roman" w:cs="Times New Roman"/>
                <w:b/>
                <w:color w:val="000000" w:themeColor="text1"/>
                <w:sz w:val="24"/>
                <w:szCs w:val="24"/>
              </w:rPr>
              <w:t>产业政策符合性分析</w:t>
            </w:r>
            <w:bookmarkEnd w:id="3"/>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该项目属于小微企业危险废物收集试点项目，根据《产业结构调整指导目录（2019 年本）》（国家发展和改革委员会令第29号），本项目属于第一类鼓励类“四十三、环境保护与资源节约综合利用”中“15、‘三废’综合利用与治理技术、装备和工程”。同时该项目于2023年5月23日取得了《云南省固定资产投资项目备案证》（项目代码：</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-04-02-</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），因此项目建设符合国家的产业政策。</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东川产业园区四方地片区昆明旭鑫环保科技有限公司厂区，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云南东川产业园区四方地片区昆明旭鑫环保科技有限公司厂区，项目所在地属于云南东川再就业特色产业园区重点管控单元；因此项目建设不涉及一般生态空间。</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生态环境分区管控的实施意见》对环境质量底线设定了2025年和2035年两个目标，该项目位于云南东川产业园区四方地片区昆明旭鑫环保科技有限公司厂区，环境质量底线和该项目相关的要求及符合性分析如下：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-2012）二级标准，属于空气达标区，且该项目的建设不会改变区域环境空气质量功能要求。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类（化学需氧量≤40毫克/升），阳宗海水质达</w:t>
            </w:r>
            <w:r>
              <w:rPr>
                <w:rFonts w:ascii="Times New Roman" w:cs="Times New Roman" w:hAnsiTheme="minorEastAsia"/>
                <w:color w:val="000000" w:themeColor="text1"/>
                <w:sz w:val="24"/>
              </w:rPr>
              <w:t>Ⅲ</w:t>
            </w:r>
            <w:r>
              <w:rPr>
                <w:rFonts w:ascii="Times New Roman" w:hAnsi="Times New Roman" w:cs="Times New Roman"/>
                <w:color w:val="000000" w:themeColor="text1"/>
                <w:sz w:val="24"/>
              </w:rPr>
              <w:t>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根据调查，该项目地表水体小江板河口断面水质可达到《地表水环境质量标准》（GB</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-2002）III类标准；且项目运行期间无生产废水外排，项目员工生活依托厂区办公生活区，生活污水经隔油池、化粪池处理达到《污水排入城镇下水道水质标准》（GB/T31962-2015）B等级标准后，通过园区污水管网进入四方地与碧谷园区污水处理厂处理，项目所在厂区的初期雨水经雨水沟进入厂区东北侧1座容积为680m³初期雨水收集池收集沉淀处理后回用于厂区生产，不外排；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实施方案，项目用水量较小，仅使用碱液喷淋用水（4m³/a）；该项目仅利用昆明旭鑫环保科技有限公司原料暂存库项目中的部分区域（1000m²）建设小微企业危险废物收集试点项目，不新增用地；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该项目位于云南东川产业园区四方地片区昆明旭鑫环保科技有限公司厂区，项目所在地属于云南东川再就业特色产业园区重点管控单元，根据东川区环境管控单元生态环境准入清单的管理要求，该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表1-4 与东川区环境管控单元生态环境准入清单符合性分析一览表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0"/>
              <w:gridCol w:w="775"/>
              <w:gridCol w:w="3518"/>
              <w:gridCol w:w="2874"/>
              <w:gridCol w:w="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单元名称</w:t>
                  </w:r>
                </w:p>
              </w:tc>
              <w:tc>
                <w:tcPr>
                  <w:tcW w:w="4151"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管控要求</w:t>
                  </w:r>
                </w:p>
              </w:tc>
              <w:tc>
                <w:tcPr>
                  <w:tcW w:w="277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重点管控单元</w:t>
                  </w:r>
                </w:p>
              </w:tc>
              <w:tc>
                <w:tcPr>
                  <w:tcW w:w="74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空间布局约束</w:t>
                  </w:r>
                </w:p>
              </w:tc>
              <w:tc>
                <w:tcPr>
                  <w:tcW w:w="3402"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重点发展重化工、有色冶金、铸造、有色金属和稀贵金属加工、机械制造、机电设备、黄金精加工、建筑建材以及食品加工、生物医药行业。</w:t>
                  </w:r>
                </w:p>
              </w:tc>
              <w:tc>
                <w:tcPr>
                  <w:tcW w:w="2779"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该项目属于小微企业危险废物收集试点项目，符合园区功能定位。</w:t>
                  </w:r>
                </w:p>
              </w:tc>
              <w:tc>
                <w:tcPr>
                  <w:tcW w:w="6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9"/>
                    <w:spacing w:line="360" w:lineRule="exact"/>
                    <w:rPr>
                      <w:rFonts w:eastAsiaTheme="minorEastAsia"/>
                      <w:color w:val="000000" w:themeColor="text1"/>
                      <w:szCs w:val="21"/>
                    </w:rPr>
                  </w:pPr>
                </w:p>
              </w:tc>
              <w:tc>
                <w:tcPr>
                  <w:tcW w:w="74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污染物排放管控</w:t>
                  </w:r>
                </w:p>
              </w:tc>
              <w:tc>
                <w:tcPr>
                  <w:tcW w:w="3402"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1.四方地组团禁止再安排重污染企业，防止加重该区域的环境污染。</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2.碧谷片区靠近城区一侧安排居住及轻污染的工业项目，该地区地势较低，不得布置空气污染较重的项目。</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3.对门山片区不宜作为工业片区，作为城市服务功能区，靠近城区一侧应营造绿化带和布置低噪声影响项目。</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4.阿旺片区不宜布局空气污染大的项目。</w:t>
                  </w:r>
                </w:p>
              </w:tc>
              <w:tc>
                <w:tcPr>
                  <w:tcW w:w="2779"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（1）该项目属于小微企业危险废物收集试点项目，不属于重污染企业。</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（2）该项目位于云南东川产业园区四方地片区昆明旭鑫环保科技有限公司厂区，不属于碧谷片区、对门山片区和阿旺片区。</w:t>
                  </w:r>
                </w:p>
              </w:tc>
              <w:tc>
                <w:tcPr>
                  <w:tcW w:w="6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9"/>
                    <w:spacing w:line="360" w:lineRule="exact"/>
                    <w:rPr>
                      <w:rFonts w:eastAsiaTheme="minorEastAsia"/>
                      <w:color w:val="000000" w:themeColor="text1"/>
                      <w:szCs w:val="21"/>
                    </w:rPr>
                  </w:pPr>
                </w:p>
              </w:tc>
              <w:tc>
                <w:tcPr>
                  <w:tcW w:w="74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环境风险防控</w:t>
                  </w:r>
                </w:p>
              </w:tc>
              <w:tc>
                <w:tcPr>
                  <w:tcW w:w="3402"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对门山片区发展生物制药及食品加工业时不得使用氨冷冻方式，以免氨泄露造成风险。</w:t>
                  </w:r>
                </w:p>
              </w:tc>
              <w:tc>
                <w:tcPr>
                  <w:tcW w:w="2779"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该项目位于云南东川产业园区四方地片区昆明旭鑫环保科技有限公司厂区，不在对门山片区。</w:t>
                  </w:r>
                </w:p>
              </w:tc>
              <w:tc>
                <w:tcPr>
                  <w:tcW w:w="6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9"/>
                    <w:spacing w:line="360" w:lineRule="exact"/>
                    <w:rPr>
                      <w:rFonts w:eastAsiaTheme="minorEastAsia"/>
                      <w:color w:val="000000" w:themeColor="text1"/>
                      <w:szCs w:val="21"/>
                    </w:rPr>
                  </w:pPr>
                </w:p>
              </w:tc>
              <w:tc>
                <w:tcPr>
                  <w:tcW w:w="749" w:type="dxa"/>
                  <w:vAlign w:val="center"/>
                </w:tcPr>
                <w:p>
                  <w:pPr>
                    <w:pStyle w:val="29"/>
                    <w:spacing w:line="360" w:lineRule="exact"/>
                    <w:rPr>
                      <w:rFonts w:eastAsiaTheme="minorEastAsia"/>
                      <w:bCs w:val="0"/>
                      <w:snapToGrid/>
                      <w:color w:val="000000" w:themeColor="text1"/>
                      <w:szCs w:val="21"/>
                    </w:rPr>
                  </w:pPr>
                  <w:r>
                    <w:rPr>
                      <w:rFonts w:eastAsiaTheme="minorEastAsia"/>
                      <w:color w:val="000000" w:themeColor="text1"/>
                      <w:szCs w:val="21"/>
                    </w:rPr>
                    <w:t>资源开发效率要求</w:t>
                  </w:r>
                </w:p>
              </w:tc>
              <w:tc>
                <w:tcPr>
                  <w:tcW w:w="3402"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城市污水再生利用率在20%以上。工业污水处理达标率达到100%。</w:t>
                  </w:r>
                </w:p>
              </w:tc>
              <w:tc>
                <w:tcPr>
                  <w:tcW w:w="2779"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项目无工业废水外排。</w:t>
                  </w:r>
                </w:p>
              </w:tc>
              <w:tc>
                <w:tcPr>
                  <w:tcW w:w="6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（3）与《中华人民共和国长江保护法》符合性分析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表1-5 与《中华人民共和国长江保护法》符合性分析一览表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29"/>
                    <w:spacing w:line="360" w:lineRule="exact"/>
                    <w:rPr>
                      <w:color w:val="000000" w:themeColor="text1"/>
                      <w:kern w:val="0"/>
                      <w:szCs w:val="21"/>
                    </w:rPr>
                  </w:pPr>
                  <w:r>
                    <w:rPr>
                      <w:color w:val="000000" w:themeColor="text1"/>
                      <w:kern w:val="0"/>
                      <w:szCs w:val="21"/>
                    </w:rPr>
                    <w:t>序号</w:t>
                  </w:r>
                </w:p>
              </w:tc>
              <w:tc>
                <w:tcPr>
                  <w:tcW w:w="3211" w:type="dxa"/>
                  <w:vAlign w:val="center"/>
                </w:tcPr>
                <w:p>
                  <w:pPr>
                    <w:pStyle w:val="29"/>
                    <w:spacing w:line="360" w:lineRule="exact"/>
                    <w:rPr>
                      <w:color w:val="000000" w:themeColor="text1"/>
                      <w:kern w:val="0"/>
                      <w:szCs w:val="21"/>
                    </w:rPr>
                  </w:pPr>
                  <w:r>
                    <w:rPr>
                      <w:color w:val="000000" w:themeColor="text1"/>
                      <w:kern w:val="0"/>
                      <w:szCs w:val="21"/>
                    </w:rPr>
                    <w:t>中华人民共和国长江保护法要求</w:t>
                  </w:r>
                </w:p>
              </w:tc>
              <w:tc>
                <w:tcPr>
                  <w:tcW w:w="4585" w:type="dxa"/>
                  <w:vAlign w:val="center"/>
                </w:tcPr>
                <w:p>
                  <w:pPr>
                    <w:pStyle w:val="29"/>
                    <w:spacing w:line="360" w:lineRule="exact"/>
                    <w:rPr>
                      <w:color w:val="000000" w:themeColor="text1"/>
                      <w:kern w:val="0"/>
                      <w:szCs w:val="21"/>
                    </w:rPr>
                  </w:pPr>
                  <w:r>
                    <w:rPr>
                      <w:color w:val="000000" w:themeColor="text1"/>
                      <w:kern w:val="0"/>
                      <w:szCs w:val="21"/>
                    </w:rPr>
                    <w:t>该项目实际情况</w:t>
                  </w:r>
                </w:p>
              </w:tc>
              <w:tc>
                <w:tcPr>
                  <w:tcW w:w="783"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29"/>
                    <w:spacing w:line="360" w:lineRule="exact"/>
                    <w:rPr>
                      <w:color w:val="000000" w:themeColor="text1"/>
                      <w:kern w:val="0"/>
                      <w:szCs w:val="21"/>
                    </w:rPr>
                  </w:pPr>
                  <w:r>
                    <w:rPr>
                      <w:color w:val="000000" w:themeColor="text1"/>
                      <w:kern w:val="0"/>
                      <w:szCs w:val="21"/>
                    </w:rPr>
                    <w:t>1</w:t>
                  </w:r>
                </w:p>
              </w:tc>
              <w:tc>
                <w:tcPr>
                  <w:tcW w:w="321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585" w:type="dxa"/>
                  <w:vAlign w:val="center"/>
                </w:tcPr>
                <w:p>
                  <w:pPr>
                    <w:pStyle w:val="29"/>
                    <w:spacing w:line="360" w:lineRule="exact"/>
                    <w:ind w:firstLine="210" w:firstLineChars="100"/>
                    <w:jc w:val="both"/>
                    <w:rPr>
                      <w:color w:val="000000" w:themeColor="text1"/>
                      <w:kern w:val="0"/>
                      <w:szCs w:val="21"/>
                    </w:rPr>
                  </w:pPr>
                  <w:r>
                    <w:rPr>
                      <w:rFonts w:eastAsiaTheme="minorEastAsia"/>
                      <w:color w:val="000000" w:themeColor="text1"/>
                      <w:szCs w:val="21"/>
                    </w:rPr>
                    <w:t>该项目属于小微企业危险废物收集试点项目</w:t>
                  </w:r>
                  <w:r>
                    <w:rPr>
                      <w:color w:val="000000" w:themeColor="text1"/>
                      <w:kern w:val="0"/>
                      <w:szCs w:val="21"/>
                    </w:rPr>
                    <w:t>，不属于化工项目。</w:t>
                  </w:r>
                </w:p>
              </w:tc>
              <w:tc>
                <w:tcPr>
                  <w:tcW w:w="783"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29"/>
                    <w:spacing w:line="360" w:lineRule="exact"/>
                    <w:rPr>
                      <w:color w:val="000000" w:themeColor="text1"/>
                      <w:kern w:val="0"/>
                      <w:szCs w:val="21"/>
                    </w:rPr>
                  </w:pPr>
                  <w:r>
                    <w:rPr>
                      <w:color w:val="000000" w:themeColor="text1"/>
                      <w:kern w:val="0"/>
                      <w:szCs w:val="21"/>
                    </w:rPr>
                    <w:t>2</w:t>
                  </w:r>
                </w:p>
              </w:tc>
              <w:tc>
                <w:tcPr>
                  <w:tcW w:w="321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585" w:type="dxa"/>
                  <w:vAlign w:val="center"/>
                </w:tcPr>
                <w:p>
                  <w:pPr>
                    <w:pStyle w:val="29"/>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9"/>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该项目属于小微企业危险废物收集试点项目，不属于水利部发布18项传统高耗水行业。</w:t>
                  </w:r>
                </w:p>
              </w:tc>
              <w:tc>
                <w:tcPr>
                  <w:tcW w:w="783"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29"/>
                    <w:spacing w:line="360" w:lineRule="exact"/>
                    <w:rPr>
                      <w:color w:val="000000" w:themeColor="text1"/>
                      <w:kern w:val="0"/>
                      <w:szCs w:val="21"/>
                    </w:rPr>
                  </w:pPr>
                  <w:r>
                    <w:rPr>
                      <w:color w:val="000000" w:themeColor="text1"/>
                      <w:kern w:val="0"/>
                      <w:szCs w:val="21"/>
                    </w:rPr>
                    <w:t>3</w:t>
                  </w:r>
                </w:p>
              </w:tc>
              <w:tc>
                <w:tcPr>
                  <w:tcW w:w="321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58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该项目位于云南东川产业园区四方地片区昆明旭鑫环保科技有限公司厂区，该区域不属于长江流域河湖管理范围。</w:t>
                  </w:r>
                </w:p>
              </w:tc>
              <w:tc>
                <w:tcPr>
                  <w:tcW w:w="783" w:type="dxa"/>
                  <w:vAlign w:val="center"/>
                </w:tcPr>
                <w:p>
                  <w:pPr>
                    <w:pStyle w:val="29"/>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0" w:firstLineChars="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（4）与《长江经济带发展负面清单指南（试行，2022年版）》（长江办【2022】7号）》的符合性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2022年1月19日，推动长江经济带发展领导小组办公室关于印发《长江经济带发展负面清单指南（试行，2022年版）的通知》（长江办【2022】7号），该项目位于云南东川产业园区四方地片区昆明旭鑫环保科技有限公司厂区，项目所在区域属于小江汇水范围，小江属于长江的上游主要支流。因此，本环评须分析该项目与《长江经济带发展负面清单指南（试行，2022年版）》的符合性。具体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表1-6 与《长江经济带发展负面清单指南（试行，2022年版）》符合性分析一览表</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4193"/>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序号</w:t>
                  </w:r>
                </w:p>
              </w:tc>
              <w:tc>
                <w:tcPr>
                  <w:tcW w:w="4193" w:type="dxa"/>
                  <w:vAlign w:val="center"/>
                </w:tcPr>
                <w:p>
                  <w:pPr>
                    <w:pStyle w:val="29"/>
                    <w:spacing w:line="360" w:lineRule="exact"/>
                    <w:rPr>
                      <w:color w:val="000000" w:themeColor="text1"/>
                      <w:kern w:val="0"/>
                      <w:szCs w:val="21"/>
                    </w:rPr>
                  </w:pPr>
                  <w:r>
                    <w:rPr>
                      <w:color w:val="000000" w:themeColor="text1"/>
                      <w:kern w:val="0"/>
                      <w:szCs w:val="21"/>
                    </w:rPr>
                    <w:t>《长江经济带发展负面清单指南（试行，2022年版）》要求</w:t>
                  </w:r>
                </w:p>
              </w:tc>
              <w:tc>
                <w:tcPr>
                  <w:tcW w:w="3445" w:type="dxa"/>
                  <w:vAlign w:val="center"/>
                </w:tcPr>
                <w:p>
                  <w:pPr>
                    <w:pStyle w:val="29"/>
                    <w:spacing w:line="360" w:lineRule="exact"/>
                    <w:rPr>
                      <w:color w:val="000000" w:themeColor="text1"/>
                      <w:kern w:val="0"/>
                      <w:szCs w:val="21"/>
                    </w:rPr>
                  </w:pPr>
                  <w:r>
                    <w:rPr>
                      <w:color w:val="000000" w:themeColor="text1"/>
                      <w:kern w:val="0"/>
                      <w:szCs w:val="21"/>
                    </w:rPr>
                    <w:t>该项目实际情况</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禁止建设不符合全国和省级港口布局规划以及港口总体规划的码头项目，禁止建设不符合《长江于线过江通道布局规划》的过长江通道项目。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该项目属于小微企业危险废物收集试点项目，位于云南东川产业园区四方地片区昆明旭鑫环保科技有限公司厂区，不涉及码头及过江通道。</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2</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该项目位于云南东川产业园区四方地片区昆明旭鑫环保科技有限公司厂区，不涉及自然保护区核心区、风景名胜区等特殊敏感区。</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3</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该项目位于云南东川产业园区四方地片区昆明旭鑫环保科技有限公司厂区，不涉及到饮用水水源地的一级保护区或二级保护区。</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4</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该项目属于小微企业危险废物收集试点项目，项目建设符合主体功能定位，项目所在地的纳污水体为小江（清水海-入金沙江口段），不属于水产种植资源保护区的岸线和河段范围。</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5</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项目所在地的纳污水体为小江（清水海-入金沙江口段），该河段不属于《长江岸线保护和开发利用总体规划》划定的岸线保护区，也不属于全国重要江河湖泊水功能区划》划定的河段保护区、保留区。</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6</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禁止未经许可在长江千支流及湖泊新设、改设或扩大排污口。</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项目不在长江千支流及湖泊新设、改设或扩大排污口。</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7</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禁止在“一江一口两湖七河”和332个水生生物保护区开展生产性捕捞。</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8</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该项目属于小微企业危险废物收集试点项目，不属于钢铁、石化、化工、焦化、建材、有色等高污染项目。</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9</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禁止在合规园区外新建、扩建钢铁、石化、化工、焦化、建材、有色、制浆造纸等高污染项目。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该项目属于小微企业危险废物收集试点项目，不属于钢铁、石化、化工、焦化、建材、有色、制浆造纸等高污染项目。</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10</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该项目属于小微企业危险废物收集试点项目，不属于不符合国家石化、现代煤化工等产业布局规划的项目。</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11</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该项目属于小微企业危险废物收集试点项目，根据《产业结构调整指导目录》（2019年本），该项目属于鼓励类“四十三、环境保护与资源节约综合利用”中“15、‘三废’综合利用与治理技术、装备和工程”。</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12</w:t>
                  </w:r>
                </w:p>
              </w:tc>
              <w:tc>
                <w:tcPr>
                  <w:tcW w:w="4193"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法律法规及相关政策文件有更加严格规定的从其规定。</w:t>
                  </w:r>
                </w:p>
              </w:tc>
              <w:tc>
                <w:tcPr>
                  <w:tcW w:w="344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项目将严格执行国家相关法律法规。</w:t>
                  </w:r>
                </w:p>
              </w:tc>
              <w:tc>
                <w:tcPr>
                  <w:tcW w:w="516" w:type="dxa"/>
                  <w:vAlign w:val="center"/>
                </w:tcPr>
                <w:p>
                  <w:pPr>
                    <w:pStyle w:val="29"/>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由上表可知，该项目符合《长江经济带发展负面清单指南（试行，2022年版）》的要求。</w:t>
            </w:r>
          </w:p>
          <w:p>
            <w:pPr>
              <w:spacing w:line="360" w:lineRule="auto"/>
              <w:ind w:firstLine="361" w:firstLineChars="150"/>
              <w:rPr>
                <w:rFonts w:ascii="Times New Roman" w:hAnsi="Times New Roman" w:cs="Times New Roman"/>
                <w:b/>
                <w:color w:val="000000" w:themeColor="text1"/>
                <w:sz w:val="24"/>
                <w:szCs w:val="24"/>
              </w:rPr>
            </w:pPr>
            <w:bookmarkStart w:id="4" w:name="_Toc146789064"/>
            <w:r>
              <w:rPr>
                <w:rFonts w:ascii="Times New Roman" w:hAnsi="Times New Roman" w:cs="Times New Roman"/>
                <w:b/>
                <w:color w:val="000000" w:themeColor="text1"/>
                <w:sz w:val="24"/>
                <w:szCs w:val="24"/>
              </w:rPr>
              <w:t>（5）与《云南省长江经济带发展负面清单指南实施细则（试行，2022年版）》符合性分析</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云南省推动长江经济带发展领导小组办公室于2022年8月19日印发了《云南省长江经济带发展负面清单指南实施细则（试行，2022年版）》，该项目与其符合性见下表。</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表1-7 与《云南省长江经济带发展负面清单指南实施细则（试行，2022年版）》符合性</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序号</w:t>
                  </w:r>
                </w:p>
              </w:tc>
              <w:tc>
                <w:tcPr>
                  <w:tcW w:w="4040" w:type="dxa"/>
                  <w:vAlign w:val="center"/>
                </w:tcPr>
                <w:p>
                  <w:pPr>
                    <w:pStyle w:val="29"/>
                    <w:spacing w:line="360" w:lineRule="exact"/>
                    <w:rPr>
                      <w:color w:val="000000" w:themeColor="text1"/>
                      <w:kern w:val="0"/>
                      <w:szCs w:val="21"/>
                    </w:rPr>
                  </w:pPr>
                  <w:r>
                    <w:rPr>
                      <w:color w:val="000000" w:themeColor="text1"/>
                      <w:kern w:val="0"/>
                      <w:szCs w:val="21"/>
                    </w:rPr>
                    <w:t>《云南省长江经济带发展负面清单指南实施细则（试行，2022年版）》要求</w:t>
                  </w:r>
                </w:p>
              </w:tc>
              <w:tc>
                <w:tcPr>
                  <w:tcW w:w="3331" w:type="dxa"/>
                  <w:vAlign w:val="center"/>
                </w:tcPr>
                <w:p>
                  <w:pPr>
                    <w:pStyle w:val="29"/>
                    <w:spacing w:line="360" w:lineRule="exact"/>
                    <w:rPr>
                      <w:color w:val="000000" w:themeColor="text1"/>
                      <w:kern w:val="0"/>
                      <w:szCs w:val="21"/>
                    </w:rPr>
                  </w:pPr>
                  <w:r>
                    <w:rPr>
                      <w:color w:val="000000" w:themeColor="text1"/>
                      <w:kern w:val="0"/>
                      <w:szCs w:val="21"/>
                    </w:rPr>
                    <w:t>该项目实际情况</w:t>
                  </w:r>
                </w:p>
              </w:tc>
              <w:tc>
                <w:tcPr>
                  <w:tcW w:w="499"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一）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该项目属于小微企业危险废物收集试点项目，位于云南东川产业园区四方地片区昆明旭鑫环保科技有限公司厂区，不涉及码头及过江通道。</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2</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该项目位于云南东川产业园区四方地片区昆明旭鑫环保科技有限公司厂区，不涉及自然保护区核心区、风景名胜区等特殊敏感区。</w:t>
                  </w:r>
                </w:p>
              </w:tc>
              <w:tc>
                <w:tcPr>
                  <w:tcW w:w="499" w:type="dxa"/>
                  <w:vAlign w:val="center"/>
                </w:tcPr>
                <w:p>
                  <w:pPr>
                    <w:pStyle w:val="29"/>
                    <w:spacing w:line="360" w:lineRule="exact"/>
                    <w:rPr>
                      <w:color w:val="000000" w:themeColor="text1"/>
                      <w:kern w:val="0"/>
                      <w:szCs w:val="21"/>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3</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该项目位于云南东川产业园区四方地片区昆明旭鑫环保科技有限公司厂区，不涉及风景名胜区。</w:t>
                  </w:r>
                </w:p>
              </w:tc>
              <w:tc>
                <w:tcPr>
                  <w:tcW w:w="499" w:type="dxa"/>
                  <w:vAlign w:val="center"/>
                </w:tcPr>
                <w:p>
                  <w:pPr>
                    <w:pStyle w:val="29"/>
                    <w:spacing w:line="360" w:lineRule="exact"/>
                    <w:rPr>
                      <w:color w:val="000000" w:themeColor="text1"/>
                      <w:kern w:val="0"/>
                      <w:szCs w:val="21"/>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4</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该项目位于云南东川产业园区四方地片区昆明旭鑫环保科技有限公司厂区，不涉及到饮用水水源地的一级保护区或二级保护区。</w:t>
                  </w:r>
                </w:p>
              </w:tc>
              <w:tc>
                <w:tcPr>
                  <w:tcW w:w="499" w:type="dxa"/>
                  <w:vAlign w:val="center"/>
                </w:tcPr>
                <w:p>
                  <w:pPr>
                    <w:pStyle w:val="29"/>
                    <w:spacing w:line="360" w:lineRule="exact"/>
                    <w:rPr>
                      <w:color w:val="000000" w:themeColor="text1"/>
                      <w:kern w:val="0"/>
                      <w:szCs w:val="21"/>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5</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该项目属于小微企业危险废物收集试点项目，项目建设符合主体功能定位，项目所在地的纳污水体为小江（清水海-入金沙江口段），不属于水产种植资源保护区的岸线和河段范围。</w:t>
                  </w:r>
                </w:p>
              </w:tc>
              <w:tc>
                <w:tcPr>
                  <w:tcW w:w="499" w:type="dxa"/>
                  <w:vAlign w:val="center"/>
                </w:tcPr>
                <w:p>
                  <w:pPr>
                    <w:pStyle w:val="29"/>
                    <w:spacing w:line="360" w:lineRule="exact"/>
                    <w:rPr>
                      <w:color w:val="000000" w:themeColor="text1"/>
                      <w:kern w:val="0"/>
                      <w:szCs w:val="21"/>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6</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29"/>
                    <w:spacing w:line="360" w:lineRule="exact"/>
                    <w:rPr>
                      <w:color w:val="000000" w:themeColor="text1"/>
                      <w:kern w:val="0"/>
                      <w:szCs w:val="21"/>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7</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该项目位于云南东川产业园区四方地片区昆明旭鑫环保科技有限公司厂区，不涉及过江基础设施项目；同时，项目不在长江千支流及湖泊新设、改设或扩大排污口。</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8</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（八）禁止在金沙江干流、长江一级支流、水生生物保护区和长江流域禁捕水域开展天然渔业资源生产性捕捞。</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9</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该项目属于小微企业危险废物收集试点项目，不属于钢铁、石化、化工、焦化、建材、有色等高污染项目。</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10</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（十）禁止在合规园区外新建、扩建钢铁、石化、化工、焦化、建材、有色、制浆造纸行业中的高污染项目。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该项目属于小微企业危险废物收集试点项目，不属于钢铁、石化、化工、焦化、建材、有色、制浆造纸等高污染项目。</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11</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不属于不符合国家石化、现代煤化工等产业布局规划的项目。项目不涉及危险化学品，不属于《云南省城镇人口密集区危险化学品生产企业搬迁改造名单》的搬迁改造企业。</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9"/>
                    <w:spacing w:line="360" w:lineRule="exact"/>
                    <w:rPr>
                      <w:color w:val="000000" w:themeColor="text1"/>
                      <w:kern w:val="0"/>
                      <w:szCs w:val="21"/>
                    </w:rPr>
                  </w:pPr>
                  <w:r>
                    <w:rPr>
                      <w:color w:val="000000" w:themeColor="text1"/>
                      <w:kern w:val="0"/>
                      <w:szCs w:val="21"/>
                    </w:rPr>
                    <w:t>12</w:t>
                  </w:r>
                </w:p>
              </w:tc>
              <w:tc>
                <w:tcPr>
                  <w:tcW w:w="4040"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该项目属于小微企业危险废物收集试点项目，根据《产业结构调整指导目录》（2019年本），该项目属于鼓励类“四十三、环境保护与资源节约综合利用”中“15、‘三废’综合利用与治理技术、装备和工程”。</w:t>
                  </w:r>
                </w:p>
              </w:tc>
              <w:tc>
                <w:tcPr>
                  <w:tcW w:w="499" w:type="dxa"/>
                  <w:vAlign w:val="center"/>
                </w:tcPr>
                <w:p>
                  <w:pPr>
                    <w:pStyle w:val="29"/>
                    <w:spacing w:line="360" w:lineRule="exact"/>
                    <w:rPr>
                      <w:color w:val="000000" w:themeColor="text1"/>
                      <w:kern w:val="0"/>
                      <w:szCs w:val="21"/>
                      <w:lang w:val="en-US"/>
                    </w:rPr>
                  </w:pPr>
                  <w:r>
                    <w:rPr>
                      <w:color w:val="000000" w:themeColor="text1"/>
                      <w:kern w:val="0"/>
                      <w:szCs w:val="21"/>
                      <w:lang w:val="en-US"/>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由上表可知，该项目符合《云南省长江经济带发展负面清单指南实施细则（试行，2022年版）》的要求。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该项目属于小微企业危险废物收集试点项目，该项目的建设与《长江经济带生态环境保护规划》的相关要求不相冲突。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（7）与</w:t>
            </w:r>
            <w:bookmarkStart w:id="5" w:name="_Hlk137333127"/>
            <w:r>
              <w:rPr>
                <w:rFonts w:ascii="Times New Roman" w:hAnsi="Times New Roman" w:cs="Times New Roman"/>
                <w:b/>
                <w:color w:val="000000" w:themeColor="text1"/>
                <w:sz w:val="24"/>
                <w:szCs w:val="24"/>
              </w:rPr>
              <w:t>《危险废物贮存污染控制标准》（GB</w:t>
            </w:r>
            <w:r>
              <w:rPr>
                <w:rFonts w:hint="eastAsia" w:ascii="Times New Roman" w:hAnsi="Times New Roman" w:cs="Times New Roman"/>
                <w:b/>
                <w:color w:val="000000" w:themeColor="text1"/>
                <w:sz w:val="24"/>
                <w:szCs w:val="24"/>
                <w:lang w:eastAsia="zh-CN"/>
              </w:rPr>
              <w:t>*****</w:t>
            </w:r>
            <w:r>
              <w:rPr>
                <w:rFonts w:ascii="Times New Roman" w:hAnsi="Times New Roman" w:cs="Times New Roman"/>
                <w:b/>
                <w:color w:val="000000" w:themeColor="text1"/>
                <w:sz w:val="24"/>
                <w:szCs w:val="24"/>
              </w:rPr>
              <w:t>-2023）</w:t>
            </w:r>
            <w:bookmarkEnd w:id="5"/>
            <w:r>
              <w:rPr>
                <w:rFonts w:ascii="Times New Roman" w:hAnsi="Times New Roman" w:cs="Times New Roman"/>
                <w:b/>
                <w:color w:val="000000" w:themeColor="text1"/>
                <w:sz w:val="24"/>
                <w:szCs w:val="24"/>
              </w:rPr>
              <w:t>的相符性分析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项目与《危险废物贮存污染控制标准》（GB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-2023）的相符性分析内容见下表。</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表1-8 与《危险废物贮存污染控制标准》（GB</w:t>
            </w:r>
            <w:r>
              <w:rPr>
                <w:rFonts w:hint="eastAsia" w:ascii="Times New Roman" w:hAnsi="Times New Roman" w:cs="Times New Roman"/>
                <w:b/>
                <w:color w:val="000000" w:themeColor="text1"/>
                <w:lang w:eastAsia="zh-CN"/>
              </w:rPr>
              <w:t>*****</w:t>
            </w:r>
            <w:r>
              <w:rPr>
                <w:rFonts w:ascii="Times New Roman" w:hAnsi="Times New Roman" w:cs="Times New Roman"/>
                <w:b/>
                <w:color w:val="000000" w:themeColor="text1"/>
              </w:rPr>
              <w:t>-2023）的相符性分析一览表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203"/>
              <w:gridCol w:w="316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shd w:val="clear" w:color="auto" w:fill="auto"/>
                  <w:vAlign w:val="center"/>
                </w:tcPr>
                <w:p>
                  <w:pPr>
                    <w:pStyle w:val="29"/>
                    <w:spacing w:line="360" w:lineRule="exact"/>
                    <w:rPr>
                      <w:color w:val="000000" w:themeColor="text1"/>
                      <w:kern w:val="0"/>
                      <w:szCs w:val="21"/>
                    </w:rPr>
                  </w:pPr>
                  <w:r>
                    <w:rPr>
                      <w:color w:val="000000" w:themeColor="text1"/>
                      <w:kern w:val="0"/>
                      <w:szCs w:val="21"/>
                    </w:rPr>
                    <w:t>环节</w:t>
                  </w:r>
                </w:p>
              </w:tc>
              <w:tc>
                <w:tcPr>
                  <w:tcW w:w="4203" w:type="dxa"/>
                  <w:shd w:val="clear" w:color="auto" w:fill="auto"/>
                  <w:vAlign w:val="center"/>
                </w:tcPr>
                <w:p>
                  <w:pPr>
                    <w:pStyle w:val="29"/>
                    <w:spacing w:line="360" w:lineRule="exact"/>
                    <w:rPr>
                      <w:color w:val="000000" w:themeColor="text1"/>
                      <w:kern w:val="0"/>
                      <w:szCs w:val="21"/>
                    </w:rPr>
                  </w:pPr>
                  <w:r>
                    <w:rPr>
                      <w:color w:val="000000" w:themeColor="text1"/>
                      <w:kern w:val="0"/>
                      <w:szCs w:val="21"/>
                    </w:rPr>
                    <w:t>管理要求</w:t>
                  </w:r>
                </w:p>
              </w:tc>
              <w:tc>
                <w:tcPr>
                  <w:tcW w:w="3168" w:type="dxa"/>
                  <w:shd w:val="clear" w:color="auto" w:fill="auto"/>
                  <w:vAlign w:val="center"/>
                </w:tcPr>
                <w:p>
                  <w:pPr>
                    <w:pStyle w:val="29"/>
                    <w:spacing w:line="360" w:lineRule="exact"/>
                    <w:rPr>
                      <w:color w:val="000000" w:themeColor="text1"/>
                      <w:kern w:val="0"/>
                      <w:szCs w:val="21"/>
                    </w:rPr>
                  </w:pPr>
                  <w:r>
                    <w:rPr>
                      <w:color w:val="000000" w:themeColor="text1"/>
                      <w:kern w:val="0"/>
                      <w:szCs w:val="21"/>
                    </w:rPr>
                    <w:t>项目情况</w:t>
                  </w:r>
                </w:p>
              </w:tc>
              <w:tc>
                <w:tcPr>
                  <w:tcW w:w="641" w:type="dxa"/>
                  <w:shd w:val="clear" w:color="auto" w:fill="auto"/>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总体要求</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产生、收集、贮存、利用、处置危险废物的单位应建造危险废物贮存设施或设置贮存场所，并根据需要选择贮存设施类型。</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项目为集中式的危险废物收集贮存单位，设置的各危险废物储存区满足储存需求。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贮存危险废物应根据危险废物的类别、数量、形态、物理化学性质和环境风险等因素，确定贮存设施或场所类型和规模。</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项目按危险废物特性划及贮存期间污染物产生特点，划分不同暂存区，各暂存区满足暂存规模需求。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贮存危险废物应根据危险废物的类别、形态、物理化学性质和污染防治要求进行分类贮存，且应避免危险废物与不相容的物质或材料接触。</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项目根据危险废物的类别、形态、物理化学性质和污染防治要求进行分类贮存，避免危险废物与不相容的物质或材料接触。</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危险废物应根据危险废物的形态、物理化学性质、包装形式和污染物迁移途径，采取措施减少渗滤液及其衍生废物、渗漏的液态废物（简称渗漏液）、粉、VOCs、酸雾、有毒有害大气污染物和刺激性气味气体等污染物的产生，防止其污染环境。</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项目针对废酸、废碱、有机液体区域拟采取渗滤液收集沟及渗滤液收集池以防止渗滤液污染环境。</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危险废物贮存过程产生的液态废物和固态废物应分类收集，按其环境管理要求妥善处理。</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项目已区分液态废物和固态废物并分类收集、暂存。</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贮存设施或场所、容器和包装物应按HJ1276 要求设置危险废物存设施或场所标志、危险废物贮存分区标志和危险废物标签等危险废物识别标志。</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项目暂存区、包装物、容器拟按HJ1276要求设置危险废物存设施或场所标志、危险废物贮存分区标志和危险废物标签等危险废物识别标志。</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H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项目属排污许可重点监管单位，采用信息化管理，设置了监控室。</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退役时，所有者或运营者应依法履行环境保护责任，退役前应妥善处理处置贮存设施内剩余的危险废物，并对贮存设施进行清理，消除污染：还应依据土壤污染防治相关法律法规履行场地环境风险防控责任。</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项目贮存设施退役时，应依法履行环境保护责任，退役前应妥善处理处置贮存设施内剩余的危险废物，并对贮存设施进行清理，消除污染：还应依据土壤污染防治相关法律法规履行场地环境风险防控责任。</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在常温常压下易爆、易燃及排出有毒气体的危险废物应进行预处理，使之稳定后贮存，否则应按易爆、易燃危险品贮存。</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项目不涉及在常温常压下易爆、易燃及排出有毒气体的危险废物的暂存。</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危险废物贮存除应满足环境保护相关要求外，还应执行国家安全生产、职业健康、交通运输、消防等法律法规和标准的相关要求。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项目危险废物贮存各类标准、法规要求。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贮存设施选址要求</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贮存设施选址应满足生态环境保护法律法规、规划和“三线一单”生态环境分区管控的要求，建设项目应依法进行环境影响评价。</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项目选址满足生态环境保护法律法规、规划和“三线一单”生态环境分区管控的要求，环境影响评价进行中。</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集中购存设施不应选在生态保护红线区域、永久基本农田和其他需要特别保护的区域内，不应建在溶洞区或易遭受洪水、滑坡、泥石流、潮汐等严重自然灾害影响的地区。</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项目不涉及生态保护红线区域、永久基本农田和其他需要特别保护的区域；不处于溶洞区或易遭受洪水、滑坡、泥石流、潮汐等严重自然灾害影响的地区。</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贮存设施不应选在江河、湖泊、运河、渠道、水库及其最高水位线以下的滩地和岸坡，以及法律法规规定禁止贮存危险废物的其他地点。</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项目在现有项目厂内建设，不在江河、湖泊、运河、渠道、水库及其最高水位线以下的滩地和岸坡，以及法律法规规定禁止贮存危险废物的其他地点。</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贮存设施场址的位置以及其与周围环境敏感目标的距离应依据环境影响评价文件确定。</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本项目在现有厂区内建设，在采取相应污染治理措施及风险防范措施后，贮存期间项目对周边敏感目标的影响可接受。</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贮存设施污染控制要求</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贮存设施应根据危险废物的形态、物理化学性质、包装形式和污染物迁移途径，采取必要的防风、防晒、防雨、防漏、防渗、防腐以及其他环境污染防治措施，不应露天堆放危险废物。</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项目贮存区采取了必要的防风、防晒、防雨、防漏、防渗、防腐以及其他环境污染防治措施，露天区域不堆放危险废物。</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贮存设施应根据危险废物的类别、数量、形态、物理化学性质和污染防治等要求设置必要的贮存分区，避免不相容的危险废物接触、混合。</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项目按危险废物类别、特性等划分储存区，不相容的危险废物不接触、不混合。</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贮存设施或贮存分区内地面、墙面裙脚、堵截泄漏的围堰、接触危险废物的隔板和墙体等应采用坚固的材料建造，表面无裂缝。</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项目储存区地面、墙面裙脚、堵截泄漏的围堰、接触危险废物的隔板和墙体等应采用坚固的材料建造。</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层（渗透系数不大于10</w:t>
                  </w:r>
                  <w:r>
                    <w:rPr>
                      <w:color w:val="000000" w:themeColor="text1"/>
                      <w:szCs w:val="21"/>
                      <w:vertAlign w:val="superscript"/>
                    </w:rPr>
                    <w:t>-7</w:t>
                  </w:r>
                  <w:r>
                    <w:rPr>
                      <w:color w:val="000000" w:themeColor="text1"/>
                      <w:szCs w:val="21"/>
                    </w:rPr>
                    <w:t>cm/s），或至少2mm厚高密度聚乙烯膜等人工防渗材料（渗透系数不大于10</w:t>
                  </w:r>
                  <w:r>
                    <w:rPr>
                      <w:color w:val="000000" w:themeColor="text1"/>
                      <w:szCs w:val="21"/>
                      <w:vertAlign w:val="superscript"/>
                    </w:rPr>
                    <w:t>-10</w:t>
                  </w:r>
                  <w:r>
                    <w:rPr>
                      <w:color w:val="000000" w:themeColor="text1"/>
                      <w:szCs w:val="21"/>
                    </w:rPr>
                    <w:t>cm/s），或其他防渗性能等效的材料。</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项目贮存措施拟分别采取防渗及防渗+防腐措施，具体措施详见后文。</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同一贮存设施宜采用相同的防渗、防腐工艺（包括防渗、防腐结构或材料），防渗、防腐材料应覆盖所有可能与废物及其渗滤液、渗漏液等接触的构筑物表面：采用不同防渗、防腐工艺应分别建设贮存分区。</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项目储存区划分可确保临近区域采相同的防腐防渗措施。</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贮存设施应采取技术和管理措施防止无关人员进入。</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项目采取监控及相关管理措施防止无关人员进入。</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贮存库内不同贮存分区之间应采取隔离措施。隔离措施可根据危险废物特性采用过道、隔板或隔墙等方式。</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贮存库内不同贮存分区之间拟采取隔离措施。隔离措施可根据危险废物特性采用过道、隔板或隔墙等方式。</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在贮存库内或通过贮存分区方式购存液态危险废物的，应具有液体泄漏堵截设施，堵截设施最小容积不应低于对应贮存区域最大液态废物容器容积或液态废物总储量1/10（二者取较大者）用于存可能产生渗滤液的危险废物的贮存库或贮存分区应设计渗滤液收集设施，收集设施容积应满足渗滤液的收集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项目针对废酸、废碱、有机液体区域采取了围堰及渗滤液收集池以防止渗滤液污染环境。</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贮存易产生粉尘、VOC、酸雾、有毒有害大气污染物和刺激性气味气体的危险废物贮存库，应设置气体收集装置和气体净化设施；气体净化设施的排气简高度应符合GB</w:t>
                  </w:r>
                  <w:r>
                    <w:rPr>
                      <w:rFonts w:hint="eastAsia"/>
                      <w:color w:val="000000" w:themeColor="text1"/>
                      <w:szCs w:val="21"/>
                      <w:lang w:eastAsia="zh-CN"/>
                    </w:rPr>
                    <w:t>*****</w:t>
                  </w:r>
                  <w:r>
                    <w:rPr>
                      <w:color w:val="000000" w:themeColor="text1"/>
                      <w:szCs w:val="21"/>
                    </w:rPr>
                    <w:t xml:space="preserve"> 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针对小微企业危险废物贮存库区产生的废气，通过1套负压收集系统对其收集后，拟设置1套废气处理装置对其进行处理，处理后通过1根Φ0.68、高15m的排气筒（DA001）外排。</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贮存场应设置径流疏导系统，保证能防止当地重现期不小于 25 年的暴雨流入贮存区域，并采取措施防止雨水冲淋危险废物，避免增加渗滤液量。</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项目设置径流疏导系统，防止暴雨流入储存区。</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贮存场可整体或分区设计液体导流和收集设施，收集设施容积应保证在最不利条件下可以容纳对应贮存区域产生的渗滤液、废水等液态物质。</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项目针对废酸、废碱、有机液体区域拟采取收集沟及渗滤液收集池以防止渗滤液污染环境。</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贮存场应采取防止危险废物扬散、流失的措施。</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项目拟采取防渗、导流、渗滤液收集等措施防治危险废物扬散、流失。</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贮存池防渗层应覆盖整个池体，并应按照6.1.4 的要求进行基础防渗。</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项目池体拟整池防渗。</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贮存池应采取措施防止雨水、地面径流等进入，保证能防止当地重现期不小于25年的暴雨流入贮存池内。</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项目贮存池拟设置于地下并封闭或设置于储存区内，避免暴雨流入贮存池。</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贮存池应采取措施减少大气污染物的无组织排放。</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项目储存池仅事故状态使用，可及时清理事故状态渗滤液，减少无组织排放。</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贮存罐区罐体应设置在围堰内，围堰的防渗、防腐性能应满足6.1.4、6.1.5的要求。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项目贮存罐区罐体设置在围堰内，围堰的防渗、防腐性能应满足6.1.4、6.1.5的要求。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贮存罐区围堰容积应至少满足其内部最大贮存罐发生意外泄漏时所需要的危险废物收集容积要求。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项目贮存罐区为废矿物油贮存罐，罐区设置了同等规模的应急罐，并设置围堰及渗滤液收集池，作为贮存罐泄漏时的收集措施。</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贮存罐区围堰内收集的废液、废水和初期雨水应及时处理，不应直接排放。</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贮存罐区围堰内收集的废液及时收集处理、不排放。</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容器和包装物污染控制要求</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容器和包装物材质、内衬应与盛装的危险废物相容。</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选择容器和包装物材质、内衬与盛装的危险废物相容。</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针对不同类别、形态、物理化学性质的危险废物，其容器和包装物应满足相应的防渗、防漏、防腐和强度等要求。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项目针对不同类别污染物划分不同储存区，采取相应的防渗、防腐措施。</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硬质容器和包装物及其支护结构堆叠码放时不应有明显变形，无破损泄漏。柔性容器和包装物堆叠码放时应封口严密，无破损泄漏。</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合理选择硬质容器和包装物，柔性容器和包装物堆叠码放时封口严密，无破损泄漏。</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使用容器盛装液态、半固态危险废物时，容器内部应留有适当的空间，以适应因温度变化等可能引发的收缩和膨胀，防止其导致容器渗漏或永久变形。</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项目使用容器盛装液态、半固态危险废物时，应确保容器内部应留有适当的空间。</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容器和包装物外表面应保持清洁。</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项目运行过程中应保持容器和包装物外表面清洁。</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在常温常压下不易水解、不易挥发的固态危险废物可分类堆放贮存，其他固态危险废物应装入容器或包装物内贮存。</w:t>
                  </w:r>
                </w:p>
              </w:tc>
              <w:tc>
                <w:tcPr>
                  <w:tcW w:w="3168" w:type="dxa"/>
                  <w:vMerge w:val="restart"/>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项目已合理划分各类危险废物暂存区，并采取适当的包装、盛装方式</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液态危险废物应装入容器内贮存，或直接采用贮存池、贮存罐区贮存</w:t>
                  </w:r>
                </w:p>
              </w:tc>
              <w:tc>
                <w:tcPr>
                  <w:tcW w:w="3168" w:type="dxa"/>
                  <w:vMerge w:val="continue"/>
                  <w:shd w:val="clear" w:color="auto" w:fill="auto"/>
                  <w:vAlign w:val="center"/>
                </w:tcPr>
                <w:p>
                  <w:pPr>
                    <w:pStyle w:val="29"/>
                    <w:spacing w:line="360" w:lineRule="exact"/>
                    <w:ind w:firstLine="210" w:firstLineChars="100"/>
                    <w:jc w:val="both"/>
                    <w:rPr>
                      <w:color w:val="000000" w:themeColor="text1"/>
                      <w:szCs w:val="21"/>
                    </w:rPr>
                  </w:pP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半固态危险废物应装入容器或包装袋内贮存，或直接采用贮存池贮存</w:t>
                  </w:r>
                </w:p>
              </w:tc>
              <w:tc>
                <w:tcPr>
                  <w:tcW w:w="3168" w:type="dxa"/>
                  <w:vMerge w:val="continue"/>
                  <w:shd w:val="clear" w:color="auto" w:fill="auto"/>
                  <w:vAlign w:val="center"/>
                </w:tcPr>
                <w:p>
                  <w:pPr>
                    <w:pStyle w:val="29"/>
                    <w:spacing w:line="360" w:lineRule="exact"/>
                    <w:ind w:firstLine="210" w:firstLineChars="100"/>
                    <w:jc w:val="both"/>
                    <w:rPr>
                      <w:color w:val="000000" w:themeColor="text1"/>
                      <w:szCs w:val="21"/>
                    </w:rPr>
                  </w:pP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具有热塑性的危险废物应装入容器或包装袋内进行贮存。</w:t>
                  </w:r>
                </w:p>
              </w:tc>
              <w:tc>
                <w:tcPr>
                  <w:tcW w:w="3168" w:type="dxa"/>
                  <w:vMerge w:val="continue"/>
                  <w:shd w:val="clear" w:color="auto" w:fill="auto"/>
                  <w:vAlign w:val="center"/>
                </w:tcPr>
                <w:p>
                  <w:pPr>
                    <w:pStyle w:val="29"/>
                    <w:spacing w:line="360" w:lineRule="exact"/>
                    <w:ind w:firstLine="210" w:firstLineChars="100"/>
                    <w:jc w:val="both"/>
                    <w:rPr>
                      <w:color w:val="000000" w:themeColor="text1"/>
                      <w:szCs w:val="21"/>
                    </w:rPr>
                  </w:pP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易产生粉尘、VOCs、酸雾、有毒有害大气污染物和刺激性气味气体的危险废物应装入闭口容器或包装物内贮存。</w:t>
                  </w:r>
                </w:p>
              </w:tc>
              <w:tc>
                <w:tcPr>
                  <w:tcW w:w="3168" w:type="dxa"/>
                  <w:vMerge w:val="continue"/>
                  <w:shd w:val="clear" w:color="auto" w:fill="auto"/>
                  <w:vAlign w:val="center"/>
                </w:tcPr>
                <w:p>
                  <w:pPr>
                    <w:pStyle w:val="29"/>
                    <w:spacing w:line="360" w:lineRule="exact"/>
                    <w:ind w:firstLine="210" w:firstLineChars="100"/>
                    <w:jc w:val="both"/>
                    <w:rPr>
                      <w:color w:val="000000" w:themeColor="text1"/>
                      <w:szCs w:val="21"/>
                    </w:rPr>
                  </w:pP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危险废物贮存过程中易产生粉尘等无组织排放的，应采取抑尘等有效措施。</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项目入厂危险废物不拆包，无粉尘产生。</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危险废物存入贮存设施前应对危险废物类别和特性与危险废物标签等危险废物识别标志的一致性进行核验，不一致的或类别、特性不明的不应存入。</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危险废物存入贮存设施前要求对危险废物类别和特性与危险废物标签等危险废物识别标志的一致性进行核验，不一致的或类别、特性不明的不应存入。</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应定期检查危险废物的贮存状况，及时清理贮存设施地面，更换破损泄漏的危险废物贮存容器和包装物，保证堆存危险废物的防雨、防风、防扬尘等设施功能完好。</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要求建设单位定期检查危险废物的贮存状况，及时清理贮存设施地面，更换破损泄漏的危险废物贮存容器和包装物，保证堆存危险废物的防雨、防风、防扬尘等设施功能完好。</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作业设备及车辆等结束作业离开贮存设施时，应对其残留的危险废物进行清理，清理的废物或清洗废水应收集处理。</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作业设备及车辆等结束作业离开贮存设施时，建设单位应进行清理。</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贮存设施运行期间，应按国家有关标准和规定建立危险废物管理台账并保存。</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贮存设施运行期间，要求建设单位建立危险废物管理台账并保存。</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贮存设施所有者或运营者应建立贮存设施环境管理制度、管理人员岗位职责制度、设施运行操作制度、人员岗位培训制度等。</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要求建设单位建立贮存设施环境管理制度、管理人员岗位职责制度、设施运行操作制度、人员岗位培训制度等。</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贮存设施所有者或运营者应依据国家和地下水污染防治的有关规定，结合贮存设施特点建立土壤和地下水污染隐患排查制度，并定期开展隐患排查：发现隐患应及时采取措施消除隐患，并建立档案。</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建设单位应定期对防渗、放泄漏措施进行检查，排除隐患，并按监测计划定期进行监测，了解区域土壤和地下水变化情况。</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贮存设施所有者或运营者应建立贮存设施全部档案，包括设计、施工、验收、运行、监测和环境应急等，应按国家有关档案管理的法律法规进行整理和归档。</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项目应按规定完成验收、预案、环境监测等内容并存档。</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贮存点环境管理要求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项目为集中贮存单位，不属于单一企业贮存点。</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污染排放控制标准</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贮存设施产生的废水（包括存设施、作业设备、车辆等清洗废水，贮存罐区积存雨水，贮存事故废水等）应进行收集处理，废水排放应符合GB</w:t>
                  </w:r>
                  <w:r>
                    <w:rPr>
                      <w:rFonts w:hint="eastAsia"/>
                      <w:color w:val="000000" w:themeColor="text1"/>
                      <w:szCs w:val="21"/>
                      <w:lang w:eastAsia="zh-CN"/>
                    </w:rPr>
                    <w:t>****</w:t>
                  </w:r>
                  <w:r>
                    <w:rPr>
                      <w:color w:val="000000" w:themeColor="text1"/>
                      <w:szCs w:val="21"/>
                    </w:rPr>
                    <w:t>规定的要求。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本项目不产生生活水，不新增生产废水。</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存设施产生的废气（含无组织废气）的排放应符合GB</w:t>
                  </w:r>
                  <w:r>
                    <w:rPr>
                      <w:rFonts w:hint="eastAsia"/>
                      <w:color w:val="000000" w:themeColor="text1"/>
                      <w:szCs w:val="21"/>
                      <w:lang w:eastAsia="zh-CN"/>
                    </w:rPr>
                    <w:t>*****</w:t>
                  </w:r>
                  <w:r>
                    <w:rPr>
                      <w:color w:val="000000" w:themeColor="text1"/>
                      <w:szCs w:val="21"/>
                    </w:rPr>
                    <w:t>和GB</w:t>
                  </w:r>
                  <w:r>
                    <w:rPr>
                      <w:rFonts w:hint="eastAsia"/>
                      <w:color w:val="000000" w:themeColor="text1"/>
                      <w:szCs w:val="21"/>
                      <w:lang w:eastAsia="zh-CN"/>
                    </w:rPr>
                    <w:t>*****</w:t>
                  </w:r>
                  <w:r>
                    <w:rPr>
                      <w:color w:val="000000" w:themeColor="text1"/>
                      <w:szCs w:val="21"/>
                    </w:rPr>
                    <w:t>规定的要求。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根据后文计算，项目无组织废气满足GB</w:t>
                  </w:r>
                  <w:r>
                    <w:rPr>
                      <w:rFonts w:hint="eastAsia"/>
                      <w:color w:val="000000" w:themeColor="text1"/>
                      <w:szCs w:val="21"/>
                      <w:lang w:eastAsia="zh-CN"/>
                    </w:rPr>
                    <w:t>*****</w:t>
                  </w:r>
                  <w:r>
                    <w:rPr>
                      <w:color w:val="000000" w:themeColor="text1"/>
                      <w:szCs w:val="21"/>
                    </w:rPr>
                    <w:t>中项目要求。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贮存设施产生的恶臭气体的排放应符合GB</w:t>
                  </w:r>
                  <w:r>
                    <w:rPr>
                      <w:rFonts w:hint="eastAsia"/>
                      <w:color w:val="000000" w:themeColor="text1"/>
                      <w:szCs w:val="21"/>
                      <w:lang w:eastAsia="zh-CN"/>
                    </w:rPr>
                    <w:t>*****</w:t>
                  </w:r>
                  <w:r>
                    <w:rPr>
                      <w:color w:val="000000" w:themeColor="text1"/>
                      <w:szCs w:val="21"/>
                    </w:rPr>
                    <w:t>规定的要求。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根据核算，项目恶臭气体排放满足GB</w:t>
                  </w:r>
                  <w:r>
                    <w:rPr>
                      <w:rFonts w:hint="eastAsia"/>
                      <w:color w:val="000000" w:themeColor="text1"/>
                      <w:szCs w:val="21"/>
                      <w:lang w:eastAsia="zh-CN"/>
                    </w:rPr>
                    <w:t>*****</w:t>
                  </w:r>
                  <w:r>
                    <w:rPr>
                      <w:color w:val="000000" w:themeColor="text1"/>
                      <w:szCs w:val="21"/>
                    </w:rPr>
                    <w:t>规定的要求。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贮存设施内产生以及清理的固体废物应按固体废物分类管理要求妥善处理。</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项目产生的固体废物均要求置于相应暂存区并妥善处置。</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贮存设施排放的环境噪声应符合GB</w:t>
                  </w:r>
                  <w:r>
                    <w:rPr>
                      <w:rFonts w:hint="eastAsia"/>
                      <w:color w:val="000000" w:themeColor="text1"/>
                      <w:szCs w:val="21"/>
                      <w:lang w:eastAsia="zh-CN"/>
                    </w:rPr>
                    <w:t>*****</w:t>
                  </w:r>
                  <w:r>
                    <w:rPr>
                      <w:color w:val="000000" w:themeColor="text1"/>
                      <w:szCs w:val="21"/>
                    </w:rPr>
                    <w:t>规定的要求。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根据后文预测，项目运行后，噪声符合GB</w:t>
                  </w:r>
                  <w:r>
                    <w:rPr>
                      <w:rFonts w:hint="eastAsia"/>
                      <w:color w:val="000000" w:themeColor="text1"/>
                      <w:szCs w:val="21"/>
                      <w:lang w:eastAsia="zh-CN"/>
                    </w:rPr>
                    <w:t>*****</w:t>
                  </w:r>
                  <w:r>
                    <w:rPr>
                      <w:color w:val="000000" w:themeColor="text1"/>
                      <w:szCs w:val="21"/>
                    </w:rPr>
                    <w:t>规定的要求。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环境监测要求</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贮存设施的环境监测应纳入主体设施的环境监测计划。</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项目贮存设施即为主体设施，且已制定监测计划</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贮存设施所有者或运营者应依据《大气污染防治法》《水污染防治法》《土壤污染防治法》等有关法律、《排污许可管理条例》等行政法规和 HJ819、HJ1250等规定制订监测方案，对贮存设施污染物排放状况开展自行监测，保存原始监测记录，并公布监测结果。</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已制定监测计划，运行阶段应按已制定的监测方案展开自行监测，保存原始监测记录，并公布监测结果。</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贮存设施废水污染物排放的监测方法和监测指标应符合国家相关标准要求</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本项目不产生生活水，不新增生产废水。</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HJ259 规定的危险废物环境重点监管单位贮存设施地下水环境监测点布设应符合HJ164要求监测因子应根据贮存废物的特性选择具有代表性且能表征危险废物特性的指标，地下水监测因子分析方法按照GB/T</w:t>
                  </w:r>
                  <w:r>
                    <w:rPr>
                      <w:rFonts w:hint="eastAsia"/>
                      <w:color w:val="000000" w:themeColor="text1"/>
                      <w:szCs w:val="21"/>
                      <w:lang w:eastAsia="zh-CN"/>
                    </w:rPr>
                    <w:t>*****</w:t>
                  </w:r>
                  <w:r>
                    <w:rPr>
                      <w:color w:val="000000" w:themeColor="text1"/>
                      <w:szCs w:val="21"/>
                    </w:rPr>
                    <w:t>执行。</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项目已依据《工业企业土壤和地下水自行监测技术指南（试行）》（HJ1209-2021）制定地下水监测方案。</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配有收集净化系统的贮存设施大气污染物排放的监测采样应按GB/T</w:t>
                  </w:r>
                  <w:r>
                    <w:rPr>
                      <w:rFonts w:hint="eastAsia"/>
                      <w:color w:val="000000" w:themeColor="text1"/>
                      <w:szCs w:val="21"/>
                      <w:lang w:eastAsia="zh-CN"/>
                    </w:rPr>
                    <w:t>*****</w:t>
                  </w:r>
                  <w:r>
                    <w:rPr>
                      <w:color w:val="000000" w:themeColor="text1"/>
                      <w:szCs w:val="21"/>
                    </w:rPr>
                    <w:t>、HJ/T397、HJ732的规定执行。</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项目新增废气处理系统采样监测要求按GB/T</w:t>
                  </w:r>
                  <w:r>
                    <w:rPr>
                      <w:rFonts w:hint="eastAsia"/>
                      <w:color w:val="000000" w:themeColor="text1"/>
                      <w:szCs w:val="21"/>
                      <w:lang w:eastAsia="zh-CN"/>
                    </w:rPr>
                    <w:t>*****</w:t>
                  </w:r>
                  <w:r>
                    <w:rPr>
                      <w:color w:val="000000" w:themeColor="text1"/>
                      <w:szCs w:val="21"/>
                    </w:rPr>
                    <w:t>、HJ/T397、HJ732的要求进行。</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贮存设施无组织气体排放监测因子应根据贮存废物的特性选择具有代表性且能表征危险废物特性的指标：采样点布设、采样及监测方法可按 HJ/T 5的规定执行，VOCs的无组织排放监测还应符合GB</w:t>
                  </w:r>
                  <w:r>
                    <w:rPr>
                      <w:rFonts w:hint="eastAsia"/>
                      <w:color w:val="000000" w:themeColor="text1"/>
                      <w:szCs w:val="21"/>
                      <w:lang w:eastAsia="zh-CN"/>
                    </w:rPr>
                    <w:t>*****</w:t>
                  </w:r>
                  <w:r>
                    <w:rPr>
                      <w:color w:val="000000" w:themeColor="text1"/>
                      <w:szCs w:val="21"/>
                    </w:rPr>
                    <w:t>的规定。</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项目已制定无组织废气监测计划，并满足相关标准要求。</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9"/>
                    <w:spacing w:line="360" w:lineRule="exact"/>
                    <w:rPr>
                      <w:color w:val="000000" w:themeColor="text1"/>
                      <w:kern w:val="0"/>
                      <w:szCs w:val="2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贮存设施恶臭气体的排放监测应符合GB</w:t>
                  </w:r>
                  <w:r>
                    <w:rPr>
                      <w:rFonts w:hint="eastAsia"/>
                      <w:color w:val="000000" w:themeColor="text1"/>
                      <w:szCs w:val="21"/>
                      <w:lang w:eastAsia="zh-CN"/>
                    </w:rPr>
                    <w:t>*****</w:t>
                  </w:r>
                  <w:r>
                    <w:rPr>
                      <w:color w:val="000000" w:themeColor="text1"/>
                      <w:szCs w:val="21"/>
                    </w:rPr>
                    <w:t>、HJ905的规定</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不涉及。</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环境应急要求</w:t>
                  </w: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贮存设施所有者或运营者应按照国家有关规定编制突发环境事件应急预案，定期开展必要的培训和环境应急演练，并做好培训、演练记录。</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项目运行前应完成应急预案的修订并备案。</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adjustRightInd w:val="0"/>
                    <w:jc w:val="center"/>
                    <w:rPr>
                      <w:rFonts w:ascii="Times New Roman" w:hAnsi="Times New Roman" w:cs="Times New Roman"/>
                      <w:color w:val="000000" w:themeColor="text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贮存设施所有者或运营者应配备满足其突发环境事件应急要求的应急人员、装备和物资，并应设置应急照明系统。</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项目运行前应按应急预案要求，完善应急人员、装备和物资的设置，并设置应急照明系统。</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adjustRightInd w:val="0"/>
                    <w:jc w:val="center"/>
                    <w:rPr>
                      <w:rFonts w:ascii="Times New Roman" w:hAnsi="Times New Roman" w:cs="Times New Roman"/>
                      <w:color w:val="000000" w:themeColor="text1"/>
                    </w:rPr>
                  </w:pPr>
                </w:p>
              </w:tc>
              <w:tc>
                <w:tcPr>
                  <w:tcW w:w="4203"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相关部门发布自然灾害或恶劣天气预警后，贮存设施所有者或运营者应启动相应防控措施，若有必要可将危险废物转移至其他具有防护条件的地点贮存。</w:t>
                  </w:r>
                </w:p>
              </w:tc>
              <w:tc>
                <w:tcPr>
                  <w:tcW w:w="3168" w:type="dxa"/>
                  <w:shd w:val="clear" w:color="auto" w:fill="auto"/>
                  <w:vAlign w:val="center"/>
                </w:tcPr>
                <w:p>
                  <w:pPr>
                    <w:pStyle w:val="29"/>
                    <w:spacing w:line="360" w:lineRule="exact"/>
                    <w:ind w:firstLine="210" w:firstLineChars="100"/>
                    <w:jc w:val="both"/>
                    <w:rPr>
                      <w:color w:val="000000" w:themeColor="text1"/>
                      <w:szCs w:val="21"/>
                    </w:rPr>
                  </w:pPr>
                  <w:r>
                    <w:rPr>
                      <w:color w:val="000000" w:themeColor="text1"/>
                      <w:szCs w:val="21"/>
                    </w:rPr>
                    <w:t>相关部门发布自然灾害或恶劣天气预警后，建设单位应启动相应防控措施，若有必要可将危险废物转移至其他具有防护条件的地点贮存。</w:t>
                  </w:r>
                </w:p>
              </w:tc>
              <w:tc>
                <w:tcPr>
                  <w:tcW w:w="641" w:type="dxa"/>
                  <w:shd w:val="clear" w:color="auto" w:fill="auto"/>
                  <w:vAlign w:val="center"/>
                </w:tcPr>
                <w:p>
                  <w:pPr>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符合</w:t>
                  </w:r>
                </w:p>
              </w:tc>
            </w:tr>
          </w:tbl>
          <w:p>
            <w:pPr>
              <w:spacing w:beforeLines="50" w:line="360" w:lineRule="auto"/>
              <w:ind w:firstLine="480" w:firstLineChars="200"/>
              <w:rPr>
                <w:rFonts w:ascii="Times New Roman" w:hAnsi="Times New Roman" w:cs="Times New Roman"/>
                <w:color w:val="000000" w:themeColor="text1"/>
                <w:sz w:val="24"/>
                <w:szCs w:val="24"/>
              </w:rPr>
            </w:pPr>
            <w:bookmarkStart w:id="6" w:name="_Toc146789065"/>
            <w:r>
              <w:rPr>
                <w:rFonts w:ascii="Times New Roman" w:hAnsi="Times New Roman" w:cs="Times New Roman"/>
                <w:color w:val="000000" w:themeColor="text1"/>
                <w:sz w:val="24"/>
                <w:szCs w:val="24"/>
              </w:rPr>
              <w:t>综上，项目建设符合《危险废物贮存污染控制标准》（GB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-2023）的相关要求。</w:t>
            </w:r>
            <w:bookmarkEnd w:id="6"/>
          </w:p>
          <w:p>
            <w:pPr>
              <w:spacing w:line="360" w:lineRule="auto"/>
              <w:ind w:firstLine="361" w:firstLineChars="150"/>
              <w:rPr>
                <w:rFonts w:ascii="Times New Roman" w:hAnsi="Times New Roman" w:cs="Times New Roman"/>
                <w:b/>
                <w:color w:val="000000" w:themeColor="text1"/>
                <w:sz w:val="24"/>
                <w:szCs w:val="24"/>
              </w:rPr>
            </w:pPr>
            <w:bookmarkStart w:id="7" w:name="_Toc146789066"/>
            <w:r>
              <w:rPr>
                <w:rFonts w:ascii="Times New Roman" w:hAnsi="Times New Roman" w:cs="Times New Roman"/>
                <w:b/>
                <w:color w:val="000000" w:themeColor="text1"/>
                <w:sz w:val="24"/>
                <w:szCs w:val="24"/>
              </w:rPr>
              <w:t>（8）与《危险废物收集 贮存 运输技术规范》（HJ 2025-2012）符合性分析</w:t>
            </w:r>
            <w:bookmarkEnd w:id="7"/>
          </w:p>
          <w:p>
            <w:pPr>
              <w:spacing w:line="360" w:lineRule="auto"/>
              <w:ind w:firstLine="480" w:firstLineChars="200"/>
              <w:rPr>
                <w:rFonts w:ascii="Times New Roman" w:hAnsi="Times New Roman" w:cs="Times New Roman"/>
                <w:color w:val="000000" w:themeColor="text1"/>
                <w:sz w:val="24"/>
                <w:szCs w:val="24"/>
              </w:rPr>
            </w:pPr>
            <w:bookmarkStart w:id="8" w:name="_Toc146789067"/>
            <w:r>
              <w:rPr>
                <w:rFonts w:ascii="Times New Roman" w:hAnsi="Times New Roman" w:cs="Times New Roman"/>
                <w:color w:val="000000" w:themeColor="text1"/>
                <w:sz w:val="24"/>
                <w:szCs w:val="24"/>
              </w:rPr>
              <w:t>项目与《危险废物收集 贮存 运输技术规范》（HJ 2025-2012）的相符性分析内容见下表。</w:t>
            </w:r>
            <w:bookmarkEnd w:id="8"/>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表1-9 与《危险废物收集 贮存 运输技术规范》（HJ 2025-2012）符合性分析</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0"/>
              <w:gridCol w:w="4095"/>
              <w:gridCol w:w="3402"/>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kern w:val="0"/>
                      <w:szCs w:val="21"/>
                    </w:rPr>
                  </w:pPr>
                  <w:r>
                    <w:rPr>
                      <w:color w:val="000000" w:themeColor="text1"/>
                      <w:kern w:val="0"/>
                      <w:szCs w:val="21"/>
                    </w:rPr>
                    <w:t>序号</w:t>
                  </w:r>
                </w:p>
              </w:tc>
              <w:tc>
                <w:tcPr>
                  <w:tcW w:w="4095" w:type="dxa"/>
                  <w:vAlign w:val="center"/>
                </w:tcPr>
                <w:p>
                  <w:pPr>
                    <w:pStyle w:val="29"/>
                    <w:spacing w:line="360" w:lineRule="exact"/>
                    <w:rPr>
                      <w:color w:val="000000" w:themeColor="text1"/>
                      <w:kern w:val="0"/>
                      <w:szCs w:val="21"/>
                    </w:rPr>
                  </w:pPr>
                  <w:r>
                    <w:rPr>
                      <w:color w:val="000000" w:themeColor="text1"/>
                      <w:kern w:val="0"/>
                      <w:szCs w:val="21"/>
                    </w:rPr>
                    <w:t>《危险废物收集 贮存 运输技术规范》（HJ 2025-2012）要求</w:t>
                  </w:r>
                </w:p>
              </w:tc>
              <w:tc>
                <w:tcPr>
                  <w:tcW w:w="3402" w:type="dxa"/>
                  <w:vAlign w:val="center"/>
                </w:tcPr>
                <w:p>
                  <w:pPr>
                    <w:pStyle w:val="29"/>
                    <w:spacing w:line="360" w:lineRule="exact"/>
                    <w:rPr>
                      <w:color w:val="000000" w:themeColor="text1"/>
                      <w:kern w:val="0"/>
                      <w:szCs w:val="21"/>
                    </w:rPr>
                  </w:pPr>
                  <w:r>
                    <w:rPr>
                      <w:color w:val="000000" w:themeColor="text1"/>
                      <w:kern w:val="0"/>
                      <w:szCs w:val="21"/>
                    </w:rPr>
                    <w:t>该项目实际情况</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kern w:val="0"/>
                      <w:szCs w:val="21"/>
                    </w:rPr>
                  </w:pPr>
                  <w:r>
                    <w:rPr>
                      <w:color w:val="000000" w:themeColor="text1"/>
                      <w:kern w:val="0"/>
                      <w:szCs w:val="21"/>
                    </w:rPr>
                    <w:t>1</w:t>
                  </w:r>
                </w:p>
              </w:tc>
              <w:tc>
                <w:tcPr>
                  <w:tcW w:w="4095" w:type="dxa"/>
                  <w:vAlign w:val="center"/>
                </w:tcPr>
                <w:p>
                  <w:pPr>
                    <w:pStyle w:val="29"/>
                    <w:spacing w:line="360" w:lineRule="exact"/>
                    <w:ind w:firstLine="210" w:firstLineChars="100"/>
                    <w:jc w:val="both"/>
                    <w:rPr>
                      <w:color w:val="000000" w:themeColor="text1"/>
                      <w:szCs w:val="21"/>
                    </w:rPr>
                  </w:pPr>
                  <w:r>
                    <w:rPr>
                      <w:color w:val="000000" w:themeColor="text1"/>
                      <w:szCs w:val="21"/>
                    </w:rPr>
                    <w:t>4.1 从事危险废物收集、贮存、运输经营活动的单位应具有危险废物经营许可证。在收集、贮存、运输危险废物时，应根据危险废物收集、贮存、处置经营许可证核发的有关规定建立应的规章制度和污染防治措施，包括危险废物分析管理制度、安全管理制度、污染防治措施等；危险废物产生单位内部自行从事的危险废物收集、贮存、运输活动应遵照国家相关管理规定，建立健全规章制度及操作流程，确保该过程的安全、可靠。</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该项目属于小微企业危险废物收集试点项目，根据《云南省生态环境厅关于印发云南省小微企业危险废物收集试点工作方案的通知》（云环通【2022】168号）的要求，该项目提交本方案所明确的试点条件准备申请材料，向所在州（市）生态环境局申请危险废物收集经营许可证后，方可开展收集工作。并采取环评提出的污染防治措施，建立规章制度和明确操作流程。</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2</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4.2 危险废物转移过程应按《危险废物转移联单管理办法》执行。</w:t>
                  </w:r>
                </w:p>
              </w:tc>
              <w:tc>
                <w:tcPr>
                  <w:tcW w:w="3402"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建设单位将严格执行《危险废物转移联单管理办法》的相关要求。</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3</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4.3 危险废物收集、贮存、运输单位应建立规范的管理和技术人员培训制度，定期针对管理和技术人员进行培训。培训内容至少应包括危险废物鉴别要求、危险废物经营许可证管理、危险废物转移联单管理、危险废物包装和标识、危险废物运输要求、危险废物事故应急方法等。</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建设单位已规范要求制定了管理和技术人员培训制度。</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4</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4.4 危险废物收集、贮存、运输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项目建成后将严格制定应急预案，并危险废物收集、贮存、运输过程中的事故易发环节应定期组织应急演练。</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5</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4.5 危险废物收集、贮存、运输过程中一旦发生意外事故，收集、贮存、运输单位及相关部门应根据风险程度采取如下措施：</w:t>
                  </w:r>
                </w:p>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(1)设立事故警戒线，启动应急预案，并按《环境保护行政主管部门突发环境事件信息报告办法(试行)》（环发[2006]50号）要求进行报告。</w:t>
                  </w:r>
                </w:p>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(2)若造成事故的危险废物具有剧毒性、易燃性、爆炸性或高传染性，应立即疏散人群，并请求环境保护、消防、医疗、公安等相关部门支援。</w:t>
                  </w:r>
                </w:p>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(3)对事故现场受到污染的土壤和水体等环境介质应进行相应的清理和修复。</w:t>
                  </w:r>
                </w:p>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(4)清理过程中产生的所有废物均应按危险废物进行管理和处置。</w:t>
                  </w:r>
                </w:p>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(5)进入现场清理和包装危险废物的人员应受过专业培训，穿着防护服，并佩戴相应的防护用具。</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若危险废物贮存过程中发生意外事故，将严格执行相关措施。</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6</w:t>
                  </w:r>
                </w:p>
              </w:tc>
              <w:tc>
                <w:tcPr>
                  <w:tcW w:w="4095" w:type="dxa"/>
                  <w:vAlign w:val="center"/>
                </w:tcPr>
                <w:p>
                  <w:pPr>
                    <w:pStyle w:val="29"/>
                    <w:spacing w:line="360" w:lineRule="exact"/>
                    <w:ind w:firstLine="210" w:firstLineChars="100"/>
                    <w:jc w:val="both"/>
                    <w:rPr>
                      <w:color w:val="000000" w:themeColor="text1"/>
                      <w:szCs w:val="21"/>
                    </w:rPr>
                  </w:pPr>
                  <w:r>
                    <w:rPr>
                      <w:color w:val="000000" w:themeColor="text1"/>
                      <w:szCs w:val="21"/>
                    </w:rPr>
                    <w:t>4.6 危险废物收集、贮存、运输时应按腐蚀性、毒性、易燃性、反应性和感染性等危险特性对危险废物进行分类、包装并设置相应的标志及标签。危险废物特性应根据其产生源特性及GB5085.1-7、HJ/T298进行鉴别。</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项目将危险废物进行分类贮存。</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8</w:t>
                  </w:r>
                </w:p>
              </w:tc>
              <w:tc>
                <w:tcPr>
                  <w:tcW w:w="4095" w:type="dxa"/>
                  <w:vAlign w:val="center"/>
                </w:tcPr>
                <w:p>
                  <w:pPr>
                    <w:pStyle w:val="29"/>
                    <w:spacing w:line="360" w:lineRule="exact"/>
                    <w:ind w:firstLine="210" w:firstLineChars="100"/>
                    <w:jc w:val="both"/>
                    <w:rPr>
                      <w:color w:val="000000" w:themeColor="text1"/>
                      <w:szCs w:val="21"/>
                    </w:rPr>
                  </w:pPr>
                  <w:r>
                    <w:rPr>
                      <w:color w:val="000000" w:themeColor="text1"/>
                      <w:szCs w:val="21"/>
                    </w:rPr>
                    <w:t>6.2 危险废物贮存设施的选址、设计、建设、运行管理应满足GB</w:t>
                  </w:r>
                  <w:r>
                    <w:rPr>
                      <w:rFonts w:hint="eastAsia"/>
                      <w:color w:val="000000" w:themeColor="text1"/>
                      <w:szCs w:val="21"/>
                      <w:lang w:eastAsia="zh-CN"/>
                    </w:rPr>
                    <w:t>*****</w:t>
                  </w:r>
                  <w:r>
                    <w:rPr>
                      <w:color w:val="000000" w:themeColor="text1"/>
                      <w:szCs w:val="21"/>
                    </w:rPr>
                    <w:t>、GBZ1和GBZ2的有关要求。</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项目选址、设计、建设、运行管理满足《危险废物贮存污染控制标准》（GB</w:t>
                  </w:r>
                  <w:r>
                    <w:rPr>
                      <w:rFonts w:hint="eastAsia"/>
                      <w:color w:val="000000" w:themeColor="text1"/>
                      <w:szCs w:val="21"/>
                      <w:lang w:eastAsia="zh-CN"/>
                    </w:rPr>
                    <w:t>*****</w:t>
                  </w:r>
                  <w:r>
                    <w:rPr>
                      <w:color w:val="000000" w:themeColor="text1"/>
                      <w:szCs w:val="21"/>
                    </w:rPr>
                    <w:t>-2023）的要求。</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9</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6.3 危险废物贮存设施应配备通讯设备、照明设施和消防设施。</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项目区拟配套设置通讯设备、照明设施和消防设施。</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10</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6.4 贮存危险废物时应按危险废物的种类和特性进行分区贮存，每个贮存区域之间宜设置挡墙间隔，并应设置防雨、防火、防雷、防扬尘装置。</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项目每个贮存区拟设置挡墙间隔，且库房具备防雨、防扬尘要求，并安装防火、防雷装置。</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9"/>
                    <w:spacing w:line="360" w:lineRule="exact"/>
                    <w:rPr>
                      <w:color w:val="000000" w:themeColor="text1"/>
                      <w:szCs w:val="21"/>
                    </w:rPr>
                  </w:pPr>
                  <w:r>
                    <w:rPr>
                      <w:color w:val="000000" w:themeColor="text1"/>
                      <w:szCs w:val="21"/>
                    </w:rPr>
                    <w:t>11</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 贮存易燃易爆危险废物应配置有机气体报警、火灾报警装置和导出静电的接地装置。</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项目贮存库拟配套设置</w:t>
                  </w:r>
                  <w:r>
                    <w:rPr>
                      <w:bCs w:val="0"/>
                      <w:color w:val="000000" w:themeColor="text1"/>
                    </w:rPr>
                    <w:t>配置有机气体报警、火灾报警装置和导出静电的接地装置。</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9"/>
                    <w:spacing w:line="360" w:lineRule="exact"/>
                    <w:rPr>
                      <w:color w:val="000000" w:themeColor="text1"/>
                      <w:szCs w:val="21"/>
                    </w:rPr>
                  </w:pPr>
                  <w:r>
                    <w:rPr>
                      <w:color w:val="000000" w:themeColor="text1"/>
                      <w:szCs w:val="21"/>
                    </w:rPr>
                    <w:t>13</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6.7 危险废物贮存期限应符合《中华人民共和国固体废物污染环境防治法》的有关规定。</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项目贮存期限最长不超过1年。</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14</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6.8 危险废物贮存单位应建立危险废物贮存的台帐制度，危险废物出入库交接记录内容应参照本标准附录C执行。</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项目将严格执行危险废物贮存台帐制度。</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15</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6.9 危险废物贮存设施应根据贮存的废物种类和特性按照GB</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附录A设置标志。</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项目将安装规范的标识标牌。</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9"/>
                    <w:spacing w:line="360" w:lineRule="exact"/>
                    <w:rPr>
                      <w:color w:val="000000" w:themeColor="text1"/>
                      <w:szCs w:val="21"/>
                    </w:rPr>
                  </w:pPr>
                  <w:r>
                    <w:rPr>
                      <w:color w:val="000000" w:themeColor="text1"/>
                      <w:szCs w:val="21"/>
                    </w:rPr>
                    <w:t>16</w:t>
                  </w:r>
                </w:p>
              </w:tc>
              <w:tc>
                <w:tcPr>
                  <w:tcW w:w="4095" w:type="dxa"/>
                  <w:vAlign w:val="center"/>
                </w:tcPr>
                <w:p>
                  <w:pPr>
                    <w:pStyle w:val="29"/>
                    <w:spacing w:line="360" w:lineRule="exact"/>
                    <w:ind w:firstLine="210" w:firstLineChars="100"/>
                    <w:jc w:val="both"/>
                    <w:rPr>
                      <w:color w:val="000000" w:themeColor="text1"/>
                      <w:szCs w:val="21"/>
                    </w:rPr>
                  </w:pPr>
                  <w:r>
                    <w:rPr>
                      <w:color w:val="000000" w:themeColor="text1"/>
                      <w:szCs w:val="21"/>
                    </w:rPr>
                    <w:t>6.10 危险废物贮存设施的关闭应按照GB</w:t>
                  </w:r>
                  <w:r>
                    <w:rPr>
                      <w:rFonts w:hint="eastAsia"/>
                      <w:color w:val="000000" w:themeColor="text1"/>
                      <w:szCs w:val="21"/>
                      <w:lang w:eastAsia="zh-CN"/>
                    </w:rPr>
                    <w:t>*****</w:t>
                  </w:r>
                  <w:r>
                    <w:rPr>
                      <w:color w:val="000000" w:themeColor="text1"/>
                      <w:szCs w:val="21"/>
                    </w:rPr>
                    <w:t xml:space="preserve"> 和《危险废物经营许可证管理办法》的有关规定执行。</w:t>
                  </w:r>
                </w:p>
              </w:tc>
              <w:tc>
                <w:tcPr>
                  <w:tcW w:w="3402" w:type="dxa"/>
                  <w:vAlign w:val="center"/>
                </w:tcPr>
                <w:p>
                  <w:pPr>
                    <w:pStyle w:val="29"/>
                    <w:spacing w:line="360" w:lineRule="exact"/>
                    <w:ind w:firstLine="210" w:firstLineChars="100"/>
                    <w:jc w:val="both"/>
                    <w:rPr>
                      <w:color w:val="000000" w:themeColor="text1"/>
                      <w:szCs w:val="21"/>
                    </w:rPr>
                  </w:pPr>
                  <w:r>
                    <w:rPr>
                      <w:color w:val="000000" w:themeColor="text1"/>
                      <w:szCs w:val="21"/>
                    </w:rPr>
                    <w:t>项目关闭时将严格执行GB</w:t>
                  </w:r>
                  <w:r>
                    <w:rPr>
                      <w:rFonts w:hint="eastAsia"/>
                      <w:color w:val="000000" w:themeColor="text1"/>
                      <w:szCs w:val="21"/>
                      <w:lang w:eastAsia="zh-CN"/>
                    </w:rPr>
                    <w:t>*****</w:t>
                  </w:r>
                  <w:r>
                    <w:rPr>
                      <w:color w:val="000000" w:themeColor="text1"/>
                      <w:szCs w:val="21"/>
                    </w:rPr>
                    <w:t xml:space="preserve"> 和《危险废物经营许可证管理办法》的有关规定。</w:t>
                  </w:r>
                </w:p>
              </w:tc>
              <w:tc>
                <w:tcPr>
                  <w:tcW w:w="641" w:type="dxa"/>
                  <w:vAlign w:val="center"/>
                </w:tcPr>
                <w:p>
                  <w:pPr>
                    <w:pStyle w:val="29"/>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由上表可知，项目建设符合《危险废物收集 贮存 运输技术规范》（HJ 2025-2012）的相关规定。</w:t>
            </w:r>
          </w:p>
          <w:p>
            <w:pPr>
              <w:spacing w:line="360" w:lineRule="auto"/>
              <w:ind w:firstLine="361" w:firstLineChars="150"/>
              <w:rPr>
                <w:rFonts w:ascii="Times New Roman" w:hAnsi="Times New Roman" w:cs="Times New Roman"/>
                <w:b/>
                <w:color w:val="000000" w:themeColor="text1"/>
                <w:sz w:val="24"/>
                <w:szCs w:val="24"/>
              </w:rPr>
            </w:pPr>
            <w:bookmarkStart w:id="9" w:name="_Toc146789068"/>
            <w:r>
              <w:rPr>
                <w:rFonts w:ascii="Times New Roman" w:hAnsi="Times New Roman" w:cs="Times New Roman"/>
                <w:b/>
                <w:color w:val="000000" w:themeColor="text1"/>
                <w:sz w:val="24"/>
                <w:szCs w:val="24"/>
              </w:rPr>
              <w:t>（9）项目与</w:t>
            </w:r>
            <w:bookmarkStart w:id="10" w:name="_Hlk137333144"/>
            <w:r>
              <w:rPr>
                <w:rFonts w:ascii="Times New Roman" w:hAnsi="Times New Roman" w:cs="Times New Roman"/>
                <w:b/>
                <w:color w:val="000000" w:themeColor="text1"/>
                <w:sz w:val="24"/>
                <w:szCs w:val="24"/>
              </w:rPr>
              <w:t>《废矿物油回收利用污染控制技术规范》（HJ607-2011）</w:t>
            </w:r>
            <w:bookmarkEnd w:id="10"/>
            <w:r>
              <w:rPr>
                <w:rFonts w:ascii="Times New Roman" w:hAnsi="Times New Roman" w:cs="Times New Roman"/>
                <w:b/>
                <w:color w:val="000000" w:themeColor="text1"/>
                <w:sz w:val="24"/>
                <w:szCs w:val="24"/>
              </w:rPr>
              <w:t>的符合性分析</w:t>
            </w:r>
            <w:bookmarkEnd w:id="9"/>
          </w:p>
          <w:p>
            <w:pPr>
              <w:spacing w:line="360" w:lineRule="auto"/>
              <w:ind w:firstLine="480" w:firstLineChars="200"/>
              <w:rPr>
                <w:rFonts w:ascii="Times New Roman" w:hAnsi="Times New Roman" w:cs="Times New Roman"/>
                <w:color w:val="000000" w:themeColor="text1"/>
                <w:sz w:val="24"/>
                <w:szCs w:val="24"/>
              </w:rPr>
            </w:pPr>
            <w:bookmarkStart w:id="11" w:name="_Toc146789069"/>
            <w:r>
              <w:rPr>
                <w:rFonts w:ascii="Times New Roman" w:hAnsi="Times New Roman" w:cs="Times New Roman"/>
                <w:color w:val="000000" w:themeColor="text1"/>
                <w:sz w:val="24"/>
                <w:szCs w:val="24"/>
              </w:rPr>
              <w:t>项目与《废矿物油回收利用污染控制技术规范》（HJ607-2011）的相符性分析内容见下表。</w:t>
            </w:r>
            <w:bookmarkEnd w:id="11"/>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表1-10 与废矿物油回收利用污染控制技术规范相关要求的符合性分析</w:t>
            </w:r>
          </w:p>
          <w:tbl>
            <w:tblPr>
              <w:tblStyle w:val="18"/>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39"/>
              <w:gridCol w:w="3868"/>
              <w:gridCol w:w="3562"/>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 w:hRule="atLeast"/>
                <w:jc w:val="center"/>
              </w:trPr>
              <w:tc>
                <w:tcPr>
                  <w:tcW w:w="4407" w:type="dxa"/>
                  <w:gridSpan w:val="2"/>
                  <w:vAlign w:val="center"/>
                </w:tcPr>
                <w:p>
                  <w:pPr>
                    <w:pStyle w:val="29"/>
                    <w:spacing w:line="360" w:lineRule="exact"/>
                    <w:rPr>
                      <w:color w:val="000000" w:themeColor="text1"/>
                      <w:kern w:val="0"/>
                      <w:szCs w:val="21"/>
                    </w:rPr>
                  </w:pPr>
                  <w:r>
                    <w:rPr>
                      <w:color w:val="000000" w:themeColor="text1"/>
                      <w:kern w:val="0"/>
                      <w:szCs w:val="21"/>
                    </w:rPr>
                    <w:t>技术规范要求</w:t>
                  </w:r>
                </w:p>
              </w:tc>
              <w:tc>
                <w:tcPr>
                  <w:tcW w:w="3562" w:type="dxa"/>
                  <w:vAlign w:val="center"/>
                </w:tcPr>
                <w:p>
                  <w:pPr>
                    <w:pStyle w:val="29"/>
                    <w:spacing w:line="360" w:lineRule="exact"/>
                    <w:rPr>
                      <w:color w:val="000000" w:themeColor="text1"/>
                      <w:kern w:val="0"/>
                      <w:szCs w:val="21"/>
                    </w:rPr>
                  </w:pPr>
                  <w:r>
                    <w:rPr>
                      <w:color w:val="000000" w:themeColor="text1"/>
                      <w:kern w:val="0"/>
                      <w:szCs w:val="21"/>
                    </w:rPr>
                    <w:t>项目情况</w:t>
                  </w:r>
                </w:p>
              </w:tc>
              <w:tc>
                <w:tcPr>
                  <w:tcW w:w="643"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restart"/>
                  <w:vAlign w:val="center"/>
                </w:tcPr>
                <w:p>
                  <w:pPr>
                    <w:pStyle w:val="29"/>
                    <w:spacing w:line="360" w:lineRule="exact"/>
                    <w:rPr>
                      <w:color w:val="000000" w:themeColor="text1"/>
                      <w:kern w:val="0"/>
                      <w:szCs w:val="21"/>
                    </w:rPr>
                  </w:pPr>
                  <w:r>
                    <w:rPr>
                      <w:color w:val="000000" w:themeColor="text1"/>
                      <w:kern w:val="0"/>
                      <w:szCs w:val="21"/>
                    </w:rPr>
                    <w:t>收集要求</w:t>
                  </w: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废矿物油收集容器应完好无损，没有腐蚀、污染、损毁或其他能导致其使用效能减弱的缺陷。</w:t>
                  </w:r>
                </w:p>
              </w:tc>
              <w:tc>
                <w:tcPr>
                  <w:tcW w:w="3562" w:type="dxa"/>
                  <w:tcBorders>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项目采用完好无损的合格容器收集废矿物油。</w:t>
                  </w:r>
                </w:p>
              </w:tc>
              <w:tc>
                <w:tcPr>
                  <w:tcW w:w="643" w:type="dxa"/>
                  <w:vMerge w:val="restart"/>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tcBorders>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废矿物油收集过程产生的废旧容器应按照危险废物进行处置，仍可转作他用的，应经过消除污染的处理。</w:t>
                  </w:r>
                </w:p>
              </w:tc>
              <w:tc>
                <w:tcPr>
                  <w:tcW w:w="3562" w:type="dxa"/>
                  <w:tcBorders>
                    <w:top w:val="single" w:color="auto" w:sz="4" w:space="0"/>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项目弃用的废旧容器属于危险废物，严格按照危险废物委托资质单位处置。</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tcBorders>
                    <w:top w:val="single" w:color="auto" w:sz="4" w:space="0"/>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废矿物油应在产生源收集，不宜在产生源收集的应设置专用设施集中收集。</w:t>
                  </w:r>
                </w:p>
              </w:tc>
              <w:tc>
                <w:tcPr>
                  <w:tcW w:w="3562" w:type="dxa"/>
                  <w:tcBorders>
                    <w:top w:val="single" w:color="auto" w:sz="4" w:space="0"/>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项目收集的废矿物油均由建设单位到各产生单位进行收集。</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tcBorders>
                    <w:top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废矿物油收集过程产生的含油棉、含油毡等含废矿物油废物应一并收集。</w:t>
                  </w:r>
                </w:p>
              </w:tc>
              <w:tc>
                <w:tcPr>
                  <w:tcW w:w="3562" w:type="dxa"/>
                  <w:tcBorders>
                    <w:top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项目收集、转运贮存过程中产生的沾染废矿物油的抹布等物品均统一收集后处置。</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restart"/>
                  <w:vAlign w:val="center"/>
                </w:tcPr>
                <w:p>
                  <w:pPr>
                    <w:pStyle w:val="29"/>
                    <w:spacing w:line="360" w:lineRule="exact"/>
                    <w:rPr>
                      <w:color w:val="000000" w:themeColor="text1"/>
                      <w:kern w:val="0"/>
                      <w:szCs w:val="21"/>
                    </w:rPr>
                  </w:pPr>
                  <w:r>
                    <w:rPr>
                      <w:color w:val="000000" w:themeColor="text1"/>
                      <w:kern w:val="0"/>
                      <w:szCs w:val="21"/>
                    </w:rPr>
                    <w:t>运输要求</w:t>
                  </w: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废矿物油的运输转移应按《道路危险货物运输管理规定》、《铁路危险货物运输管理规则》、《水路危险货物运输规则》等的规定执行。</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项目废矿物油只由道路转运，按《道路危险货物运输管理规定》的要求执行。</w:t>
                  </w:r>
                </w:p>
              </w:tc>
              <w:tc>
                <w:tcPr>
                  <w:tcW w:w="643" w:type="dxa"/>
                  <w:vMerge w:val="restart"/>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废矿物油的运输转移过程控制应按《危险废物转移联单管理办法》的规定执行。</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项目废矿物油转运过程控制按《危险废物转移管理办法》的有关要求执行。</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废矿物油转运前应检查危险废物转移联单，核对品名、数量和标志等。</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项目废矿物油转运前检查危险废物转移联单，核对品名、数量和标志等。</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废矿物油转运前应制定突发环境事件应急预案。</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针对可能发生的环境污染事件，现有项目已制定应急预案，项目建成后，应进行修订并向项目所在地县级环境保护主管部门备案。</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矿物油转运前应检查转运设备和盛装容器的稳定性、严密性，确保运输途中不会破裂、倾倒和溢流。</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项目转运废矿物油期前对转运设备、容器等进行检查，确保正常后方开始转运作业。</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废矿物油在转运过程中应设专人看护。</w:t>
                  </w:r>
                </w:p>
              </w:tc>
              <w:tc>
                <w:tcPr>
                  <w:tcW w:w="3562" w:type="dxa"/>
                  <w:tcBorders>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项目废矿物油转运过程中应设专人看护。</w:t>
                  </w:r>
                </w:p>
              </w:tc>
              <w:tc>
                <w:tcPr>
                  <w:tcW w:w="643" w:type="dxa"/>
                  <w:vMerge w:val="continue"/>
                  <w:tcBorders>
                    <w:bottom w:val="single" w:color="auto" w:sz="4" w:space="0"/>
                  </w:tcBorders>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restart"/>
                  <w:vAlign w:val="center"/>
                </w:tcPr>
                <w:p>
                  <w:pPr>
                    <w:pStyle w:val="29"/>
                    <w:spacing w:line="360" w:lineRule="exact"/>
                    <w:rPr>
                      <w:color w:val="000000" w:themeColor="text1"/>
                      <w:kern w:val="0"/>
                      <w:szCs w:val="21"/>
                    </w:rPr>
                  </w:pPr>
                  <w:r>
                    <w:rPr>
                      <w:color w:val="000000" w:themeColor="text1"/>
                      <w:kern w:val="0"/>
                      <w:szCs w:val="21"/>
                    </w:rPr>
                    <w:t>贮存要求</w:t>
                  </w: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废矿物油贮存污染控制应符合GB</w:t>
                  </w:r>
                  <w:r>
                    <w:rPr>
                      <w:rFonts w:hint="eastAsia"/>
                      <w:color w:val="000000" w:themeColor="text1"/>
                      <w:szCs w:val="21"/>
                      <w:lang w:eastAsia="zh-CN"/>
                    </w:rPr>
                    <w:t>*****</w:t>
                  </w:r>
                  <w:r>
                    <w:rPr>
                      <w:color w:val="000000" w:themeColor="text1"/>
                      <w:szCs w:val="21"/>
                    </w:rPr>
                    <w:t>中的有关规定。</w:t>
                  </w:r>
                </w:p>
              </w:tc>
              <w:tc>
                <w:tcPr>
                  <w:tcW w:w="3562" w:type="dxa"/>
                  <w:tcBorders>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项目废矿物油贮存符合《危险废物贮存污染控制标准》（GB</w:t>
                  </w:r>
                  <w:r>
                    <w:rPr>
                      <w:rFonts w:hint="eastAsia"/>
                      <w:color w:val="000000" w:themeColor="text1"/>
                      <w:szCs w:val="21"/>
                      <w:lang w:eastAsia="zh-CN"/>
                    </w:rPr>
                    <w:t>*****</w:t>
                  </w:r>
                  <w:r>
                    <w:rPr>
                      <w:color w:val="000000" w:themeColor="text1"/>
                      <w:szCs w:val="21"/>
                    </w:rPr>
                    <w:t>-2023）中的有关规定。</w:t>
                  </w:r>
                </w:p>
              </w:tc>
              <w:tc>
                <w:tcPr>
                  <w:tcW w:w="643" w:type="dxa"/>
                  <w:vMerge w:val="restart"/>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废矿物油贮存设施的设计、建设除符合危险废物贮存设计原则外，还应符合有关消防和危险品贮存设计规范。</w:t>
                  </w:r>
                </w:p>
              </w:tc>
              <w:tc>
                <w:tcPr>
                  <w:tcW w:w="3562" w:type="dxa"/>
                  <w:tcBorders>
                    <w:top w:val="single" w:color="auto" w:sz="4" w:space="0"/>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废矿物油贮存设施的设计、建设符合危险废物贮存设计原则以及有关消防和危险品贮存设计规范。</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废矿物油贮存设施应远离火源，并避免高温和阳光直射。</w:t>
                  </w:r>
                </w:p>
              </w:tc>
              <w:tc>
                <w:tcPr>
                  <w:tcW w:w="3562" w:type="dxa"/>
                  <w:tcBorders>
                    <w:top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项目废矿物油贮存于仓库内，远离火源，无高温和阳光直射。</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废矿物油应使用专用设施贮存，贮存前应进行检验，不应与不相容的废物混合，实行分类存放。</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项目设置专门的废矿物油仓储区，采用合格油罐，贮存前进行检验，不与不相容的废物混合，实行分类存放。</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废矿物油贮存设施内地面应作防渗处理，并建设废矿物油收集和导流系统，用于收集不慎泄漏的废矿物油。</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项目废矿物油仓储区地面进行防渗处理，设置围堰及导流系统，设置废矿物油收集池。</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废矿物油容器盛装液体废矿物油时，应留有足够的膨胀余量，预留容积应不少于总容积的5%。</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项目废矿物油最大贮存量为贮存设施（储罐）的90%。</w:t>
                  </w:r>
                </w:p>
              </w:tc>
              <w:tc>
                <w:tcPr>
                  <w:tcW w:w="643" w:type="dxa"/>
                  <w:vMerge w:val="continue"/>
                </w:tcPr>
                <w:p>
                  <w:pPr>
                    <w:pStyle w:val="29"/>
                    <w:spacing w:line="360" w:lineRule="exact"/>
                    <w:rPr>
                      <w:color w:val="000000" w:themeColor="text1"/>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9"/>
                    <w:spacing w:line="360" w:lineRule="exact"/>
                    <w:rPr>
                      <w:color w:val="000000" w:themeColor="text1"/>
                      <w:kern w:val="0"/>
                      <w:szCs w:val="21"/>
                    </w:rPr>
                  </w:pPr>
                </w:p>
              </w:tc>
              <w:tc>
                <w:tcPr>
                  <w:tcW w:w="3868" w:type="dxa"/>
                  <w:vAlign w:val="center"/>
                </w:tcPr>
                <w:p>
                  <w:pPr>
                    <w:pStyle w:val="29"/>
                    <w:spacing w:line="360" w:lineRule="exact"/>
                    <w:ind w:firstLine="210" w:firstLineChars="100"/>
                    <w:jc w:val="both"/>
                    <w:rPr>
                      <w:color w:val="000000" w:themeColor="text1"/>
                      <w:szCs w:val="21"/>
                    </w:rPr>
                  </w:pPr>
                  <w:r>
                    <w:rPr>
                      <w:color w:val="000000" w:themeColor="text1"/>
                      <w:szCs w:val="21"/>
                    </w:rPr>
                    <w:t>已盛装废矿物油的容器应密封，贮油油罐应设置呼吸孔，防止气体膨胀，并安装防护罩，防止杂质落入。</w:t>
                  </w:r>
                </w:p>
              </w:tc>
              <w:tc>
                <w:tcPr>
                  <w:tcW w:w="3562" w:type="dxa"/>
                  <w:vAlign w:val="center"/>
                </w:tcPr>
                <w:p>
                  <w:pPr>
                    <w:pStyle w:val="29"/>
                    <w:spacing w:line="360" w:lineRule="exact"/>
                    <w:ind w:firstLine="210" w:firstLineChars="100"/>
                    <w:jc w:val="both"/>
                    <w:rPr>
                      <w:color w:val="000000" w:themeColor="text1"/>
                      <w:szCs w:val="21"/>
                    </w:rPr>
                  </w:pPr>
                  <w:r>
                    <w:rPr>
                      <w:color w:val="000000" w:themeColor="text1"/>
                      <w:szCs w:val="21"/>
                    </w:rPr>
                    <w:t>项目废矿物油暂存容器为密封储油罐，设有呼吸孔及防护罩。</w:t>
                  </w:r>
                </w:p>
              </w:tc>
              <w:tc>
                <w:tcPr>
                  <w:tcW w:w="643" w:type="dxa"/>
                  <w:vMerge w:val="continue"/>
                </w:tcPr>
                <w:p>
                  <w:pPr>
                    <w:pStyle w:val="29"/>
                    <w:spacing w:line="360" w:lineRule="exact"/>
                    <w:rPr>
                      <w:color w:val="000000" w:themeColor="text1"/>
                      <w:kern w:val="0"/>
                      <w:szCs w:val="21"/>
                    </w:rPr>
                  </w:pP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综上，项目废矿物油在收集、暂时贮存、运输环节均可满足《废矿物油回收利用污染控制技术规范》（HJ607-2011）相关要求。</w:t>
            </w:r>
          </w:p>
          <w:p>
            <w:pPr>
              <w:spacing w:line="360" w:lineRule="auto"/>
              <w:ind w:firstLine="361" w:firstLineChars="150"/>
              <w:rPr>
                <w:rFonts w:ascii="Times New Roman" w:hAnsi="Times New Roman" w:cs="Times New Roman"/>
                <w:b/>
                <w:color w:val="000000" w:themeColor="text1"/>
                <w:sz w:val="24"/>
                <w:szCs w:val="24"/>
              </w:rPr>
            </w:pPr>
            <w:bookmarkStart w:id="12" w:name="_Toc146789070"/>
            <w:r>
              <w:rPr>
                <w:rFonts w:ascii="Times New Roman" w:hAnsi="Times New Roman" w:cs="Times New Roman"/>
                <w:b/>
                <w:color w:val="000000" w:themeColor="text1"/>
                <w:sz w:val="24"/>
                <w:szCs w:val="24"/>
              </w:rPr>
              <w:t>（10）项目与《云南省小微企业危险废物收集试点工作方案》符合性分析</w:t>
            </w:r>
            <w:bookmarkEnd w:id="12"/>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根据《云南省生态环境厅关于印发云南省小微企业危险废物收集试点工作方案的通知》（云环通【2022】168号），项目建设与《云南省小微企业危险废物收集试点工作方案》的符合性分析如下表所示。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表1-11 与云南省小微企业危险废物收集试点工作方案符合性分析</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3"/>
              <w:gridCol w:w="3950"/>
              <w:gridCol w:w="3543"/>
              <w:gridCol w:w="6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9"/>
                    <w:spacing w:line="360" w:lineRule="exact"/>
                    <w:rPr>
                      <w:color w:val="000000" w:themeColor="text1"/>
                      <w:kern w:val="0"/>
                      <w:szCs w:val="21"/>
                    </w:rPr>
                  </w:pPr>
                  <w:r>
                    <w:rPr>
                      <w:color w:val="000000" w:themeColor="text1"/>
                      <w:kern w:val="0"/>
                      <w:szCs w:val="21"/>
                    </w:rPr>
                    <w:t>序号</w:t>
                  </w:r>
                </w:p>
              </w:tc>
              <w:tc>
                <w:tcPr>
                  <w:tcW w:w="3950" w:type="dxa"/>
                  <w:vAlign w:val="center"/>
                </w:tcPr>
                <w:p>
                  <w:pPr>
                    <w:pStyle w:val="29"/>
                    <w:spacing w:line="360" w:lineRule="exact"/>
                    <w:rPr>
                      <w:color w:val="000000" w:themeColor="text1"/>
                      <w:kern w:val="0"/>
                      <w:szCs w:val="21"/>
                    </w:rPr>
                  </w:pPr>
                  <w:r>
                    <w:rPr>
                      <w:color w:val="000000" w:themeColor="text1"/>
                      <w:kern w:val="0"/>
                      <w:szCs w:val="21"/>
                    </w:rPr>
                    <w:t>云南省小微企业危险废物收集试点工作方案的要求</w:t>
                  </w:r>
                </w:p>
              </w:tc>
              <w:tc>
                <w:tcPr>
                  <w:tcW w:w="3543" w:type="dxa"/>
                  <w:vAlign w:val="center"/>
                </w:tcPr>
                <w:p>
                  <w:pPr>
                    <w:pStyle w:val="29"/>
                    <w:spacing w:line="360" w:lineRule="exact"/>
                    <w:rPr>
                      <w:color w:val="000000" w:themeColor="text1"/>
                      <w:kern w:val="0"/>
                      <w:szCs w:val="21"/>
                    </w:rPr>
                  </w:pPr>
                  <w:r>
                    <w:rPr>
                      <w:color w:val="000000" w:themeColor="text1"/>
                      <w:kern w:val="0"/>
                      <w:szCs w:val="21"/>
                    </w:rPr>
                    <w:t>该项目实际情况</w:t>
                  </w:r>
                </w:p>
              </w:tc>
              <w:tc>
                <w:tcPr>
                  <w:tcW w:w="642"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9"/>
                    <w:spacing w:line="360" w:lineRule="exact"/>
                    <w:rPr>
                      <w:color w:val="000000" w:themeColor="text1"/>
                      <w:kern w:val="0"/>
                      <w:szCs w:val="21"/>
                    </w:rPr>
                  </w:pPr>
                  <w:r>
                    <w:rPr>
                      <w:color w:val="000000" w:themeColor="text1"/>
                      <w:kern w:val="0"/>
                      <w:szCs w:val="21"/>
                    </w:rPr>
                    <w:t>1</w:t>
                  </w:r>
                </w:p>
              </w:tc>
              <w:tc>
                <w:tcPr>
                  <w:tcW w:w="3950" w:type="dxa"/>
                  <w:vAlign w:val="center"/>
                </w:tcPr>
                <w:p>
                  <w:pPr>
                    <w:pStyle w:val="29"/>
                    <w:spacing w:line="360" w:lineRule="exact"/>
                    <w:ind w:firstLine="210" w:firstLineChars="100"/>
                    <w:jc w:val="both"/>
                    <w:rPr>
                      <w:color w:val="000000" w:themeColor="text1"/>
                      <w:szCs w:val="21"/>
                    </w:rPr>
                  </w:pPr>
                  <w:r>
                    <w:rPr>
                      <w:color w:val="000000" w:themeColor="text1"/>
                      <w:szCs w:val="21"/>
                    </w:rPr>
                    <w:t>收集对象：危险废物年产生总量在10吨以下（含10吨）的工业企业、机关事业单位、科研院所、学校、分析检测机构及自动监测站点、移动基站、机动车维修、报废车拆解等小微企业或社会源。</w:t>
                  </w:r>
                </w:p>
              </w:tc>
              <w:tc>
                <w:tcPr>
                  <w:tcW w:w="3543" w:type="dxa"/>
                  <w:vAlign w:val="center"/>
                </w:tcPr>
                <w:p>
                  <w:pPr>
                    <w:pStyle w:val="29"/>
                    <w:spacing w:line="360" w:lineRule="exact"/>
                    <w:ind w:firstLine="210" w:firstLineChars="100"/>
                    <w:jc w:val="both"/>
                    <w:rPr>
                      <w:color w:val="000000" w:themeColor="text1"/>
                      <w:szCs w:val="21"/>
                    </w:rPr>
                  </w:pPr>
                  <w:r>
                    <w:rPr>
                      <w:color w:val="000000" w:themeColor="text1"/>
                      <w:szCs w:val="21"/>
                    </w:rPr>
                    <w:t>项目将严格按照《云南省小微企业危险废物收集试点工作方案》的要求，对小微企业产生的危险废物进行收集。</w:t>
                  </w:r>
                </w:p>
              </w:tc>
              <w:tc>
                <w:tcPr>
                  <w:tcW w:w="642"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9"/>
                    <w:spacing w:line="360" w:lineRule="exact"/>
                    <w:rPr>
                      <w:color w:val="000000" w:themeColor="text1"/>
                      <w:kern w:val="0"/>
                      <w:szCs w:val="21"/>
                    </w:rPr>
                  </w:pPr>
                  <w:r>
                    <w:rPr>
                      <w:color w:val="000000" w:themeColor="text1"/>
                      <w:kern w:val="0"/>
                      <w:szCs w:val="21"/>
                    </w:rPr>
                    <w:t>2</w:t>
                  </w:r>
                </w:p>
              </w:tc>
              <w:tc>
                <w:tcPr>
                  <w:tcW w:w="3950" w:type="dxa"/>
                  <w:vAlign w:val="center"/>
                </w:tcPr>
                <w:p>
                  <w:pPr>
                    <w:pStyle w:val="29"/>
                    <w:spacing w:line="360" w:lineRule="exact"/>
                    <w:ind w:firstLine="210" w:firstLineChars="100"/>
                    <w:jc w:val="both"/>
                    <w:rPr>
                      <w:color w:val="000000" w:themeColor="text1"/>
                      <w:szCs w:val="21"/>
                    </w:rPr>
                  </w:pPr>
                  <w:r>
                    <w:rPr>
                      <w:color w:val="000000" w:themeColor="text1"/>
                      <w:szCs w:val="21"/>
                    </w:rPr>
                    <w:t>收集类别：废矿物油及其沾染物、废试剂、实验室废物、在线监测废液、废荧光灯管、废活性炭、废催化剂、废药品、精（蒸）馆残渣、染料/涂料废物、废树脂、废水处理污泥等（附件1），以及年产废总量10吨以上企业产生的少量上述危险废物。各州（市）可结合区域实际收集需求和试点单位能力合理选择确定危险废物类别。</w:t>
                  </w:r>
                </w:p>
                <w:p>
                  <w:pPr>
                    <w:pStyle w:val="29"/>
                    <w:spacing w:line="360" w:lineRule="exact"/>
                    <w:ind w:firstLine="210" w:firstLineChars="100"/>
                    <w:jc w:val="both"/>
                    <w:rPr>
                      <w:color w:val="000000" w:themeColor="text1"/>
                      <w:szCs w:val="21"/>
                    </w:rPr>
                  </w:pPr>
                  <w:r>
                    <w:rPr>
                      <w:color w:val="000000" w:themeColor="text1"/>
                      <w:szCs w:val="21"/>
                    </w:rPr>
                    <w:t>不包含以下危险废物类别：</w:t>
                  </w:r>
                </w:p>
                <w:p>
                  <w:pPr>
                    <w:pStyle w:val="29"/>
                    <w:spacing w:line="360" w:lineRule="exact"/>
                    <w:ind w:firstLine="210" w:firstLineChars="100"/>
                    <w:jc w:val="both"/>
                    <w:rPr>
                      <w:color w:val="000000" w:themeColor="text1"/>
                      <w:szCs w:val="21"/>
                    </w:rPr>
                  </w:pPr>
                  <w:r>
                    <w:rPr>
                      <w:color w:val="000000" w:themeColor="text1"/>
                      <w:szCs w:val="21"/>
                    </w:rPr>
                    <w:t>1.常温常压下易燃、易爆及排放有毒气体的危险废物；</w:t>
                  </w:r>
                </w:p>
                <w:p>
                  <w:pPr>
                    <w:pStyle w:val="29"/>
                    <w:spacing w:line="360" w:lineRule="exact"/>
                    <w:ind w:firstLine="210" w:firstLineChars="100"/>
                    <w:jc w:val="both"/>
                    <w:rPr>
                      <w:color w:val="000000" w:themeColor="text1"/>
                      <w:szCs w:val="21"/>
                    </w:rPr>
                  </w:pPr>
                  <w:r>
                    <w:rPr>
                      <w:color w:val="000000" w:themeColor="text1"/>
                      <w:szCs w:val="21"/>
                    </w:rPr>
                    <w:t>2.感染性、损伤性、病理性医疗废物；</w:t>
                  </w:r>
                </w:p>
                <w:p>
                  <w:pPr>
                    <w:pStyle w:val="29"/>
                    <w:spacing w:line="360" w:lineRule="exact"/>
                    <w:ind w:firstLine="210" w:firstLineChars="100"/>
                    <w:jc w:val="both"/>
                    <w:rPr>
                      <w:color w:val="000000" w:themeColor="text1"/>
                      <w:szCs w:val="21"/>
                    </w:rPr>
                  </w:pPr>
                  <w:r>
                    <w:rPr>
                      <w:color w:val="000000" w:themeColor="text1"/>
                      <w:szCs w:val="21"/>
                    </w:rPr>
                    <w:t>3.成分不明或者无明确利用处置去向的危险废物；</w:t>
                  </w:r>
                </w:p>
                <w:p>
                  <w:pPr>
                    <w:pStyle w:val="29"/>
                    <w:spacing w:line="360" w:lineRule="exact"/>
                    <w:ind w:firstLine="210" w:firstLineChars="100"/>
                    <w:jc w:val="both"/>
                    <w:rPr>
                      <w:color w:val="000000" w:themeColor="text1"/>
                      <w:szCs w:val="21"/>
                    </w:rPr>
                  </w:pPr>
                  <w:r>
                    <w:rPr>
                      <w:color w:val="000000" w:themeColor="text1"/>
                      <w:szCs w:val="21"/>
                    </w:rPr>
                    <w:t>4.相关法律法规另有规定必须单独收集的，从其规定；</w:t>
                  </w:r>
                </w:p>
                <w:p>
                  <w:pPr>
                    <w:pStyle w:val="29"/>
                    <w:spacing w:line="360" w:lineRule="exact"/>
                    <w:ind w:firstLine="210" w:firstLineChars="100"/>
                    <w:jc w:val="both"/>
                    <w:rPr>
                      <w:color w:val="000000" w:themeColor="text1"/>
                      <w:szCs w:val="21"/>
                    </w:rPr>
                  </w:pPr>
                  <w:r>
                    <w:rPr>
                      <w:color w:val="000000" w:themeColor="text1"/>
                      <w:szCs w:val="21"/>
                    </w:rPr>
                    <w:t>5.行政管理部门认为不宜集中收集、贮存的危险废物。</w:t>
                  </w:r>
                </w:p>
              </w:tc>
              <w:tc>
                <w:tcPr>
                  <w:tcW w:w="3543" w:type="dxa"/>
                  <w:vAlign w:val="center"/>
                </w:tcPr>
                <w:p>
                  <w:pPr>
                    <w:pStyle w:val="29"/>
                    <w:spacing w:line="360" w:lineRule="exact"/>
                    <w:ind w:firstLine="210" w:firstLineChars="100"/>
                    <w:jc w:val="both"/>
                    <w:rPr>
                      <w:color w:val="000000" w:themeColor="text1"/>
                      <w:szCs w:val="21"/>
                    </w:rPr>
                  </w:pPr>
                  <w:r>
                    <w:rPr>
                      <w:color w:val="000000" w:themeColor="text1"/>
                      <w:szCs w:val="21"/>
                    </w:rPr>
                    <w:t>《云南省小微企业危险废物收集试点工作方案》附件1已明确的可收集危险废物包括83类，而建设单位结合服务区域（东川、寻甸）的实际情况，拟收集83类中的65类危险废物。</w:t>
                  </w:r>
                </w:p>
              </w:tc>
              <w:tc>
                <w:tcPr>
                  <w:tcW w:w="642"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9"/>
                    <w:spacing w:line="360" w:lineRule="exact"/>
                    <w:rPr>
                      <w:color w:val="000000" w:themeColor="text1"/>
                      <w:kern w:val="0"/>
                      <w:szCs w:val="21"/>
                    </w:rPr>
                  </w:pPr>
                  <w:r>
                    <w:rPr>
                      <w:color w:val="000000" w:themeColor="text1"/>
                      <w:kern w:val="0"/>
                      <w:szCs w:val="21"/>
                    </w:rPr>
                    <w:t>3</w:t>
                  </w:r>
                </w:p>
              </w:tc>
              <w:tc>
                <w:tcPr>
                  <w:tcW w:w="3950" w:type="dxa"/>
                  <w:vAlign w:val="center"/>
                </w:tcPr>
                <w:p>
                  <w:pPr>
                    <w:pStyle w:val="29"/>
                    <w:spacing w:line="360" w:lineRule="exact"/>
                    <w:ind w:firstLine="210" w:firstLineChars="100"/>
                    <w:jc w:val="both"/>
                    <w:rPr>
                      <w:color w:val="000000" w:themeColor="text1"/>
                      <w:szCs w:val="21"/>
                    </w:rPr>
                  </w:pPr>
                  <w:r>
                    <w:rPr>
                      <w:color w:val="000000" w:themeColor="text1"/>
                      <w:szCs w:val="21"/>
                    </w:rPr>
                    <w:t>收集规模：试点单位应根据服务区域危险废物收集需求、收集贮存能力，合理申请危险废物收集规模。每个试点单位收集规模原则上不大于5000吨/年，每个贮存点单次最大贮存量不超过500吨（单一类别最大贮存量不超过100吨）。</w:t>
                  </w:r>
                </w:p>
              </w:tc>
              <w:tc>
                <w:tcPr>
                  <w:tcW w:w="3543" w:type="dxa"/>
                  <w:vAlign w:val="center"/>
                </w:tcPr>
                <w:p>
                  <w:pPr>
                    <w:pStyle w:val="29"/>
                    <w:spacing w:line="360" w:lineRule="exact"/>
                    <w:ind w:firstLine="210" w:firstLineChars="100"/>
                    <w:jc w:val="both"/>
                    <w:rPr>
                      <w:color w:val="000000" w:themeColor="text1"/>
                      <w:szCs w:val="21"/>
                    </w:rPr>
                  </w:pPr>
                  <w:r>
                    <w:rPr>
                      <w:color w:val="000000" w:themeColor="text1"/>
                      <w:szCs w:val="21"/>
                    </w:rPr>
                    <w:t>根据《昆明旭鑫环保科技有限公司开展小微企业危险废物收集试点实施方案》，试点项目网点由东川网点（即本项目）和寻甸网点（寻甸烨龙再生资源有限公司收集点）组成</w:t>
                  </w:r>
                  <w:r>
                    <w:rPr>
                      <w:rFonts w:hint="eastAsia"/>
                      <w:color w:val="000000" w:themeColor="text1"/>
                      <w:szCs w:val="21"/>
                    </w:rPr>
                    <w:t>。根据寻甸网点的环评及</w:t>
                  </w:r>
                  <w:r>
                    <w:rPr>
                      <w:color w:val="000000" w:themeColor="text1"/>
                      <w:szCs w:val="21"/>
                    </w:rPr>
                    <w:t>及排污许可证</w:t>
                  </w:r>
                  <w:r>
                    <w:rPr>
                      <w:rFonts w:hint="eastAsia"/>
                      <w:color w:val="000000" w:themeColor="text1"/>
                      <w:szCs w:val="21"/>
                    </w:rPr>
                    <w:t>，</w:t>
                  </w:r>
                  <w:r>
                    <w:rPr>
                      <w:color w:val="000000" w:themeColor="text1"/>
                      <w:szCs w:val="21"/>
                    </w:rPr>
                    <w:t>寻甸网点废铅蓄电池</w:t>
                  </w:r>
                  <w:r>
                    <w:rPr>
                      <w:rFonts w:hint="eastAsia"/>
                      <w:color w:val="000000" w:themeColor="text1"/>
                      <w:szCs w:val="21"/>
                    </w:rPr>
                    <w:t>（</w:t>
                  </w:r>
                  <w:r>
                    <w:rPr>
                      <w:color w:val="000000" w:themeColor="text1"/>
                      <w:szCs w:val="21"/>
                    </w:rPr>
                    <w:t>900-052-31</w:t>
                  </w:r>
                  <w:r>
                    <w:rPr>
                      <w:rFonts w:hint="eastAsia"/>
                      <w:color w:val="000000" w:themeColor="text1"/>
                      <w:szCs w:val="21"/>
                    </w:rPr>
                    <w:t>）</w:t>
                  </w:r>
                  <w:r>
                    <w:rPr>
                      <w:color w:val="000000" w:themeColor="text1"/>
                      <w:szCs w:val="21"/>
                    </w:rPr>
                    <w:t>最大贮存能力为1000t，废电路板</w:t>
                  </w:r>
                  <w:r>
                    <w:rPr>
                      <w:rFonts w:hint="eastAsia"/>
                      <w:color w:val="000000" w:themeColor="text1"/>
                      <w:szCs w:val="21"/>
                    </w:rPr>
                    <w:t>（</w:t>
                  </w:r>
                  <w:r>
                    <w:rPr>
                      <w:color w:val="000000" w:themeColor="text1"/>
                      <w:szCs w:val="21"/>
                    </w:rPr>
                    <w:t>900-045-49</w:t>
                  </w:r>
                  <w:r>
                    <w:rPr>
                      <w:rFonts w:hint="eastAsia"/>
                      <w:color w:val="000000" w:themeColor="text1"/>
                      <w:szCs w:val="21"/>
                    </w:rPr>
                    <w:t>）</w:t>
                  </w:r>
                  <w:r>
                    <w:rPr>
                      <w:color w:val="000000" w:themeColor="text1"/>
                      <w:szCs w:val="21"/>
                    </w:rPr>
                    <w:t>最大贮存能力为500t</w:t>
                  </w:r>
                  <w:r>
                    <w:rPr>
                      <w:rFonts w:hint="eastAsia"/>
                      <w:color w:val="000000" w:themeColor="text1"/>
                      <w:szCs w:val="21"/>
                    </w:rPr>
                    <w:t>，但</w:t>
                  </w:r>
                  <w:r>
                    <w:rPr>
                      <w:color w:val="000000" w:themeColor="text1"/>
                      <w:szCs w:val="21"/>
                    </w:rPr>
                    <w:t>《云南省生态环境厅关于印发云南省小微企业危险废物收集试点工作方案的通知》（云环通【2022】168号）</w:t>
                  </w:r>
                  <w:r>
                    <w:rPr>
                      <w:rFonts w:hint="eastAsia"/>
                      <w:color w:val="000000" w:themeColor="text1"/>
                      <w:szCs w:val="21"/>
                    </w:rPr>
                    <w:t>中“危险废物收集类别”不含</w:t>
                  </w:r>
                  <w:r>
                    <w:rPr>
                      <w:color w:val="000000" w:themeColor="text1"/>
                      <w:szCs w:val="21"/>
                    </w:rPr>
                    <w:t>废铅蓄电池</w:t>
                  </w:r>
                  <w:r>
                    <w:rPr>
                      <w:rFonts w:hint="eastAsia"/>
                      <w:color w:val="000000" w:themeColor="text1"/>
                      <w:szCs w:val="21"/>
                    </w:rPr>
                    <w:t>（</w:t>
                  </w:r>
                  <w:r>
                    <w:rPr>
                      <w:color w:val="000000" w:themeColor="text1"/>
                      <w:szCs w:val="21"/>
                    </w:rPr>
                    <w:t>900-052-31</w:t>
                  </w:r>
                  <w:r>
                    <w:rPr>
                      <w:rFonts w:hint="eastAsia"/>
                      <w:color w:val="000000" w:themeColor="text1"/>
                      <w:szCs w:val="21"/>
                    </w:rPr>
                    <w:t>），则</w:t>
                  </w:r>
                  <w:r>
                    <w:rPr>
                      <w:color w:val="000000" w:themeColor="text1"/>
                      <w:szCs w:val="21"/>
                    </w:rPr>
                    <w:t>寻甸网点</w:t>
                  </w:r>
                  <w:r>
                    <w:rPr>
                      <w:rFonts w:hint="eastAsia"/>
                      <w:color w:val="000000" w:themeColor="text1"/>
                      <w:szCs w:val="21"/>
                    </w:rPr>
                    <w:t>纳入试点单位考核的部分仅为</w:t>
                  </w:r>
                  <w:r>
                    <w:rPr>
                      <w:color w:val="000000" w:themeColor="text1"/>
                      <w:szCs w:val="21"/>
                    </w:rPr>
                    <w:t>废电路板</w:t>
                  </w:r>
                  <w:r>
                    <w:rPr>
                      <w:rFonts w:hint="eastAsia"/>
                      <w:color w:val="000000" w:themeColor="text1"/>
                      <w:szCs w:val="21"/>
                    </w:rPr>
                    <w:t>（</w:t>
                  </w:r>
                  <w:r>
                    <w:rPr>
                      <w:color w:val="000000" w:themeColor="text1"/>
                      <w:szCs w:val="21"/>
                    </w:rPr>
                    <w:t>900-045-49</w:t>
                  </w:r>
                  <w:r>
                    <w:rPr>
                      <w:rFonts w:hint="eastAsia"/>
                      <w:color w:val="000000" w:themeColor="text1"/>
                      <w:szCs w:val="21"/>
                    </w:rPr>
                    <w:t>）</w:t>
                  </w:r>
                  <w:r>
                    <w:rPr>
                      <w:color w:val="000000" w:themeColor="text1"/>
                      <w:szCs w:val="21"/>
                    </w:rPr>
                    <w:t>500t</w:t>
                  </w:r>
                  <w:r>
                    <w:rPr>
                      <w:rFonts w:hint="eastAsia"/>
                      <w:color w:val="000000" w:themeColor="text1"/>
                      <w:szCs w:val="21"/>
                    </w:rPr>
                    <w:t>的收集能力，则</w:t>
                  </w:r>
                  <w:r>
                    <w:rPr>
                      <w:color w:val="000000" w:themeColor="text1"/>
                      <w:szCs w:val="21"/>
                    </w:rPr>
                    <w:t>东川网点申请收集规模为</w:t>
                  </w:r>
                  <w:r>
                    <w:rPr>
                      <w:rFonts w:hint="eastAsia"/>
                      <w:color w:val="000000" w:themeColor="text1"/>
                      <w:szCs w:val="21"/>
                    </w:rPr>
                    <w:t>45</w:t>
                  </w:r>
                  <w:r>
                    <w:rPr>
                      <w:color w:val="000000" w:themeColor="text1"/>
                      <w:szCs w:val="21"/>
                    </w:rPr>
                    <w:t>00吨/年</w:t>
                  </w:r>
                  <w:r>
                    <w:rPr>
                      <w:rFonts w:hint="eastAsia"/>
                      <w:color w:val="000000" w:themeColor="text1"/>
                      <w:szCs w:val="21"/>
                    </w:rPr>
                    <w:t>，可满足总量要求；</w:t>
                  </w:r>
                  <w:r>
                    <w:rPr>
                      <w:color w:val="000000" w:themeColor="text1"/>
                      <w:szCs w:val="21"/>
                    </w:rPr>
                    <w:t>拟设置1000m²的贮存库，</w:t>
                  </w:r>
                  <w:r>
                    <w:rPr>
                      <w:rFonts w:hint="eastAsia"/>
                      <w:color w:val="000000" w:themeColor="text1"/>
                      <w:szCs w:val="21"/>
                    </w:rPr>
                    <w:t>东川网点</w:t>
                  </w:r>
                  <w:r>
                    <w:rPr>
                      <w:color w:val="000000" w:themeColor="text1"/>
                      <w:szCs w:val="21"/>
                    </w:rPr>
                    <w:t>各类危险废物最大暂存量为374.99t，单一类别最大贮存量98.33t；而寻甸网点按照其环评及排污许可证要求执行，其中废电路板</w:t>
                  </w:r>
                  <w:r>
                    <w:rPr>
                      <w:rFonts w:hint="eastAsia"/>
                      <w:color w:val="000000" w:themeColor="text1"/>
                      <w:szCs w:val="21"/>
                    </w:rPr>
                    <w:t>（</w:t>
                  </w:r>
                  <w:r>
                    <w:rPr>
                      <w:color w:val="000000" w:themeColor="text1"/>
                      <w:szCs w:val="21"/>
                    </w:rPr>
                    <w:t>900-045-49</w:t>
                  </w:r>
                  <w:r>
                    <w:rPr>
                      <w:rFonts w:hint="eastAsia"/>
                      <w:color w:val="000000" w:themeColor="text1"/>
                      <w:szCs w:val="21"/>
                    </w:rPr>
                    <w:t>）</w:t>
                  </w:r>
                  <w:r>
                    <w:rPr>
                      <w:color w:val="000000" w:themeColor="text1"/>
                      <w:szCs w:val="21"/>
                    </w:rPr>
                    <w:t>最大贮存能力为500t。</w:t>
                  </w:r>
                </w:p>
              </w:tc>
              <w:tc>
                <w:tcPr>
                  <w:tcW w:w="642"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9"/>
                    <w:spacing w:line="360" w:lineRule="exact"/>
                    <w:rPr>
                      <w:color w:val="000000" w:themeColor="text1"/>
                      <w:kern w:val="0"/>
                      <w:szCs w:val="21"/>
                    </w:rPr>
                  </w:pPr>
                  <w:r>
                    <w:rPr>
                      <w:color w:val="000000" w:themeColor="text1"/>
                      <w:kern w:val="0"/>
                      <w:szCs w:val="21"/>
                    </w:rPr>
                    <w:t>4</w:t>
                  </w:r>
                </w:p>
              </w:tc>
              <w:tc>
                <w:tcPr>
                  <w:tcW w:w="3950" w:type="dxa"/>
                  <w:vAlign w:val="center"/>
                </w:tcPr>
                <w:p>
                  <w:pPr>
                    <w:pStyle w:val="29"/>
                    <w:spacing w:line="360" w:lineRule="exact"/>
                    <w:ind w:firstLine="210" w:firstLineChars="100"/>
                    <w:jc w:val="both"/>
                    <w:rPr>
                      <w:color w:val="000000" w:themeColor="text1"/>
                      <w:szCs w:val="21"/>
                    </w:rPr>
                  </w:pPr>
                  <w:r>
                    <w:rPr>
                      <w:color w:val="000000" w:themeColor="text1"/>
                      <w:szCs w:val="21"/>
                    </w:rPr>
                    <w:t>贮存期限：收集贮存的危险废物应在90个工作日内提供或者委托利用处置单位进行利用处置。超过法定贮存期限，确需延期贮存的，需经颁发危险废物收集经营许可证的州（市）生态环境局批准。</w:t>
                  </w:r>
                </w:p>
              </w:tc>
              <w:tc>
                <w:tcPr>
                  <w:tcW w:w="3543" w:type="dxa"/>
                  <w:vAlign w:val="center"/>
                </w:tcPr>
                <w:p>
                  <w:pPr>
                    <w:pStyle w:val="29"/>
                    <w:spacing w:line="360" w:lineRule="exact"/>
                    <w:ind w:firstLine="210" w:firstLineChars="100"/>
                    <w:jc w:val="both"/>
                    <w:rPr>
                      <w:color w:val="000000" w:themeColor="text1"/>
                      <w:szCs w:val="21"/>
                    </w:rPr>
                  </w:pPr>
                  <w:r>
                    <w:rPr>
                      <w:color w:val="000000" w:themeColor="text1"/>
                      <w:szCs w:val="21"/>
                    </w:rPr>
                    <w:t>建设单位实际运营中将严格按照实施方案要求，收集到各类危险废物后，在90个工作日内委托有利用处置资质的单位进行处理。</w:t>
                  </w:r>
                </w:p>
              </w:tc>
              <w:tc>
                <w:tcPr>
                  <w:tcW w:w="642" w:type="dxa"/>
                  <w:vAlign w:val="center"/>
                </w:tcPr>
                <w:p>
                  <w:pPr>
                    <w:pStyle w:val="29"/>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综上，项目建设符合《云南省小微企业危险废物收集试点工作方案》的相关要求。</w:t>
            </w:r>
          </w:p>
          <w:p>
            <w:pPr>
              <w:spacing w:line="360" w:lineRule="auto"/>
              <w:ind w:firstLine="361" w:firstLineChars="150"/>
              <w:rPr>
                <w:rFonts w:ascii="Times New Roman" w:hAnsi="Times New Roman" w:cs="Times New Roman"/>
                <w:b/>
                <w:color w:val="000000" w:themeColor="text1"/>
                <w:sz w:val="24"/>
                <w:szCs w:val="24"/>
              </w:rPr>
            </w:pPr>
            <w:bookmarkStart w:id="13" w:name="_Toc146789071"/>
            <w:r>
              <w:rPr>
                <w:rFonts w:ascii="Times New Roman" w:hAnsi="Times New Roman" w:cs="Times New Roman"/>
                <w:b/>
                <w:color w:val="000000" w:themeColor="text1"/>
                <w:sz w:val="24"/>
                <w:szCs w:val="24"/>
              </w:rPr>
              <w:t>（11）选址合理性分析</w:t>
            </w:r>
            <w:bookmarkEnd w:id="13"/>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①根据分析，项目选址可满足《危险废物贮存污染控制标准》（GB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-2023）中选址相关要求。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该项目位于云南东川产业园区四方地片区昆明旭鑫环保科技有限公司厂区，该厂区主要从事危险废物利用工作，本次建设项目和厂区环境相容，且项目位于工业园区内，选址不涉及饮用水源地、自然保护区、风景名胜区、地质公园、基本农田保护区、生态保护红线等需要特殊保护的区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③根据调查，项目距离最近的敏感点为东南侧278m的凉水井，敏感点距离较远，各项污染物达标排放，项目建成投产对周围环境造成的影响不大，不会改变环境空气、地表水、声环境的质量现状。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综上，该项目选址合理。</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bookmarkStart w:id="14" w:name="_Toc146789444"/>
      <w:r>
        <w:rPr>
          <w:rFonts w:ascii="Times New Roman" w:hAnsi="Times New Roman" w:cs="Times New Roman"/>
          <w:b/>
          <w:color w:val="000000" w:themeColor="text1"/>
          <w:sz w:val="28"/>
          <w:szCs w:val="20"/>
        </w:rPr>
        <w:t>二、建设项目工程分析</w:t>
      </w:r>
      <w:bookmarkEnd w:id="14"/>
    </w:p>
    <w:tbl>
      <w:tblPr>
        <w:tblStyle w:val="19"/>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为了规范完善危险废物收集体系，加快补齐危险废物收集能力短板，建立健全小微企业危险废物收集转运体系，切实解决小微企业急难愁盼的危险废物收集处理问题，2022年11月17日，云南省生态环境厅印发了《云南省小微企业危险废物收集试点工作方案的通知》（云环通【2022】168号），该工作方案的主要要求为：在昆明市、曲靖市、玉溪市、大理州、丽江市率先开展小微企业危险废物收集试点工作，到2023年底，全省试点建成一批专业化、智慧化、规模化危险废物收集单位，小微企业和社会源危险废物收集规范化、信息化水平提升，小微企业危险废物环境风险得到有效管控。试点单位服务区域内小微企业危险废物集中收集率达到90%以上。根据该工作方案的要求，昆明市生态环境局经资格审核，同意6家企业开展试点工作，昆明旭鑫环保科技有限公司为其中一家，其重点服务保障区域为东川区和寻甸县，而寻甸烨龙再生资源有限公司作为昆明旭鑫环保科技有限公司的一个收集网点（寻甸网点）开展试点工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昆明旭鑫环保科技有限公司向昆明市生态环境局提交的《昆明旭鑫环保科技有限公司开展小微企业危险废物收集试点实施方案》，试点项目网点由东川网点（即本项目）和寻甸网点（寻甸烨龙再生资源有限公司收集点）组成</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其中东川网点申请收集规模为</w:t>
            </w:r>
            <w:r>
              <w:rPr>
                <w:rFonts w:hint="eastAsia"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00吨/年，拟设置1000m²的贮存库，各类危险废物最大暂存量为374.99t，单一类别最大贮存量98.33t；而寻甸网点</w:t>
            </w:r>
            <w:r>
              <w:rPr>
                <w:rFonts w:hint="eastAsia" w:ascii="Times New Roman" w:hAnsi="Times New Roman" w:cs="Times New Roman"/>
                <w:color w:val="000000" w:themeColor="text1"/>
                <w:sz w:val="24"/>
                <w:szCs w:val="24"/>
              </w:rPr>
              <w:t>纳入考核的</w:t>
            </w:r>
            <w:r>
              <w:rPr>
                <w:rFonts w:ascii="Times New Roman" w:hAnsi="Times New Roman" w:cs="Times New Roman"/>
                <w:color w:val="000000" w:themeColor="text1"/>
                <w:sz w:val="24"/>
                <w:szCs w:val="24"/>
              </w:rPr>
              <w:t>仅</w:t>
            </w:r>
            <w:r>
              <w:rPr>
                <w:rFonts w:hint="eastAsia" w:ascii="Times New Roman" w:hAnsi="Times New Roman" w:cs="Times New Roman"/>
                <w:color w:val="000000" w:themeColor="text1"/>
                <w:sz w:val="24"/>
                <w:szCs w:val="24"/>
              </w:rPr>
              <w:t>为对</w:t>
            </w:r>
            <w:r>
              <w:rPr>
                <w:rFonts w:ascii="Times New Roman" w:hAnsi="Times New Roman" w:cs="Times New Roman"/>
                <w:color w:val="000000" w:themeColor="text1"/>
                <w:sz w:val="24"/>
                <w:szCs w:val="24"/>
              </w:rPr>
              <w:t>废电路板</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收集，根据调查，寻甸网点项目已于2021年4月8日取得昆明市生态环境局寻甸分局关于对《寻甸烨龙再生资源有限公司电子产品回收扩建项目环境影响报告表的批复》（昆生环寻【2021】76号），寻甸网点收集及贮存按照其环评及排污许可证要求执行，其废铅蓄电池</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900-052-31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最大贮存能力为1000t，废电路板</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900-045-49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最大贮存能力为500t，此次开展小微企业危险废物收集试点工作</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寻甸网点</w:t>
            </w:r>
            <w:r>
              <w:rPr>
                <w:rFonts w:hint="eastAsia" w:ascii="Times New Roman" w:hAnsi="Times New Roman" w:cs="Times New Roman"/>
                <w:color w:val="000000" w:themeColor="text1"/>
                <w:sz w:val="24"/>
                <w:szCs w:val="24"/>
              </w:rPr>
              <w:t>可收集的</w:t>
            </w:r>
            <w:r>
              <w:rPr>
                <w:rFonts w:ascii="Times New Roman" w:hAnsi="Times New Roman" w:cs="Times New Roman"/>
                <w:color w:val="000000" w:themeColor="text1"/>
                <w:sz w:val="24"/>
                <w:szCs w:val="24"/>
              </w:rPr>
              <w:t>废铅蓄电池</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900-052-31</w:t>
            </w:r>
            <w:r>
              <w:rPr>
                <w:rFonts w:hint="eastAsia" w:ascii="Times New Roman" w:hAnsi="Times New Roman" w:cs="Times New Roman"/>
                <w:color w:val="000000" w:themeColor="text1"/>
                <w:sz w:val="24"/>
                <w:szCs w:val="24"/>
              </w:rPr>
              <w:t>）不属于</w:t>
            </w:r>
            <w:r>
              <w:rPr>
                <w:rFonts w:ascii="Times New Roman" w:hAnsi="Times New Roman" w:cs="Times New Roman"/>
                <w:color w:val="000000" w:themeColor="text1"/>
                <w:sz w:val="24"/>
                <w:szCs w:val="24"/>
              </w:rPr>
              <w:t>《云南省生态环境厅关于印发云南省小微企业危险废物收集试点工作方案的通知》（云环通【2022】168号）</w:t>
            </w:r>
            <w:r>
              <w:rPr>
                <w:rFonts w:hint="eastAsia" w:ascii="Times New Roman" w:hAnsi="Times New Roman" w:cs="Times New Roman"/>
                <w:color w:val="000000" w:themeColor="text1"/>
                <w:sz w:val="24"/>
                <w:szCs w:val="24"/>
              </w:rPr>
              <w:t>中“危险废物收集类别”，因此</w:t>
            </w:r>
            <w:r>
              <w:rPr>
                <w:rFonts w:ascii="Times New Roman" w:hAnsi="Times New Roman" w:cs="Times New Roman"/>
                <w:color w:val="000000" w:themeColor="text1"/>
                <w:sz w:val="24"/>
                <w:szCs w:val="24"/>
              </w:rPr>
              <w:t>废铅蓄电池</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900-052-31</w:t>
            </w:r>
            <w:r>
              <w:rPr>
                <w:rFonts w:hint="eastAsia" w:ascii="Times New Roman" w:hAnsi="Times New Roman" w:cs="Times New Roman"/>
                <w:color w:val="000000" w:themeColor="text1"/>
                <w:sz w:val="24"/>
                <w:szCs w:val="24"/>
              </w:rPr>
              <w:t>）不纳入该试点单位的考核，而纳入考核的为</w:t>
            </w:r>
            <w:r>
              <w:rPr>
                <w:rFonts w:ascii="Times New Roman" w:hAnsi="Times New Roman" w:cs="Times New Roman"/>
                <w:color w:val="000000" w:themeColor="text1"/>
                <w:sz w:val="24"/>
                <w:szCs w:val="24"/>
              </w:rPr>
              <w:t>废电路板</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900-045-49</w:t>
            </w:r>
            <w:r>
              <w:rPr>
                <w:rFonts w:hint="eastAsia" w:ascii="Times New Roman" w:hAnsi="Times New Roman" w:cs="Times New Roman"/>
                <w:color w:val="000000" w:themeColor="text1"/>
                <w:sz w:val="24"/>
                <w:szCs w:val="24"/>
              </w:rPr>
              <w:t>），其</w:t>
            </w:r>
            <w:r>
              <w:rPr>
                <w:rFonts w:ascii="Times New Roman" w:hAnsi="Times New Roman" w:cs="Times New Roman"/>
                <w:color w:val="000000" w:themeColor="text1"/>
                <w:sz w:val="24"/>
                <w:szCs w:val="24"/>
              </w:rPr>
              <w:t>危险废物的收集规模不会发生变化，因此本次环评不对寻甸网点进行评价，仅对东川网点进行评价。</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拟利用昆明旭鑫环保科技有限公司原料暂存库项目中1000m²区域开展小微企业危险废物收集试点东川网点项目建设，该项目东川网点建成后对东川区和寻甸县境内的18大类（HW03、HW04、HW06、HW08、HW09、HW11、HW12、HW13、HW16、HW17、HW23、HW29、HW34、HW35、HW36、HW46、HW49、HW50）中65小类进行收集、贮存；建成后收集规模为</w:t>
            </w:r>
            <w:r>
              <w:rPr>
                <w:rFonts w:hint="eastAsia"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00吨/年，各类危险废物最大暂存量为374.99t，单一类别最大贮存量98.33t。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现有</w:t>
            </w:r>
            <w:r>
              <w:rPr>
                <w:rFonts w:ascii="Times New Roman" w:hAnsi="Times New Roman" w:cs="Times New Roman"/>
                <w:color w:val="000000" w:themeColor="text1"/>
                <w:sz w:val="24"/>
                <w:szCs w:val="24"/>
              </w:rPr>
              <w:t>昆明旭鑫环保科技有限公司原料暂存库建设面积为3000m²</w:t>
            </w:r>
            <w:r>
              <w:rPr>
                <w:rFonts w:hint="eastAsia" w:ascii="Times New Roman" w:hAnsi="Times New Roman" w:cs="Times New Roman"/>
                <w:color w:val="000000" w:themeColor="text1"/>
                <w:sz w:val="24"/>
                <w:szCs w:val="24"/>
              </w:rPr>
              <w:t>，该原料库高度为12m，主要功能为</w:t>
            </w:r>
            <w:r>
              <w:rPr>
                <w:rFonts w:ascii="Times New Roman" w:hAnsi="Times New Roman" w:cs="Times New Roman"/>
                <w:color w:val="000000" w:themeColor="text1"/>
                <w:sz w:val="24"/>
                <w:szCs w:val="24"/>
              </w:rPr>
              <w:t>对昆明旭鑫环保科技有限公司“铋冶炼综合回收车间、电解车间建设工程”生产所需的原料进行分类暂存，</w:t>
            </w:r>
            <w:r>
              <w:rPr>
                <w:rFonts w:hint="eastAsia" w:ascii="Times New Roman" w:hAnsi="Times New Roman" w:cs="Times New Roman"/>
                <w:color w:val="000000" w:themeColor="text1"/>
                <w:sz w:val="24"/>
                <w:szCs w:val="24"/>
              </w:rPr>
              <w:t>划出</w:t>
            </w:r>
            <w:r>
              <w:rPr>
                <w:rFonts w:ascii="Times New Roman" w:hAnsi="Times New Roman" w:cs="Times New Roman"/>
                <w:color w:val="000000" w:themeColor="text1"/>
                <w:sz w:val="24"/>
                <w:szCs w:val="24"/>
              </w:rPr>
              <w:t>1000m²</w:t>
            </w:r>
            <w:r>
              <w:rPr>
                <w:rFonts w:hint="eastAsia" w:ascii="Times New Roman" w:hAnsi="Times New Roman" w:cs="Times New Roman"/>
                <w:color w:val="000000" w:themeColor="text1"/>
                <w:sz w:val="24"/>
                <w:szCs w:val="24"/>
              </w:rPr>
              <w:t>后，剩余的2000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其功能和性质不变，依然作为</w:t>
            </w:r>
            <w:r>
              <w:rPr>
                <w:rFonts w:ascii="Times New Roman" w:hAnsi="Times New Roman" w:cs="Times New Roman"/>
                <w:color w:val="000000" w:themeColor="text1"/>
                <w:sz w:val="24"/>
                <w:szCs w:val="24"/>
              </w:rPr>
              <w:t>昆明旭鑫环保科技有限公司“铋冶炼综合回收车间、电解车间建设工程”</w:t>
            </w:r>
            <w:r>
              <w:rPr>
                <w:rFonts w:hint="eastAsia" w:ascii="Times New Roman" w:hAnsi="Times New Roman" w:cs="Times New Roman"/>
                <w:color w:val="000000" w:themeColor="text1"/>
                <w:sz w:val="24"/>
                <w:szCs w:val="24"/>
              </w:rPr>
              <w:t>的原料库使用，而划定的</w:t>
            </w:r>
            <w:r>
              <w:rPr>
                <w:rFonts w:ascii="Times New Roman" w:hAnsi="Times New Roman" w:cs="Times New Roman"/>
                <w:color w:val="000000" w:themeColor="text1"/>
                <w:sz w:val="24"/>
                <w:szCs w:val="24"/>
              </w:rPr>
              <w:t>1000m²区域开展小微企业危险废物收集试点东川网点项目</w:t>
            </w:r>
            <w:r>
              <w:rPr>
                <w:rFonts w:hint="eastAsia" w:ascii="Times New Roman" w:hAnsi="Times New Roman" w:cs="Times New Roman"/>
                <w:color w:val="000000" w:themeColor="text1"/>
                <w:sz w:val="24"/>
                <w:szCs w:val="24"/>
              </w:rPr>
              <w:t>，为独立开展</w:t>
            </w:r>
            <w:r>
              <w:rPr>
                <w:rFonts w:ascii="Times New Roman" w:hAnsi="Times New Roman" w:cs="Times New Roman"/>
                <w:color w:val="000000" w:themeColor="text1"/>
                <w:sz w:val="24"/>
                <w:szCs w:val="24"/>
              </w:rPr>
              <w:t>服务区域内小微企业危险废物集中收集</w:t>
            </w:r>
            <w:r>
              <w:rPr>
                <w:rFonts w:hint="eastAsia" w:ascii="Times New Roman" w:hAnsi="Times New Roman" w:cs="Times New Roman"/>
                <w:color w:val="000000" w:themeColor="text1"/>
                <w:sz w:val="24"/>
                <w:szCs w:val="24"/>
              </w:rPr>
              <w:t>工作。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占地面积为1000m²，该项目利用昆明旭鑫环保科技有限公司原料暂存库项目中1000m²区域进行改建后，开展小微企业危险废物收集试点工作，主要建设内容为对该区域局部再进行防渗处理，对该贮存库进行区域划分，建设各类危险废物储罐、桶等分类贮存设施，并配套建设微负压废气吸附过滤装置，安装监控系统，标识标牌等。办公室生活设施全部依托昆明旭鑫环保科技有限公司现有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该项目东川网点拟申报收集的危险废物18大类、65小类，项目共分8个贮存单元，每个贮存单元采用墙体隔离，贮存单元内又按废物代码设置贮存分区，每个贮存分区采用过道隔离，各危险废物根据其形态及属性分别采用储罐、桶和吨袋等进行密闭贮存；具体贮存设置建设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21"/>
              <w:gridCol w:w="982"/>
              <w:gridCol w:w="538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pStyle w:val="29"/>
                    <w:spacing w:line="360" w:lineRule="exact"/>
                    <w:rPr>
                      <w:color w:val="000000" w:themeColor="text1"/>
                      <w:szCs w:val="21"/>
                    </w:rPr>
                  </w:pPr>
                  <w:r>
                    <w:rPr>
                      <w:color w:val="000000" w:themeColor="text1"/>
                      <w:szCs w:val="21"/>
                    </w:rPr>
                    <w:t>类别</w:t>
                  </w:r>
                </w:p>
              </w:tc>
              <w:tc>
                <w:tcPr>
                  <w:tcW w:w="1703" w:type="dxa"/>
                  <w:gridSpan w:val="2"/>
                  <w:vAlign w:val="center"/>
                </w:tcPr>
                <w:p>
                  <w:pPr>
                    <w:pStyle w:val="29"/>
                    <w:spacing w:line="360" w:lineRule="exact"/>
                    <w:rPr>
                      <w:color w:val="000000" w:themeColor="text1"/>
                      <w:szCs w:val="21"/>
                    </w:rPr>
                  </w:pPr>
                  <w:r>
                    <w:rPr>
                      <w:color w:val="000000" w:themeColor="text1"/>
                      <w:szCs w:val="21"/>
                    </w:rPr>
                    <w:t>工程内容</w:t>
                  </w:r>
                </w:p>
              </w:tc>
              <w:tc>
                <w:tcPr>
                  <w:tcW w:w="5386" w:type="dxa"/>
                  <w:vAlign w:val="center"/>
                </w:tcPr>
                <w:p>
                  <w:pPr>
                    <w:pStyle w:val="29"/>
                    <w:spacing w:line="360" w:lineRule="exact"/>
                    <w:rPr>
                      <w:color w:val="000000" w:themeColor="text1"/>
                      <w:szCs w:val="21"/>
                    </w:rPr>
                  </w:pPr>
                  <w:r>
                    <w:rPr>
                      <w:color w:val="000000" w:themeColor="text1"/>
                      <w:szCs w:val="21"/>
                    </w:rPr>
                    <w:t>建筑内容及规模</w:t>
                  </w:r>
                </w:p>
              </w:tc>
              <w:tc>
                <w:tcPr>
                  <w:tcW w:w="783" w:type="dxa"/>
                  <w:vAlign w:val="center"/>
                </w:tcPr>
                <w:p>
                  <w:pPr>
                    <w:pStyle w:val="29"/>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pPr>
                    <w:pStyle w:val="29"/>
                    <w:spacing w:line="360" w:lineRule="exact"/>
                    <w:rPr>
                      <w:color w:val="000000" w:themeColor="text1"/>
                      <w:szCs w:val="21"/>
                    </w:rPr>
                  </w:pPr>
                  <w:r>
                    <w:rPr>
                      <w:color w:val="000000" w:themeColor="text1"/>
                      <w:szCs w:val="21"/>
                    </w:rPr>
                    <w:t>主体工程</w:t>
                  </w:r>
                </w:p>
              </w:tc>
              <w:tc>
                <w:tcPr>
                  <w:tcW w:w="721" w:type="dxa"/>
                  <w:vMerge w:val="restart"/>
                  <w:vAlign w:val="center"/>
                </w:tcPr>
                <w:p>
                  <w:pPr>
                    <w:pStyle w:val="29"/>
                    <w:spacing w:line="360" w:lineRule="exact"/>
                    <w:rPr>
                      <w:color w:val="000000" w:themeColor="text1"/>
                      <w:szCs w:val="21"/>
                    </w:rPr>
                  </w:pPr>
                  <w:r>
                    <w:rPr>
                      <w:color w:val="000000" w:themeColor="text1"/>
                      <w:szCs w:val="21"/>
                    </w:rPr>
                    <w:t>小微企业危险废物贮存库</w:t>
                  </w:r>
                </w:p>
              </w:tc>
              <w:tc>
                <w:tcPr>
                  <w:tcW w:w="982" w:type="dxa"/>
                  <w:vAlign w:val="center"/>
                </w:tcPr>
                <w:p>
                  <w:pPr>
                    <w:pStyle w:val="29"/>
                    <w:spacing w:line="360" w:lineRule="exact"/>
                    <w:rPr>
                      <w:color w:val="000000" w:themeColor="text1"/>
                      <w:szCs w:val="21"/>
                    </w:rPr>
                  </w:pPr>
                  <w:r>
                    <w:rPr>
                      <w:color w:val="000000" w:themeColor="text1"/>
                      <w:szCs w:val="21"/>
                    </w:rPr>
                    <w:t>1#贮存区</w:t>
                  </w:r>
                </w:p>
              </w:tc>
              <w:tc>
                <w:tcPr>
                  <w:tcW w:w="5386" w:type="dxa"/>
                  <w:vAlign w:val="center"/>
                </w:tcPr>
                <w:p>
                  <w:pPr>
                    <w:pStyle w:val="29"/>
                    <w:spacing w:line="360" w:lineRule="exact"/>
                    <w:ind w:firstLine="210" w:firstLineChars="100"/>
                    <w:jc w:val="both"/>
                    <w:rPr>
                      <w:color w:val="000000" w:themeColor="text1"/>
                      <w:szCs w:val="24"/>
                      <w:lang w:val="en-US"/>
                    </w:rPr>
                  </w:pPr>
                  <w:r>
                    <w:rPr>
                      <w:rFonts w:hint="eastAsia"/>
                      <w:color w:val="000000" w:themeColor="text1"/>
                      <w:szCs w:val="24"/>
                      <w:lang w:val="en-US"/>
                    </w:rPr>
                    <w:t>根据调查，</w:t>
                  </w:r>
                  <w:r>
                    <w:rPr>
                      <w:color w:val="000000" w:themeColor="text1"/>
                      <w:szCs w:val="24"/>
                      <w:lang w:val="en-US"/>
                    </w:rPr>
                    <w:t>该项目利用昆明旭鑫环保科技有限公司原料暂存库</w:t>
                  </w:r>
                  <w:r>
                    <w:rPr>
                      <w:rFonts w:hint="eastAsia"/>
                      <w:color w:val="000000" w:themeColor="text1"/>
                      <w:szCs w:val="24"/>
                      <w:lang w:val="en-US"/>
                    </w:rPr>
                    <w:t>厂房高度为12m。</w:t>
                  </w:r>
                </w:p>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1#贮存区建筑面积为247.4m²，该区域主要对危险废物代码HW08（900-199-08、900-200-08、900-201-08、900-204-08、900-209-08、900-210-08、900-213-08、900-214-08、900-215-08、900-217-08、900-218-08、900-219-08、900-220-08、900-221-08、900-249-08）和HW11（900-013-11）的2个大类、16小类危险废物进行贮存。每1小类危险废物设置1个贮存分区，每个分区采用过道隔开，分区内的各危险废物根据其形态及属性分别采用储罐、铁桶和吨袋等进行密闭贮存，贮存后委托有资质的单位进行处置。</w:t>
                  </w:r>
                </w:p>
              </w:tc>
              <w:tc>
                <w:tcPr>
                  <w:tcW w:w="783" w:type="dxa"/>
                  <w:vMerge w:val="restart"/>
                  <w:vAlign w:val="center"/>
                </w:tcPr>
                <w:p>
                  <w:pPr>
                    <w:pStyle w:val="29"/>
                    <w:spacing w:line="360" w:lineRule="exact"/>
                    <w:rPr>
                      <w:color w:val="000000" w:themeColor="text1"/>
                      <w:szCs w:val="21"/>
                    </w:rPr>
                  </w:pPr>
                  <w:r>
                    <w:rPr>
                      <w:color w:val="000000" w:themeColor="text1"/>
                      <w:szCs w:val="24"/>
                      <w:lang w:val="en-US"/>
                    </w:rPr>
                    <w:t>利用昆明旭鑫环保科技有限公司</w:t>
                  </w:r>
                  <w:r>
                    <w:rPr>
                      <w:rFonts w:hint="eastAsia"/>
                      <w:color w:val="000000" w:themeColor="text1"/>
                      <w:szCs w:val="24"/>
                      <w:lang w:val="en-US"/>
                    </w:rPr>
                    <w:t>现有</w:t>
                  </w:r>
                  <w:r>
                    <w:rPr>
                      <w:color w:val="000000" w:themeColor="text1"/>
                      <w:szCs w:val="24"/>
                      <w:lang w:val="en-US"/>
                    </w:rPr>
                    <w:t>原料暂存库</w:t>
                  </w:r>
                  <w:r>
                    <w:rPr>
                      <w:rFonts w:hint="eastAsia"/>
                      <w:color w:val="000000" w:themeColor="text1"/>
                      <w:szCs w:val="24"/>
                      <w:lang w:val="en-US"/>
                    </w:rPr>
                    <w:t>划定的</w:t>
                  </w:r>
                  <w:r>
                    <w:rPr>
                      <w:color w:val="000000" w:themeColor="text1"/>
                      <w:szCs w:val="24"/>
                      <w:lang w:val="en-US"/>
                    </w:rPr>
                    <w:t>1000m²区域改造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2#贮存区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2#贮存区建筑面积为186.3m²，该区域主要对危险废物代码HW06（900-401-06、900-402-06、900-404-06、900-405-06、900-407-06、900-409-06）、HW09（900-005-09、900-006-09、900-007-09）、HW12（264-009-12、264-013-12、900-250-12、900-251-12、900-252-12、900-253-12、900-255-12、900-256-12、900-299-12）、HW13（900-014-13、900-015-13）的4个大类、20小类危险废物进行贮存。每1小类危险废物设置1个贮存分区，每个分区采用过道隔开，分区内的各危险废物根据其形态及属性分别采用</w:t>
                  </w:r>
                  <w:r>
                    <w:rPr>
                      <w:color w:val="000000" w:themeColor="text1"/>
                      <w:szCs w:val="21"/>
                    </w:rPr>
                    <w:t>塑料桶、铁桶</w:t>
                  </w:r>
                  <w:r>
                    <w:rPr>
                      <w:color w:val="000000" w:themeColor="text1"/>
                      <w:szCs w:val="24"/>
                      <w:lang w:val="en-US"/>
                    </w:rPr>
                    <w:t>和吨袋等进行密闭贮存，贮存后委托有资质的单位进行处置。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3#贮存区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3#贮存区建筑面积为86.5m²，该区域主要对危险废物代码HW03（900-002-03）、HW04（900-003-04）的2个大类、2小类危险废物进行贮存。每1小类危险废物设置1个贮存分区，每个分区采用过道隔开，分区内的各危险废物根据其形态及属性分别采用</w:t>
                  </w:r>
                  <w:r>
                    <w:rPr>
                      <w:color w:val="000000" w:themeColor="text1"/>
                      <w:szCs w:val="21"/>
                    </w:rPr>
                    <w:t>塑料桶、吨袋</w:t>
                  </w:r>
                  <w:r>
                    <w:rPr>
                      <w:color w:val="000000" w:themeColor="text1"/>
                      <w:szCs w:val="24"/>
                      <w:lang w:val="en-US"/>
                    </w:rPr>
                    <w:t>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4#贮存区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4#贮存区建筑面积为89.4m²，该区域主要对危险废物代码HW16（231-001-16、231-002-16、900-019-16）、HW34（900-349-34）的2个大类、4小类危险废物进行贮存。每1小类危险废物设置1个贮存分区，每个分区采用过道隔开，分区内的各危险废物根据其形态及属性分别采用</w:t>
                  </w:r>
                  <w:r>
                    <w:rPr>
                      <w:color w:val="000000" w:themeColor="text1"/>
                      <w:szCs w:val="21"/>
                    </w:rPr>
                    <w:t>塑料桶</w:t>
                  </w:r>
                  <w:r>
                    <w:rPr>
                      <w:color w:val="000000" w:themeColor="text1"/>
                      <w:szCs w:val="24"/>
                      <w:lang w:val="en-US"/>
                    </w:rPr>
                    <w:t>和吨袋等进行密闭贮存，贮存后委托有资质的单位进行处置。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5#贮存区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5#贮存区建筑面积为89.6m²，该区域主要对危险废物代码HW49（900-039-49、900-041-49、900-042-49、900-044-49、900-045-49、900-046-49、900-047-49）的1个大类、7小类危险废物进行贮存。每1小类危险废物设置1个贮存分区，每个分区采用过道隔开，分区内的各危险废物根据其形态及属性分别采用</w:t>
                  </w:r>
                  <w:r>
                    <w:rPr>
                      <w:color w:val="000000" w:themeColor="text1"/>
                      <w:szCs w:val="21"/>
                    </w:rPr>
                    <w:t>铁桶、塑料桶</w:t>
                  </w:r>
                  <w:r>
                    <w:rPr>
                      <w:color w:val="000000" w:themeColor="text1"/>
                      <w:szCs w:val="24"/>
                      <w:lang w:val="en-US"/>
                    </w:rPr>
                    <w:t>和吨袋等进行密闭贮存，贮存后委托有资质的单位进行处置。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6#贮存区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6#贮存区建筑面积为102.4m²，该区域主要对危险废物代码HW17（336-063-17、336-064-17）、HW35（900-352-35、900-354-35、900-399-35）、HW50（900-048-50、900-049-50）的3个大类、7小类危险废物进行贮存。每1小类危险废物设置1个贮存分区，每个分区采用过道隔开，分区内的各危险废物根据其形态及属性分别采用</w:t>
                  </w:r>
                  <w:r>
                    <w:rPr>
                      <w:color w:val="000000" w:themeColor="text1"/>
                      <w:szCs w:val="21"/>
                    </w:rPr>
                    <w:t>塑料桶、吨桶</w:t>
                  </w:r>
                  <w:r>
                    <w:rPr>
                      <w:color w:val="000000" w:themeColor="text1"/>
                      <w:szCs w:val="24"/>
                      <w:lang w:val="en-US"/>
                    </w:rPr>
                    <w:t>和吨袋等进行密闭贮存，贮存后委托有资质的单位进行处置。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7#贮存区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7#贮存区建筑面积为111.6m²，该区域主要对危险废物代码HW23（900-021-23）、HW29（900-022-29、900-023-29、900-024-29、900-452-29）、HW46（900-037-46）的3个大类、6小类危险废物进行贮存。每1小类危险废物设置1个贮存分区，每个分区采用过道隔开，分区内的各危险废物根据其形态及属性分别采用</w:t>
                  </w:r>
                  <w:r>
                    <w:rPr>
                      <w:color w:val="000000" w:themeColor="text1"/>
                      <w:szCs w:val="21"/>
                    </w:rPr>
                    <w:t>塑料桶</w:t>
                  </w:r>
                  <w:r>
                    <w:rPr>
                      <w:color w:val="000000" w:themeColor="text1"/>
                      <w:szCs w:val="24"/>
                      <w:lang w:val="en-US"/>
                    </w:rPr>
                    <w:t>和吨袋等进行密闭贮存，贮存后委托有资质的单位进行处置。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8#贮存区</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该项目8#贮存区建筑面积为86.8m²，该区域主要对危险废物代码HW36（900-030-36、900-031-36、900-032-36）的1个大类、3小类危险废物进行贮存。每1小类危险废物设置1个贮存分区，每个分区采用过道隔开，分区内的各危险废物分别采用吨袋等进行密闭贮存，贮存后委托有资质的单位进行处置。</w:t>
                  </w:r>
                </w:p>
              </w:tc>
              <w:tc>
                <w:tcPr>
                  <w:tcW w:w="783"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1703" w:type="dxa"/>
                  <w:gridSpan w:val="2"/>
                  <w:vAlign w:val="center"/>
                </w:tcPr>
                <w:p>
                  <w:pPr>
                    <w:pStyle w:val="29"/>
                    <w:spacing w:line="360" w:lineRule="exact"/>
                    <w:rPr>
                      <w:color w:val="000000" w:themeColor="text1"/>
                      <w:szCs w:val="21"/>
                    </w:rPr>
                  </w:pPr>
                  <w:r>
                    <w:rPr>
                      <w:color w:val="000000" w:themeColor="text1"/>
                      <w:szCs w:val="21"/>
                    </w:rPr>
                    <w:t>昆明旭鑫环保科技有限公司原料暂存库</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根据调查，昆明旭鑫环保科技有限公司原料暂存库原建筑面积为3000m²，划出1000m²建设小微企业危险废物贮存库后，剩余的2000m²，作为以后的昆明旭鑫环保科技有限公司原料暂存库使用，该原料库贮存面积减少1/3，根据业主提供的资料，该原料库投入使用至今，其实际使用率不到总库存的50%，因此划出1000m²后，该原料库依然可满足昆明旭鑫环保科技有限公司原料分类暂存需求。</w:t>
                  </w:r>
                </w:p>
                <w:p>
                  <w:pPr>
                    <w:pStyle w:val="29"/>
                    <w:spacing w:line="360" w:lineRule="exact"/>
                    <w:ind w:firstLine="210" w:firstLineChars="100"/>
                    <w:jc w:val="both"/>
                    <w:rPr>
                      <w:color w:val="000000" w:themeColor="text1"/>
                      <w:szCs w:val="21"/>
                    </w:rPr>
                  </w:pPr>
                  <w:r>
                    <w:rPr>
                      <w:color w:val="000000" w:themeColor="text1"/>
                      <w:szCs w:val="21"/>
                    </w:rPr>
                    <w:t xml:space="preserve">根据调查，该昆明旭鑫环保科技有限公司原料暂存库环保措施可满足环保要求，划出1000m²后，拟对2000m²进行重新分区，对昆明旭鑫环保科技有限公司生产所需的铅渣、铋渣等11类（321-002-48、321-013-48、304-002-31、384-004-31、321-004-48、321-008-48、321-010-48、321-019-48、321-021-48、321-014-48、321-029-48）危险废物原料进行分类暂存。 </w:t>
                  </w:r>
                </w:p>
              </w:tc>
              <w:tc>
                <w:tcPr>
                  <w:tcW w:w="783" w:type="dxa"/>
                  <w:vAlign w:val="center"/>
                </w:tcPr>
                <w:p>
                  <w:pPr>
                    <w:pStyle w:val="29"/>
                    <w:spacing w:line="360" w:lineRule="exact"/>
                    <w:rPr>
                      <w:color w:val="000000" w:themeColor="text1"/>
                      <w:szCs w:val="21"/>
                    </w:rPr>
                  </w:pPr>
                  <w:r>
                    <w:rPr>
                      <w:color w:val="000000" w:themeColor="text1"/>
                      <w:szCs w:val="21"/>
                    </w:rPr>
                    <w:t>已建，拟调整分区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pStyle w:val="29"/>
                    <w:spacing w:line="360" w:lineRule="exact"/>
                    <w:rPr>
                      <w:color w:val="000000" w:themeColor="text1"/>
                      <w:szCs w:val="21"/>
                    </w:rPr>
                  </w:pPr>
                  <w:r>
                    <w:rPr>
                      <w:color w:val="000000" w:themeColor="text1"/>
                      <w:szCs w:val="21"/>
                    </w:rPr>
                    <w:t>辅助工程</w:t>
                  </w:r>
                </w:p>
              </w:tc>
              <w:tc>
                <w:tcPr>
                  <w:tcW w:w="1703" w:type="dxa"/>
                  <w:gridSpan w:val="2"/>
                  <w:vAlign w:val="center"/>
                </w:tcPr>
                <w:p>
                  <w:pPr>
                    <w:pStyle w:val="29"/>
                    <w:spacing w:line="360" w:lineRule="exact"/>
                    <w:rPr>
                      <w:color w:val="000000" w:themeColor="text1"/>
                      <w:szCs w:val="21"/>
                    </w:rPr>
                  </w:pPr>
                  <w:r>
                    <w:rPr>
                      <w:color w:val="000000" w:themeColor="text1"/>
                      <w:szCs w:val="21"/>
                    </w:rPr>
                    <w:t>警报系统</w:t>
                  </w:r>
                </w:p>
              </w:tc>
              <w:tc>
                <w:tcPr>
                  <w:tcW w:w="5386" w:type="dxa"/>
                  <w:vAlign w:val="center"/>
                </w:tcPr>
                <w:p>
                  <w:pPr>
                    <w:pStyle w:val="29"/>
                    <w:spacing w:line="360" w:lineRule="exact"/>
                    <w:ind w:firstLine="210" w:firstLineChars="100"/>
                    <w:jc w:val="both"/>
                    <w:rPr>
                      <w:color w:val="000000" w:themeColor="text1"/>
                      <w:szCs w:val="21"/>
                      <w:lang w:val="en-US"/>
                    </w:rPr>
                  </w:pPr>
                  <w:r>
                    <w:rPr>
                      <w:color w:val="000000" w:themeColor="text1"/>
                      <w:szCs w:val="21"/>
                    </w:rPr>
                    <w:t>按照《危险废物收集、贮存、运输技术规范》（HJ2025-2012）中“6.5贮存易燃易爆危险废物应配置有机气体报警、火灾报警装置和导出静电的接地装置。”要求，拟对项目各贮存区域均配置有机气体报警器、火灾报警装置和导出静电的接地装置，以确保泄漏事故或火灾等情况发生时可及时进行处理及处置。</w:t>
                  </w:r>
                </w:p>
              </w:tc>
              <w:tc>
                <w:tcPr>
                  <w:tcW w:w="783" w:type="dxa"/>
                  <w:vAlign w:val="center"/>
                </w:tcPr>
                <w:p>
                  <w:pPr>
                    <w:pStyle w:val="29"/>
                    <w:spacing w:line="360" w:lineRule="exact"/>
                    <w:rPr>
                      <w:color w:val="000000" w:themeColor="text1"/>
                      <w:szCs w:val="21"/>
                    </w:rPr>
                  </w:pPr>
                  <w:r>
                    <w:rPr>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3" w:type="dxa"/>
                  <w:vAlign w:val="center"/>
                </w:tcPr>
                <w:p>
                  <w:pPr>
                    <w:pStyle w:val="29"/>
                    <w:spacing w:line="360" w:lineRule="exact"/>
                    <w:rPr>
                      <w:color w:val="000000" w:themeColor="text1"/>
                      <w:szCs w:val="21"/>
                    </w:rPr>
                  </w:pPr>
                  <w:r>
                    <w:rPr>
                      <w:color w:val="000000" w:themeColor="text1"/>
                      <w:szCs w:val="21"/>
                    </w:rPr>
                    <w:t>储运工程</w:t>
                  </w:r>
                </w:p>
              </w:tc>
              <w:tc>
                <w:tcPr>
                  <w:tcW w:w="1703" w:type="dxa"/>
                  <w:gridSpan w:val="2"/>
                  <w:vAlign w:val="center"/>
                </w:tcPr>
                <w:p>
                  <w:pPr>
                    <w:pStyle w:val="29"/>
                    <w:spacing w:line="360" w:lineRule="exact"/>
                    <w:rPr>
                      <w:color w:val="000000" w:themeColor="text1"/>
                      <w:szCs w:val="21"/>
                    </w:rPr>
                  </w:pPr>
                  <w:r>
                    <w:rPr>
                      <w:color w:val="000000" w:themeColor="text1"/>
                      <w:szCs w:val="21"/>
                    </w:rPr>
                    <w:t>危险废物运输</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根据实施方案，项目各类危险废物的运输均委托具备危险废物运输资质的单位进行运输。</w:t>
                  </w:r>
                </w:p>
              </w:tc>
              <w:tc>
                <w:tcPr>
                  <w:tcW w:w="783" w:type="dxa"/>
                  <w:vAlign w:val="center"/>
                </w:tcPr>
                <w:p>
                  <w:pPr>
                    <w:pStyle w:val="29"/>
                    <w:spacing w:line="360" w:lineRule="exact"/>
                    <w:rPr>
                      <w:color w:val="000000" w:themeColor="text1"/>
                      <w:szCs w:val="21"/>
                    </w:rPr>
                  </w:pPr>
                  <w:r>
                    <w:rPr>
                      <w:color w:val="000000" w:themeColor="text1"/>
                      <w:szCs w:val="21"/>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3" w:type="dxa"/>
                  <w:vAlign w:val="center"/>
                </w:tcPr>
                <w:p>
                  <w:pPr>
                    <w:pStyle w:val="29"/>
                    <w:spacing w:line="360" w:lineRule="exact"/>
                    <w:rPr>
                      <w:color w:val="000000" w:themeColor="text1"/>
                      <w:szCs w:val="21"/>
                    </w:rPr>
                  </w:pPr>
                  <w:r>
                    <w:rPr>
                      <w:color w:val="000000" w:themeColor="text1"/>
                      <w:szCs w:val="21"/>
                    </w:rPr>
                    <w:t>依托工程</w:t>
                  </w:r>
                </w:p>
              </w:tc>
              <w:tc>
                <w:tcPr>
                  <w:tcW w:w="1703" w:type="dxa"/>
                  <w:gridSpan w:val="2"/>
                  <w:vAlign w:val="center"/>
                </w:tcPr>
                <w:p>
                  <w:pPr>
                    <w:pStyle w:val="29"/>
                    <w:spacing w:line="360" w:lineRule="exact"/>
                    <w:rPr>
                      <w:color w:val="000000" w:themeColor="text1"/>
                      <w:szCs w:val="21"/>
                    </w:rPr>
                  </w:pPr>
                  <w:r>
                    <w:rPr>
                      <w:color w:val="000000" w:themeColor="text1"/>
                      <w:szCs w:val="21"/>
                    </w:rPr>
                    <w:t>办公生活设施</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根据调查，建设单位为解决全厂员工的办公食宿问题，建设单位已在厂区外单独建设办公生活区，该生活区属于厂区主体项目的配套项目，不属于该项目的附属工程，该项目依托使用。该办公生活区厨房已配套设置了1个油烟去除效率不低于60%的油烟净化器，该生活区的厨房油烟经油烟净化器处理达到《饮食业油烟排放标准》（GB18483-2001）（试行）小型标准后通过1.5m的烟道外排；针对该办公生活区的生活污水设置了1个0.5m³的隔油池，办公生活区配套设置了1个10m³的化粪池，厨房废水先经1个0.5m³的隔油池预处理后和其他生活污水一起进入1个10m³的化粪池处理，处理达到《污水排入城镇下水道水质标准》（GB/T31962-2015）的B等级标准，通过园区污水管网进入四方地与碧谷园区污水处理厂处理。因此依托可行。</w:t>
                  </w:r>
                </w:p>
              </w:tc>
              <w:tc>
                <w:tcPr>
                  <w:tcW w:w="783" w:type="dxa"/>
                  <w:vAlign w:val="center"/>
                </w:tcPr>
                <w:p>
                  <w:pPr>
                    <w:pStyle w:val="29"/>
                    <w:spacing w:line="360" w:lineRule="exact"/>
                    <w:rPr>
                      <w:color w:val="000000" w:themeColor="text1"/>
                      <w:szCs w:val="21"/>
                    </w:rPr>
                  </w:pPr>
                  <w:r>
                    <w:rPr>
                      <w:color w:val="000000" w:themeColor="text1"/>
                      <w:szCs w:val="21"/>
                    </w:rPr>
                    <w:t>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pPr>
                    <w:pStyle w:val="29"/>
                    <w:spacing w:line="360" w:lineRule="exact"/>
                    <w:rPr>
                      <w:color w:val="000000" w:themeColor="text1"/>
                      <w:szCs w:val="21"/>
                    </w:rPr>
                  </w:pPr>
                  <w:r>
                    <w:rPr>
                      <w:color w:val="000000" w:themeColor="text1"/>
                      <w:szCs w:val="21"/>
                    </w:rPr>
                    <w:t>公用工程</w:t>
                  </w:r>
                </w:p>
              </w:tc>
              <w:tc>
                <w:tcPr>
                  <w:tcW w:w="1703" w:type="dxa"/>
                  <w:gridSpan w:val="2"/>
                  <w:vAlign w:val="center"/>
                </w:tcPr>
                <w:p>
                  <w:pPr>
                    <w:pStyle w:val="29"/>
                    <w:spacing w:line="360" w:lineRule="exact"/>
                    <w:rPr>
                      <w:color w:val="000000" w:themeColor="text1"/>
                      <w:szCs w:val="21"/>
                    </w:rPr>
                  </w:pPr>
                  <w:r>
                    <w:rPr>
                      <w:color w:val="000000" w:themeColor="text1"/>
                      <w:szCs w:val="21"/>
                    </w:rPr>
                    <w:t>供电</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项目各系统均采用电能，供电由园区统一供给。</w:t>
                  </w:r>
                </w:p>
              </w:tc>
              <w:tc>
                <w:tcPr>
                  <w:tcW w:w="783"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1703" w:type="dxa"/>
                  <w:gridSpan w:val="2"/>
                  <w:vAlign w:val="center"/>
                </w:tcPr>
                <w:p>
                  <w:pPr>
                    <w:pStyle w:val="29"/>
                    <w:spacing w:line="360" w:lineRule="exact"/>
                    <w:rPr>
                      <w:color w:val="000000" w:themeColor="text1"/>
                      <w:szCs w:val="21"/>
                    </w:rPr>
                  </w:pPr>
                  <w:r>
                    <w:rPr>
                      <w:color w:val="000000" w:themeColor="text1"/>
                      <w:szCs w:val="21"/>
                    </w:rPr>
                    <w:t>给水</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①生产用水</w:t>
                  </w:r>
                </w:p>
                <w:p>
                  <w:pPr>
                    <w:pStyle w:val="29"/>
                    <w:spacing w:line="360" w:lineRule="exact"/>
                    <w:ind w:firstLine="210" w:firstLineChars="100"/>
                    <w:jc w:val="both"/>
                    <w:rPr>
                      <w:color w:val="000000" w:themeColor="text1"/>
                      <w:szCs w:val="21"/>
                    </w:rPr>
                  </w:pPr>
                  <w:r>
                    <w:rPr>
                      <w:color w:val="000000" w:themeColor="text1"/>
                      <w:szCs w:val="21"/>
                    </w:rPr>
                    <w:t>根据实施方案，项目地面清洁及收集桶清洁主要采取抹布擦拭的方式，不采用水清洗，项目主要用水环节为废气处理装置中的碱喷淋工艺</w:t>
                  </w:r>
                  <w:r>
                    <w:rPr>
                      <w:color w:val="000000" w:themeColor="text1"/>
                      <w:szCs w:val="24"/>
                      <w:lang w:val="en-US"/>
                    </w:rPr>
                    <w:t>。</w:t>
                  </w:r>
                </w:p>
                <w:p>
                  <w:pPr>
                    <w:pStyle w:val="29"/>
                    <w:spacing w:line="360" w:lineRule="exact"/>
                    <w:ind w:firstLine="210" w:firstLineChars="100"/>
                    <w:jc w:val="both"/>
                    <w:rPr>
                      <w:color w:val="000000" w:themeColor="text1"/>
                      <w:szCs w:val="21"/>
                    </w:rPr>
                  </w:pPr>
                  <w:r>
                    <w:rPr>
                      <w:color w:val="000000" w:themeColor="text1"/>
                      <w:szCs w:val="21"/>
                    </w:rPr>
                    <w:t>②生活用水</w:t>
                  </w:r>
                </w:p>
                <w:p>
                  <w:pPr>
                    <w:pStyle w:val="29"/>
                    <w:spacing w:line="360" w:lineRule="exact"/>
                    <w:ind w:firstLine="210" w:firstLineChars="100"/>
                    <w:jc w:val="both"/>
                    <w:rPr>
                      <w:color w:val="000000" w:themeColor="text1"/>
                      <w:szCs w:val="21"/>
                    </w:rPr>
                  </w:pPr>
                  <w:r>
                    <w:rPr>
                      <w:color w:val="000000" w:themeColor="text1"/>
                      <w:szCs w:val="21"/>
                    </w:rPr>
                    <w:t>项目员工生活依托现有设施，因此本项目无生活用水产生。</w:t>
                  </w:r>
                </w:p>
              </w:tc>
              <w:tc>
                <w:tcPr>
                  <w:tcW w:w="783"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1703" w:type="dxa"/>
                  <w:gridSpan w:val="2"/>
                  <w:vAlign w:val="center"/>
                </w:tcPr>
                <w:p>
                  <w:pPr>
                    <w:pStyle w:val="29"/>
                    <w:spacing w:line="360" w:lineRule="exact"/>
                    <w:rPr>
                      <w:color w:val="000000" w:themeColor="text1"/>
                      <w:szCs w:val="21"/>
                    </w:rPr>
                  </w:pPr>
                  <w:r>
                    <w:rPr>
                      <w:color w:val="000000" w:themeColor="text1"/>
                      <w:szCs w:val="21"/>
                    </w:rPr>
                    <w:t>排水</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设计，碱喷淋工艺使用水不断调整pH值循环使用，每季度更换1次，更换后的碱喷淋废液属于含有或沾染毒性、感染性危险废物的过滤介质，按危险废物处理，不按废水进行管理，因此，项目无生产废水和生活污水的产生及排放，项目排水主要为雨水，根据调查，厂区内已设置了雨水沟和在厂区东北侧地势最低处建设了1座容积为680m³初期雨水收集池。</w:t>
                  </w:r>
                </w:p>
                <w:p>
                  <w:pPr>
                    <w:pStyle w:val="29"/>
                    <w:spacing w:line="360" w:lineRule="exact"/>
                    <w:ind w:firstLine="210" w:firstLineChars="100"/>
                    <w:jc w:val="both"/>
                    <w:rPr>
                      <w:color w:val="000000" w:themeColor="text1"/>
                      <w:szCs w:val="24"/>
                      <w:lang w:val="en-US"/>
                    </w:rPr>
                  </w:pPr>
                  <w:r>
                    <w:rPr>
                      <w:color w:val="000000" w:themeColor="text1"/>
                      <w:szCs w:val="24"/>
                      <w:lang w:val="en-US"/>
                    </w:rPr>
                    <w:t>根据调查，初期雨水收集疏导后进入初期雨水收集池并处理后回用于厂区生产，后期雨水排入园区雨水沟。</w:t>
                  </w:r>
                </w:p>
              </w:tc>
              <w:tc>
                <w:tcPr>
                  <w:tcW w:w="783"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pPr>
                    <w:pStyle w:val="29"/>
                    <w:spacing w:line="360" w:lineRule="exact"/>
                    <w:rPr>
                      <w:color w:val="000000" w:themeColor="text1"/>
                      <w:szCs w:val="21"/>
                    </w:rPr>
                  </w:pPr>
                  <w:r>
                    <w:rPr>
                      <w:color w:val="000000" w:themeColor="text1"/>
                      <w:szCs w:val="21"/>
                    </w:rPr>
                    <w:t>环保工程</w:t>
                  </w:r>
                </w:p>
              </w:tc>
              <w:tc>
                <w:tcPr>
                  <w:tcW w:w="721" w:type="dxa"/>
                  <w:vMerge w:val="restart"/>
                  <w:vAlign w:val="center"/>
                </w:tcPr>
                <w:p>
                  <w:pPr>
                    <w:pStyle w:val="29"/>
                    <w:spacing w:line="360" w:lineRule="exact"/>
                    <w:rPr>
                      <w:color w:val="000000" w:themeColor="text1"/>
                      <w:szCs w:val="21"/>
                    </w:rPr>
                  </w:pPr>
                  <w:r>
                    <w:rPr>
                      <w:color w:val="000000" w:themeColor="text1"/>
                      <w:szCs w:val="21"/>
                    </w:rPr>
                    <w:t>废气</w:t>
                  </w:r>
                </w:p>
              </w:tc>
              <w:tc>
                <w:tcPr>
                  <w:tcW w:w="982" w:type="dxa"/>
                  <w:vAlign w:val="center"/>
                </w:tcPr>
                <w:p>
                  <w:pPr>
                    <w:pStyle w:val="29"/>
                    <w:spacing w:line="360" w:lineRule="exact"/>
                    <w:rPr>
                      <w:color w:val="000000" w:themeColor="text1"/>
                      <w:szCs w:val="21"/>
                    </w:rPr>
                  </w:pPr>
                  <w:r>
                    <w:rPr>
                      <w:color w:val="000000" w:themeColor="text1"/>
                      <w:szCs w:val="21"/>
                    </w:rPr>
                    <w:t>原料暂存库全封闭</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根据调查，该项目拟利用的昆明旭鑫环保科技有限公司现有原料暂存库为钢结构彩钢瓦型，</w:t>
                  </w:r>
                  <w:r>
                    <w:rPr>
                      <w:rFonts w:hint="eastAsia"/>
                      <w:color w:val="000000" w:themeColor="text1"/>
                      <w:szCs w:val="24"/>
                      <w:lang w:val="en-US"/>
                    </w:rPr>
                    <w:t>层高12m，</w:t>
                  </w:r>
                  <w:r>
                    <w:rPr>
                      <w:color w:val="000000" w:themeColor="text1"/>
                      <w:szCs w:val="24"/>
                      <w:lang w:val="en-US"/>
                    </w:rPr>
                    <w:t>并已进行了全封闭，满足“防风、防雨、防晒”要求。</w:t>
                  </w:r>
                </w:p>
              </w:tc>
              <w:tc>
                <w:tcPr>
                  <w:tcW w:w="783" w:type="dxa"/>
                  <w:vAlign w:val="center"/>
                </w:tcPr>
                <w:p>
                  <w:pPr>
                    <w:pStyle w:val="29"/>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负压收集系统</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针对小微企业危险废物贮存库区，项目拟设置1套负压收集系统，负压收集系统由集气罩和输送管道组成，每个贮存单元内设置1个集气罩，将各贮存单位产生的废气收集后通过管道输送至废气处理装置进行处置，集气罩的风机风量为2000m³/h·个，合计风量为16000m³/h，集气效率约为80%。</w:t>
                  </w:r>
                </w:p>
              </w:tc>
              <w:tc>
                <w:tcPr>
                  <w:tcW w:w="783"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废气处理装置</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针对小微企业危险废物贮存库区产生的废气，通过1套负压收集系统对其收集后，拟设置1套废气处理装置对其进行处理，该项目废气处理装置由活性炭吸附+碱喷淋工艺组成，根据设计参数，该装置有机废气（非甲烷总烃）的处理效率约为30%，酸性废气（HCl）处理效率约为95%，恶臭废气（氨、硫化氢和臭气浓度）处理效率约为60%。</w:t>
                  </w:r>
                </w:p>
              </w:tc>
              <w:tc>
                <w:tcPr>
                  <w:tcW w:w="783"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排气筒</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根据实施方案，项目拟设置1根Φ0.68、高15m的排气筒</w:t>
                  </w:r>
                  <w:r>
                    <w:rPr>
                      <w:rFonts w:hint="eastAsia"/>
                      <w:color w:val="000000" w:themeColor="text1"/>
                      <w:szCs w:val="24"/>
                      <w:lang w:val="en-US"/>
                    </w:rPr>
                    <w:t>（</w:t>
                  </w:r>
                  <w:r>
                    <w:rPr>
                      <w:color w:val="000000" w:themeColor="text1"/>
                      <w:szCs w:val="24"/>
                      <w:lang w:val="en-US"/>
                    </w:rPr>
                    <w:t>DA001</w:t>
                  </w:r>
                  <w:r>
                    <w:rPr>
                      <w:rFonts w:hint="eastAsia"/>
                      <w:color w:val="000000" w:themeColor="text1"/>
                      <w:szCs w:val="24"/>
                      <w:lang w:val="en-US"/>
                    </w:rPr>
                    <w:t>）</w:t>
                  </w:r>
                  <w:r>
                    <w:rPr>
                      <w:color w:val="000000" w:themeColor="text1"/>
                      <w:szCs w:val="24"/>
                      <w:lang w:val="en-US"/>
                    </w:rPr>
                    <w:t>对废气处理装置处理后的废气外排。</w:t>
                  </w:r>
                </w:p>
              </w:tc>
              <w:tc>
                <w:tcPr>
                  <w:tcW w:w="783"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rPr>
                  </w:pPr>
                </w:p>
              </w:tc>
              <w:tc>
                <w:tcPr>
                  <w:tcW w:w="721" w:type="dxa"/>
                  <w:vAlign w:val="center"/>
                </w:tcPr>
                <w:p>
                  <w:pPr>
                    <w:pStyle w:val="29"/>
                    <w:spacing w:line="360" w:lineRule="exact"/>
                    <w:rPr>
                      <w:color w:val="000000" w:themeColor="text1"/>
                      <w:szCs w:val="21"/>
                    </w:rPr>
                  </w:pPr>
                  <w:r>
                    <w:rPr>
                      <w:color w:val="000000" w:themeColor="text1"/>
                      <w:szCs w:val="21"/>
                    </w:rPr>
                    <w:t>废水</w:t>
                  </w:r>
                </w:p>
              </w:tc>
              <w:tc>
                <w:tcPr>
                  <w:tcW w:w="982" w:type="dxa"/>
                  <w:vAlign w:val="center"/>
                </w:tcPr>
                <w:p>
                  <w:pPr>
                    <w:pStyle w:val="29"/>
                    <w:spacing w:line="360" w:lineRule="exact"/>
                    <w:rPr>
                      <w:color w:val="000000" w:themeColor="text1"/>
                      <w:szCs w:val="21"/>
                    </w:rPr>
                  </w:pPr>
                  <w:r>
                    <w:rPr>
                      <w:color w:val="000000" w:themeColor="text1"/>
                      <w:szCs w:val="21"/>
                    </w:rPr>
                    <w:t>雨污分流</w:t>
                  </w:r>
                </w:p>
              </w:tc>
              <w:tc>
                <w:tcPr>
                  <w:tcW w:w="5386" w:type="dxa"/>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根据调查，厂区内已设置雨水沟，初期雨水经收集疏导后进入厂区已建设的1座容积为680m³初期雨水收集池收集并处理后回用于厂区生产，后期雨水排入园区雨水沟。</w:t>
                  </w:r>
                </w:p>
                <w:p>
                  <w:pPr>
                    <w:pStyle w:val="29"/>
                    <w:spacing w:line="360" w:lineRule="exact"/>
                    <w:ind w:firstLine="210" w:firstLineChars="100"/>
                    <w:jc w:val="both"/>
                    <w:rPr>
                      <w:color w:val="000000" w:themeColor="text1"/>
                      <w:szCs w:val="24"/>
                      <w:lang w:val="en-US"/>
                    </w:rPr>
                  </w:pPr>
                  <w:r>
                    <w:rPr>
                      <w:color w:val="000000" w:themeColor="text1"/>
                      <w:szCs w:val="24"/>
                      <w:lang w:val="en-US"/>
                    </w:rPr>
                    <w:t>确保雨水不能进入危险废物贮存库内。</w:t>
                  </w:r>
                </w:p>
              </w:tc>
              <w:tc>
                <w:tcPr>
                  <w:tcW w:w="783" w:type="dxa"/>
                  <w:vAlign w:val="center"/>
                </w:tcPr>
                <w:p>
                  <w:pPr>
                    <w:pStyle w:val="29"/>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highlight w:val="yellow"/>
                    </w:rPr>
                  </w:pPr>
                </w:p>
              </w:tc>
              <w:tc>
                <w:tcPr>
                  <w:tcW w:w="721" w:type="dxa"/>
                  <w:vAlign w:val="center"/>
                </w:tcPr>
                <w:p>
                  <w:pPr>
                    <w:pStyle w:val="29"/>
                    <w:spacing w:line="360" w:lineRule="exact"/>
                    <w:rPr>
                      <w:color w:val="000000" w:themeColor="text1"/>
                      <w:szCs w:val="21"/>
                    </w:rPr>
                  </w:pPr>
                  <w:r>
                    <w:rPr>
                      <w:color w:val="000000" w:themeColor="text1"/>
                      <w:szCs w:val="21"/>
                    </w:rPr>
                    <w:t>地下水、土壤</w:t>
                  </w:r>
                </w:p>
              </w:tc>
              <w:tc>
                <w:tcPr>
                  <w:tcW w:w="982" w:type="dxa"/>
                  <w:vAlign w:val="center"/>
                </w:tcPr>
                <w:p>
                  <w:pPr>
                    <w:pStyle w:val="29"/>
                    <w:spacing w:line="360" w:lineRule="exact"/>
                    <w:rPr>
                      <w:color w:val="000000" w:themeColor="text1"/>
                      <w:szCs w:val="21"/>
                    </w:rPr>
                  </w:pPr>
                  <w:r>
                    <w:rPr>
                      <w:color w:val="000000" w:themeColor="text1"/>
                      <w:szCs w:val="21"/>
                    </w:rPr>
                    <w:t>重点防渗区</w:t>
                  </w:r>
                </w:p>
              </w:tc>
              <w:tc>
                <w:tcPr>
                  <w:tcW w:w="5386" w:type="dxa"/>
                  <w:vAlign w:val="center"/>
                </w:tcPr>
                <w:p>
                  <w:pPr>
                    <w:pStyle w:val="29"/>
                    <w:spacing w:line="360" w:lineRule="exact"/>
                    <w:ind w:firstLine="210" w:firstLineChars="100"/>
                    <w:jc w:val="both"/>
                    <w:rPr>
                      <w:rFonts w:eastAsiaTheme="minorEastAsia"/>
                      <w:color w:val="000000" w:themeColor="text1"/>
                      <w:szCs w:val="21"/>
                    </w:rPr>
                  </w:pPr>
                  <w:r>
                    <w:rPr>
                      <w:rFonts w:hint="eastAsia" w:ascii="宋体" w:hAnsi="宋体" w:cs="宋体"/>
                      <w:color w:val="000000" w:themeColor="text1"/>
                      <w:szCs w:val="21"/>
                    </w:rPr>
                    <w:t>①</w:t>
                  </w:r>
                  <w:r>
                    <w:rPr>
                      <w:color w:val="000000" w:themeColor="text1"/>
                      <w:szCs w:val="24"/>
                    </w:rPr>
                    <w:t>地面防渗：</w:t>
                  </w:r>
                  <w:r>
                    <w:rPr>
                      <w:rFonts w:eastAsiaTheme="minorEastAsia"/>
                      <w:color w:val="000000" w:themeColor="text1"/>
                      <w:szCs w:val="21"/>
                    </w:rPr>
                    <w:t>根据分区防渗规范要求，</w:t>
                  </w:r>
                  <w:r>
                    <w:rPr>
                      <w:color w:val="000000" w:themeColor="text1"/>
                      <w:szCs w:val="24"/>
                    </w:rPr>
                    <w:t>项目</w:t>
                  </w:r>
                  <w:r>
                    <w:rPr>
                      <w:rFonts w:hint="eastAsia"/>
                      <w:color w:val="000000" w:themeColor="text1"/>
                      <w:szCs w:val="24"/>
                    </w:rPr>
                    <w:t>贮存区、导流渠、</w:t>
                  </w:r>
                  <w:r>
                    <w:rPr>
                      <w:color w:val="000000" w:themeColor="text1"/>
                      <w:szCs w:val="24"/>
                    </w:rPr>
                    <w:t>渗滤液收集池</w:t>
                  </w:r>
                  <w:r>
                    <w:rPr>
                      <w:rFonts w:hint="eastAsia"/>
                      <w:color w:val="000000" w:themeColor="text1"/>
                      <w:szCs w:val="24"/>
                    </w:rPr>
                    <w:t>、事故池等所有区域</w:t>
                  </w:r>
                  <w:r>
                    <w:rPr>
                      <w:color w:val="000000" w:themeColor="text1"/>
                      <w:szCs w:val="24"/>
                    </w:rPr>
                    <w:t>均属于重点防渗区，根据调查，项目全部区域均采用复合土工膜防渗后，再浇筑混凝土；该复合土工膜防渗云南睿利能工程材料制造有限公司生产的土工膜，根据其检测报告，其防渗系数达到渗透系数≤2.3×10</w:t>
                  </w:r>
                  <w:r>
                    <w:rPr>
                      <w:color w:val="000000" w:themeColor="text1"/>
                      <w:szCs w:val="24"/>
                      <w:vertAlign w:val="superscript"/>
                    </w:rPr>
                    <w:t>-12</w:t>
                  </w:r>
                  <w:r>
                    <w:rPr>
                      <w:color w:val="000000" w:themeColor="text1"/>
                      <w:szCs w:val="24"/>
                    </w:rPr>
                    <w:t>cm/s，满足渗透系数≤10</w:t>
                  </w:r>
                  <w:r>
                    <w:rPr>
                      <w:color w:val="000000" w:themeColor="text1"/>
                      <w:szCs w:val="24"/>
                      <w:vertAlign w:val="superscript"/>
                    </w:rPr>
                    <w:t>-10</w:t>
                  </w:r>
                  <w:r>
                    <w:rPr>
                      <w:color w:val="000000" w:themeColor="text1"/>
                      <w:szCs w:val="24"/>
                    </w:rPr>
                    <w:t>cm/s的要求</w:t>
                  </w:r>
                  <w:r>
                    <w:rPr>
                      <w:rFonts w:hint="eastAsia"/>
                      <w:color w:val="000000" w:themeColor="text1"/>
                      <w:szCs w:val="24"/>
                    </w:rPr>
                    <w:t>；但在导流渠、</w:t>
                  </w:r>
                  <w:r>
                    <w:rPr>
                      <w:color w:val="000000" w:themeColor="text1"/>
                      <w:szCs w:val="24"/>
                    </w:rPr>
                    <w:t>渗滤液收集池</w:t>
                  </w:r>
                  <w:r>
                    <w:rPr>
                      <w:rFonts w:hint="eastAsia"/>
                      <w:color w:val="000000" w:themeColor="text1"/>
                      <w:szCs w:val="24"/>
                    </w:rPr>
                    <w:t>的施工过程中，会对原有防渗层造成进行局部破坏，因此项目拟对导流渠、</w:t>
                  </w:r>
                  <w:r>
                    <w:rPr>
                      <w:color w:val="000000" w:themeColor="text1"/>
                      <w:szCs w:val="24"/>
                    </w:rPr>
                    <w:t>渗滤液收集池</w:t>
                  </w:r>
                  <w:r>
                    <w:rPr>
                      <w:rFonts w:hint="eastAsia"/>
                      <w:color w:val="000000" w:themeColor="text1"/>
                      <w:szCs w:val="24"/>
                    </w:rPr>
                    <w:t>重新铺设</w:t>
                  </w:r>
                  <w:r>
                    <w:rPr>
                      <w:color w:val="000000" w:themeColor="text1"/>
                      <w:szCs w:val="24"/>
                    </w:rPr>
                    <w:t>土工防渗膜</w:t>
                  </w:r>
                  <w:r>
                    <w:rPr>
                      <w:rFonts w:hint="eastAsia"/>
                      <w:color w:val="000000" w:themeColor="text1"/>
                      <w:szCs w:val="24"/>
                    </w:rPr>
                    <w:t>，同时对事故池铺设</w:t>
                  </w:r>
                  <w:r>
                    <w:rPr>
                      <w:color w:val="000000" w:themeColor="text1"/>
                      <w:szCs w:val="24"/>
                    </w:rPr>
                    <w:t>土工防渗膜</w:t>
                  </w:r>
                  <w:r>
                    <w:rPr>
                      <w:rFonts w:hint="eastAsia"/>
                      <w:color w:val="000000" w:themeColor="text1"/>
                      <w:szCs w:val="24"/>
                    </w:rPr>
                    <w:t>，另外</w:t>
                  </w:r>
                  <w:r>
                    <w:rPr>
                      <w:color w:val="000000" w:themeColor="text1"/>
                      <w:szCs w:val="24"/>
                    </w:rPr>
                    <w:t>项目拟对含油类及腐蚀性类液态类贮存区再次铺设土工防渗膜，确保危险废物在贮存及储运过程不对现有厂区地面进行污染。</w:t>
                  </w:r>
                </w:p>
                <w:p>
                  <w:pPr>
                    <w:pStyle w:val="29"/>
                    <w:spacing w:line="360" w:lineRule="exact"/>
                    <w:ind w:firstLine="210" w:firstLineChars="100"/>
                    <w:jc w:val="both"/>
                    <w:rPr>
                      <w:color w:val="000000" w:themeColor="text1"/>
                      <w:szCs w:val="21"/>
                    </w:rPr>
                  </w:pPr>
                  <w:r>
                    <w:rPr>
                      <w:color w:val="000000" w:themeColor="text1"/>
                      <w:szCs w:val="21"/>
                    </w:rPr>
                    <w:t>②裙脚防渗：根据实施方案，项目危险废物贮存库内裙脚拟采用不低于2mm后的HDPE膜或其他人工防渗材料进行防渗，使其渗透系数≤10</w:t>
                  </w:r>
                  <w:r>
                    <w:rPr>
                      <w:color w:val="000000" w:themeColor="text1"/>
                      <w:szCs w:val="21"/>
                      <w:vertAlign w:val="superscript"/>
                    </w:rPr>
                    <w:t>-10</w:t>
                  </w:r>
                  <w:r>
                    <w:rPr>
                      <w:color w:val="000000" w:themeColor="text1"/>
                      <w:szCs w:val="21"/>
                    </w:rPr>
                    <w:t>cm/s，防渗高度不低于库内原料总堆高的1/5。</w:t>
                  </w:r>
                </w:p>
                <w:p>
                  <w:pPr>
                    <w:pStyle w:val="29"/>
                    <w:spacing w:line="360" w:lineRule="exact"/>
                    <w:ind w:firstLine="210" w:firstLineChars="100"/>
                    <w:jc w:val="both"/>
                    <w:rPr>
                      <w:color w:val="000000" w:themeColor="text1"/>
                      <w:szCs w:val="21"/>
                    </w:rPr>
                  </w:pPr>
                  <w:r>
                    <w:rPr>
                      <w:color w:val="000000" w:themeColor="text1"/>
                      <w:szCs w:val="21"/>
                    </w:rPr>
                    <w:t>重点防渗区防腐防渗可满足《危险废物贮存污染控制标准》（GB</w:t>
                  </w:r>
                  <w:r>
                    <w:rPr>
                      <w:rFonts w:hint="eastAsia"/>
                      <w:color w:val="000000" w:themeColor="text1"/>
                      <w:szCs w:val="21"/>
                      <w:lang w:eastAsia="zh-CN"/>
                    </w:rPr>
                    <w:t>*****</w:t>
                  </w:r>
                  <w:r>
                    <w:rPr>
                      <w:color w:val="000000" w:themeColor="text1"/>
                      <w:szCs w:val="21"/>
                    </w:rPr>
                    <w:t>-2023）的要求。</w:t>
                  </w:r>
                </w:p>
              </w:tc>
              <w:tc>
                <w:tcPr>
                  <w:tcW w:w="783" w:type="dxa"/>
                  <w:vAlign w:val="center"/>
                </w:tcPr>
                <w:p>
                  <w:pPr>
                    <w:pStyle w:val="29"/>
                    <w:spacing w:line="360" w:lineRule="exact"/>
                    <w:rPr>
                      <w:color w:val="000000" w:themeColor="text1"/>
                      <w:szCs w:val="21"/>
                    </w:rPr>
                  </w:pPr>
                  <w:r>
                    <w:rPr>
                      <w:color w:val="000000" w:themeColor="text1"/>
                      <w:szCs w:val="21"/>
                    </w:rPr>
                    <w:t>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highlight w:val="yellow"/>
                    </w:rPr>
                  </w:pPr>
                </w:p>
              </w:tc>
              <w:tc>
                <w:tcPr>
                  <w:tcW w:w="721" w:type="dxa"/>
                  <w:vMerge w:val="restart"/>
                  <w:vAlign w:val="center"/>
                </w:tcPr>
                <w:p>
                  <w:pPr>
                    <w:pStyle w:val="29"/>
                    <w:spacing w:line="360" w:lineRule="exact"/>
                    <w:rPr>
                      <w:color w:val="000000" w:themeColor="text1"/>
                      <w:szCs w:val="21"/>
                    </w:rPr>
                  </w:pPr>
                  <w:r>
                    <w:rPr>
                      <w:color w:val="000000" w:themeColor="text1"/>
                      <w:szCs w:val="21"/>
                    </w:rPr>
                    <w:t>环境风险</w:t>
                  </w:r>
                </w:p>
              </w:tc>
              <w:tc>
                <w:tcPr>
                  <w:tcW w:w="982" w:type="dxa"/>
                  <w:vAlign w:val="center"/>
                </w:tcPr>
                <w:p>
                  <w:pPr>
                    <w:pStyle w:val="29"/>
                    <w:spacing w:line="360" w:lineRule="exact"/>
                    <w:rPr>
                      <w:color w:val="000000" w:themeColor="text1"/>
                      <w:szCs w:val="21"/>
                    </w:rPr>
                  </w:pPr>
                  <w:r>
                    <w:rPr>
                      <w:color w:val="000000" w:themeColor="text1"/>
                      <w:szCs w:val="21"/>
                    </w:rPr>
                    <w:t>导流渠</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根据实施方案，项目共分8个分区对18大类、65小类危险废物进行贮存，危险废物形态包括液态、半固态和固态，液态及半固态危险废物可能会发生泄漏，半固态和固态危险废物若含有一定量的水分，长时间暂存会产生少量的渗滤液，因此项目拟对每个贮存分区均配套设置导流渠对非正常情况下可能产生的废液进行导流。</w:t>
                  </w:r>
                </w:p>
                <w:p>
                  <w:pPr>
                    <w:pStyle w:val="29"/>
                    <w:spacing w:line="360" w:lineRule="exact"/>
                    <w:ind w:firstLine="210" w:firstLineChars="100"/>
                    <w:jc w:val="both"/>
                    <w:rPr>
                      <w:color w:val="000000" w:themeColor="text1"/>
                      <w:szCs w:val="21"/>
                    </w:rPr>
                  </w:pPr>
                  <w:r>
                    <w:rPr>
                      <w:rFonts w:hint="eastAsia"/>
                      <w:color w:val="000000" w:themeColor="text1"/>
                      <w:szCs w:val="21"/>
                    </w:rPr>
                    <w:t>根据设计，导流渠位于各个分区内侧，可完全收集各分区的渗滤液，并连接至</w:t>
                  </w:r>
                  <w:r>
                    <w:rPr>
                      <w:color w:val="000000" w:themeColor="text1"/>
                      <w:szCs w:val="21"/>
                    </w:rPr>
                    <w:t>渗滤液收集池</w:t>
                  </w:r>
                  <w:r>
                    <w:rPr>
                      <w:rFonts w:hint="eastAsia"/>
                      <w:color w:val="000000" w:themeColor="text1"/>
                      <w:szCs w:val="21"/>
                    </w:rPr>
                    <w:t>，导流渠深10cm、宽20cm，合计长度约62m。</w:t>
                  </w:r>
                </w:p>
              </w:tc>
              <w:tc>
                <w:tcPr>
                  <w:tcW w:w="783"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highlight w:val="yellow"/>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渗滤液收集池</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根据实施方案，项目每个分区均配套设置渗滤液收集池对非正常情况可能产生的渗滤液进行收集，共设置8个渗滤液收集池，</w:t>
                  </w:r>
                  <w:r>
                    <w:rPr>
                      <w:rFonts w:hint="eastAsia"/>
                      <w:color w:val="000000" w:themeColor="text1"/>
                      <w:szCs w:val="21"/>
                    </w:rPr>
                    <w:t>其容积均为</w:t>
                  </w:r>
                  <w:r>
                    <w:rPr>
                      <w:color w:val="000000" w:themeColor="text1"/>
                      <w:szCs w:val="21"/>
                    </w:rPr>
                    <w:t>1m³</w:t>
                  </w:r>
                  <w:r>
                    <w:rPr>
                      <w:rFonts w:hint="eastAsia"/>
                      <w:color w:val="000000" w:themeColor="text1"/>
                      <w:szCs w:val="21"/>
                    </w:rPr>
                    <w:t>/个，1</w:t>
                  </w:r>
                  <w:r>
                    <w:rPr>
                      <w:color w:val="000000" w:themeColor="text1"/>
                      <w:szCs w:val="21"/>
                    </w:rPr>
                    <w:t>#</w:t>
                  </w:r>
                  <w:r>
                    <w:rPr>
                      <w:rFonts w:hint="eastAsia"/>
                      <w:color w:val="000000" w:themeColor="text1"/>
                      <w:szCs w:val="21"/>
                    </w:rPr>
                    <w:t>、2#</w:t>
                  </w:r>
                  <w:r>
                    <w:rPr>
                      <w:color w:val="000000" w:themeColor="text1"/>
                      <w:szCs w:val="21"/>
                    </w:rPr>
                    <w:t>贮存区</w:t>
                  </w:r>
                  <w:r>
                    <w:rPr>
                      <w:rFonts w:hint="eastAsia"/>
                      <w:color w:val="000000" w:themeColor="text1"/>
                      <w:szCs w:val="21"/>
                    </w:rPr>
                    <w:t>配套设置的</w:t>
                  </w:r>
                  <w:r>
                    <w:rPr>
                      <w:color w:val="000000" w:themeColor="text1"/>
                      <w:szCs w:val="21"/>
                    </w:rPr>
                    <w:t>渗滤液收集池</w:t>
                  </w:r>
                  <w:r>
                    <w:rPr>
                      <w:rFonts w:hint="eastAsia"/>
                      <w:color w:val="000000" w:themeColor="text1"/>
                      <w:szCs w:val="21"/>
                    </w:rPr>
                    <w:t>位于该分区的东北侧，3#-8#</w:t>
                  </w:r>
                  <w:r>
                    <w:rPr>
                      <w:color w:val="000000" w:themeColor="text1"/>
                      <w:szCs w:val="21"/>
                    </w:rPr>
                    <w:t>贮存区</w:t>
                  </w:r>
                  <w:r>
                    <w:rPr>
                      <w:rFonts w:hint="eastAsia"/>
                      <w:color w:val="000000" w:themeColor="text1"/>
                      <w:szCs w:val="21"/>
                    </w:rPr>
                    <w:t>配套设置的</w:t>
                  </w:r>
                  <w:r>
                    <w:rPr>
                      <w:color w:val="000000" w:themeColor="text1"/>
                      <w:szCs w:val="21"/>
                    </w:rPr>
                    <w:t>渗滤液收集池</w:t>
                  </w:r>
                  <w:r>
                    <w:rPr>
                      <w:rFonts w:hint="eastAsia"/>
                      <w:color w:val="000000" w:themeColor="text1"/>
                      <w:szCs w:val="21"/>
                    </w:rPr>
                    <w:t>位于该分区的西南侧，合计8</w:t>
                  </w:r>
                  <w:r>
                    <w:rPr>
                      <w:color w:val="000000" w:themeColor="text1"/>
                      <w:szCs w:val="21"/>
                    </w:rPr>
                    <w:t>m³</w:t>
                  </w:r>
                  <w:r>
                    <w:rPr>
                      <w:rFonts w:hint="eastAsia"/>
                      <w:color w:val="000000" w:themeColor="text1"/>
                      <w:szCs w:val="21"/>
                    </w:rPr>
                    <w:t>；</w:t>
                  </w:r>
                  <w:r>
                    <w:rPr>
                      <w:color w:val="000000" w:themeColor="text1"/>
                      <w:szCs w:val="21"/>
                    </w:rPr>
                    <w:t>可满足《危险废物贮存污染控制标准》（GB</w:t>
                  </w:r>
                  <w:r>
                    <w:rPr>
                      <w:rFonts w:hint="eastAsia"/>
                      <w:color w:val="000000" w:themeColor="text1"/>
                      <w:szCs w:val="21"/>
                      <w:lang w:eastAsia="zh-CN"/>
                    </w:rPr>
                    <w:t>*****</w:t>
                  </w:r>
                  <w:r>
                    <w:rPr>
                      <w:color w:val="000000" w:themeColor="text1"/>
                      <w:szCs w:val="21"/>
                    </w:rPr>
                    <w:t>-2023）的要求。</w:t>
                  </w:r>
                </w:p>
              </w:tc>
              <w:tc>
                <w:tcPr>
                  <w:tcW w:w="783"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highlight w:val="yellow"/>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rFonts w:hint="eastAsia"/>
                      <w:color w:val="000000" w:themeColor="text1"/>
                      <w:szCs w:val="21"/>
                    </w:rPr>
                    <w:t>事故池</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根据调查，</w:t>
                  </w:r>
                  <w:r>
                    <w:rPr>
                      <w:color w:val="000000" w:themeColor="text1"/>
                      <w:szCs w:val="24"/>
                      <w:lang w:val="en-US"/>
                    </w:rPr>
                    <w:t>昆明旭鑫环保科技有限公司原料暂存库内已设置了1个</w:t>
                  </w:r>
                  <w:r>
                    <w:rPr>
                      <w:color w:val="000000" w:themeColor="text1"/>
                      <w:szCs w:val="21"/>
                    </w:rPr>
                    <w:t>有效容积为20m³的闲置水池，拟</w:t>
                  </w:r>
                  <w:r>
                    <w:rPr>
                      <w:rFonts w:hint="eastAsia"/>
                      <w:color w:val="000000" w:themeColor="text1"/>
                      <w:szCs w:val="24"/>
                    </w:rPr>
                    <w:t>对其铺设</w:t>
                  </w:r>
                  <w:r>
                    <w:rPr>
                      <w:color w:val="000000" w:themeColor="text1"/>
                      <w:szCs w:val="24"/>
                    </w:rPr>
                    <w:t>土工防渗膜</w:t>
                  </w:r>
                  <w:r>
                    <w:rPr>
                      <w:rFonts w:hint="eastAsia"/>
                      <w:color w:val="000000" w:themeColor="text1"/>
                      <w:szCs w:val="24"/>
                    </w:rPr>
                    <w:t>后</w:t>
                  </w:r>
                  <w:r>
                    <w:rPr>
                      <w:color w:val="000000" w:themeColor="text1"/>
                      <w:szCs w:val="21"/>
                    </w:rPr>
                    <w:t>作为事故池使用，对风险事故废水进行收集，以满足事故状态下收集泄漏物料、污染消防水的需要。</w:t>
                  </w:r>
                </w:p>
              </w:tc>
              <w:tc>
                <w:tcPr>
                  <w:tcW w:w="783" w:type="dxa"/>
                  <w:vAlign w:val="center"/>
                </w:tcPr>
                <w:p>
                  <w:pPr>
                    <w:pStyle w:val="29"/>
                    <w:spacing w:line="360" w:lineRule="exact"/>
                    <w:rPr>
                      <w:color w:val="000000" w:themeColor="text1"/>
                      <w:szCs w:val="21"/>
                    </w:rPr>
                  </w:pPr>
                  <w:r>
                    <w:rPr>
                      <w:rFonts w:hint="eastAsia"/>
                      <w:color w:val="000000" w:themeColor="text1"/>
                      <w:szCs w:val="21"/>
                    </w:rPr>
                    <w:t>功能置换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highlight w:val="yellow"/>
                    </w:rPr>
                  </w:pPr>
                </w:p>
              </w:tc>
              <w:tc>
                <w:tcPr>
                  <w:tcW w:w="721" w:type="dxa"/>
                  <w:vMerge w:val="continue"/>
                  <w:vAlign w:val="center"/>
                </w:tcPr>
                <w:p>
                  <w:pPr>
                    <w:pStyle w:val="29"/>
                    <w:spacing w:line="360" w:lineRule="exact"/>
                    <w:rPr>
                      <w:color w:val="000000" w:themeColor="text1"/>
                      <w:szCs w:val="21"/>
                    </w:rPr>
                  </w:pPr>
                </w:p>
              </w:tc>
              <w:tc>
                <w:tcPr>
                  <w:tcW w:w="982" w:type="dxa"/>
                  <w:vAlign w:val="center"/>
                </w:tcPr>
                <w:p>
                  <w:pPr>
                    <w:pStyle w:val="29"/>
                    <w:spacing w:line="360" w:lineRule="exact"/>
                    <w:rPr>
                      <w:color w:val="000000" w:themeColor="text1"/>
                      <w:szCs w:val="21"/>
                    </w:rPr>
                  </w:pPr>
                  <w:r>
                    <w:rPr>
                      <w:color w:val="000000" w:themeColor="text1"/>
                      <w:szCs w:val="21"/>
                    </w:rPr>
                    <w:t>通风系统</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为控制仓储区内有机废气、刺激性废气的质量浓度，防止其发生环境风险，项目在满足全封闭厂房 “防风、防雨、防晒”要求的条件下，设置了通风系统。</w:t>
                  </w:r>
                </w:p>
              </w:tc>
              <w:tc>
                <w:tcPr>
                  <w:tcW w:w="783" w:type="dxa"/>
                  <w:vAlign w:val="center"/>
                </w:tcPr>
                <w:p>
                  <w:pPr>
                    <w:pStyle w:val="29"/>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9"/>
                    <w:spacing w:line="360" w:lineRule="exact"/>
                    <w:rPr>
                      <w:color w:val="000000" w:themeColor="text1"/>
                      <w:szCs w:val="21"/>
                      <w:highlight w:val="yellow"/>
                    </w:rPr>
                  </w:pPr>
                </w:p>
              </w:tc>
              <w:tc>
                <w:tcPr>
                  <w:tcW w:w="721" w:type="dxa"/>
                  <w:vAlign w:val="center"/>
                </w:tcPr>
                <w:p>
                  <w:pPr>
                    <w:pStyle w:val="29"/>
                    <w:spacing w:line="360" w:lineRule="exact"/>
                    <w:rPr>
                      <w:color w:val="000000" w:themeColor="text1"/>
                      <w:szCs w:val="21"/>
                    </w:rPr>
                  </w:pPr>
                  <w:r>
                    <w:rPr>
                      <w:color w:val="000000" w:themeColor="text1"/>
                      <w:szCs w:val="21"/>
                    </w:rPr>
                    <w:t>其他</w:t>
                  </w:r>
                </w:p>
              </w:tc>
              <w:tc>
                <w:tcPr>
                  <w:tcW w:w="982" w:type="dxa"/>
                  <w:vAlign w:val="center"/>
                </w:tcPr>
                <w:p>
                  <w:pPr>
                    <w:pStyle w:val="29"/>
                    <w:spacing w:line="360" w:lineRule="exact"/>
                    <w:rPr>
                      <w:color w:val="000000" w:themeColor="text1"/>
                      <w:szCs w:val="21"/>
                    </w:rPr>
                  </w:pPr>
                  <w:r>
                    <w:rPr>
                      <w:color w:val="000000" w:themeColor="text1"/>
                      <w:szCs w:val="21"/>
                    </w:rPr>
                    <w:t>标识牌</w:t>
                  </w:r>
                </w:p>
              </w:tc>
              <w:tc>
                <w:tcPr>
                  <w:tcW w:w="5386" w:type="dxa"/>
                  <w:vAlign w:val="center"/>
                </w:tcPr>
                <w:p>
                  <w:pPr>
                    <w:pStyle w:val="29"/>
                    <w:spacing w:line="360" w:lineRule="exact"/>
                    <w:ind w:firstLine="210" w:firstLineChars="100"/>
                    <w:jc w:val="both"/>
                    <w:rPr>
                      <w:color w:val="000000" w:themeColor="text1"/>
                      <w:szCs w:val="21"/>
                    </w:rPr>
                  </w:pPr>
                  <w:r>
                    <w:rPr>
                      <w:color w:val="000000" w:themeColor="text1"/>
                      <w:szCs w:val="21"/>
                    </w:rPr>
                    <w:t>建设单位按照规范要求，设置环境保护图形标志。</w:t>
                  </w:r>
                </w:p>
              </w:tc>
              <w:tc>
                <w:tcPr>
                  <w:tcW w:w="783" w:type="dxa"/>
                  <w:vAlign w:val="center"/>
                </w:tcPr>
                <w:p>
                  <w:pPr>
                    <w:pStyle w:val="29"/>
                    <w:spacing w:line="360" w:lineRule="exact"/>
                    <w:rPr>
                      <w:color w:val="000000" w:themeColor="text1"/>
                      <w:szCs w:val="21"/>
                    </w:rPr>
                  </w:pPr>
                  <w:r>
                    <w:rPr>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15" w:name="_Toc493693536"/>
            <w:bookmarkStart w:id="16" w:name="_Toc433544969"/>
            <w:r>
              <w:rPr>
                <w:rFonts w:ascii="Times New Roman" w:hAnsi="Times New Roman" w:cs="Times New Roman"/>
                <w:b/>
                <w:color w:val="000000" w:themeColor="text1"/>
                <w:sz w:val="24"/>
                <w:szCs w:val="24"/>
              </w:rPr>
              <w:t>2.2 总平面布置</w:t>
            </w:r>
            <w:bookmarkEnd w:id="15"/>
            <w:bookmarkEnd w:id="16"/>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项目拟将利用昆明旭鑫环保科技有限公司原料暂存库项目中西北侧1000m²区域建设小微企业危险废物贮存库，而其他2000m²区域依然作为昆明旭鑫环保科技有限公司原料暂存库对其原料进行分类贮存；小微企业危险废物贮存库共分为8个贮存单元，各贮存单元均设置导流渠及废液收集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项目在厂区位置详见附图2-1  项目在厂区位置示意图；内部平面布置详见附图2-2  原料库内部平面布置示意图。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根据实施方案，项目拟将利用昆明旭鑫环保科技有限公司原料暂存库项目中西北侧1000m²区域建设小微企业危险废物贮存库，而该原料库剩余的2000m²区域</w:t>
            </w:r>
            <w:r>
              <w:rPr>
                <w:rFonts w:hint="eastAsia" w:ascii="Times New Roman" w:hAnsi="Times New Roman" w:cs="Times New Roman"/>
                <w:color w:val="000000" w:themeColor="text1"/>
                <w:sz w:val="24"/>
                <w:szCs w:val="24"/>
              </w:rPr>
              <w:t>任</w:t>
            </w:r>
            <w:r>
              <w:rPr>
                <w:rFonts w:ascii="Times New Roman" w:hAnsi="Times New Roman" w:cs="Times New Roman"/>
                <w:color w:val="000000" w:themeColor="text1"/>
                <w:sz w:val="24"/>
                <w:szCs w:val="24"/>
              </w:rPr>
              <w:t>对昆明旭鑫环保科技有限公司生产所需的铅渣、铋渣等11类危险废物原料进行分类暂存，不发生变化。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划定的1000m²区域区域建设小微企业危险废物收集试点项目，东川网点主要对东川区及寻甸境内的小微企业产生的18大类、65小类危险废物进行统一收集后，委托有资质的单位进行处理，不涉及危险废物处理及综合利用。因此不存在项目生产的产品及产能。</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根据实施方案，项目主要生产单元、主要工艺、生产设施及设施参数如下表所示。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850"/>
              <w:gridCol w:w="1418"/>
              <w:gridCol w:w="2972"/>
              <w:gridCol w:w="1001"/>
              <w:gridCol w:w="14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jc w:val="center"/>
              </w:trPr>
              <w:tc>
                <w:tcPr>
                  <w:tcW w:w="877" w:type="dxa"/>
                  <w:vAlign w:val="center"/>
                </w:tcPr>
                <w:p>
                  <w:pPr>
                    <w:pStyle w:val="29"/>
                    <w:spacing w:line="360" w:lineRule="exact"/>
                    <w:rPr>
                      <w:color w:val="000000" w:themeColor="text1"/>
                      <w:szCs w:val="21"/>
                    </w:rPr>
                  </w:pPr>
                  <w:r>
                    <w:rPr>
                      <w:color w:val="000000" w:themeColor="text1"/>
                      <w:szCs w:val="21"/>
                    </w:rPr>
                    <w:t>主要生产单元</w:t>
                  </w:r>
                </w:p>
              </w:tc>
              <w:tc>
                <w:tcPr>
                  <w:tcW w:w="850" w:type="dxa"/>
                  <w:vAlign w:val="center"/>
                </w:tcPr>
                <w:p>
                  <w:pPr>
                    <w:pStyle w:val="29"/>
                    <w:spacing w:line="360" w:lineRule="exact"/>
                    <w:rPr>
                      <w:color w:val="000000" w:themeColor="text1"/>
                      <w:szCs w:val="21"/>
                    </w:rPr>
                  </w:pPr>
                  <w:r>
                    <w:rPr>
                      <w:color w:val="000000" w:themeColor="text1"/>
                      <w:szCs w:val="21"/>
                    </w:rPr>
                    <w:t>主要工艺</w:t>
                  </w:r>
                </w:p>
              </w:tc>
              <w:tc>
                <w:tcPr>
                  <w:tcW w:w="1418" w:type="dxa"/>
                  <w:vAlign w:val="center"/>
                </w:tcPr>
                <w:p>
                  <w:pPr>
                    <w:pStyle w:val="29"/>
                    <w:spacing w:line="360" w:lineRule="exact"/>
                    <w:rPr>
                      <w:color w:val="000000" w:themeColor="text1"/>
                      <w:szCs w:val="21"/>
                    </w:rPr>
                  </w:pPr>
                  <w:r>
                    <w:rPr>
                      <w:color w:val="000000" w:themeColor="text1"/>
                      <w:szCs w:val="21"/>
                    </w:rPr>
                    <w:t>生产设施</w:t>
                  </w:r>
                </w:p>
              </w:tc>
              <w:tc>
                <w:tcPr>
                  <w:tcW w:w="2972" w:type="dxa"/>
                  <w:vAlign w:val="center"/>
                </w:tcPr>
                <w:p>
                  <w:pPr>
                    <w:pStyle w:val="29"/>
                    <w:spacing w:line="360" w:lineRule="exact"/>
                    <w:rPr>
                      <w:color w:val="000000" w:themeColor="text1"/>
                      <w:szCs w:val="21"/>
                    </w:rPr>
                  </w:pPr>
                  <w:r>
                    <w:rPr>
                      <w:color w:val="000000" w:themeColor="text1"/>
                      <w:szCs w:val="21"/>
                    </w:rPr>
                    <w:t>设施参数</w:t>
                  </w:r>
                </w:p>
              </w:tc>
              <w:tc>
                <w:tcPr>
                  <w:tcW w:w="1001" w:type="dxa"/>
                  <w:vAlign w:val="center"/>
                </w:tcPr>
                <w:p>
                  <w:pPr>
                    <w:pStyle w:val="29"/>
                    <w:spacing w:line="360" w:lineRule="exact"/>
                    <w:rPr>
                      <w:color w:val="000000" w:themeColor="text1"/>
                      <w:szCs w:val="21"/>
                    </w:rPr>
                  </w:pPr>
                  <w:r>
                    <w:rPr>
                      <w:color w:val="000000" w:themeColor="text1"/>
                      <w:szCs w:val="21"/>
                    </w:rPr>
                    <w:t>数量</w:t>
                  </w:r>
                </w:p>
              </w:tc>
              <w:tc>
                <w:tcPr>
                  <w:tcW w:w="1487" w:type="dxa"/>
                  <w:vAlign w:val="center"/>
                </w:tcPr>
                <w:p>
                  <w:pPr>
                    <w:pStyle w:val="29"/>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pStyle w:val="29"/>
                    <w:spacing w:line="360" w:lineRule="exact"/>
                    <w:rPr>
                      <w:color w:val="000000" w:themeColor="text1"/>
                      <w:szCs w:val="21"/>
                    </w:rPr>
                  </w:pPr>
                  <w:r>
                    <w:rPr>
                      <w:color w:val="000000" w:themeColor="text1"/>
                      <w:szCs w:val="21"/>
                    </w:rPr>
                    <w:t>主体工程</w:t>
                  </w:r>
                </w:p>
              </w:tc>
              <w:tc>
                <w:tcPr>
                  <w:tcW w:w="850" w:type="dxa"/>
                  <w:vMerge w:val="restart"/>
                  <w:vAlign w:val="center"/>
                </w:tcPr>
                <w:p>
                  <w:pPr>
                    <w:pStyle w:val="29"/>
                    <w:spacing w:line="360" w:lineRule="exact"/>
                    <w:rPr>
                      <w:color w:val="000000" w:themeColor="text1"/>
                      <w:szCs w:val="21"/>
                    </w:rPr>
                  </w:pPr>
                  <w:r>
                    <w:rPr>
                      <w:color w:val="000000" w:themeColor="text1"/>
                      <w:szCs w:val="21"/>
                    </w:rPr>
                    <w:t>暂存</w:t>
                  </w:r>
                </w:p>
              </w:tc>
              <w:tc>
                <w:tcPr>
                  <w:tcW w:w="1418" w:type="dxa"/>
                  <w:vAlign w:val="center"/>
                </w:tcPr>
                <w:p>
                  <w:pPr>
                    <w:pStyle w:val="29"/>
                    <w:spacing w:line="360" w:lineRule="exact"/>
                    <w:rPr>
                      <w:color w:val="000000" w:themeColor="text1"/>
                      <w:szCs w:val="21"/>
                    </w:rPr>
                  </w:pPr>
                  <w:r>
                    <w:rPr>
                      <w:color w:val="000000" w:themeColor="text1"/>
                      <w:szCs w:val="21"/>
                    </w:rPr>
                    <w:t>智能电子秤</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w:t>
                  </w:r>
                </w:p>
              </w:tc>
              <w:tc>
                <w:tcPr>
                  <w:tcW w:w="1001" w:type="dxa"/>
                  <w:vAlign w:val="center"/>
                </w:tcPr>
                <w:p>
                  <w:pPr>
                    <w:pStyle w:val="29"/>
                    <w:spacing w:line="360" w:lineRule="exact"/>
                    <w:rPr>
                      <w:color w:val="000000" w:themeColor="text1"/>
                      <w:szCs w:val="21"/>
                    </w:rPr>
                  </w:pPr>
                  <w:r>
                    <w:rPr>
                      <w:color w:val="000000" w:themeColor="text1"/>
                      <w:szCs w:val="21"/>
                    </w:rPr>
                    <w:t>1杆</w:t>
                  </w:r>
                </w:p>
              </w:tc>
              <w:tc>
                <w:tcPr>
                  <w:tcW w:w="1487"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Align w:val="center"/>
                </w:tcPr>
                <w:p>
                  <w:pPr>
                    <w:pStyle w:val="29"/>
                    <w:spacing w:line="360" w:lineRule="exact"/>
                    <w:rPr>
                      <w:color w:val="000000" w:themeColor="text1"/>
                      <w:szCs w:val="21"/>
                    </w:rPr>
                  </w:pPr>
                  <w:r>
                    <w:rPr>
                      <w:color w:val="000000" w:themeColor="text1"/>
                      <w:szCs w:val="21"/>
                    </w:rPr>
                    <w:t>储罐</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有效容积：10m³，材质：钢铁</w:t>
                  </w:r>
                </w:p>
              </w:tc>
              <w:tc>
                <w:tcPr>
                  <w:tcW w:w="1001" w:type="dxa"/>
                  <w:vAlign w:val="center"/>
                </w:tcPr>
                <w:p>
                  <w:pPr>
                    <w:pStyle w:val="29"/>
                    <w:spacing w:line="360" w:lineRule="exact"/>
                    <w:rPr>
                      <w:color w:val="000000" w:themeColor="text1"/>
                      <w:szCs w:val="21"/>
                    </w:rPr>
                  </w:pPr>
                  <w:r>
                    <w:rPr>
                      <w:color w:val="000000" w:themeColor="text1"/>
                      <w:szCs w:val="21"/>
                    </w:rPr>
                    <w:t>10个</w:t>
                  </w:r>
                </w:p>
              </w:tc>
              <w:tc>
                <w:tcPr>
                  <w:tcW w:w="1487" w:type="dxa"/>
                  <w:vAlign w:val="center"/>
                </w:tcPr>
                <w:p>
                  <w:pPr>
                    <w:pStyle w:val="29"/>
                    <w:spacing w:line="360" w:lineRule="exact"/>
                    <w:rPr>
                      <w:color w:val="000000" w:themeColor="text1"/>
                      <w:szCs w:val="21"/>
                    </w:rPr>
                  </w:pPr>
                  <w:r>
                    <w:rPr>
                      <w:color w:val="000000" w:themeColor="text1"/>
                      <w:szCs w:val="21"/>
                    </w:rPr>
                    <w:t>盛装液体废物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Align w:val="center"/>
                </w:tcPr>
                <w:p>
                  <w:pPr>
                    <w:pStyle w:val="29"/>
                    <w:spacing w:line="360" w:lineRule="exact"/>
                    <w:rPr>
                      <w:color w:val="000000" w:themeColor="text1"/>
                      <w:szCs w:val="21"/>
                    </w:rPr>
                  </w:pPr>
                  <w:r>
                    <w:rPr>
                      <w:color w:val="000000" w:themeColor="text1"/>
                      <w:szCs w:val="21"/>
                    </w:rPr>
                    <w:t>铁桶</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有效容积：200L，型号：Φ560×89mm，材质：钢铁</w:t>
                  </w:r>
                </w:p>
              </w:tc>
              <w:tc>
                <w:tcPr>
                  <w:tcW w:w="1001" w:type="dxa"/>
                  <w:vAlign w:val="center"/>
                </w:tcPr>
                <w:p>
                  <w:pPr>
                    <w:pStyle w:val="29"/>
                    <w:spacing w:line="360" w:lineRule="exact"/>
                    <w:rPr>
                      <w:color w:val="000000" w:themeColor="text1"/>
                      <w:szCs w:val="21"/>
                    </w:rPr>
                  </w:pPr>
                  <w:r>
                    <w:rPr>
                      <w:color w:val="000000" w:themeColor="text1"/>
                      <w:szCs w:val="21"/>
                    </w:rPr>
                    <w:t>10个</w:t>
                  </w:r>
                </w:p>
              </w:tc>
              <w:tc>
                <w:tcPr>
                  <w:tcW w:w="1487" w:type="dxa"/>
                  <w:vAlign w:val="center"/>
                </w:tcPr>
                <w:p>
                  <w:pPr>
                    <w:pStyle w:val="29"/>
                    <w:spacing w:line="360" w:lineRule="exact"/>
                    <w:rPr>
                      <w:color w:val="000000" w:themeColor="text1"/>
                      <w:szCs w:val="21"/>
                    </w:rPr>
                  </w:pPr>
                  <w:r>
                    <w:rPr>
                      <w:color w:val="000000" w:themeColor="text1"/>
                      <w:szCs w:val="21"/>
                    </w:rPr>
                    <w:t>盛装液体废物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Merge w:val="restart"/>
                  <w:vAlign w:val="center"/>
                </w:tcPr>
                <w:p>
                  <w:pPr>
                    <w:pStyle w:val="29"/>
                    <w:spacing w:line="360" w:lineRule="exact"/>
                    <w:rPr>
                      <w:color w:val="000000" w:themeColor="text1"/>
                      <w:szCs w:val="21"/>
                    </w:rPr>
                  </w:pPr>
                  <w:r>
                    <w:rPr>
                      <w:color w:val="000000" w:themeColor="text1"/>
                      <w:szCs w:val="21"/>
                    </w:rPr>
                    <w:t>塑料桶</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有效容积：200L，型号：Φ590×930mm，材质：HDPE</w:t>
                  </w:r>
                </w:p>
              </w:tc>
              <w:tc>
                <w:tcPr>
                  <w:tcW w:w="1001" w:type="dxa"/>
                  <w:vAlign w:val="center"/>
                </w:tcPr>
                <w:p>
                  <w:pPr>
                    <w:pStyle w:val="29"/>
                    <w:spacing w:line="360" w:lineRule="exact"/>
                    <w:rPr>
                      <w:color w:val="000000" w:themeColor="text1"/>
                      <w:szCs w:val="21"/>
                    </w:rPr>
                  </w:pPr>
                  <w:r>
                    <w:rPr>
                      <w:color w:val="000000" w:themeColor="text1"/>
                      <w:szCs w:val="21"/>
                    </w:rPr>
                    <w:t>17个</w:t>
                  </w:r>
                </w:p>
              </w:tc>
              <w:tc>
                <w:tcPr>
                  <w:tcW w:w="1487" w:type="dxa"/>
                  <w:vAlign w:val="center"/>
                </w:tcPr>
                <w:p>
                  <w:pPr>
                    <w:pStyle w:val="29"/>
                    <w:spacing w:line="360" w:lineRule="exact"/>
                    <w:rPr>
                      <w:color w:val="000000" w:themeColor="text1"/>
                      <w:szCs w:val="21"/>
                    </w:rPr>
                  </w:pPr>
                  <w:r>
                    <w:rPr>
                      <w:color w:val="000000" w:themeColor="text1"/>
                      <w:szCs w:val="21"/>
                    </w:rPr>
                    <w:t>盛装液体废物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Merge w:val="continue"/>
                  <w:vAlign w:val="center"/>
                </w:tcPr>
                <w:p>
                  <w:pPr>
                    <w:pStyle w:val="29"/>
                    <w:spacing w:line="360" w:lineRule="exact"/>
                    <w:rPr>
                      <w:color w:val="000000" w:themeColor="text1"/>
                      <w:szCs w:val="21"/>
                    </w:rPr>
                  </w:pP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有效容积：25L，型号：Φ290×410mm，材质：HDPE</w:t>
                  </w:r>
                </w:p>
              </w:tc>
              <w:tc>
                <w:tcPr>
                  <w:tcW w:w="1001" w:type="dxa"/>
                  <w:vAlign w:val="center"/>
                </w:tcPr>
                <w:p>
                  <w:pPr>
                    <w:pStyle w:val="29"/>
                    <w:spacing w:line="360" w:lineRule="exact"/>
                    <w:rPr>
                      <w:color w:val="000000" w:themeColor="text1"/>
                      <w:szCs w:val="21"/>
                    </w:rPr>
                  </w:pPr>
                  <w:r>
                    <w:rPr>
                      <w:color w:val="000000" w:themeColor="text1"/>
                      <w:szCs w:val="21"/>
                    </w:rPr>
                    <w:t>34个</w:t>
                  </w:r>
                </w:p>
              </w:tc>
              <w:tc>
                <w:tcPr>
                  <w:tcW w:w="1487" w:type="dxa"/>
                  <w:vAlign w:val="center"/>
                </w:tcPr>
                <w:p>
                  <w:pPr>
                    <w:pStyle w:val="29"/>
                    <w:spacing w:line="360" w:lineRule="exact"/>
                    <w:rPr>
                      <w:color w:val="000000" w:themeColor="text1"/>
                      <w:szCs w:val="21"/>
                    </w:rPr>
                  </w:pPr>
                  <w:r>
                    <w:rPr>
                      <w:color w:val="000000" w:themeColor="text1"/>
                      <w:szCs w:val="21"/>
                    </w:rPr>
                    <w:t>盛装液体\半固体废物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Merge w:val="continue"/>
                  <w:vAlign w:val="center"/>
                </w:tcPr>
                <w:p>
                  <w:pPr>
                    <w:pStyle w:val="29"/>
                    <w:spacing w:line="360" w:lineRule="exact"/>
                    <w:rPr>
                      <w:color w:val="000000" w:themeColor="text1"/>
                      <w:szCs w:val="21"/>
                    </w:rPr>
                  </w:pP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有效容积：1000L，型号：Φ1200×1000×1150mm，材质：HDPE</w:t>
                  </w:r>
                </w:p>
              </w:tc>
              <w:tc>
                <w:tcPr>
                  <w:tcW w:w="1001" w:type="dxa"/>
                  <w:vAlign w:val="center"/>
                </w:tcPr>
                <w:p>
                  <w:pPr>
                    <w:pStyle w:val="29"/>
                    <w:spacing w:line="360" w:lineRule="exact"/>
                    <w:rPr>
                      <w:color w:val="000000" w:themeColor="text1"/>
                      <w:szCs w:val="21"/>
                    </w:rPr>
                  </w:pPr>
                  <w:r>
                    <w:rPr>
                      <w:color w:val="000000" w:themeColor="text1"/>
                      <w:szCs w:val="21"/>
                    </w:rPr>
                    <w:t>9个</w:t>
                  </w:r>
                </w:p>
              </w:tc>
              <w:tc>
                <w:tcPr>
                  <w:tcW w:w="1487" w:type="dxa"/>
                  <w:vAlign w:val="center"/>
                </w:tcPr>
                <w:p>
                  <w:pPr>
                    <w:pStyle w:val="29"/>
                    <w:spacing w:line="360" w:lineRule="exact"/>
                    <w:rPr>
                      <w:color w:val="000000" w:themeColor="text1"/>
                      <w:szCs w:val="21"/>
                    </w:rPr>
                  </w:pPr>
                  <w:r>
                    <w:rPr>
                      <w:color w:val="000000" w:themeColor="text1"/>
                      <w:szCs w:val="21"/>
                    </w:rPr>
                    <w:t>盛装液体\半固体废物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Align w:val="center"/>
                </w:tcPr>
                <w:p>
                  <w:pPr>
                    <w:pStyle w:val="29"/>
                    <w:spacing w:line="360" w:lineRule="exact"/>
                    <w:rPr>
                      <w:color w:val="000000" w:themeColor="text1"/>
                      <w:szCs w:val="21"/>
                    </w:rPr>
                  </w:pPr>
                  <w:r>
                    <w:rPr>
                      <w:color w:val="000000" w:themeColor="text1"/>
                      <w:sz w:val="20"/>
                      <w:szCs w:val="21"/>
                    </w:rPr>
                    <w:t>吨袋</w:t>
                  </w:r>
                  <w:r>
                    <w:rPr>
                      <w:color w:val="000000" w:themeColor="text1"/>
                      <w:szCs w:val="21"/>
                    </w:rPr>
                    <w:t>（覆膜）</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型号：1100×900×1100mm，材质：PP</w:t>
                  </w:r>
                </w:p>
              </w:tc>
              <w:tc>
                <w:tcPr>
                  <w:tcW w:w="1001" w:type="dxa"/>
                  <w:vAlign w:val="center"/>
                </w:tcPr>
                <w:p>
                  <w:pPr>
                    <w:pStyle w:val="29"/>
                    <w:spacing w:line="360" w:lineRule="exact"/>
                    <w:rPr>
                      <w:color w:val="000000" w:themeColor="text1"/>
                      <w:szCs w:val="21"/>
                    </w:rPr>
                  </w:pPr>
                  <w:r>
                    <w:rPr>
                      <w:color w:val="000000" w:themeColor="text1"/>
                      <w:szCs w:val="21"/>
                    </w:rPr>
                    <w:t>若干</w:t>
                  </w:r>
                </w:p>
              </w:tc>
              <w:tc>
                <w:tcPr>
                  <w:tcW w:w="1487" w:type="dxa"/>
                  <w:vAlign w:val="center"/>
                </w:tcPr>
                <w:p>
                  <w:pPr>
                    <w:pStyle w:val="29"/>
                    <w:spacing w:line="360" w:lineRule="exact"/>
                    <w:rPr>
                      <w:color w:val="000000" w:themeColor="text1"/>
                      <w:szCs w:val="21"/>
                    </w:rPr>
                  </w:pPr>
                  <w:r>
                    <w:rPr>
                      <w:color w:val="000000" w:themeColor="text1"/>
                      <w:szCs w:val="21"/>
                    </w:rPr>
                    <w:t>盛装固体废物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Merge w:val="continue"/>
                  <w:vAlign w:val="center"/>
                </w:tcPr>
                <w:p>
                  <w:pPr>
                    <w:pStyle w:val="29"/>
                    <w:spacing w:line="360" w:lineRule="exact"/>
                    <w:rPr>
                      <w:color w:val="000000" w:themeColor="text1"/>
                      <w:szCs w:val="21"/>
                    </w:rPr>
                  </w:pPr>
                </w:p>
              </w:tc>
              <w:tc>
                <w:tcPr>
                  <w:tcW w:w="1418" w:type="dxa"/>
                  <w:vAlign w:val="center"/>
                </w:tcPr>
                <w:p>
                  <w:pPr>
                    <w:pStyle w:val="29"/>
                    <w:spacing w:line="360" w:lineRule="exact"/>
                    <w:rPr>
                      <w:color w:val="000000" w:themeColor="text1"/>
                      <w:szCs w:val="21"/>
                    </w:rPr>
                  </w:pPr>
                  <w:r>
                    <w:rPr>
                      <w:color w:val="000000" w:themeColor="text1"/>
                      <w:szCs w:val="21"/>
                    </w:rPr>
                    <w:t>自吸泵</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w:t>
                  </w:r>
                </w:p>
              </w:tc>
              <w:tc>
                <w:tcPr>
                  <w:tcW w:w="1001" w:type="dxa"/>
                  <w:vAlign w:val="center"/>
                </w:tcPr>
                <w:p>
                  <w:pPr>
                    <w:pStyle w:val="29"/>
                    <w:spacing w:line="360" w:lineRule="exact"/>
                    <w:rPr>
                      <w:color w:val="000000" w:themeColor="text1"/>
                      <w:szCs w:val="21"/>
                    </w:rPr>
                  </w:pPr>
                  <w:r>
                    <w:rPr>
                      <w:color w:val="000000" w:themeColor="text1"/>
                      <w:szCs w:val="21"/>
                    </w:rPr>
                    <w:t>10台</w:t>
                  </w:r>
                </w:p>
              </w:tc>
              <w:tc>
                <w:tcPr>
                  <w:tcW w:w="1487"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szCs w:val="21"/>
                    </w:rPr>
                  </w:pPr>
                </w:p>
              </w:tc>
              <w:tc>
                <w:tcPr>
                  <w:tcW w:w="850" w:type="dxa"/>
                  <w:vAlign w:val="center"/>
                </w:tcPr>
                <w:p>
                  <w:pPr>
                    <w:pStyle w:val="29"/>
                    <w:spacing w:line="360" w:lineRule="exact"/>
                    <w:rPr>
                      <w:color w:val="000000" w:themeColor="text1"/>
                      <w:szCs w:val="21"/>
                    </w:rPr>
                  </w:pPr>
                  <w:r>
                    <w:rPr>
                      <w:color w:val="000000" w:themeColor="text1"/>
                      <w:szCs w:val="21"/>
                    </w:rPr>
                    <w:t>装卸</w:t>
                  </w:r>
                </w:p>
              </w:tc>
              <w:tc>
                <w:tcPr>
                  <w:tcW w:w="1418" w:type="dxa"/>
                  <w:vAlign w:val="center"/>
                </w:tcPr>
                <w:p>
                  <w:pPr>
                    <w:pStyle w:val="29"/>
                    <w:spacing w:line="360" w:lineRule="exact"/>
                    <w:rPr>
                      <w:color w:val="000000" w:themeColor="text1"/>
                      <w:szCs w:val="21"/>
                    </w:rPr>
                  </w:pPr>
                  <w:r>
                    <w:rPr>
                      <w:color w:val="000000" w:themeColor="text1"/>
                      <w:szCs w:val="21"/>
                    </w:rPr>
                    <w:t>叉车</w:t>
                  </w:r>
                </w:p>
              </w:tc>
              <w:tc>
                <w:tcPr>
                  <w:tcW w:w="2972" w:type="dxa"/>
                  <w:vAlign w:val="center"/>
                </w:tcPr>
                <w:p>
                  <w:pPr>
                    <w:pStyle w:val="29"/>
                    <w:spacing w:line="360" w:lineRule="exact"/>
                    <w:ind w:firstLine="105" w:firstLineChars="50"/>
                    <w:jc w:val="both"/>
                    <w:rPr>
                      <w:color w:val="000000" w:themeColor="text1"/>
                      <w:szCs w:val="21"/>
                    </w:rPr>
                  </w:pPr>
                  <w:r>
                    <w:rPr>
                      <w:color w:val="000000" w:themeColor="text1"/>
                      <w:szCs w:val="21"/>
                    </w:rPr>
                    <w:t>2.5t</w:t>
                  </w:r>
                </w:p>
              </w:tc>
              <w:tc>
                <w:tcPr>
                  <w:tcW w:w="1001" w:type="dxa"/>
                  <w:vAlign w:val="center"/>
                </w:tcPr>
                <w:p>
                  <w:pPr>
                    <w:pStyle w:val="29"/>
                    <w:spacing w:line="360" w:lineRule="exact"/>
                    <w:rPr>
                      <w:color w:val="000000" w:themeColor="text1"/>
                      <w:szCs w:val="21"/>
                    </w:rPr>
                  </w:pPr>
                  <w:r>
                    <w:rPr>
                      <w:color w:val="000000" w:themeColor="text1"/>
                      <w:szCs w:val="21"/>
                    </w:rPr>
                    <w:t>2辆</w:t>
                  </w:r>
                </w:p>
              </w:tc>
              <w:tc>
                <w:tcPr>
                  <w:tcW w:w="1487"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pStyle w:val="29"/>
                    <w:spacing w:line="360" w:lineRule="exact"/>
                    <w:rPr>
                      <w:color w:val="000000" w:themeColor="text1"/>
                      <w:szCs w:val="21"/>
                    </w:rPr>
                  </w:pPr>
                  <w:r>
                    <w:rPr>
                      <w:color w:val="000000" w:themeColor="text1"/>
                      <w:szCs w:val="21"/>
                    </w:rPr>
                    <w:t>储运工程</w:t>
                  </w:r>
                </w:p>
              </w:tc>
              <w:tc>
                <w:tcPr>
                  <w:tcW w:w="850" w:type="dxa"/>
                  <w:vAlign w:val="center"/>
                </w:tcPr>
                <w:p>
                  <w:pPr>
                    <w:pStyle w:val="29"/>
                    <w:spacing w:line="360" w:lineRule="exact"/>
                    <w:rPr>
                      <w:color w:val="000000" w:themeColor="text1"/>
                      <w:szCs w:val="21"/>
                    </w:rPr>
                  </w:pPr>
                  <w:r>
                    <w:rPr>
                      <w:color w:val="000000" w:themeColor="text1"/>
                      <w:szCs w:val="21"/>
                    </w:rPr>
                    <w:t>外部运输</w:t>
                  </w:r>
                </w:p>
              </w:tc>
              <w:tc>
                <w:tcPr>
                  <w:tcW w:w="6878" w:type="dxa"/>
                  <w:gridSpan w:val="4"/>
                  <w:vAlign w:val="center"/>
                </w:tcPr>
                <w:p>
                  <w:pPr>
                    <w:pStyle w:val="29"/>
                    <w:spacing w:line="360" w:lineRule="exact"/>
                    <w:ind w:firstLine="210" w:firstLineChars="100"/>
                    <w:jc w:val="left"/>
                    <w:rPr>
                      <w:color w:val="000000" w:themeColor="text1"/>
                      <w:szCs w:val="21"/>
                    </w:rPr>
                  </w:pPr>
                  <w:r>
                    <w:rPr>
                      <w:color w:val="000000" w:themeColor="text1"/>
                      <w:szCs w:val="21"/>
                    </w:rPr>
                    <w:t>委托具备危险废物运输资质的单位进行运输</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昆明旭鑫环保科技有限公司原料暂存库项目对昆明旭鑫环保科技有限公司生产所需的铅渣、铋渣等11类危险废物原料进行分类暂存，其原料均使用吨袋包装贮存，吨袋年消耗量约为1.6t/a，不发生变化。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划定的1000m²区域区域建设小微企业危险废物收集试点项目，东川网点主要对东川区及寻甸境内的小微企业产生的18大类、65小类危险废物进行统一收集后，委托有资质的单位进行处理，项目各类危险废物的收集贮存设施主要包括储罐、铁桶、塑料桶和吨袋；塑料桶和吨袋存在损坏的情况，根据业主的经验数据，塑料桶需要补充量约为5个，吨袋年新增消耗量约为50kg。</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项目拟收集危险废物来源及性质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环评重点分析小微企业危险废物收集试点项目收集危险废物来源及性质，具体如下。</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2.6.1 收集危险废物的收集范围</w:t>
            </w:r>
          </w:p>
          <w:p>
            <w:pPr>
              <w:spacing w:line="360" w:lineRule="auto"/>
              <w:ind w:firstLine="480" w:firstLineChars="200"/>
              <w:rPr>
                <w:rFonts w:ascii="Times New Roman" w:hAnsi="Times New Roman" w:cs="Times New Roman"/>
                <w:color w:val="000000" w:themeColor="text1"/>
                <w:sz w:val="24"/>
                <w:szCs w:val="24"/>
              </w:rPr>
            </w:pPr>
            <w:bookmarkStart w:id="17" w:name="_Hlk137320537"/>
            <w:r>
              <w:rPr>
                <w:rFonts w:ascii="Times New Roman" w:hAnsi="Times New Roman" w:cs="Times New Roman"/>
                <w:color w:val="000000" w:themeColor="text1"/>
                <w:sz w:val="24"/>
                <w:szCs w:val="24"/>
              </w:rPr>
              <w:t>根据《关于加强对昆明市小微企业危险废物收集试点单位监督管理工作的通知》（便函【2023】737号）</w:t>
            </w:r>
            <w:bookmarkEnd w:id="17"/>
            <w:r>
              <w:rPr>
                <w:rFonts w:ascii="Times New Roman" w:hAnsi="Times New Roman" w:cs="Times New Roman"/>
                <w:color w:val="000000" w:themeColor="text1"/>
                <w:sz w:val="24"/>
                <w:szCs w:val="24"/>
              </w:rPr>
              <w:t>和实施方案，本试点项目重点服务保障区域为东川区和寻甸县。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2.6.2 收集类别及危险废物属性</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（1）收集类别</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根据实施方案，该项目东川网点主要对东川区及寻甸境内的小微企业产生的18大类、65小类危险废物进行统一收集后，委托有资质的单位进行处理，具体收集类别如下表所示。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表2.6.2-1 该项目危险废物收集类别一览表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89"/>
              <w:gridCol w:w="687"/>
              <w:gridCol w:w="751"/>
              <w:gridCol w:w="2398"/>
              <w:gridCol w:w="716"/>
              <w:gridCol w:w="573"/>
              <w:gridCol w:w="858"/>
              <w:gridCol w:w="71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451" w:type="dxa"/>
                  <w:shd w:val="clear" w:color="auto" w:fill="auto"/>
                  <w:vAlign w:val="center"/>
                </w:tcPr>
                <w:p>
                  <w:pPr>
                    <w:pStyle w:val="29"/>
                    <w:spacing w:line="360" w:lineRule="exact"/>
                    <w:rPr>
                      <w:color w:val="000000" w:themeColor="text1"/>
                      <w:szCs w:val="21"/>
                    </w:rPr>
                  </w:pPr>
                  <w:bookmarkStart w:id="18" w:name="_Hlk132894183"/>
                  <w:r>
                    <w:rPr>
                      <w:color w:val="000000" w:themeColor="text1"/>
                      <w:szCs w:val="21"/>
                    </w:rPr>
                    <w:t>序号</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废物类别</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行业来源</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废物代码</w:t>
                  </w:r>
                </w:p>
              </w:tc>
              <w:tc>
                <w:tcPr>
                  <w:tcW w:w="2398" w:type="dxa"/>
                  <w:shd w:val="clear" w:color="auto" w:fill="auto"/>
                  <w:vAlign w:val="center"/>
                </w:tcPr>
                <w:p>
                  <w:pPr>
                    <w:pStyle w:val="29"/>
                    <w:spacing w:line="360" w:lineRule="exact"/>
                    <w:rPr>
                      <w:color w:val="000000" w:themeColor="text1"/>
                      <w:szCs w:val="21"/>
                    </w:rPr>
                  </w:pPr>
                  <w:r>
                    <w:rPr>
                      <w:color w:val="000000" w:themeColor="text1"/>
                      <w:szCs w:val="21"/>
                    </w:rPr>
                    <w:t>危险废物</w:t>
                  </w:r>
                </w:p>
              </w:tc>
              <w:tc>
                <w:tcPr>
                  <w:tcW w:w="716" w:type="dxa"/>
                  <w:vAlign w:val="center"/>
                </w:tcPr>
                <w:p>
                  <w:pPr>
                    <w:pStyle w:val="29"/>
                    <w:spacing w:line="360" w:lineRule="exact"/>
                    <w:rPr>
                      <w:color w:val="000000" w:themeColor="text1"/>
                      <w:szCs w:val="21"/>
                    </w:rPr>
                  </w:pPr>
                  <w:r>
                    <w:rPr>
                      <w:color w:val="000000" w:themeColor="text1"/>
                      <w:szCs w:val="21"/>
                    </w:rPr>
                    <w:t>危险特性</w:t>
                  </w:r>
                </w:p>
              </w:tc>
              <w:tc>
                <w:tcPr>
                  <w:tcW w:w="573" w:type="dxa"/>
                  <w:vAlign w:val="center"/>
                </w:tcPr>
                <w:p>
                  <w:pPr>
                    <w:pStyle w:val="29"/>
                    <w:spacing w:line="360" w:lineRule="exact"/>
                    <w:rPr>
                      <w:color w:val="000000" w:themeColor="text1"/>
                      <w:szCs w:val="21"/>
                    </w:rPr>
                  </w:pPr>
                  <w:r>
                    <w:rPr>
                      <w:color w:val="000000" w:themeColor="text1"/>
                      <w:szCs w:val="21"/>
                    </w:rPr>
                    <w:t>形态</w:t>
                  </w:r>
                </w:p>
              </w:tc>
              <w:tc>
                <w:tcPr>
                  <w:tcW w:w="858" w:type="dxa"/>
                  <w:vAlign w:val="center"/>
                </w:tcPr>
                <w:p>
                  <w:pPr>
                    <w:pStyle w:val="29"/>
                    <w:spacing w:line="360" w:lineRule="exact"/>
                    <w:rPr>
                      <w:color w:val="000000" w:themeColor="text1"/>
                      <w:szCs w:val="21"/>
                    </w:rPr>
                  </w:pPr>
                  <w:r>
                    <w:rPr>
                      <w:color w:val="000000" w:themeColor="text1"/>
                      <w:szCs w:val="21"/>
                    </w:rPr>
                    <w:t>主要污染成分</w:t>
                  </w:r>
                </w:p>
              </w:tc>
              <w:tc>
                <w:tcPr>
                  <w:tcW w:w="716" w:type="dxa"/>
                  <w:vAlign w:val="center"/>
                </w:tcPr>
                <w:p>
                  <w:pPr>
                    <w:pStyle w:val="29"/>
                    <w:spacing w:line="360" w:lineRule="exact"/>
                    <w:rPr>
                      <w:color w:val="000000" w:themeColor="text1"/>
                      <w:szCs w:val="21"/>
                    </w:rPr>
                  </w:pPr>
                  <w:r>
                    <w:rPr>
                      <w:color w:val="000000" w:themeColor="text1"/>
                      <w:szCs w:val="21"/>
                    </w:rPr>
                    <w:t>包装形式</w:t>
                  </w:r>
                </w:p>
              </w:tc>
              <w:tc>
                <w:tcPr>
                  <w:tcW w:w="766" w:type="dxa"/>
                  <w:vAlign w:val="center"/>
                </w:tcPr>
                <w:p>
                  <w:pPr>
                    <w:pStyle w:val="29"/>
                    <w:spacing w:line="360" w:lineRule="exact"/>
                    <w:rPr>
                      <w:color w:val="000000" w:themeColor="text1"/>
                      <w:szCs w:val="21"/>
                    </w:rPr>
                  </w:pPr>
                  <w:r>
                    <w:rPr>
                      <w:rFonts w:hint="eastAsia"/>
                      <w:color w:val="000000" w:themeColor="text1"/>
                      <w:szCs w:val="21"/>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51" w:type="dxa"/>
                  <w:shd w:val="clear" w:color="auto" w:fill="auto"/>
                  <w:vAlign w:val="center"/>
                </w:tcPr>
                <w:p>
                  <w:pPr>
                    <w:pStyle w:val="29"/>
                    <w:spacing w:line="360" w:lineRule="exact"/>
                    <w:rPr>
                      <w:color w:val="000000" w:themeColor="text1"/>
                      <w:szCs w:val="21"/>
                    </w:rPr>
                  </w:pPr>
                  <w:bookmarkStart w:id="19" w:name="_Hlk135837438"/>
                  <w:r>
                    <w:rPr>
                      <w:color w:val="000000" w:themeColor="text1"/>
                      <w:szCs w:val="21"/>
                    </w:rPr>
                    <w:t>1</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HW03废药物、药品</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900-002-03</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废药物、药品（抗生素类、激素类等）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HW04农药废物</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900-003-04</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销售及使用过程中产生的失效、变质、不合格、淘汰、伪劣的农药产品，以及废弃的与农药直接接触或含有农药残余物的包装物</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敌敌畏、辛硫磷、乐斯本等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HW06废有机溶剂与含有机溶剂废物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900-401-06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Align w:val="center"/>
                </w:tcPr>
                <w:p>
                  <w:pPr>
                    <w:pStyle w:val="29"/>
                    <w:spacing w:line="360" w:lineRule="exact"/>
                    <w:rPr>
                      <w:color w:val="000000" w:themeColor="text1"/>
                      <w:szCs w:val="21"/>
                    </w:rPr>
                  </w:pPr>
                  <w:r>
                    <w:rPr>
                      <w:color w:val="000000" w:themeColor="text1"/>
                      <w:szCs w:val="21"/>
                    </w:rPr>
                    <w:t>四氯化碳、二氯甲烷、</w:t>
                  </w:r>
                  <w:bookmarkStart w:id="20" w:name="_Hlk135301732"/>
                  <w:r>
                    <w:rPr>
                      <w:color w:val="000000" w:themeColor="text1"/>
                      <w:szCs w:val="21"/>
                    </w:rPr>
                    <w:t>1，2－二氯乙烷</w:t>
                  </w:r>
                  <w:bookmarkEnd w:id="20"/>
                  <w:r>
                    <w:rPr>
                      <w:color w:val="000000" w:themeColor="text1"/>
                      <w:szCs w:val="21"/>
                    </w:rPr>
                    <w:t>、</w:t>
                  </w:r>
                  <w:bookmarkStart w:id="21" w:name="_Hlk135301754"/>
                  <w:r>
                    <w:rPr>
                      <w:color w:val="000000" w:themeColor="text1"/>
                      <w:szCs w:val="21"/>
                    </w:rPr>
                    <w:t>1，1，1－三氯乙烷、1，1，2-三氯乙烷、</w:t>
                  </w:r>
                  <w:bookmarkEnd w:id="21"/>
                  <w:bookmarkStart w:id="22" w:name="_Hlk135301854"/>
                  <w:r>
                    <w:rPr>
                      <w:color w:val="000000" w:themeColor="text1"/>
                      <w:szCs w:val="21"/>
                    </w:rPr>
                    <w:t>三氯乙烯、四氯乙烯</w:t>
                  </w:r>
                  <w:bookmarkEnd w:id="22"/>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restart"/>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900-402-06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有机溶剂，包括苯、苯乙烯、丁醇、丙酮、正已烷、甲苯、邻二甲苯、间二甲苯、对二甲苯、1，2，4-三甲苯、乙苯、乙醇、异丙醇、乙醚、丙醚、乙酸甲醋、乙酸乙醋、乙酸丁醋、丙酸丁醋、苯酚，以及在使用前混合的含有一种或多种上述溶剂的混合/调和溶剂</w:t>
                  </w:r>
                </w:p>
              </w:tc>
              <w:tc>
                <w:tcPr>
                  <w:tcW w:w="716" w:type="dxa"/>
                  <w:vAlign w:val="center"/>
                </w:tcPr>
                <w:p>
                  <w:pPr>
                    <w:pStyle w:val="29"/>
                    <w:spacing w:line="360" w:lineRule="exact"/>
                    <w:rPr>
                      <w:color w:val="000000" w:themeColor="text1"/>
                      <w:szCs w:val="21"/>
                    </w:rPr>
                  </w:pPr>
                  <w:r>
                    <w:rPr>
                      <w:color w:val="000000" w:themeColor="text1"/>
                      <w:szCs w:val="21"/>
                    </w:rPr>
                    <w:t>T，I，R</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Align w:val="center"/>
                </w:tcPr>
                <w:p>
                  <w:pPr>
                    <w:pStyle w:val="29"/>
                    <w:spacing w:line="360" w:lineRule="exact"/>
                    <w:rPr>
                      <w:color w:val="000000" w:themeColor="text1"/>
                      <w:szCs w:val="21"/>
                    </w:rPr>
                  </w:pPr>
                  <w:r>
                    <w:rPr>
                      <w:color w:val="000000" w:themeColor="text1"/>
                      <w:szCs w:val="21"/>
                    </w:rPr>
                    <w:t>苯、苯乙烯、丁醇、丙酮、正已烷、甲苯、邻二甲苯、间二甲苯、对二甲苯、1，2，4-三甲苯、乙苯、乙醇、异丙醇、乙醚、丙醚、乙酸甲醋、乙酸乙醋、乙酸丁醋、丙酸丁醋、苯酚</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900-404-06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工业生产中作为清洗剂、萃取剂、溶剂或反应介质使用后废弃的其他列入《危险化学品目录》的有机溶剂，以及在使用前混合的含有一种或多种上述溶剂的混合/调和溶剂</w:t>
                  </w:r>
                </w:p>
              </w:tc>
              <w:tc>
                <w:tcPr>
                  <w:tcW w:w="716" w:type="dxa"/>
                  <w:vAlign w:val="center"/>
                </w:tcPr>
                <w:p>
                  <w:pPr>
                    <w:pStyle w:val="29"/>
                    <w:spacing w:line="360" w:lineRule="exact"/>
                    <w:rPr>
                      <w:color w:val="000000" w:themeColor="text1"/>
                      <w:szCs w:val="21"/>
                    </w:rPr>
                  </w:pPr>
                  <w:r>
                    <w:rPr>
                      <w:color w:val="000000" w:themeColor="text1"/>
                      <w:szCs w:val="21"/>
                    </w:rPr>
                    <w:t>T，I，R</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Align w:val="center"/>
                </w:tcPr>
                <w:p>
                  <w:pPr>
                    <w:pStyle w:val="29"/>
                    <w:spacing w:line="360" w:lineRule="exact"/>
                    <w:rPr>
                      <w:color w:val="000000" w:themeColor="text1"/>
                      <w:szCs w:val="21"/>
                    </w:rPr>
                  </w:pPr>
                  <w:r>
                    <w:rPr>
                      <w:color w:val="000000" w:themeColor="text1"/>
                      <w:szCs w:val="21"/>
                    </w:rPr>
                    <w:t>正己烷、正庚烷、正溴丙烷、乙醚、石油醚等</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900-405-06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900-401-06、900-402-06、900-404-06中所列废有机溶剂再生处理过程中产生的废活性炭及其他过滤吸附介质</w:t>
                  </w:r>
                </w:p>
              </w:tc>
              <w:tc>
                <w:tcPr>
                  <w:tcW w:w="716" w:type="dxa"/>
                  <w:vAlign w:val="center"/>
                </w:tcPr>
                <w:p>
                  <w:pPr>
                    <w:pStyle w:val="29"/>
                    <w:spacing w:line="360" w:lineRule="exact"/>
                    <w:rPr>
                      <w:color w:val="000000" w:themeColor="text1"/>
                      <w:szCs w:val="21"/>
                    </w:rPr>
                  </w:pPr>
                  <w:r>
                    <w:rPr>
                      <w:color w:val="000000" w:themeColor="text1"/>
                      <w:szCs w:val="21"/>
                    </w:rPr>
                    <w:t>T，I，R</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Merge w:val="restart"/>
                  <w:vAlign w:val="center"/>
                </w:tcPr>
                <w:p>
                  <w:pPr>
                    <w:pStyle w:val="29"/>
                    <w:spacing w:line="360" w:lineRule="exact"/>
                    <w:rPr>
                      <w:color w:val="000000" w:themeColor="text1"/>
                      <w:szCs w:val="21"/>
                    </w:rPr>
                  </w:pPr>
                  <w:r>
                    <w:rPr>
                      <w:color w:val="000000" w:themeColor="text1"/>
                      <w:szCs w:val="21"/>
                    </w:rPr>
                    <w:t>900-401-06、900-402-06、900-404-06中所列成分</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7</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900-407-06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900-401-06、900-402-06、900-404-06中所列废有机溶剂分馏再生过程中产生的高沸物和釜底残渣</w:t>
                  </w:r>
                </w:p>
              </w:tc>
              <w:tc>
                <w:tcPr>
                  <w:tcW w:w="716" w:type="dxa"/>
                  <w:vAlign w:val="center"/>
                </w:tcPr>
                <w:p>
                  <w:pPr>
                    <w:pStyle w:val="29"/>
                    <w:spacing w:line="360" w:lineRule="exact"/>
                    <w:rPr>
                      <w:color w:val="000000" w:themeColor="text1"/>
                      <w:szCs w:val="21"/>
                    </w:rPr>
                  </w:pPr>
                  <w:r>
                    <w:rPr>
                      <w:color w:val="000000" w:themeColor="text1"/>
                      <w:szCs w:val="21"/>
                    </w:rPr>
                    <w:t>T，I，R</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8</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900-409-06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900-401-06、900-402-06、900-404-06中所列废有机溶剂再生处理过程中产生的废水处理浮渣和污泥（不包括废水生化处理污泥）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9</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HW08废矿物油与含矿物油废物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900-199-08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内燃机、汽车、轮船等集中拆解过程产生的废矿物油及油泥</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液态、半固态</w:t>
                  </w:r>
                </w:p>
              </w:tc>
              <w:tc>
                <w:tcPr>
                  <w:tcW w:w="858" w:type="dxa"/>
                  <w:vMerge w:val="restart"/>
                  <w:vAlign w:val="center"/>
                </w:tcPr>
                <w:p>
                  <w:pPr>
                    <w:pStyle w:val="29"/>
                    <w:spacing w:line="360" w:lineRule="exact"/>
                    <w:rPr>
                      <w:color w:val="000000" w:themeColor="text1"/>
                      <w:szCs w:val="21"/>
                    </w:rPr>
                  </w:pPr>
                  <w:r>
                    <w:rPr>
                      <w:color w:val="000000" w:themeColor="text1"/>
                      <w:szCs w:val="21"/>
                    </w:rPr>
                    <w:t>芳烃系列混合物、多环芳烃、醚类等</w:t>
                  </w: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restart"/>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10</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900-200-08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珩磨、研磨、打磨过程产生的废矿物油及油泥</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液态、半固态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11</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900-201-08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清洗金属零部件过程中产生的废弃煤油、柴油、汽油及其他由石油和煤炼制生产的溶剂油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12</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900-204-08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使用轧制油、冷却剂及酸进行金属轧制产生的废矿物油</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13</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900-209-08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金属、塑料的定型和物理机械表产生的废石蜡和润滑油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14</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900-210-08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含油废水处理中隔油、气浮、沉淀等处理过程中产生的浮油、浮渣和污泥（不包括废水生化处理污泥）</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铁桶/吨袋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15</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900-213-08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废矿物油再生净化过程中产生的沉淀残渣、过滤残渣、废过滤吸附介质</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16</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900-214-08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车辆、轮船及其它机械维修过程中产生的废发动机油、制动器油、自动变速器油、齿轮油等废润滑油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17</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900-215-08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废矿物油裂解再生过程中产生的裂解残渣</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18</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900-217-08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使用工业齿轮油进行机械设备润滑过程中产生的废润滑油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19</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900-218-08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液压设备维护、更换和拆解过程中产生的废液压油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20</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900-219-08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冷冻压缩设备维护、更换和拆解过程中产生的废冷冻机油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21</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900-220-08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变压器维护、更换和拆解过程中产生的废变压器油</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储罐</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22</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900-221-08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废燃料油及燃料油储存过程中产生的油泥</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半固态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铁桶/吨袋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23</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900-249-08</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其他生产、销售、使用过程中产生的废矿物油及沾染矿物油的废弃包装物</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24</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HW09油/水、烃/水混合物或乳化液</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900-005-09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水压机维护、更换和拆解过程中产生的油/水、烃/水混合物或乳化液</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restart"/>
                  <w:vAlign w:val="center"/>
                </w:tcPr>
                <w:p>
                  <w:pPr>
                    <w:pStyle w:val="29"/>
                    <w:spacing w:line="360" w:lineRule="exact"/>
                    <w:rPr>
                      <w:color w:val="000000" w:themeColor="text1"/>
                      <w:szCs w:val="21"/>
                    </w:rPr>
                  </w:pPr>
                  <w:r>
                    <w:rPr>
                      <w:color w:val="000000" w:themeColor="text1"/>
                      <w:szCs w:val="21"/>
                    </w:rPr>
                    <w:t>芳烃系列混合物、多环芳烃、醚类、烃、乳化液（表面活性剂、环烷酸锌、石油磺酸钠等）</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restart"/>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25</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900-006-09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使用切削油或切削液进行机械加工过程中产生的油/水、烃/水混合物或乳化液</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26</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900-007-09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其他工艺过程中产生的油/水、烃/水混合物或乳化液</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27</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HW11精（蒸）馏残渣</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900-013-11</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其他化工生产过程（不包括以生物质为主要原料的加工过程）中精馏、蒸馏和热解工艺产生的高沸点釜底残余物</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酸焦油、焦油渣等</w:t>
                  </w:r>
                </w:p>
              </w:tc>
              <w:tc>
                <w:tcPr>
                  <w:tcW w:w="716" w:type="dxa"/>
                  <w:vAlign w:val="center"/>
                </w:tcPr>
                <w:p>
                  <w:pPr>
                    <w:pStyle w:val="29"/>
                    <w:spacing w:line="360" w:lineRule="exact"/>
                    <w:rPr>
                      <w:color w:val="000000" w:themeColor="text1"/>
                      <w:szCs w:val="21"/>
                    </w:rPr>
                  </w:pPr>
                  <w:r>
                    <w:rPr>
                      <w:color w:val="000000" w:themeColor="text1"/>
                      <w:szCs w:val="21"/>
                    </w:rPr>
                    <w:t>铁桶/吨袋</w:t>
                  </w:r>
                </w:p>
              </w:tc>
              <w:tc>
                <w:tcPr>
                  <w:tcW w:w="766" w:type="dxa"/>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28</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HW12染料、涂料废物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涂料、油墨、颜料及类似产品制造</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264-009-12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使用含铬、铅的稳定剂配制油墨过程清洗产生的洗涤废液和废水处理污泥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铬及其化合物、铅及其化合物</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restart"/>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29</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264-013-12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油漆、油墨生产、配制和使用过程中产生的含</w:t>
                  </w:r>
                  <w:bookmarkStart w:id="23" w:name="OLE_LINK1"/>
                  <w:r>
                    <w:rPr>
                      <w:color w:val="000000" w:themeColor="text1"/>
                      <w:szCs w:val="21"/>
                    </w:rPr>
                    <w:t>颜料、油墨</w:t>
                  </w:r>
                  <w:bookmarkEnd w:id="23"/>
                  <w:r>
                    <w:rPr>
                      <w:color w:val="000000" w:themeColor="text1"/>
                      <w:szCs w:val="21"/>
                    </w:rPr>
                    <w:t>的废有机溶剂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Align w:val="center"/>
                </w:tcPr>
                <w:p>
                  <w:pPr>
                    <w:pStyle w:val="29"/>
                    <w:spacing w:line="360" w:lineRule="exact"/>
                    <w:rPr>
                      <w:color w:val="000000" w:themeColor="text1"/>
                      <w:szCs w:val="21"/>
                    </w:rPr>
                  </w:pPr>
                  <w:r>
                    <w:rPr>
                      <w:color w:val="000000" w:themeColor="text1"/>
                      <w:szCs w:val="21"/>
                    </w:rPr>
                    <w:t>颜料、油墨</w:t>
                  </w:r>
                </w:p>
              </w:tc>
              <w:tc>
                <w:tcPr>
                  <w:tcW w:w="716" w:type="dxa"/>
                  <w:vAlign w:val="center"/>
                </w:tcPr>
                <w:p>
                  <w:pPr>
                    <w:pStyle w:val="29"/>
                    <w:spacing w:line="360" w:lineRule="exact"/>
                    <w:rPr>
                      <w:color w:val="000000" w:themeColor="text1"/>
                      <w:szCs w:val="21"/>
                    </w:rPr>
                  </w:pPr>
                  <w:r>
                    <w:rPr>
                      <w:color w:val="000000" w:themeColor="text1"/>
                      <w:szCs w:val="21"/>
                    </w:rPr>
                    <w:t>铁桶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30</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900-250-12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使用有机溶剂、光漆进行光漆涂布、喷漆工艺过程中产生的废物</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有机溶剂等</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31</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900-251-12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使用油漆（不包括水性漆）、有机溶剂进行阻挡层涂敷过程中产生的废物</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油漆</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32</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900-252-12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使用油漆（不包括水性漆）、有机溶剂进行喷漆、上漆过程中产生的废物</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油漆</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33</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900-253-12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使用油墨和有机溶剂进行丝网印刷过程中产生的废物</w:t>
                  </w:r>
                </w:p>
              </w:tc>
              <w:tc>
                <w:tcPr>
                  <w:tcW w:w="716" w:type="dxa"/>
                  <w:vAlign w:val="center"/>
                </w:tcPr>
                <w:p>
                  <w:pPr>
                    <w:pStyle w:val="29"/>
                    <w:spacing w:line="360" w:lineRule="exact"/>
                    <w:rPr>
                      <w:color w:val="000000" w:themeColor="text1"/>
                      <w:szCs w:val="21"/>
                    </w:rPr>
                  </w:pPr>
                  <w:r>
                    <w:rPr>
                      <w:color w:val="000000" w:themeColor="text1"/>
                      <w:szCs w:val="21"/>
                    </w:rPr>
                    <w:t>T，I</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油墨、有机溶剂</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34</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900-255-12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使用各种颜料进行着色过程中产生的废颜料</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颜料</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35</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900-256-12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使用酸、碱或有机溶剂清洗容器设备过程中剥离下的废油漆、废染料、废涂料</w:t>
                  </w:r>
                </w:p>
              </w:tc>
              <w:tc>
                <w:tcPr>
                  <w:tcW w:w="716" w:type="dxa"/>
                  <w:vAlign w:val="center"/>
                </w:tcPr>
                <w:p>
                  <w:pPr>
                    <w:pStyle w:val="29"/>
                    <w:spacing w:line="360" w:lineRule="exact"/>
                    <w:rPr>
                      <w:color w:val="000000" w:themeColor="text1"/>
                      <w:szCs w:val="21"/>
                    </w:rPr>
                  </w:pPr>
                  <w:r>
                    <w:rPr>
                      <w:color w:val="000000" w:themeColor="text1"/>
                      <w:szCs w:val="21"/>
                    </w:rPr>
                    <w:t>T，I，C</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油漆、染料、涂料</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36</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900-299-12</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生产、销售及使用过程中产生的失效、变质、不合格、淘汰、伪劣的油墨、染料、颜料、油漆（不包括水性漆）</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油墨、染料、颜料、油漆</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37</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HW13有机树脂类废物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900-014-13</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废弃的粘合剂和密封剂（不包括水基型和热熔型粘合剂和密封剂）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液态、半固态</w:t>
                  </w:r>
                </w:p>
              </w:tc>
              <w:tc>
                <w:tcPr>
                  <w:tcW w:w="858" w:type="dxa"/>
                  <w:vAlign w:val="center"/>
                </w:tcPr>
                <w:p>
                  <w:pPr>
                    <w:pStyle w:val="29"/>
                    <w:spacing w:line="360" w:lineRule="exact"/>
                    <w:rPr>
                      <w:color w:val="000000" w:themeColor="text1"/>
                      <w:szCs w:val="21"/>
                    </w:rPr>
                  </w:pPr>
                  <w:r>
                    <w:rPr>
                      <w:color w:val="000000" w:themeColor="text1"/>
                      <w:szCs w:val="21"/>
                    </w:rPr>
                    <w:t>虫胶、丁基橡胶、醋酸乙烯树脂、丙烯酸树脂等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restart"/>
                  <w:vAlign w:val="center"/>
                </w:tcPr>
                <w:p>
                  <w:pPr>
                    <w:pStyle w:val="29"/>
                    <w:spacing w:line="360" w:lineRule="exact"/>
                    <w:rPr>
                      <w:color w:val="000000" w:themeColor="text1"/>
                      <w:szCs w:val="21"/>
                    </w:rPr>
                  </w:pPr>
                  <w:r>
                    <w:rPr>
                      <w:color w:val="000000" w:themeColor="text1"/>
                      <w:szCs w:val="21"/>
                    </w:rPr>
                    <w:t>有机废气（非甲烷总烃）</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38</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900-015-13</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湿法冶金、表面处理和制药行业重金属、抗生素提取、分离过程产生的废弃离子交换树脂，以及工业废水处理过程产生的废弃离子交换树脂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抗生素、重金属离子</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39</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HW16感光材料废物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印刷</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231-001-16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使用显影剂进行胶卷显影，使用定影剂进行胶卷定影，以及使用铁氰化钾、硫代硫酸盐进行影像减薄（漂白）产生的废显（定）影剂、胶片和废像纸</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硫酸、硝酸及苯、甲醇卤化银、硼酸、对苯二酚等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restart"/>
                  <w:vAlign w:val="center"/>
                </w:tcPr>
                <w:p>
                  <w:pPr>
                    <w:pStyle w:val="29"/>
                    <w:spacing w:line="360" w:lineRule="exact"/>
                    <w:rPr>
                      <w:color w:val="000000" w:themeColor="text1"/>
                      <w:szCs w:val="21"/>
                    </w:rPr>
                  </w:pPr>
                  <w:r>
                    <w:rPr>
                      <w:color w:val="000000" w:themeColor="text1"/>
                      <w:szCs w:val="21"/>
                    </w:rPr>
                    <w:t>酸性废气（HCl）</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40</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231-002-16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使用显影剂进行印刷显影、抗蚀图形显影，以及凸版印刷产生的废显（定）影剂、胶片和废像纸</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硫代硫酸钠、硫代硫酸铵、亚硫酸钠、亚硫酸氢钠等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41</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900-019-16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其他行业产生的废显（定）影剂、胶片和废像纸</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对苯二酚、硫代硫酸钠等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42</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HW17表面处理废物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金属表面处理及热处理加工</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336-063-17</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其他电锁工艺产生的废槽液、槽渣和废水处理污泥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铜、镍、银等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restart"/>
                  <w:vAlign w:val="center"/>
                </w:tcPr>
                <w:p>
                  <w:pPr>
                    <w:pStyle w:val="29"/>
                    <w:spacing w:line="360" w:lineRule="exact"/>
                    <w:rPr>
                      <w:color w:val="000000" w:themeColor="text1"/>
                      <w:szCs w:val="21"/>
                    </w:rPr>
                  </w:pPr>
                  <w:r>
                    <w:rPr>
                      <w:color w:val="000000" w:themeColor="text1"/>
                      <w:szCs w:val="21"/>
                    </w:rPr>
                    <w:t>酸性废气（HCl）</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43</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336-064-17</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络化学腐蚀、非硼酸系化成液化成废水处理污泥，铝材挤压加工模具碱洗（煲模）废水处理污泥，碳钢酸洗除锈废水处理污泥）</w:t>
                  </w:r>
                </w:p>
              </w:tc>
              <w:tc>
                <w:tcPr>
                  <w:tcW w:w="716" w:type="dxa"/>
                  <w:vAlign w:val="center"/>
                </w:tcPr>
                <w:p>
                  <w:pPr>
                    <w:pStyle w:val="29"/>
                    <w:spacing w:line="360" w:lineRule="exact"/>
                    <w:rPr>
                      <w:color w:val="000000" w:themeColor="text1"/>
                      <w:szCs w:val="21"/>
                    </w:rPr>
                  </w:pPr>
                  <w:r>
                    <w:rPr>
                      <w:color w:val="000000" w:themeColor="text1"/>
                      <w:szCs w:val="21"/>
                    </w:rPr>
                    <w:t>T/C</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酸、碱、盐类物质、金属离子等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44</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HW23含锌废物</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900-021-23</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使用氢氧化钠、锌粉进行贵金属沉淀过程中产生的废液和废水处理污泥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锌、氢氧化钠、氰化物等</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45</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HW29含汞废物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900-022-29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废弃的含汞催化剂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汞</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restart"/>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46</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900-023-29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生产、销售及使用过程中产生的废含汞荧光灯管及其他废含汞电光源，及废弃含汞电光源处理处置过程中产生的废荧光粉、废活性炭和废水处理污泥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汞</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47</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900-024-29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生产、销售及使用过程中产生的废含汞温度计、废含汞血压计、废含汞真空表、废含汞压力计、废氧化汞电池和废汞开关</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汞</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48</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900-452-29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含汞废水处理过程中产生的废树脂、废活性炭和污泥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汞</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49</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HW34废酸</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900-349-34</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生产、销售及使用过程中产生的失效、变质、不合格、淘汰、伪劣的强酸性擦洗粉、清洁剂、污迹去除剂以及其他强酸性废酸液和酸渣</w:t>
                  </w:r>
                </w:p>
              </w:tc>
              <w:tc>
                <w:tcPr>
                  <w:tcW w:w="716" w:type="dxa"/>
                  <w:vAlign w:val="center"/>
                </w:tcPr>
                <w:p>
                  <w:pPr>
                    <w:pStyle w:val="29"/>
                    <w:spacing w:line="360" w:lineRule="exact"/>
                    <w:rPr>
                      <w:color w:val="000000" w:themeColor="text1"/>
                      <w:szCs w:val="21"/>
                    </w:rPr>
                  </w:pPr>
                  <w:r>
                    <w:rPr>
                      <w:color w:val="000000" w:themeColor="text1"/>
                      <w:szCs w:val="21"/>
                    </w:rPr>
                    <w:t>C，T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盐酸、硫酸、硝酸、磷酸等</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Align w:val="center"/>
                </w:tcPr>
                <w:p>
                  <w:pPr>
                    <w:pStyle w:val="29"/>
                    <w:spacing w:line="360" w:lineRule="exact"/>
                    <w:rPr>
                      <w:color w:val="000000" w:themeColor="text1"/>
                      <w:szCs w:val="21"/>
                    </w:rPr>
                  </w:pPr>
                  <w:r>
                    <w:rPr>
                      <w:color w:val="000000" w:themeColor="text1"/>
                      <w:szCs w:val="21"/>
                    </w:rPr>
                    <w:t>酸性废气（HCl）</w:t>
                  </w:r>
                  <w:r>
                    <w:rPr>
                      <w:rFonts w:hint="eastAsia"/>
                      <w:color w:val="000000" w:themeColor="text1"/>
                      <w:szCs w:val="21"/>
                    </w:rPr>
                    <w:t>、</w:t>
                  </w: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50</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HW35废碱</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900-352-35</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使用碱进行清洗产生的废碱液</w:t>
                  </w:r>
                </w:p>
              </w:tc>
              <w:tc>
                <w:tcPr>
                  <w:tcW w:w="716" w:type="dxa"/>
                  <w:vAlign w:val="center"/>
                </w:tcPr>
                <w:p>
                  <w:pPr>
                    <w:pStyle w:val="29"/>
                    <w:spacing w:line="360" w:lineRule="exact"/>
                    <w:rPr>
                      <w:color w:val="000000" w:themeColor="text1"/>
                      <w:szCs w:val="21"/>
                    </w:rPr>
                  </w:pPr>
                  <w:r>
                    <w:rPr>
                      <w:color w:val="000000" w:themeColor="text1"/>
                      <w:szCs w:val="21"/>
                    </w:rPr>
                    <w:t>C，T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restart"/>
                  <w:vAlign w:val="center"/>
                </w:tcPr>
                <w:p>
                  <w:pPr>
                    <w:pStyle w:val="29"/>
                    <w:spacing w:line="360" w:lineRule="exact"/>
                    <w:rPr>
                      <w:color w:val="000000" w:themeColor="text1"/>
                      <w:szCs w:val="21"/>
                    </w:rPr>
                  </w:pPr>
                  <w:r>
                    <w:rPr>
                      <w:color w:val="000000" w:themeColor="text1"/>
                      <w:szCs w:val="21"/>
                    </w:rPr>
                    <w:t>氢氧化钠、碳酸钠等</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restart"/>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51</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900-354-35</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使用碱进行电锁阻挡层或抗蚀层的脱除产生的废碱液</w:t>
                  </w:r>
                </w:p>
              </w:tc>
              <w:tc>
                <w:tcPr>
                  <w:tcW w:w="716" w:type="dxa"/>
                  <w:vAlign w:val="center"/>
                </w:tcPr>
                <w:p>
                  <w:pPr>
                    <w:pStyle w:val="29"/>
                    <w:spacing w:line="360" w:lineRule="exact"/>
                    <w:rPr>
                      <w:color w:val="000000" w:themeColor="text1"/>
                      <w:szCs w:val="21"/>
                    </w:rPr>
                  </w:pPr>
                  <w:r>
                    <w:rPr>
                      <w:color w:val="000000" w:themeColor="text1"/>
                      <w:szCs w:val="21"/>
                    </w:rPr>
                    <w:t>C，T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52</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900-399-35</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生产、销售及使用过程中产生的失效、变质、不合格、淘汰、伪劣的强碱性擦洗粉、清洁剂、污迹去除剂以及其他强碱性废碱液、固态碱和碱渣</w:t>
                  </w:r>
                </w:p>
              </w:tc>
              <w:tc>
                <w:tcPr>
                  <w:tcW w:w="716" w:type="dxa"/>
                  <w:vAlign w:val="center"/>
                </w:tcPr>
                <w:p>
                  <w:pPr>
                    <w:pStyle w:val="29"/>
                    <w:spacing w:line="360" w:lineRule="exact"/>
                    <w:rPr>
                      <w:color w:val="000000" w:themeColor="text1"/>
                      <w:szCs w:val="21"/>
                    </w:rPr>
                  </w:pPr>
                  <w:r>
                    <w:rPr>
                      <w:color w:val="000000" w:themeColor="text1"/>
                      <w:szCs w:val="21"/>
                    </w:rPr>
                    <w:t>C，T</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Merge w:val="continue"/>
                  <w:vAlign w:val="center"/>
                </w:tcPr>
                <w:p>
                  <w:pPr>
                    <w:pStyle w:val="29"/>
                    <w:spacing w:line="360" w:lineRule="exact"/>
                    <w:rPr>
                      <w:color w:val="000000" w:themeColor="text1"/>
                      <w:szCs w:val="21"/>
                    </w:rPr>
                  </w:pP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53</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HW36石棉废物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900-030-36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其他生产过程中产生的石棉废物</w:t>
                  </w:r>
                </w:p>
              </w:tc>
              <w:tc>
                <w:tcPr>
                  <w:tcW w:w="716" w:type="dxa"/>
                  <w:vAlign w:val="center"/>
                </w:tcPr>
                <w:p>
                  <w:pPr>
                    <w:pStyle w:val="29"/>
                    <w:spacing w:line="360" w:lineRule="exact"/>
                    <w:rPr>
                      <w:color w:val="000000" w:themeColor="text1"/>
                      <w:szCs w:val="21"/>
                    </w:rPr>
                  </w:pPr>
                  <w:r>
                    <w:rPr>
                      <w:color w:val="000000" w:themeColor="text1"/>
                      <w:szCs w:val="21"/>
                    </w:rPr>
                    <w:t>C，T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石棉</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restart"/>
                  <w:vAlign w:val="center"/>
                </w:tcPr>
                <w:p>
                  <w:pPr>
                    <w:pStyle w:val="29"/>
                    <w:spacing w:line="360" w:lineRule="exact"/>
                    <w:rPr>
                      <w:color w:val="000000" w:themeColor="text1"/>
                      <w:szCs w:val="21"/>
                    </w:rPr>
                  </w:pP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54</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900-031-36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含有石棉的废绝缘材料、建筑废物</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石棉</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55</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900-032-36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含有隔膜、热绝缘体等石棉材料的设施保养拆换及车辆制动器衬片的更换产生的石棉废物</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石棉</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56</w:t>
                  </w:r>
                </w:p>
              </w:tc>
              <w:tc>
                <w:tcPr>
                  <w:tcW w:w="689" w:type="dxa"/>
                  <w:shd w:val="clear" w:color="auto" w:fill="auto"/>
                  <w:vAlign w:val="center"/>
                </w:tcPr>
                <w:p>
                  <w:pPr>
                    <w:pStyle w:val="29"/>
                    <w:spacing w:line="360" w:lineRule="exact"/>
                    <w:rPr>
                      <w:color w:val="000000" w:themeColor="text1"/>
                      <w:szCs w:val="21"/>
                    </w:rPr>
                  </w:pPr>
                  <w:r>
                    <w:rPr>
                      <w:color w:val="000000" w:themeColor="text1"/>
                      <w:szCs w:val="21"/>
                    </w:rPr>
                    <w:t>HW46含镍废物</w:t>
                  </w:r>
                </w:p>
              </w:tc>
              <w:tc>
                <w:tcPr>
                  <w:tcW w:w="687" w:type="dxa"/>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900-037-46</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废弃的镍催化剂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镍</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57</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HW49其他废物</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900-039-49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烟气、VOCs治理过程（不包括餐饮行业油烟治理过程）产生的废活性炭，化学原料和化学制品脱色（不包括有机合成食品添加剂脱色）、除杂、净化过程产生的废活性炭（不包括772-005-18、261-053-29、900-405-06、265-002-29、384-003-29、387-001-29类废物）</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活性炭</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restart"/>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58</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900-041-49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含有或沾染毒性、感染性危险废物的废弃包装物、容器、过滤吸附介质</w:t>
                  </w:r>
                </w:p>
              </w:tc>
              <w:tc>
                <w:tcPr>
                  <w:tcW w:w="716" w:type="dxa"/>
                  <w:vAlign w:val="center"/>
                </w:tcPr>
                <w:p>
                  <w:pPr>
                    <w:pStyle w:val="29"/>
                    <w:spacing w:line="360" w:lineRule="exact"/>
                    <w:rPr>
                      <w:color w:val="000000" w:themeColor="text1"/>
                      <w:szCs w:val="21"/>
                    </w:rPr>
                  </w:pPr>
                  <w:r>
                    <w:rPr>
                      <w:color w:val="000000" w:themeColor="text1"/>
                      <w:szCs w:val="21"/>
                    </w:rPr>
                    <w:t>T/In</w:t>
                  </w:r>
                </w:p>
              </w:tc>
              <w:tc>
                <w:tcPr>
                  <w:tcW w:w="573" w:type="dxa"/>
                  <w:vAlign w:val="center"/>
                </w:tcPr>
                <w:p>
                  <w:pPr>
                    <w:pStyle w:val="29"/>
                    <w:spacing w:line="360" w:lineRule="exact"/>
                    <w:rPr>
                      <w:color w:val="000000" w:themeColor="text1"/>
                      <w:szCs w:val="21"/>
                    </w:rPr>
                  </w:pPr>
                  <w:r>
                    <w:rPr>
                      <w:color w:val="000000" w:themeColor="text1"/>
                      <w:szCs w:val="21"/>
                    </w:rPr>
                    <w:t>固态、液态</w:t>
                  </w:r>
                </w:p>
              </w:tc>
              <w:tc>
                <w:tcPr>
                  <w:tcW w:w="858" w:type="dxa"/>
                  <w:vAlign w:val="center"/>
                </w:tcPr>
                <w:p>
                  <w:pPr>
                    <w:pStyle w:val="29"/>
                    <w:spacing w:line="360" w:lineRule="exact"/>
                    <w:rPr>
                      <w:color w:val="000000" w:themeColor="text1"/>
                      <w:szCs w:val="21"/>
                    </w:rPr>
                  </w:pPr>
                  <w:r>
                    <w:rPr>
                      <w:color w:val="000000" w:themeColor="text1"/>
                      <w:szCs w:val="21"/>
                    </w:rPr>
                    <w:t>/</w:t>
                  </w:r>
                </w:p>
              </w:tc>
              <w:tc>
                <w:tcPr>
                  <w:tcW w:w="716" w:type="dxa"/>
                  <w:vAlign w:val="center"/>
                </w:tcPr>
                <w:p>
                  <w:pPr>
                    <w:pStyle w:val="29"/>
                    <w:spacing w:line="360" w:lineRule="exact"/>
                    <w:rPr>
                      <w:color w:val="000000" w:themeColor="text1"/>
                      <w:szCs w:val="21"/>
                    </w:rPr>
                  </w:pPr>
                  <w:r>
                    <w:rPr>
                      <w:color w:val="000000" w:themeColor="text1"/>
                      <w:szCs w:val="21"/>
                    </w:rPr>
                    <w:t>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59</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900-042-49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环境事件及其处理过程中产生的沾染危险化学品、危险废物的废物</w:t>
                  </w:r>
                </w:p>
              </w:tc>
              <w:tc>
                <w:tcPr>
                  <w:tcW w:w="716" w:type="dxa"/>
                  <w:vAlign w:val="center"/>
                </w:tcPr>
                <w:p>
                  <w:pPr>
                    <w:pStyle w:val="29"/>
                    <w:spacing w:line="360" w:lineRule="exact"/>
                    <w:rPr>
                      <w:color w:val="000000" w:themeColor="text1"/>
                      <w:szCs w:val="21"/>
                    </w:rPr>
                  </w:pPr>
                  <w:r>
                    <w:rPr>
                      <w:color w:val="000000" w:themeColor="text1"/>
                      <w:szCs w:val="21"/>
                    </w:rPr>
                    <w:t>T/C/I/R/In</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60</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900-044-49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废弃的镉镍电池、荧光粉和阴极射线管</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镉、镍、锰等</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61</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900-045-49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废电路板（包括已拆除或未拆除元器件的废弃电路板），及废电路板拆解过程产生的废弃CPU、显卡、声卡、内存、含电解液的电容器含金等贵金属的连接件</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金等贵金属</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62</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900-046-49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离子交换装置（不包括饮用水、工业纯水和锅炉软化水制备装置）再生过程中产生的废水处理污泥</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盐类物质</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63</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900-047-49</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生产、研究、开发、教学、环境检测（监测）活动中，化学和生物实验室（不包含感染性医学实验室及医疗机构化验室）产生的含氰、氟重金属无机废液及无机废液处理产生的残渣、残液，含矿物油、有机溶剂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16" w:type="dxa"/>
                  <w:vAlign w:val="center"/>
                </w:tcPr>
                <w:p>
                  <w:pPr>
                    <w:pStyle w:val="29"/>
                    <w:spacing w:line="360" w:lineRule="exact"/>
                    <w:rPr>
                      <w:color w:val="000000" w:themeColor="text1"/>
                      <w:szCs w:val="21"/>
                    </w:rPr>
                  </w:pPr>
                  <w:r>
                    <w:rPr>
                      <w:color w:val="000000" w:themeColor="text1"/>
                      <w:szCs w:val="21"/>
                    </w:rPr>
                    <w:t>T/C/I/R</w:t>
                  </w:r>
                </w:p>
              </w:tc>
              <w:tc>
                <w:tcPr>
                  <w:tcW w:w="573" w:type="dxa"/>
                  <w:vAlign w:val="center"/>
                </w:tcPr>
                <w:p>
                  <w:pPr>
                    <w:pStyle w:val="29"/>
                    <w:spacing w:line="360" w:lineRule="exact"/>
                    <w:rPr>
                      <w:color w:val="000000" w:themeColor="text1"/>
                      <w:szCs w:val="21"/>
                    </w:rPr>
                  </w:pPr>
                  <w:r>
                    <w:rPr>
                      <w:color w:val="000000" w:themeColor="text1"/>
                      <w:szCs w:val="21"/>
                    </w:rPr>
                    <w:t>液态、固态</w:t>
                  </w:r>
                </w:p>
              </w:tc>
              <w:tc>
                <w:tcPr>
                  <w:tcW w:w="858" w:type="dxa"/>
                  <w:vAlign w:val="center"/>
                </w:tcPr>
                <w:p>
                  <w:pPr>
                    <w:pStyle w:val="29"/>
                    <w:spacing w:line="360" w:lineRule="exact"/>
                    <w:rPr>
                      <w:color w:val="000000" w:themeColor="text1"/>
                      <w:szCs w:val="21"/>
                    </w:rPr>
                  </w:pPr>
                  <w:r>
                    <w:rPr>
                      <w:color w:val="000000" w:themeColor="text1"/>
                      <w:szCs w:val="21"/>
                    </w:rPr>
                    <w:t>含氰、氟重金属</w:t>
                  </w:r>
                </w:p>
              </w:tc>
              <w:tc>
                <w:tcPr>
                  <w:tcW w:w="716" w:type="dxa"/>
                  <w:vAlign w:val="center"/>
                </w:tcPr>
                <w:p>
                  <w:pPr>
                    <w:pStyle w:val="29"/>
                    <w:spacing w:line="360" w:lineRule="exact"/>
                    <w:rPr>
                      <w:color w:val="000000" w:themeColor="text1"/>
                      <w:szCs w:val="21"/>
                    </w:rPr>
                  </w:pPr>
                  <w:r>
                    <w:rPr>
                      <w:color w:val="000000" w:themeColor="text1"/>
                      <w:szCs w:val="21"/>
                    </w:rPr>
                    <w:t>铁桶/塑料桶/吨袋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64</w:t>
                  </w:r>
                </w:p>
              </w:tc>
              <w:tc>
                <w:tcPr>
                  <w:tcW w:w="689" w:type="dxa"/>
                  <w:vMerge w:val="restart"/>
                  <w:shd w:val="clear" w:color="auto" w:fill="auto"/>
                  <w:vAlign w:val="center"/>
                </w:tcPr>
                <w:p>
                  <w:pPr>
                    <w:pStyle w:val="29"/>
                    <w:spacing w:line="360" w:lineRule="exact"/>
                    <w:rPr>
                      <w:color w:val="000000" w:themeColor="text1"/>
                      <w:szCs w:val="21"/>
                    </w:rPr>
                  </w:pPr>
                  <w:r>
                    <w:rPr>
                      <w:color w:val="000000" w:themeColor="text1"/>
                      <w:szCs w:val="21"/>
                    </w:rPr>
                    <w:t>HW50废催化剂</w:t>
                  </w:r>
                </w:p>
              </w:tc>
              <w:tc>
                <w:tcPr>
                  <w:tcW w:w="687" w:type="dxa"/>
                  <w:vMerge w:val="restart"/>
                  <w:shd w:val="clear" w:color="auto" w:fill="auto"/>
                  <w:vAlign w:val="center"/>
                </w:tcPr>
                <w:p>
                  <w:pPr>
                    <w:pStyle w:val="29"/>
                    <w:spacing w:line="360" w:lineRule="exact"/>
                    <w:rPr>
                      <w:color w:val="000000" w:themeColor="text1"/>
                      <w:szCs w:val="21"/>
                    </w:rPr>
                  </w:pPr>
                  <w:r>
                    <w:rPr>
                      <w:color w:val="000000" w:themeColor="text1"/>
                      <w:szCs w:val="21"/>
                    </w:rPr>
                    <w:t>非特定行业</w:t>
                  </w: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900-048-50</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废液体催化剂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液态</w:t>
                  </w:r>
                </w:p>
              </w:tc>
              <w:tc>
                <w:tcPr>
                  <w:tcW w:w="858" w:type="dxa"/>
                  <w:vAlign w:val="center"/>
                </w:tcPr>
                <w:p>
                  <w:pPr>
                    <w:pStyle w:val="29"/>
                    <w:spacing w:line="360" w:lineRule="exact"/>
                    <w:rPr>
                      <w:color w:val="000000" w:themeColor="text1"/>
                      <w:szCs w:val="21"/>
                    </w:rPr>
                  </w:pPr>
                  <w:r>
                    <w:rPr>
                      <w:color w:val="000000" w:themeColor="text1"/>
                      <w:szCs w:val="21"/>
                    </w:rPr>
                    <w:t>盐类等</w:t>
                  </w:r>
                </w:p>
              </w:tc>
              <w:tc>
                <w:tcPr>
                  <w:tcW w:w="716" w:type="dxa"/>
                  <w:vAlign w:val="center"/>
                </w:tcPr>
                <w:p>
                  <w:pPr>
                    <w:pStyle w:val="29"/>
                    <w:spacing w:line="360" w:lineRule="exact"/>
                    <w:rPr>
                      <w:color w:val="000000" w:themeColor="text1"/>
                      <w:szCs w:val="21"/>
                    </w:rPr>
                  </w:pPr>
                  <w:r>
                    <w:rPr>
                      <w:color w:val="000000" w:themeColor="text1"/>
                      <w:szCs w:val="21"/>
                    </w:rPr>
                    <w:t>塑料桶</w:t>
                  </w:r>
                </w:p>
              </w:tc>
              <w:tc>
                <w:tcPr>
                  <w:tcW w:w="766" w:type="dxa"/>
                  <w:vMerge w:val="restart"/>
                  <w:vAlign w:val="center"/>
                </w:tcPr>
                <w:p>
                  <w:pPr>
                    <w:pStyle w:val="29"/>
                    <w:spacing w:line="360" w:lineRule="exact"/>
                    <w:rPr>
                      <w:color w:val="000000" w:themeColor="text1"/>
                      <w:szCs w:val="21"/>
                    </w:rPr>
                  </w:pPr>
                  <w:r>
                    <w:rPr>
                      <w:color w:val="000000" w:themeColor="text1"/>
                      <w:szCs w:val="21"/>
                    </w:rPr>
                    <w:t>恶臭</w:t>
                  </w:r>
                  <w:r>
                    <w:rPr>
                      <w:rFonts w:hint="eastAsia"/>
                      <w:color w:val="000000" w:themeColor="text1"/>
                      <w:szCs w:val="21"/>
                    </w:rPr>
                    <w:t>、</w:t>
                  </w:r>
                  <w:r>
                    <w:rPr>
                      <w:color w:val="000000" w:themeColor="text1"/>
                      <w:szCs w:val="21"/>
                    </w:rPr>
                    <w:t>渗滤液</w:t>
                  </w:r>
                  <w:r>
                    <w:rPr>
                      <w:rFonts w:hint="eastAsia"/>
                      <w:color w:val="000000" w:themeColor="text1"/>
                      <w:szCs w:val="21"/>
                    </w:rPr>
                    <w:t>、</w:t>
                  </w:r>
                  <w:r>
                    <w:rPr>
                      <w:color w:val="000000" w:themeColor="text1"/>
                      <w:szCs w:val="21"/>
                    </w:rPr>
                    <w:t>废包装物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pPr>
                    <w:pStyle w:val="29"/>
                    <w:spacing w:line="360" w:lineRule="exact"/>
                    <w:rPr>
                      <w:color w:val="000000" w:themeColor="text1"/>
                      <w:szCs w:val="21"/>
                    </w:rPr>
                  </w:pPr>
                  <w:r>
                    <w:rPr>
                      <w:color w:val="000000" w:themeColor="text1"/>
                      <w:szCs w:val="21"/>
                    </w:rPr>
                    <w:t>65</w:t>
                  </w:r>
                </w:p>
              </w:tc>
              <w:tc>
                <w:tcPr>
                  <w:tcW w:w="689" w:type="dxa"/>
                  <w:vMerge w:val="continue"/>
                  <w:shd w:val="clear" w:color="auto" w:fill="auto"/>
                  <w:vAlign w:val="center"/>
                </w:tcPr>
                <w:p>
                  <w:pPr>
                    <w:pStyle w:val="29"/>
                    <w:spacing w:line="360" w:lineRule="exact"/>
                    <w:rPr>
                      <w:color w:val="000000" w:themeColor="text1"/>
                      <w:szCs w:val="21"/>
                    </w:rPr>
                  </w:pPr>
                </w:p>
              </w:tc>
              <w:tc>
                <w:tcPr>
                  <w:tcW w:w="687" w:type="dxa"/>
                  <w:vMerge w:val="continue"/>
                  <w:shd w:val="clear" w:color="auto" w:fill="auto"/>
                  <w:vAlign w:val="center"/>
                </w:tcPr>
                <w:p>
                  <w:pPr>
                    <w:pStyle w:val="29"/>
                    <w:spacing w:line="360" w:lineRule="exact"/>
                    <w:rPr>
                      <w:color w:val="000000" w:themeColor="text1"/>
                      <w:szCs w:val="21"/>
                    </w:rPr>
                  </w:pPr>
                </w:p>
              </w:tc>
              <w:tc>
                <w:tcPr>
                  <w:tcW w:w="751" w:type="dxa"/>
                  <w:shd w:val="clear" w:color="auto" w:fill="auto"/>
                  <w:vAlign w:val="center"/>
                </w:tcPr>
                <w:p>
                  <w:pPr>
                    <w:pStyle w:val="29"/>
                    <w:spacing w:line="360" w:lineRule="exact"/>
                    <w:rPr>
                      <w:color w:val="000000" w:themeColor="text1"/>
                      <w:szCs w:val="21"/>
                    </w:rPr>
                  </w:pPr>
                  <w:r>
                    <w:rPr>
                      <w:color w:val="000000" w:themeColor="text1"/>
                      <w:szCs w:val="21"/>
                    </w:rPr>
                    <w:t>900-049-50</w:t>
                  </w:r>
                </w:p>
              </w:tc>
              <w:tc>
                <w:tcPr>
                  <w:tcW w:w="2398" w:type="dxa"/>
                  <w:shd w:val="clear" w:color="auto" w:fill="auto"/>
                  <w:vAlign w:val="center"/>
                </w:tcPr>
                <w:p>
                  <w:pPr>
                    <w:pStyle w:val="29"/>
                    <w:spacing w:line="360" w:lineRule="exact"/>
                    <w:ind w:firstLine="105" w:firstLineChars="50"/>
                    <w:jc w:val="both"/>
                    <w:rPr>
                      <w:color w:val="000000" w:themeColor="text1"/>
                      <w:szCs w:val="21"/>
                    </w:rPr>
                  </w:pPr>
                  <w:r>
                    <w:rPr>
                      <w:color w:val="000000" w:themeColor="text1"/>
                      <w:szCs w:val="21"/>
                    </w:rPr>
                    <w:t>机动车和非道路移动机械尾气净化废催化剂</w:t>
                  </w:r>
                </w:p>
              </w:tc>
              <w:tc>
                <w:tcPr>
                  <w:tcW w:w="716" w:type="dxa"/>
                  <w:vAlign w:val="center"/>
                </w:tcPr>
                <w:p>
                  <w:pPr>
                    <w:pStyle w:val="29"/>
                    <w:spacing w:line="360" w:lineRule="exact"/>
                    <w:rPr>
                      <w:color w:val="000000" w:themeColor="text1"/>
                      <w:szCs w:val="21"/>
                    </w:rPr>
                  </w:pPr>
                  <w:r>
                    <w:rPr>
                      <w:color w:val="000000" w:themeColor="text1"/>
                      <w:szCs w:val="21"/>
                    </w:rPr>
                    <w:t>T</w:t>
                  </w:r>
                </w:p>
              </w:tc>
              <w:tc>
                <w:tcPr>
                  <w:tcW w:w="573" w:type="dxa"/>
                  <w:vAlign w:val="center"/>
                </w:tcPr>
                <w:p>
                  <w:pPr>
                    <w:pStyle w:val="29"/>
                    <w:spacing w:line="360" w:lineRule="exact"/>
                    <w:rPr>
                      <w:color w:val="000000" w:themeColor="text1"/>
                      <w:szCs w:val="21"/>
                    </w:rPr>
                  </w:pPr>
                  <w:r>
                    <w:rPr>
                      <w:color w:val="000000" w:themeColor="text1"/>
                      <w:szCs w:val="21"/>
                    </w:rPr>
                    <w:t>固态</w:t>
                  </w:r>
                </w:p>
              </w:tc>
              <w:tc>
                <w:tcPr>
                  <w:tcW w:w="858" w:type="dxa"/>
                  <w:vAlign w:val="center"/>
                </w:tcPr>
                <w:p>
                  <w:pPr>
                    <w:pStyle w:val="29"/>
                    <w:spacing w:line="360" w:lineRule="exact"/>
                    <w:rPr>
                      <w:color w:val="000000" w:themeColor="text1"/>
                      <w:szCs w:val="21"/>
                    </w:rPr>
                  </w:pPr>
                  <w:r>
                    <w:rPr>
                      <w:color w:val="000000" w:themeColor="text1"/>
                      <w:szCs w:val="21"/>
                    </w:rPr>
                    <w:t>铂、锗、钯等贵金属</w:t>
                  </w:r>
                </w:p>
              </w:tc>
              <w:tc>
                <w:tcPr>
                  <w:tcW w:w="716" w:type="dxa"/>
                  <w:vAlign w:val="center"/>
                </w:tcPr>
                <w:p>
                  <w:pPr>
                    <w:pStyle w:val="29"/>
                    <w:spacing w:line="360" w:lineRule="exact"/>
                    <w:rPr>
                      <w:color w:val="000000" w:themeColor="text1"/>
                      <w:szCs w:val="21"/>
                    </w:rPr>
                  </w:pPr>
                  <w:r>
                    <w:rPr>
                      <w:color w:val="000000" w:themeColor="text1"/>
                      <w:szCs w:val="21"/>
                    </w:rPr>
                    <w:t>吨袋</w:t>
                  </w:r>
                </w:p>
              </w:tc>
              <w:tc>
                <w:tcPr>
                  <w:tcW w:w="76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40" w:type="dxa"/>
                  <w:gridSpan w:val="2"/>
                  <w:shd w:val="clear" w:color="auto" w:fill="auto"/>
                  <w:vAlign w:val="center"/>
                </w:tcPr>
                <w:p>
                  <w:pPr>
                    <w:pStyle w:val="29"/>
                    <w:spacing w:line="360" w:lineRule="exact"/>
                    <w:rPr>
                      <w:color w:val="000000" w:themeColor="text1"/>
                      <w:szCs w:val="21"/>
                    </w:rPr>
                  </w:pPr>
                  <w:r>
                    <w:rPr>
                      <w:color w:val="000000" w:themeColor="text1"/>
                      <w:szCs w:val="21"/>
                    </w:rPr>
                    <w:t>合计</w:t>
                  </w:r>
                </w:p>
              </w:tc>
              <w:tc>
                <w:tcPr>
                  <w:tcW w:w="7465" w:type="dxa"/>
                  <w:gridSpan w:val="8"/>
                  <w:shd w:val="clear" w:color="auto" w:fill="auto"/>
                  <w:vAlign w:val="center"/>
                </w:tcPr>
                <w:p>
                  <w:pPr>
                    <w:pStyle w:val="29"/>
                    <w:spacing w:line="360" w:lineRule="exact"/>
                    <w:ind w:firstLine="105" w:firstLineChars="50"/>
                    <w:rPr>
                      <w:color w:val="000000" w:themeColor="text1"/>
                      <w:szCs w:val="21"/>
                    </w:rPr>
                  </w:pPr>
                  <w:r>
                    <w:rPr>
                      <w:color w:val="000000" w:themeColor="text1"/>
                      <w:szCs w:val="21"/>
                    </w:rPr>
                    <w:t>共18大类，65小类</w:t>
                  </w:r>
                </w:p>
              </w:tc>
            </w:tr>
            <w:bookmarkEnd w:id="18"/>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（2）危险废物属性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国家危险废物名录》（2021版）及项目收集的危险废物类别可知，该项目东川网点涉及的危险废物危险特性包括毒性（Toxicity，T）、腐蚀性（Corrosivity，C）、易燃性（Ignitability，I）、反应性（Reactivity，R）、感染性（Infectivity，In）；其中感染性废物仅包含（900-041-49，含有或沾染毒性、感染性危险废物的废弃包装物、容器、过滤吸附介质；900-042-49，环境事件及其处理过程中产生的沾染危险化学品、危险废物的废物）2项，收集前已经危险废物产生单位进行消毒处理；对照《危险化学品目录》（2022调整版）及《危险废物鉴别标准 毒性物质含量鉴别》（GB5085.6-2007）中附录A剧毒物质名录，该项目东川网点涉及的危险废物成分不含剧毒化学品。</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2.6.3 收集转运量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根据实施方案，该项目东川网点申请收集规模为</w:t>
            </w:r>
            <w:r>
              <w:rPr>
                <w:rFonts w:hint="eastAsia"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00吨/年，各类危险废物最大暂存量为374.99t，单一类别最大贮存量98.33t；满足各类危险废物最大暂存量不超过500t，单一类别最大贮存量不超过100t的要求，该项目东川网点危险废物收集贮存转运量如下表所示。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表2.6.3-1 东川网点危险废物厂区内拟最大贮存量及年收集量一览表</w:t>
            </w:r>
          </w:p>
          <w:tbl>
            <w:tblPr>
              <w:tblStyle w:val="18"/>
              <w:tblW w:w="5000" w:type="pct"/>
              <w:jc w:val="center"/>
              <w:tblLayout w:type="fixed"/>
              <w:tblCellMar>
                <w:top w:w="0" w:type="dxa"/>
                <w:left w:w="108" w:type="dxa"/>
                <w:bottom w:w="0" w:type="dxa"/>
                <w:right w:w="108" w:type="dxa"/>
              </w:tblCellMar>
            </w:tblPr>
            <w:tblGrid>
              <w:gridCol w:w="679"/>
              <w:gridCol w:w="3605"/>
              <w:gridCol w:w="994"/>
              <w:gridCol w:w="1137"/>
              <w:gridCol w:w="939"/>
              <w:gridCol w:w="1261"/>
            </w:tblGrid>
            <w:tr>
              <w:tblPrEx>
                <w:tblCellMar>
                  <w:top w:w="0" w:type="dxa"/>
                  <w:left w:w="108" w:type="dxa"/>
                  <w:bottom w:w="0" w:type="dxa"/>
                  <w:right w:w="108" w:type="dxa"/>
                </w:tblCellMar>
              </w:tblPrEx>
              <w:trPr>
                <w:jc w:val="center"/>
              </w:trPr>
              <w:tc>
                <w:tcPr>
                  <w:tcW w:w="67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序号</w:t>
                  </w:r>
                </w:p>
              </w:tc>
              <w:tc>
                <w:tcPr>
                  <w:tcW w:w="3597"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废物类别</w:t>
                  </w:r>
                </w:p>
              </w:tc>
              <w:tc>
                <w:tcPr>
                  <w:tcW w:w="99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最大贮存量（t）</w:t>
                  </w:r>
                </w:p>
              </w:tc>
              <w:tc>
                <w:tcPr>
                  <w:tcW w:w="1134"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转运次数（次/年）</w:t>
                  </w:r>
                </w:p>
              </w:tc>
              <w:tc>
                <w:tcPr>
                  <w:tcW w:w="93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年收集量（t）</w:t>
                  </w:r>
                </w:p>
              </w:tc>
              <w:tc>
                <w:tcPr>
                  <w:tcW w:w="125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贮存位置</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w:t>
                  </w:r>
                </w:p>
              </w:tc>
              <w:tc>
                <w:tcPr>
                  <w:tcW w:w="3597"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HW03废药物、药品</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4.17</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50</w:t>
                  </w:r>
                </w:p>
              </w:tc>
              <w:tc>
                <w:tcPr>
                  <w:tcW w:w="1258" w:type="dxa"/>
                  <w:tcBorders>
                    <w:top w:val="nil"/>
                    <w:left w:val="single" w:color="auto" w:sz="8" w:space="0"/>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HW04农药废物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3.33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40</w:t>
                  </w:r>
                </w:p>
              </w:tc>
              <w:tc>
                <w:tcPr>
                  <w:tcW w:w="1258" w:type="dxa"/>
                  <w:tcBorders>
                    <w:top w:val="single" w:color="auto" w:sz="4" w:space="0"/>
                    <w:left w:val="single" w:color="auto" w:sz="8" w:space="0"/>
                    <w:bottom w:val="single" w:color="000000" w:sz="8" w:space="0"/>
                    <w:right w:val="single" w:color="auto" w:sz="8" w:space="0"/>
                  </w:tcBorders>
                  <w:vAlign w:val="center"/>
                </w:tcPr>
                <w:p>
                  <w:pPr>
                    <w:pStyle w:val="29"/>
                    <w:spacing w:line="360" w:lineRule="exact"/>
                    <w:rPr>
                      <w:color w:val="000000" w:themeColor="text1"/>
                      <w:szCs w:val="21"/>
                    </w:rPr>
                  </w:pPr>
                  <w:r>
                    <w:rPr>
                      <w:color w:val="000000" w:themeColor="text1"/>
                      <w:szCs w:val="21"/>
                    </w:rPr>
                    <w:t>3#贮存区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HW06废有机溶剂与含有机溶剂废物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25.83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310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4</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HW08废矿物油与含矿物油废物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98.33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1180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5</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HW09油/水、烃/水混合物或乳化液</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17.50</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210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HW11精（蒸）馏残渣</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5.83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70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7</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HW12染料、涂料废物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50.00</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600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8</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HW13有机树脂类废物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26.67</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320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9</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HW16感光材料废物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15.83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190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4#贮存区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10</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HW17表面处理废物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14.17</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170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11</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HW23含锌废物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8.33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100</w:t>
                  </w:r>
                </w:p>
              </w:tc>
              <w:tc>
                <w:tcPr>
                  <w:tcW w:w="1258" w:type="dxa"/>
                  <w:tcBorders>
                    <w:top w:val="nil"/>
                    <w:left w:val="single" w:color="auto" w:sz="8" w:space="0"/>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7#贮存区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HW29含汞废物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17.5</w:t>
                  </w:r>
                  <w:r>
                    <w:rPr>
                      <w:rFonts w:hint="eastAsia"/>
                      <w:color w:val="000000" w:themeColor="text1"/>
                      <w:szCs w:val="21"/>
                    </w:rPr>
                    <w:t>0</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210</w:t>
                  </w:r>
                </w:p>
              </w:tc>
              <w:tc>
                <w:tcPr>
                  <w:tcW w:w="1258" w:type="dxa"/>
                  <w:tcBorders>
                    <w:top w:val="single" w:color="auto" w:sz="4" w:space="0"/>
                    <w:left w:val="single" w:color="auto" w:sz="8" w:space="0"/>
                    <w:bottom w:val="single" w:color="000000" w:sz="8" w:space="0"/>
                    <w:right w:val="single" w:color="auto" w:sz="8" w:space="0"/>
                  </w:tcBorders>
                  <w:vAlign w:val="center"/>
                </w:tcPr>
                <w:p>
                  <w:pPr>
                    <w:pStyle w:val="29"/>
                    <w:spacing w:line="360" w:lineRule="exact"/>
                    <w:rPr>
                      <w:color w:val="000000" w:themeColor="text1"/>
                      <w:szCs w:val="21"/>
                    </w:rPr>
                  </w:pPr>
                  <w:r>
                    <w:rPr>
                      <w:color w:val="000000" w:themeColor="text1"/>
                      <w:szCs w:val="21"/>
                    </w:rPr>
                    <w:t>4#贮存区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13</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HW34废酸</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16.67</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200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4#贮存区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14</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HW35废碱</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20.00</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240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15</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HW36石棉废物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13.33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160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8#贮存区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16</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HW46含镍废物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6.67</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80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7#贮存区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17</w:t>
                  </w:r>
                </w:p>
              </w:tc>
              <w:tc>
                <w:tcPr>
                  <w:tcW w:w="359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HW49其他废物</w:t>
                  </w:r>
                </w:p>
              </w:tc>
              <w:tc>
                <w:tcPr>
                  <w:tcW w:w="992"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25.83</w:t>
                  </w:r>
                </w:p>
              </w:tc>
              <w:tc>
                <w:tcPr>
                  <w:tcW w:w="1134"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310</w:t>
                  </w:r>
                </w:p>
              </w:tc>
              <w:tc>
                <w:tcPr>
                  <w:tcW w:w="1258" w:type="dxa"/>
                  <w:tcBorders>
                    <w:top w:val="nil"/>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5#贮存区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18</w:t>
                  </w:r>
                </w:p>
              </w:tc>
              <w:tc>
                <w:tcPr>
                  <w:tcW w:w="3597" w:type="dxa"/>
                  <w:tcBorders>
                    <w:top w:val="nil"/>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HW50废催化剂</w:t>
                  </w:r>
                </w:p>
              </w:tc>
              <w:tc>
                <w:tcPr>
                  <w:tcW w:w="992" w:type="dxa"/>
                  <w:tcBorders>
                    <w:top w:val="nil"/>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5</w:t>
                  </w:r>
                  <w:r>
                    <w:rPr>
                      <w:rFonts w:hint="eastAsia"/>
                      <w:color w:val="000000" w:themeColor="text1"/>
                      <w:szCs w:val="21"/>
                    </w:rPr>
                    <w:t>.00</w:t>
                  </w:r>
                </w:p>
              </w:tc>
              <w:tc>
                <w:tcPr>
                  <w:tcW w:w="1134" w:type="dxa"/>
                  <w:tcBorders>
                    <w:top w:val="nil"/>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12</w:t>
                  </w:r>
                </w:p>
              </w:tc>
              <w:tc>
                <w:tcPr>
                  <w:tcW w:w="937" w:type="dxa"/>
                  <w:tcBorders>
                    <w:top w:val="nil"/>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60</w:t>
                  </w:r>
                </w:p>
              </w:tc>
              <w:tc>
                <w:tcPr>
                  <w:tcW w:w="1258" w:type="dxa"/>
                  <w:tcBorders>
                    <w:top w:val="nil"/>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6#贮存区</w:t>
                  </w:r>
                </w:p>
              </w:tc>
            </w:tr>
            <w:tr>
              <w:tblPrEx>
                <w:tblCellMar>
                  <w:top w:w="0" w:type="dxa"/>
                  <w:left w:w="108" w:type="dxa"/>
                  <w:bottom w:w="0" w:type="dxa"/>
                  <w:right w:w="108" w:type="dxa"/>
                </w:tblCellMar>
              </w:tblPrEx>
              <w:trPr>
                <w:jc w:val="center"/>
              </w:trPr>
              <w:tc>
                <w:tcPr>
                  <w:tcW w:w="4274"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合计</w:t>
                  </w:r>
                </w:p>
              </w:tc>
              <w:tc>
                <w:tcPr>
                  <w:tcW w:w="992"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374.99</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937"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rFonts w:hint="eastAsia"/>
                      <w:color w:val="000000" w:themeColor="text1"/>
                      <w:szCs w:val="21"/>
                    </w:rPr>
                    <w:t>45</w:t>
                  </w:r>
                  <w:r>
                    <w:rPr>
                      <w:color w:val="000000" w:themeColor="text1"/>
                      <w:szCs w:val="21"/>
                    </w:rPr>
                    <w:t>00</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2.6.4 最大贮存量确定的合理性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根据项目特点，本次建设项目拟对</w:t>
            </w:r>
            <w:r>
              <w:rPr>
                <w:rFonts w:ascii="Times New Roman" w:hAnsi="Times New Roman" w:cs="Times New Roman"/>
                <w:color w:val="000000" w:themeColor="text1"/>
                <w:sz w:val="24"/>
                <w:szCs w:val="24"/>
              </w:rPr>
              <w:t>服务区域内小微企业</w:t>
            </w:r>
            <w:r>
              <w:rPr>
                <w:rFonts w:hint="eastAsia" w:ascii="Times New Roman" w:hAnsi="Times New Roman" w:cs="Times New Roman"/>
                <w:color w:val="000000" w:themeColor="text1"/>
                <w:sz w:val="24"/>
                <w:szCs w:val="24"/>
              </w:rPr>
              <w:t>产生的</w:t>
            </w:r>
            <w:r>
              <w:rPr>
                <w:rFonts w:ascii="Times New Roman" w:hAnsi="Times New Roman" w:cs="Times New Roman"/>
                <w:color w:val="000000" w:themeColor="text1"/>
                <w:sz w:val="24"/>
                <w:szCs w:val="24"/>
              </w:rPr>
              <w:t>18大类（HW03、HW04、HW06、HW08、HW09、HW11、HW12、HW13、HW16、HW17、HW23、HW29、HW34、HW35、HW36、HW46、HW49、HW50）中65小类</w:t>
            </w:r>
            <w:r>
              <w:rPr>
                <w:rFonts w:hint="eastAsia" w:ascii="Times New Roman" w:hAnsi="Times New Roman" w:cs="Times New Roman"/>
                <w:color w:val="000000" w:themeColor="text1"/>
                <w:sz w:val="24"/>
                <w:szCs w:val="24"/>
              </w:rPr>
              <w:t>危险废物</w:t>
            </w:r>
            <w:r>
              <w:rPr>
                <w:rFonts w:ascii="Times New Roman" w:hAnsi="Times New Roman" w:cs="Times New Roman"/>
                <w:color w:val="000000" w:themeColor="text1"/>
                <w:sz w:val="24"/>
                <w:szCs w:val="24"/>
              </w:rPr>
              <w:t>进行收集、贮存；</w:t>
            </w:r>
            <w:r>
              <w:rPr>
                <w:rFonts w:hint="eastAsia" w:ascii="Times New Roman" w:hAnsi="Times New Roman" w:cs="Times New Roman"/>
                <w:color w:val="000000" w:themeColor="text1"/>
                <w:sz w:val="24"/>
                <w:szCs w:val="24"/>
              </w:rPr>
              <w:t>现有原料库主要对2大类（</w:t>
            </w:r>
            <w:r>
              <w:rPr>
                <w:rFonts w:ascii="Times New Roman" w:hAnsi="Times New Roman" w:cs="Times New Roman"/>
                <w:color w:val="000000" w:themeColor="text1"/>
                <w:sz w:val="24"/>
                <w:szCs w:val="24"/>
              </w:rPr>
              <w:t>HW48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HW31</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11个小类铅渣、铋渣</w:t>
            </w:r>
            <w:r>
              <w:rPr>
                <w:rFonts w:hint="eastAsia" w:ascii="Times New Roman" w:hAnsi="Times New Roman" w:cs="Times New Roman"/>
                <w:color w:val="000000" w:themeColor="text1"/>
                <w:sz w:val="24"/>
                <w:szCs w:val="24"/>
              </w:rPr>
              <w:t>进行贮存，两者收集对象不存在交叉。</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实施方案可知，该项目危险废物的储存形式主要有桶装及袋装；危险废物储存按2层架构叠放，实际有效储存高度按2m计，根据各危险废物的密度可知，每平米实际堆存面积（2m³）危险废物的堆存量应大于1t，项目实际可利用面积约为仓储面积的85%，则项目各类危险废物贮存区贮存需求面积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表2.6.4-1  项目各类危险废物贮存区贮存需求面积情况表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799"/>
              <w:gridCol w:w="1134"/>
              <w:gridCol w:w="1134"/>
              <w:gridCol w:w="99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pStyle w:val="29"/>
                    <w:spacing w:line="360" w:lineRule="exact"/>
                    <w:rPr>
                      <w:color w:val="000000" w:themeColor="text1"/>
                      <w:kern w:val="0"/>
                      <w:szCs w:val="21"/>
                    </w:rPr>
                  </w:pPr>
                  <w:r>
                    <w:rPr>
                      <w:color w:val="000000" w:themeColor="text1"/>
                      <w:kern w:val="0"/>
                      <w:szCs w:val="21"/>
                    </w:rPr>
                    <w:t>贮存区域</w:t>
                  </w:r>
                </w:p>
              </w:tc>
              <w:tc>
                <w:tcPr>
                  <w:tcW w:w="3799" w:type="dxa"/>
                  <w:vAlign w:val="center"/>
                </w:tcPr>
                <w:p>
                  <w:pPr>
                    <w:pStyle w:val="29"/>
                    <w:spacing w:line="360" w:lineRule="exact"/>
                    <w:rPr>
                      <w:color w:val="000000" w:themeColor="text1"/>
                      <w:kern w:val="0"/>
                      <w:szCs w:val="21"/>
                    </w:rPr>
                  </w:pPr>
                  <w:r>
                    <w:rPr>
                      <w:color w:val="000000" w:themeColor="text1"/>
                      <w:kern w:val="0"/>
                      <w:szCs w:val="21"/>
                    </w:rPr>
                    <w:t>危险废物类别</w:t>
                  </w:r>
                </w:p>
              </w:tc>
              <w:tc>
                <w:tcPr>
                  <w:tcW w:w="1134" w:type="dxa"/>
                  <w:vAlign w:val="center"/>
                </w:tcPr>
                <w:p>
                  <w:pPr>
                    <w:pStyle w:val="29"/>
                    <w:spacing w:line="360" w:lineRule="exact"/>
                    <w:rPr>
                      <w:color w:val="000000" w:themeColor="text1"/>
                      <w:kern w:val="0"/>
                      <w:szCs w:val="21"/>
                    </w:rPr>
                  </w:pPr>
                  <w:r>
                    <w:rPr>
                      <w:color w:val="000000" w:themeColor="text1"/>
                      <w:kern w:val="0"/>
                      <w:szCs w:val="21"/>
                    </w:rPr>
                    <w:t>最大贮存量（t）</w:t>
                  </w:r>
                </w:p>
              </w:tc>
              <w:tc>
                <w:tcPr>
                  <w:tcW w:w="1134" w:type="dxa"/>
                  <w:shd w:val="clear" w:color="auto" w:fill="auto"/>
                  <w:vAlign w:val="center"/>
                </w:tcPr>
                <w:p>
                  <w:pPr>
                    <w:pStyle w:val="29"/>
                    <w:spacing w:line="360" w:lineRule="exact"/>
                    <w:rPr>
                      <w:color w:val="000000" w:themeColor="text1"/>
                      <w:kern w:val="0"/>
                      <w:szCs w:val="21"/>
                    </w:rPr>
                  </w:pPr>
                  <w:r>
                    <w:rPr>
                      <w:color w:val="000000" w:themeColor="text1"/>
                      <w:kern w:val="0"/>
                      <w:szCs w:val="21"/>
                    </w:rPr>
                    <w:t>贮存单元面积（m²）</w:t>
                  </w:r>
                </w:p>
              </w:tc>
              <w:tc>
                <w:tcPr>
                  <w:tcW w:w="992" w:type="dxa"/>
                  <w:shd w:val="clear" w:color="auto" w:fill="auto"/>
                  <w:vAlign w:val="center"/>
                </w:tcPr>
                <w:p>
                  <w:pPr>
                    <w:pStyle w:val="29"/>
                    <w:spacing w:line="360" w:lineRule="exact"/>
                    <w:rPr>
                      <w:color w:val="000000" w:themeColor="text1"/>
                      <w:kern w:val="0"/>
                      <w:szCs w:val="21"/>
                    </w:rPr>
                  </w:pPr>
                  <w:r>
                    <w:rPr>
                      <w:color w:val="000000" w:themeColor="text1"/>
                      <w:kern w:val="0"/>
                      <w:szCs w:val="21"/>
                    </w:rPr>
                    <w:t>可利用面积（m²）</w:t>
                  </w:r>
                </w:p>
              </w:tc>
              <w:tc>
                <w:tcPr>
                  <w:tcW w:w="783" w:type="dxa"/>
                  <w:vAlign w:val="center"/>
                </w:tcPr>
                <w:p>
                  <w:pPr>
                    <w:pStyle w:val="29"/>
                    <w:spacing w:line="360" w:lineRule="exact"/>
                    <w:rPr>
                      <w:color w:val="000000" w:themeColor="text1"/>
                      <w:kern w:val="0"/>
                      <w:szCs w:val="21"/>
                    </w:rPr>
                  </w:pPr>
                  <w:r>
                    <w:rPr>
                      <w:color w:val="000000" w:themeColor="text1"/>
                      <w:kern w:val="0"/>
                      <w:szCs w:val="21"/>
                    </w:rPr>
                    <w:t>是否满足需求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1#贮存区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HW08废矿物油与含矿物油废物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98.33</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247.4</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210.29</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HW11精（蒸）馏残渣</w:t>
                  </w:r>
                </w:p>
              </w:tc>
              <w:tc>
                <w:tcPr>
                  <w:tcW w:w="1134" w:type="dxa"/>
                  <w:vAlign w:val="center"/>
                </w:tcPr>
                <w:p>
                  <w:pPr>
                    <w:pStyle w:val="29"/>
                    <w:spacing w:line="360" w:lineRule="exact"/>
                    <w:rPr>
                      <w:color w:val="000000" w:themeColor="text1"/>
                      <w:kern w:val="0"/>
                      <w:szCs w:val="21"/>
                    </w:rPr>
                  </w:pPr>
                  <w:r>
                    <w:rPr>
                      <w:color w:val="000000" w:themeColor="text1"/>
                      <w:kern w:val="0"/>
                      <w:szCs w:val="21"/>
                    </w:rPr>
                    <w:t>5.83</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kern w:val="0"/>
                      <w:szCs w:val="21"/>
                    </w:rPr>
                    <w:t>104.16</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2#贮存区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HW06废有机溶剂与含有机溶剂废物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25.83</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186.3</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158.355</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HW09油/水、烃/水混合物或乳化液</w:t>
                  </w:r>
                </w:p>
              </w:tc>
              <w:tc>
                <w:tcPr>
                  <w:tcW w:w="1134" w:type="dxa"/>
                  <w:vAlign w:val="center"/>
                </w:tcPr>
                <w:p>
                  <w:pPr>
                    <w:pStyle w:val="29"/>
                    <w:spacing w:line="360" w:lineRule="exact"/>
                    <w:rPr>
                      <w:color w:val="000000" w:themeColor="text1"/>
                      <w:kern w:val="0"/>
                      <w:szCs w:val="21"/>
                    </w:rPr>
                  </w:pPr>
                  <w:r>
                    <w:rPr>
                      <w:color w:val="000000" w:themeColor="text1"/>
                      <w:kern w:val="0"/>
                      <w:szCs w:val="21"/>
                    </w:rPr>
                    <w:t>17.5</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HW12染料、涂料废物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50</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HW13有机树脂类废物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26.67</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kern w:val="0"/>
                      <w:szCs w:val="21"/>
                    </w:rPr>
                    <w:t>120</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3#贮存区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HW03废药物、药品</w:t>
                  </w:r>
                </w:p>
              </w:tc>
              <w:tc>
                <w:tcPr>
                  <w:tcW w:w="1134" w:type="dxa"/>
                  <w:vAlign w:val="center"/>
                </w:tcPr>
                <w:p>
                  <w:pPr>
                    <w:pStyle w:val="29"/>
                    <w:spacing w:line="360" w:lineRule="exact"/>
                    <w:rPr>
                      <w:color w:val="000000" w:themeColor="text1"/>
                      <w:kern w:val="0"/>
                      <w:szCs w:val="21"/>
                    </w:rPr>
                  </w:pPr>
                  <w:r>
                    <w:rPr>
                      <w:color w:val="000000" w:themeColor="text1"/>
                      <w:kern w:val="0"/>
                      <w:szCs w:val="21"/>
                    </w:rPr>
                    <w:t>4.17</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86.5</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73.525</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HW04农药废物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3.33</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kern w:val="0"/>
                      <w:szCs w:val="21"/>
                    </w:rPr>
                    <w:t>7.5</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4#贮存区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HW16感光材料废物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15.83</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89.4</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75.99</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HW29含汞废物</w:t>
                  </w:r>
                </w:p>
              </w:tc>
              <w:tc>
                <w:tcPr>
                  <w:tcW w:w="1134" w:type="dxa"/>
                  <w:vAlign w:val="center"/>
                </w:tcPr>
                <w:p>
                  <w:pPr>
                    <w:pStyle w:val="29"/>
                    <w:spacing w:line="360" w:lineRule="exact"/>
                    <w:rPr>
                      <w:color w:val="000000" w:themeColor="text1"/>
                      <w:kern w:val="0"/>
                      <w:szCs w:val="21"/>
                    </w:rPr>
                  </w:pPr>
                  <w:r>
                    <w:rPr>
                      <w:rFonts w:hint="eastAsia"/>
                      <w:color w:val="000000" w:themeColor="text1"/>
                      <w:kern w:val="0"/>
                      <w:szCs w:val="21"/>
                    </w:rPr>
                    <w:t>17.50</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HW34废酸</w:t>
                  </w:r>
                </w:p>
              </w:tc>
              <w:tc>
                <w:tcPr>
                  <w:tcW w:w="1134" w:type="dxa"/>
                  <w:vAlign w:val="center"/>
                </w:tcPr>
                <w:p>
                  <w:pPr>
                    <w:pStyle w:val="29"/>
                    <w:spacing w:line="360" w:lineRule="exact"/>
                    <w:rPr>
                      <w:color w:val="000000" w:themeColor="text1"/>
                      <w:kern w:val="0"/>
                      <w:szCs w:val="21"/>
                    </w:rPr>
                  </w:pPr>
                  <w:r>
                    <w:rPr>
                      <w:color w:val="000000" w:themeColor="text1"/>
                      <w:kern w:val="0"/>
                      <w:szCs w:val="21"/>
                    </w:rPr>
                    <w:t>16.67</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kern w:val="0"/>
                      <w:szCs w:val="21"/>
                    </w:rPr>
                    <w:t>5</w:t>
                  </w:r>
                  <w:r>
                    <w:rPr>
                      <w:rFonts w:hint="eastAsia"/>
                      <w:color w:val="000000" w:themeColor="text1"/>
                      <w:kern w:val="0"/>
                      <w:szCs w:val="21"/>
                    </w:rPr>
                    <w:t>0</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5#贮存区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HW49其他废物</w:t>
                  </w:r>
                </w:p>
              </w:tc>
              <w:tc>
                <w:tcPr>
                  <w:tcW w:w="1134" w:type="dxa"/>
                  <w:vAlign w:val="center"/>
                </w:tcPr>
                <w:p>
                  <w:pPr>
                    <w:pStyle w:val="29"/>
                    <w:spacing w:line="360" w:lineRule="exact"/>
                    <w:rPr>
                      <w:color w:val="000000" w:themeColor="text1"/>
                      <w:kern w:val="0"/>
                      <w:szCs w:val="21"/>
                    </w:rPr>
                  </w:pPr>
                  <w:r>
                    <w:rPr>
                      <w:color w:val="000000" w:themeColor="text1"/>
                      <w:szCs w:val="21"/>
                    </w:rPr>
                    <w:t>25.83</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89.6</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76.16</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szCs w:val="21"/>
                    </w:rPr>
                    <w:t>25.83</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6#贮存区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HW17表面处理废物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14.17</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102.4</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87.04</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HW35废碱</w:t>
                  </w:r>
                </w:p>
              </w:tc>
              <w:tc>
                <w:tcPr>
                  <w:tcW w:w="1134" w:type="dxa"/>
                  <w:vAlign w:val="center"/>
                </w:tcPr>
                <w:p>
                  <w:pPr>
                    <w:pStyle w:val="29"/>
                    <w:spacing w:line="360" w:lineRule="exact"/>
                    <w:rPr>
                      <w:color w:val="000000" w:themeColor="text1"/>
                      <w:kern w:val="0"/>
                      <w:szCs w:val="21"/>
                    </w:rPr>
                  </w:pPr>
                  <w:r>
                    <w:rPr>
                      <w:color w:val="000000" w:themeColor="text1"/>
                      <w:kern w:val="0"/>
                      <w:szCs w:val="21"/>
                    </w:rPr>
                    <w:t>20</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HW50废催化剂</w:t>
                  </w:r>
                </w:p>
              </w:tc>
              <w:tc>
                <w:tcPr>
                  <w:tcW w:w="1134" w:type="dxa"/>
                  <w:vAlign w:val="center"/>
                </w:tcPr>
                <w:p>
                  <w:pPr>
                    <w:pStyle w:val="29"/>
                    <w:spacing w:line="360" w:lineRule="exact"/>
                    <w:rPr>
                      <w:color w:val="000000" w:themeColor="text1"/>
                      <w:kern w:val="0"/>
                      <w:szCs w:val="21"/>
                    </w:rPr>
                  </w:pPr>
                  <w:r>
                    <w:rPr>
                      <w:rFonts w:hint="eastAsia"/>
                      <w:color w:val="000000" w:themeColor="text1"/>
                      <w:kern w:val="0"/>
                      <w:szCs w:val="21"/>
                    </w:rPr>
                    <w:t>5</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rFonts w:hint="eastAsia"/>
                      <w:color w:val="000000" w:themeColor="text1"/>
                      <w:kern w:val="0"/>
                      <w:szCs w:val="21"/>
                    </w:rPr>
                    <w:t>39.17</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7#贮存区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HW23含锌废物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8.33</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111.6</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94.86</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HW46含镍废物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6.67</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kern w:val="0"/>
                      <w:szCs w:val="21"/>
                    </w:rPr>
                    <w:t>15</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9"/>
                    <w:spacing w:line="360" w:lineRule="exact"/>
                    <w:rPr>
                      <w:color w:val="000000" w:themeColor="text1"/>
                      <w:kern w:val="0"/>
                      <w:szCs w:val="21"/>
                    </w:rPr>
                  </w:pPr>
                  <w:r>
                    <w:rPr>
                      <w:color w:val="000000" w:themeColor="text1"/>
                      <w:kern w:val="0"/>
                      <w:szCs w:val="21"/>
                    </w:rPr>
                    <w:t>8#贮存区</w:t>
                  </w:r>
                </w:p>
              </w:tc>
              <w:tc>
                <w:tcPr>
                  <w:tcW w:w="3799" w:type="dxa"/>
                  <w:vAlign w:val="center"/>
                </w:tcPr>
                <w:p>
                  <w:pPr>
                    <w:pStyle w:val="29"/>
                    <w:spacing w:line="360" w:lineRule="exact"/>
                    <w:rPr>
                      <w:color w:val="000000" w:themeColor="text1"/>
                      <w:kern w:val="0"/>
                      <w:szCs w:val="21"/>
                    </w:rPr>
                  </w:pPr>
                  <w:r>
                    <w:rPr>
                      <w:color w:val="000000" w:themeColor="text1"/>
                      <w:kern w:val="0"/>
                      <w:szCs w:val="21"/>
                    </w:rPr>
                    <w:t>HW36石棉废物</w:t>
                  </w:r>
                </w:p>
              </w:tc>
              <w:tc>
                <w:tcPr>
                  <w:tcW w:w="1134" w:type="dxa"/>
                  <w:vAlign w:val="center"/>
                </w:tcPr>
                <w:p>
                  <w:pPr>
                    <w:pStyle w:val="29"/>
                    <w:spacing w:line="360" w:lineRule="exact"/>
                    <w:rPr>
                      <w:color w:val="000000" w:themeColor="text1"/>
                      <w:kern w:val="0"/>
                      <w:szCs w:val="21"/>
                    </w:rPr>
                  </w:pPr>
                  <w:r>
                    <w:rPr>
                      <w:color w:val="000000" w:themeColor="text1"/>
                      <w:kern w:val="0"/>
                      <w:szCs w:val="21"/>
                    </w:rPr>
                    <w:t>22.5</w:t>
                  </w:r>
                </w:p>
              </w:tc>
              <w:tc>
                <w:tcPr>
                  <w:tcW w:w="1134"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86.8</w:t>
                  </w:r>
                </w:p>
              </w:tc>
              <w:tc>
                <w:tcPr>
                  <w:tcW w:w="992" w:type="dxa"/>
                  <w:vMerge w:val="restart"/>
                  <w:shd w:val="clear" w:color="auto" w:fill="auto"/>
                  <w:vAlign w:val="center"/>
                </w:tcPr>
                <w:p>
                  <w:pPr>
                    <w:pStyle w:val="29"/>
                    <w:spacing w:line="360" w:lineRule="exact"/>
                    <w:rPr>
                      <w:color w:val="000000" w:themeColor="text1"/>
                      <w:kern w:val="0"/>
                      <w:szCs w:val="21"/>
                    </w:rPr>
                  </w:pPr>
                  <w:r>
                    <w:rPr>
                      <w:color w:val="000000" w:themeColor="text1"/>
                      <w:kern w:val="0"/>
                      <w:szCs w:val="21"/>
                    </w:rPr>
                    <w:t>73.78</w:t>
                  </w:r>
                </w:p>
              </w:tc>
              <w:tc>
                <w:tcPr>
                  <w:tcW w:w="783" w:type="dxa"/>
                  <w:vMerge w:val="restart"/>
                  <w:vAlign w:val="center"/>
                </w:tcPr>
                <w:p>
                  <w:pPr>
                    <w:pStyle w:val="29"/>
                    <w:spacing w:line="360" w:lineRule="exact"/>
                    <w:rPr>
                      <w:color w:val="000000" w:themeColor="text1"/>
                      <w:kern w:val="0"/>
                      <w:szCs w:val="21"/>
                    </w:rPr>
                  </w:pPr>
                  <w:r>
                    <w:rPr>
                      <w:color w:val="000000" w:themeColor="text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9"/>
                    <w:spacing w:line="360" w:lineRule="exact"/>
                    <w:rPr>
                      <w:color w:val="000000" w:themeColor="text1"/>
                      <w:kern w:val="0"/>
                      <w:szCs w:val="21"/>
                    </w:rPr>
                  </w:pPr>
                </w:p>
              </w:tc>
              <w:tc>
                <w:tcPr>
                  <w:tcW w:w="3799" w:type="dxa"/>
                  <w:vAlign w:val="center"/>
                </w:tcPr>
                <w:p>
                  <w:pPr>
                    <w:pStyle w:val="29"/>
                    <w:spacing w:line="360" w:lineRule="exact"/>
                    <w:rPr>
                      <w:color w:val="000000" w:themeColor="text1"/>
                      <w:kern w:val="0"/>
                      <w:szCs w:val="21"/>
                    </w:rPr>
                  </w:pPr>
                  <w:r>
                    <w:rPr>
                      <w:color w:val="000000" w:themeColor="text1"/>
                      <w:kern w:val="0"/>
                      <w:szCs w:val="21"/>
                    </w:rPr>
                    <w:t>合计</w:t>
                  </w:r>
                </w:p>
              </w:tc>
              <w:tc>
                <w:tcPr>
                  <w:tcW w:w="1134" w:type="dxa"/>
                  <w:vAlign w:val="center"/>
                </w:tcPr>
                <w:p>
                  <w:pPr>
                    <w:pStyle w:val="29"/>
                    <w:spacing w:line="360" w:lineRule="exact"/>
                    <w:rPr>
                      <w:color w:val="000000" w:themeColor="text1"/>
                      <w:kern w:val="0"/>
                      <w:szCs w:val="21"/>
                    </w:rPr>
                  </w:pPr>
                  <w:r>
                    <w:rPr>
                      <w:color w:val="000000" w:themeColor="text1"/>
                      <w:kern w:val="0"/>
                      <w:szCs w:val="21"/>
                    </w:rPr>
                    <w:t>22.5</w:t>
                  </w:r>
                </w:p>
              </w:tc>
              <w:tc>
                <w:tcPr>
                  <w:tcW w:w="1134" w:type="dxa"/>
                  <w:vMerge w:val="continue"/>
                  <w:shd w:val="clear" w:color="auto" w:fill="auto"/>
                  <w:vAlign w:val="center"/>
                </w:tcPr>
                <w:p>
                  <w:pPr>
                    <w:pStyle w:val="29"/>
                    <w:spacing w:line="360" w:lineRule="exact"/>
                    <w:rPr>
                      <w:color w:val="000000" w:themeColor="text1"/>
                      <w:kern w:val="0"/>
                      <w:szCs w:val="21"/>
                    </w:rPr>
                  </w:pPr>
                </w:p>
              </w:tc>
              <w:tc>
                <w:tcPr>
                  <w:tcW w:w="992" w:type="dxa"/>
                  <w:vMerge w:val="continue"/>
                  <w:shd w:val="clear" w:color="auto" w:fill="auto"/>
                  <w:vAlign w:val="center"/>
                </w:tcPr>
                <w:p>
                  <w:pPr>
                    <w:pStyle w:val="29"/>
                    <w:spacing w:line="360" w:lineRule="exact"/>
                    <w:rPr>
                      <w:color w:val="000000" w:themeColor="text1"/>
                      <w:kern w:val="0"/>
                      <w:szCs w:val="21"/>
                    </w:rPr>
                  </w:pPr>
                </w:p>
              </w:tc>
              <w:tc>
                <w:tcPr>
                  <w:tcW w:w="783" w:type="dxa"/>
                  <w:vMerge w:val="continue"/>
                  <w:vAlign w:val="center"/>
                </w:tcPr>
                <w:p>
                  <w:pPr>
                    <w:pStyle w:val="29"/>
                    <w:spacing w:line="360" w:lineRule="exact"/>
                    <w:rPr>
                      <w:color w:val="000000" w:themeColor="text1"/>
                      <w:kern w:val="0"/>
                      <w:szCs w:val="21"/>
                    </w:rPr>
                  </w:pP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2.6.5 危险废物包装方式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根据实施方案，该项目危险废物包装必须严格按照《危险货物运输包装通用技术条件》（GB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-2009）、《危险货物运输包装标志》（GB190-2009）的相关要求。该项目采用盛装危险废物的包装物主要包括储罐、铁桶、塑料桶和内覆膜吨袋。</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2.6.6 运输、处置单位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项目拟收集的各危险废物在产废单位按照规定要求对危险废物进行包装，并依托公路运输方式委托有资质的单位运输至厂内。而“HW08废矿物油与含矿物油废物”则委托有资质单位的专用油罐车运输至厂区后，使用专用管道从桶里泵入储罐中存放；贮存后的危险废物全部分别委托有资质的处置单位进行处置。</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（1）运输单位调查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建设单位目前就各危险废物运输和云南御瑞佳成商贸有限公司、云南泽森环保科技有限公司、曲靖市铭均运输有限公司等危险废物运输单位进行商务洽谈，各危险废物的入厂运输委托上述单位进行运输，但不仅限于上述单位。上述单位的运输能力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表2.6.6-1 拟达成协议的运输单位基本情况一览表</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8"/>
              <w:gridCol w:w="1560"/>
              <w:gridCol w:w="6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Align w:val="center"/>
                </w:tcPr>
                <w:p>
                  <w:pPr>
                    <w:pStyle w:val="29"/>
                    <w:spacing w:line="360" w:lineRule="exact"/>
                    <w:rPr>
                      <w:color w:val="000000" w:themeColor="text1"/>
                      <w:kern w:val="0"/>
                      <w:szCs w:val="21"/>
                    </w:rPr>
                  </w:pPr>
                  <w:r>
                    <w:rPr>
                      <w:color w:val="000000" w:themeColor="text1"/>
                      <w:kern w:val="0"/>
                      <w:szCs w:val="21"/>
                    </w:rPr>
                    <w:t>类别</w:t>
                  </w:r>
                </w:p>
              </w:tc>
              <w:tc>
                <w:tcPr>
                  <w:tcW w:w="1560" w:type="dxa"/>
                  <w:vAlign w:val="center"/>
                </w:tcPr>
                <w:p>
                  <w:pPr>
                    <w:pStyle w:val="29"/>
                    <w:spacing w:line="360" w:lineRule="exact"/>
                    <w:rPr>
                      <w:color w:val="000000" w:themeColor="text1"/>
                      <w:kern w:val="0"/>
                      <w:szCs w:val="21"/>
                    </w:rPr>
                  </w:pPr>
                  <w:r>
                    <w:rPr>
                      <w:color w:val="000000" w:themeColor="text1"/>
                      <w:kern w:val="0"/>
                      <w:szCs w:val="21"/>
                    </w:rPr>
                    <w:t>名称</w:t>
                  </w:r>
                </w:p>
              </w:tc>
              <w:tc>
                <w:tcPr>
                  <w:tcW w:w="6027" w:type="dxa"/>
                  <w:vAlign w:val="center"/>
                </w:tcPr>
                <w:p>
                  <w:pPr>
                    <w:pStyle w:val="29"/>
                    <w:spacing w:line="360" w:lineRule="exact"/>
                    <w:rPr>
                      <w:color w:val="000000" w:themeColor="text1"/>
                      <w:kern w:val="0"/>
                      <w:szCs w:val="21"/>
                    </w:rPr>
                  </w:pPr>
                  <w:r>
                    <w:rPr>
                      <w:color w:val="000000" w:themeColor="text1"/>
                      <w:kern w:val="0"/>
                      <w:szCs w:val="21"/>
                    </w:rPr>
                    <w:t>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Merge w:val="restart"/>
                  <w:vAlign w:val="center"/>
                </w:tcPr>
                <w:p>
                  <w:pPr>
                    <w:pStyle w:val="29"/>
                    <w:spacing w:line="360" w:lineRule="exact"/>
                    <w:rPr>
                      <w:color w:val="000000" w:themeColor="text1"/>
                      <w:kern w:val="0"/>
                      <w:szCs w:val="21"/>
                    </w:rPr>
                  </w:pPr>
                  <w:r>
                    <w:rPr>
                      <w:color w:val="000000" w:themeColor="text1"/>
                      <w:kern w:val="0"/>
                      <w:szCs w:val="21"/>
                    </w:rPr>
                    <w:t>入场运输单位</w:t>
                  </w:r>
                </w:p>
              </w:tc>
              <w:tc>
                <w:tcPr>
                  <w:tcW w:w="1560" w:type="dxa"/>
                  <w:vAlign w:val="center"/>
                </w:tcPr>
                <w:p>
                  <w:pPr>
                    <w:pStyle w:val="29"/>
                    <w:spacing w:line="360" w:lineRule="exact"/>
                    <w:rPr>
                      <w:color w:val="000000" w:themeColor="text1"/>
                      <w:kern w:val="0"/>
                      <w:szCs w:val="21"/>
                    </w:rPr>
                  </w:pPr>
                  <w:r>
                    <w:rPr>
                      <w:color w:val="000000" w:themeColor="text1"/>
                      <w:kern w:val="0"/>
                      <w:szCs w:val="21"/>
                    </w:rPr>
                    <w:t>云南御瑞佳成商贸有限公司</w:t>
                  </w:r>
                </w:p>
              </w:tc>
              <w:tc>
                <w:tcPr>
                  <w:tcW w:w="6027" w:type="dxa"/>
                  <w:vAlign w:val="center"/>
                </w:tcPr>
                <w:p>
                  <w:pPr>
                    <w:pStyle w:val="29"/>
                    <w:spacing w:line="360" w:lineRule="exact"/>
                    <w:ind w:firstLine="105" w:firstLineChars="50"/>
                    <w:jc w:val="both"/>
                    <w:rPr>
                      <w:color w:val="000000" w:themeColor="text1"/>
                      <w:szCs w:val="21"/>
                    </w:rPr>
                  </w:pPr>
                  <w:r>
                    <w:rPr>
                      <w:color w:val="000000" w:themeColor="text1"/>
                      <w:szCs w:val="21"/>
                    </w:rPr>
                    <w:t>危险货物道路运输经营许可证号：滇交管许可富民字530124006894号；经营范围：道路普通货物运输，货物专用运输（冷藏保鲜设备），危险货物运输（2类），危险货物运输（3类），医疗废物、危险废物、大型物件运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Merge w:val="continue"/>
                  <w:vAlign w:val="center"/>
                </w:tcPr>
                <w:p>
                  <w:pPr>
                    <w:pStyle w:val="29"/>
                    <w:spacing w:line="360" w:lineRule="exact"/>
                    <w:rPr>
                      <w:color w:val="000000" w:themeColor="text1"/>
                      <w:kern w:val="0"/>
                      <w:szCs w:val="21"/>
                    </w:rPr>
                  </w:pPr>
                </w:p>
              </w:tc>
              <w:tc>
                <w:tcPr>
                  <w:tcW w:w="1560" w:type="dxa"/>
                  <w:vAlign w:val="center"/>
                </w:tcPr>
                <w:p>
                  <w:pPr>
                    <w:pStyle w:val="29"/>
                    <w:spacing w:line="360" w:lineRule="exact"/>
                    <w:rPr>
                      <w:color w:val="000000" w:themeColor="text1"/>
                      <w:kern w:val="0"/>
                      <w:szCs w:val="21"/>
                    </w:rPr>
                  </w:pPr>
                  <w:r>
                    <w:rPr>
                      <w:color w:val="000000" w:themeColor="text1"/>
                      <w:kern w:val="0"/>
                      <w:szCs w:val="21"/>
                    </w:rPr>
                    <w:t>曲靖市铭均运输有限公司</w:t>
                  </w:r>
                </w:p>
              </w:tc>
              <w:tc>
                <w:tcPr>
                  <w:tcW w:w="6027" w:type="dxa"/>
                  <w:vAlign w:val="center"/>
                </w:tcPr>
                <w:p>
                  <w:pPr>
                    <w:pStyle w:val="29"/>
                    <w:spacing w:line="360" w:lineRule="exact"/>
                    <w:ind w:firstLine="105" w:firstLineChars="50"/>
                    <w:jc w:val="both"/>
                    <w:rPr>
                      <w:color w:val="000000" w:themeColor="text1"/>
                      <w:szCs w:val="21"/>
                    </w:rPr>
                  </w:pPr>
                  <w:r>
                    <w:rPr>
                      <w:color w:val="000000" w:themeColor="text1"/>
                      <w:szCs w:val="21"/>
                    </w:rPr>
                    <w:t>险货物道路运输经营许可证号：滇交管许可曲靖字530300003967号；经营范围：危险废物、道路普通货物运输，危险货物运输（2类1项），危险货物运输（3类）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Merge w:val="continue"/>
                  <w:vAlign w:val="center"/>
                </w:tcPr>
                <w:p>
                  <w:pPr>
                    <w:pStyle w:val="29"/>
                    <w:spacing w:line="360" w:lineRule="exact"/>
                    <w:rPr>
                      <w:color w:val="000000" w:themeColor="text1"/>
                      <w:kern w:val="0"/>
                      <w:szCs w:val="21"/>
                    </w:rPr>
                  </w:pPr>
                </w:p>
              </w:tc>
              <w:tc>
                <w:tcPr>
                  <w:tcW w:w="1560" w:type="dxa"/>
                  <w:vAlign w:val="center"/>
                </w:tcPr>
                <w:p>
                  <w:pPr>
                    <w:pStyle w:val="29"/>
                    <w:spacing w:line="360" w:lineRule="exact"/>
                    <w:rPr>
                      <w:color w:val="000000" w:themeColor="text1"/>
                      <w:kern w:val="0"/>
                      <w:szCs w:val="21"/>
                    </w:rPr>
                  </w:pPr>
                  <w:r>
                    <w:rPr>
                      <w:color w:val="000000" w:themeColor="text1"/>
                      <w:kern w:val="0"/>
                      <w:szCs w:val="21"/>
                    </w:rPr>
                    <w:t>云南泽森环保科技有限公司</w:t>
                  </w:r>
                </w:p>
              </w:tc>
              <w:tc>
                <w:tcPr>
                  <w:tcW w:w="6027" w:type="dxa"/>
                  <w:vAlign w:val="center"/>
                </w:tcPr>
                <w:p>
                  <w:pPr>
                    <w:pStyle w:val="29"/>
                    <w:spacing w:line="360" w:lineRule="exact"/>
                    <w:ind w:firstLine="105" w:firstLineChars="50"/>
                    <w:jc w:val="both"/>
                    <w:rPr>
                      <w:color w:val="000000" w:themeColor="text1"/>
                      <w:szCs w:val="21"/>
                    </w:rPr>
                  </w:pPr>
                  <w:r>
                    <w:rPr>
                      <w:color w:val="000000" w:themeColor="text1"/>
                      <w:szCs w:val="21"/>
                    </w:rPr>
                    <w:t>危险货物道路运输经营许可证号：滇交管许可晋宁字530122007254号；经营范围：道路普通货物，危险货物运输（3类），危险废物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05" w:type="dxa"/>
                  <w:gridSpan w:val="3"/>
                  <w:vAlign w:val="center"/>
                </w:tcPr>
                <w:p>
                  <w:pPr>
                    <w:pStyle w:val="29"/>
                    <w:spacing w:line="360" w:lineRule="exact"/>
                    <w:ind w:firstLine="105" w:firstLineChars="50"/>
                    <w:jc w:val="both"/>
                    <w:rPr>
                      <w:color w:val="000000" w:themeColor="text1"/>
                      <w:szCs w:val="21"/>
                    </w:rPr>
                  </w:pPr>
                  <w:r>
                    <w:rPr>
                      <w:color w:val="000000" w:themeColor="text1"/>
                      <w:szCs w:val="21"/>
                    </w:rPr>
                    <w:t>备注：危险废物转移至处置单位，由处置单位委托有资质的单位进行运输</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项目将在实施前和各运输单位签订运输协议。</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（2）处置单位调查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目前建设单位就各危险废物的处置和曲靖银发危险废物集中处置中心、云南大地丰源环保有限公司、云南东升茂泰科技环保有限公司和四川金谷环保科技有限公司等危险废物处置单位进行商务洽谈，各危险废物拟委托上述单位进行处置，但不仅限于上述单位。上述单位的处置能力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表2.6.6-2 拟达成协议的处置单位基本情况一览表</w:t>
            </w:r>
          </w:p>
          <w:tbl>
            <w:tblPr>
              <w:tblStyle w:val="19"/>
              <w:tblW w:w="84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6"/>
              <w:gridCol w:w="1559"/>
              <w:gridCol w:w="56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Align w:val="center"/>
                </w:tcPr>
                <w:p>
                  <w:pPr>
                    <w:pStyle w:val="29"/>
                    <w:spacing w:line="360" w:lineRule="exact"/>
                    <w:rPr>
                      <w:color w:val="000000" w:themeColor="text1"/>
                      <w:kern w:val="0"/>
                      <w:szCs w:val="21"/>
                    </w:rPr>
                  </w:pPr>
                  <w:r>
                    <w:rPr>
                      <w:color w:val="000000" w:themeColor="text1"/>
                      <w:kern w:val="0"/>
                      <w:szCs w:val="21"/>
                    </w:rPr>
                    <w:t>类别</w:t>
                  </w:r>
                </w:p>
              </w:tc>
              <w:tc>
                <w:tcPr>
                  <w:tcW w:w="1559" w:type="dxa"/>
                  <w:vAlign w:val="center"/>
                </w:tcPr>
                <w:p>
                  <w:pPr>
                    <w:pStyle w:val="29"/>
                    <w:spacing w:line="360" w:lineRule="exact"/>
                    <w:rPr>
                      <w:color w:val="000000" w:themeColor="text1"/>
                      <w:kern w:val="0"/>
                      <w:szCs w:val="21"/>
                    </w:rPr>
                  </w:pPr>
                  <w:r>
                    <w:rPr>
                      <w:color w:val="000000" w:themeColor="text1"/>
                      <w:kern w:val="0"/>
                      <w:szCs w:val="21"/>
                    </w:rPr>
                    <w:t>名称</w:t>
                  </w:r>
                </w:p>
              </w:tc>
              <w:tc>
                <w:tcPr>
                  <w:tcW w:w="5658" w:type="dxa"/>
                  <w:vAlign w:val="center"/>
                </w:tcPr>
                <w:p>
                  <w:pPr>
                    <w:pStyle w:val="29"/>
                    <w:spacing w:line="360" w:lineRule="exact"/>
                    <w:rPr>
                      <w:color w:val="000000" w:themeColor="text1"/>
                      <w:kern w:val="0"/>
                      <w:szCs w:val="21"/>
                    </w:rPr>
                  </w:pPr>
                  <w:r>
                    <w:rPr>
                      <w:color w:val="000000" w:themeColor="text1"/>
                      <w:kern w:val="0"/>
                      <w:szCs w:val="21"/>
                    </w:rPr>
                    <w:t>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restart"/>
                  <w:vAlign w:val="center"/>
                </w:tcPr>
                <w:p>
                  <w:pPr>
                    <w:pStyle w:val="29"/>
                    <w:spacing w:line="360" w:lineRule="exact"/>
                    <w:rPr>
                      <w:color w:val="000000" w:themeColor="text1"/>
                      <w:kern w:val="0"/>
                      <w:szCs w:val="21"/>
                    </w:rPr>
                  </w:pPr>
                  <w:r>
                    <w:rPr>
                      <w:color w:val="000000" w:themeColor="text1"/>
                      <w:kern w:val="0"/>
                      <w:szCs w:val="21"/>
                    </w:rPr>
                    <w:t>处置单位</w:t>
                  </w:r>
                </w:p>
              </w:tc>
              <w:tc>
                <w:tcPr>
                  <w:tcW w:w="1559" w:type="dxa"/>
                  <w:vAlign w:val="center"/>
                </w:tcPr>
                <w:p>
                  <w:pPr>
                    <w:pStyle w:val="29"/>
                    <w:spacing w:line="360" w:lineRule="exact"/>
                    <w:rPr>
                      <w:color w:val="000000" w:themeColor="text1"/>
                      <w:kern w:val="0"/>
                      <w:szCs w:val="21"/>
                    </w:rPr>
                  </w:pPr>
                  <w:r>
                    <w:rPr>
                      <w:color w:val="000000" w:themeColor="text1"/>
                      <w:kern w:val="0"/>
                      <w:szCs w:val="21"/>
                    </w:rPr>
                    <w:t>曲靖银发危险废物集中处置中心</w:t>
                  </w:r>
                </w:p>
              </w:tc>
              <w:tc>
                <w:tcPr>
                  <w:tcW w:w="5658" w:type="dxa"/>
                  <w:vAlign w:val="center"/>
                </w:tcPr>
                <w:p>
                  <w:pPr>
                    <w:pStyle w:val="29"/>
                    <w:spacing w:line="360" w:lineRule="exact"/>
                    <w:ind w:firstLine="105" w:firstLineChars="50"/>
                    <w:jc w:val="both"/>
                    <w:rPr>
                      <w:color w:val="000000" w:themeColor="text1"/>
                      <w:szCs w:val="21"/>
                    </w:rPr>
                  </w:pPr>
                  <w:r>
                    <w:rPr>
                      <w:color w:val="000000" w:themeColor="text1"/>
                      <w:szCs w:val="21"/>
                    </w:rPr>
                    <w:t>危险废物经营许可证：Y5303030148；危险废物经营类别：HW02、HW03、HW04、HW05、HW06、HW08、HW09、HW11、HW12、HW13、HW16、HW17、HW18、HW19、HW21、HW22、HW23、HW24、HW26、HW29、HW31、HW32、HW04、HW05、HW06、HW33、HW34、HW35、HW36、HW37、HW39、HW40、HW45、HW48、HW49、HW50，共33大类408小类危险废物，总规模27498.43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continue"/>
                  <w:vAlign w:val="center"/>
                </w:tcPr>
                <w:p>
                  <w:pPr>
                    <w:pStyle w:val="29"/>
                    <w:spacing w:line="360" w:lineRule="exact"/>
                    <w:rPr>
                      <w:color w:val="000000" w:themeColor="text1"/>
                      <w:kern w:val="0"/>
                      <w:szCs w:val="21"/>
                    </w:rPr>
                  </w:pPr>
                </w:p>
              </w:tc>
              <w:tc>
                <w:tcPr>
                  <w:tcW w:w="1559" w:type="dxa"/>
                  <w:vAlign w:val="center"/>
                </w:tcPr>
                <w:p>
                  <w:pPr>
                    <w:pStyle w:val="29"/>
                    <w:spacing w:line="360" w:lineRule="exact"/>
                    <w:rPr>
                      <w:color w:val="000000" w:themeColor="text1"/>
                      <w:kern w:val="0"/>
                      <w:szCs w:val="21"/>
                    </w:rPr>
                  </w:pPr>
                  <w:r>
                    <w:rPr>
                      <w:color w:val="000000" w:themeColor="text1"/>
                      <w:kern w:val="0"/>
                      <w:szCs w:val="21"/>
                    </w:rPr>
                    <w:t>云南大地丰源环保有限公司</w:t>
                  </w:r>
                </w:p>
              </w:tc>
              <w:tc>
                <w:tcPr>
                  <w:tcW w:w="5658" w:type="dxa"/>
                  <w:vAlign w:val="center"/>
                </w:tcPr>
                <w:p>
                  <w:pPr>
                    <w:pStyle w:val="29"/>
                    <w:spacing w:line="360" w:lineRule="exact"/>
                    <w:ind w:firstLine="105" w:firstLineChars="50"/>
                    <w:jc w:val="both"/>
                    <w:rPr>
                      <w:color w:val="000000" w:themeColor="text1"/>
                      <w:szCs w:val="21"/>
                    </w:rPr>
                  </w:pPr>
                  <w:r>
                    <w:rPr>
                      <w:color w:val="000000" w:themeColor="text1"/>
                      <w:szCs w:val="21"/>
                    </w:rPr>
                    <w:t>危险废物经营许可证：Y5301240116；危险废物经营类别：HW01、HW02、HW03、HW04、HW05、HW06、HW07、HW08、HW09、HW11、HW12、HW13、HW16、HW17、HW18、HW19、HW21、HW22、HW23、HW24、HW26、HW29、HW31、HW32、HW33、HW34、HW35、HW36、HW37、HW38、HW39、HW40、HW45、HW46、HW47、HW48、HW49、HW50，共38大类406小类危险废物，总规模39000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continue"/>
                  <w:vAlign w:val="center"/>
                </w:tcPr>
                <w:p>
                  <w:pPr>
                    <w:pStyle w:val="29"/>
                    <w:spacing w:line="360" w:lineRule="exact"/>
                    <w:rPr>
                      <w:color w:val="000000" w:themeColor="text1"/>
                      <w:kern w:val="0"/>
                      <w:szCs w:val="21"/>
                    </w:rPr>
                  </w:pPr>
                </w:p>
              </w:tc>
              <w:tc>
                <w:tcPr>
                  <w:tcW w:w="1559" w:type="dxa"/>
                  <w:vAlign w:val="center"/>
                </w:tcPr>
                <w:p>
                  <w:pPr>
                    <w:pStyle w:val="29"/>
                    <w:spacing w:line="360" w:lineRule="exact"/>
                    <w:rPr>
                      <w:color w:val="000000" w:themeColor="text1"/>
                      <w:kern w:val="0"/>
                      <w:szCs w:val="21"/>
                    </w:rPr>
                  </w:pPr>
                  <w:r>
                    <w:rPr>
                      <w:color w:val="000000" w:themeColor="text1"/>
                      <w:kern w:val="0"/>
                      <w:szCs w:val="21"/>
                    </w:rPr>
                    <w:t>云南东升茂泰科技环保有限公司</w:t>
                  </w:r>
                </w:p>
              </w:tc>
              <w:tc>
                <w:tcPr>
                  <w:tcW w:w="5658" w:type="dxa"/>
                  <w:vAlign w:val="center"/>
                </w:tcPr>
                <w:p>
                  <w:pPr>
                    <w:pStyle w:val="29"/>
                    <w:spacing w:line="360" w:lineRule="exact"/>
                    <w:ind w:firstLine="105" w:firstLineChars="50"/>
                    <w:jc w:val="both"/>
                    <w:rPr>
                      <w:color w:val="000000" w:themeColor="text1"/>
                      <w:szCs w:val="21"/>
                    </w:rPr>
                  </w:pPr>
                  <w:r>
                    <w:rPr>
                      <w:color w:val="000000" w:themeColor="text1"/>
                      <w:szCs w:val="21"/>
                    </w:rPr>
                    <w:t>危险废物经营许可证：Y5301220084；危险废物经营类别：HW08（900-201-08、900-249-08），HW09（900-005-09、900-006-49、900-007-09）；总规模20000吨。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continue"/>
                  <w:vAlign w:val="center"/>
                </w:tcPr>
                <w:p>
                  <w:pPr>
                    <w:pStyle w:val="29"/>
                    <w:spacing w:line="360" w:lineRule="exact"/>
                    <w:rPr>
                      <w:color w:val="000000" w:themeColor="text1"/>
                      <w:kern w:val="0"/>
                      <w:szCs w:val="21"/>
                    </w:rPr>
                  </w:pPr>
                </w:p>
              </w:tc>
              <w:tc>
                <w:tcPr>
                  <w:tcW w:w="1559" w:type="dxa"/>
                  <w:vAlign w:val="center"/>
                </w:tcPr>
                <w:p>
                  <w:pPr>
                    <w:pStyle w:val="29"/>
                    <w:spacing w:line="360" w:lineRule="exact"/>
                    <w:rPr>
                      <w:color w:val="000000" w:themeColor="text1"/>
                      <w:kern w:val="0"/>
                      <w:szCs w:val="21"/>
                    </w:rPr>
                  </w:pPr>
                  <w:bookmarkStart w:id="24" w:name="_Hlk137373744"/>
                  <w:r>
                    <w:rPr>
                      <w:color w:val="000000" w:themeColor="text1"/>
                      <w:kern w:val="0"/>
                      <w:szCs w:val="21"/>
                    </w:rPr>
                    <w:t>四川金谷环保科技有限公司</w:t>
                  </w:r>
                  <w:bookmarkEnd w:id="24"/>
                </w:p>
              </w:tc>
              <w:tc>
                <w:tcPr>
                  <w:tcW w:w="5658" w:type="dxa"/>
                  <w:vAlign w:val="center"/>
                </w:tcPr>
                <w:p>
                  <w:pPr>
                    <w:pStyle w:val="29"/>
                    <w:spacing w:line="360" w:lineRule="exact"/>
                    <w:ind w:firstLine="105" w:firstLineChars="50"/>
                    <w:jc w:val="both"/>
                    <w:rPr>
                      <w:color w:val="000000" w:themeColor="text1"/>
                      <w:szCs w:val="21"/>
                    </w:rPr>
                  </w:pPr>
                  <w:r>
                    <w:rPr>
                      <w:color w:val="000000" w:themeColor="text1"/>
                      <w:szCs w:val="21"/>
                    </w:rPr>
                    <w:t>危险废物经营许可证：川环危第511603068号；危险废物经营类别：HW08废矿物油与含矿物油废物，总规模10万吨。</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项目将在实施前和各处置单位签订处置协议。</w:t>
            </w:r>
          </w:p>
          <w:p>
            <w:pPr>
              <w:autoSpaceDE w:val="0"/>
              <w:autoSpaceDN w:val="0"/>
              <w:spacing w:line="360" w:lineRule="auto"/>
              <w:ind w:firstLine="241" w:firstLineChars="100"/>
              <w:rPr>
                <w:rFonts w:ascii="Times New Roman" w:hAnsi="Times New Roman" w:cs="Times New Roman"/>
                <w:b/>
                <w:color w:val="000000" w:themeColor="text1"/>
                <w:sz w:val="24"/>
                <w:szCs w:val="24"/>
              </w:rPr>
            </w:pPr>
            <w:bookmarkStart w:id="25" w:name="_Toc493693537"/>
            <w:r>
              <w:rPr>
                <w:rFonts w:ascii="Times New Roman" w:hAnsi="Times New Roman" w:cs="Times New Roman"/>
                <w:b/>
                <w:color w:val="000000" w:themeColor="text1"/>
                <w:sz w:val="24"/>
                <w:szCs w:val="24"/>
              </w:rPr>
              <w:t>2.7 劳动定员及工作制度</w:t>
            </w:r>
            <w:bookmarkEnd w:id="25"/>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根据调查，该项目拟设置员工10人，不在项目区食宿。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根据调查，项目平均年工作300d，实行每天3班制，每班8h。</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该项目利用昆明旭鑫环保科技有限公司原料暂存库项目中1000m²区域进行建设，厂区主体工程不存在施工期，本次施工期建设内容主要</w:t>
            </w:r>
            <w:r>
              <w:rPr>
                <w:rFonts w:hint="eastAsia" w:ascii="Times New Roman" w:hAnsi="Times New Roman" w:cs="Times New Roman"/>
                <w:bCs/>
                <w:color w:val="000000" w:themeColor="text1"/>
                <w:sz w:val="24"/>
                <w:szCs w:val="24"/>
              </w:rPr>
              <w:t>包括：贮存区隔档建设、安装</w:t>
            </w:r>
            <w:r>
              <w:rPr>
                <w:rFonts w:ascii="Times New Roman" w:hAnsi="Times New Roman" w:cs="Times New Roman"/>
                <w:bCs/>
                <w:color w:val="000000" w:themeColor="text1"/>
                <w:sz w:val="24"/>
                <w:szCs w:val="24"/>
              </w:rPr>
              <w:t>警报系统</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负压收集系统</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废气处理装置</w:t>
            </w:r>
            <w:r>
              <w:rPr>
                <w:rFonts w:hint="eastAsia" w:ascii="Times New Roman" w:hAnsi="Times New Roman" w:cs="Times New Roman"/>
                <w:bCs/>
                <w:color w:val="000000" w:themeColor="text1"/>
                <w:sz w:val="24"/>
                <w:szCs w:val="24"/>
              </w:rPr>
              <w:t>、排气筒、</w:t>
            </w:r>
            <w:r>
              <w:rPr>
                <w:rFonts w:ascii="Times New Roman" w:hAnsi="Times New Roman" w:cs="Times New Roman"/>
                <w:bCs/>
                <w:color w:val="000000" w:themeColor="text1"/>
                <w:sz w:val="24"/>
                <w:szCs w:val="24"/>
              </w:rPr>
              <w:t>导流渠</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渗滤液收集池</w:t>
            </w:r>
            <w:r>
              <w:rPr>
                <w:rFonts w:hint="eastAsia" w:ascii="Times New Roman" w:hAnsi="Times New Roman" w:cs="Times New Roman"/>
                <w:bCs/>
                <w:color w:val="000000" w:themeColor="text1"/>
                <w:sz w:val="24"/>
                <w:szCs w:val="24"/>
              </w:rPr>
              <w:t>及其防渗工程等环保设施建设。</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运营期生产工艺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根据实施方案，</w:t>
            </w:r>
            <w:r>
              <w:rPr>
                <w:rFonts w:ascii="Times New Roman" w:hAnsi="Times New Roman" w:cs="Times New Roman"/>
                <w:bCs/>
                <w:color w:val="000000" w:themeColor="text1"/>
                <w:sz w:val="24"/>
              </w:rPr>
              <w:t>该项目危险废物收集、贮存过程主要包括危险废物委托运输、入库检查、卸车、登记入库、分区贮存、委托处置及出库登记等工序。</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（1）工艺流程图示</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szCs w:val="24"/>
              </w:rPr>
              <w:t>工艺流程具体生产工艺如下。</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drawing>
                <wp:inline distT="0" distB="0" distL="0" distR="0">
                  <wp:extent cx="5296535" cy="322707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srcRect/>
                          <a:stretch>
                            <a:fillRect/>
                          </a:stretch>
                        </pic:blipFill>
                        <pic:spPr>
                          <a:xfrm>
                            <a:off x="0" y="0"/>
                            <a:ext cx="5298251" cy="3228044"/>
                          </a:xfrm>
                          <a:prstGeom prst="rect">
                            <a:avLst/>
                          </a:prstGeom>
                          <a:noFill/>
                          <a:ln w="9525">
                            <a:noFill/>
                            <a:miter lim="800000"/>
                            <a:headEnd/>
                            <a:tailEnd/>
                          </a:ln>
                        </pic:spPr>
                      </pic:pic>
                    </a:graphicData>
                  </a:graphic>
                </wp:inline>
              </w:drawing>
            </w:r>
          </w:p>
          <w:p>
            <w:pPr>
              <w:jc w:val="center"/>
              <w:rPr>
                <w:rFonts w:ascii="Times New Roman" w:hAnsi="Times New Roman" w:cs="Times New Roman"/>
                <w:b/>
                <w:color w:val="000000" w:themeColor="text1"/>
              </w:rPr>
            </w:pPr>
            <w:r>
              <w:rPr>
                <w:rFonts w:ascii="Times New Roman" w:hAnsi="Times New Roman" w:eastAsia="宋体" w:cs="Times New Roman"/>
                <w:b/>
                <w:color w:val="000000" w:themeColor="text1"/>
                <w:szCs w:val="24"/>
              </w:rPr>
              <w:t>图2.7.2-1  项目</w:t>
            </w:r>
            <w:r>
              <w:rPr>
                <w:rFonts w:ascii="Times New Roman" w:hAnsi="Times New Roman" w:cs="Times New Roman"/>
                <w:b/>
                <w:color w:val="000000" w:themeColor="text1"/>
              </w:rPr>
              <w:t>生产工艺</w:t>
            </w:r>
            <w:r>
              <w:rPr>
                <w:rFonts w:ascii="Times New Roman" w:hAnsi="Times New Roman" w:eastAsia="宋体" w:cs="Times New Roman"/>
                <w:b/>
                <w:color w:val="000000" w:themeColor="text1"/>
                <w:szCs w:val="24"/>
              </w:rPr>
              <w:t>流程及产污环节图</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rPr>
              <w:t>2</w:t>
            </w:r>
            <w:r>
              <w:rPr>
                <w:rFonts w:ascii="Times New Roman" w:hAnsi="Times New Roman" w:cs="Times New Roman"/>
                <w:b/>
                <w:bCs/>
                <w:color w:val="000000" w:themeColor="text1"/>
                <w:sz w:val="24"/>
                <w:szCs w:val="24"/>
              </w:rPr>
              <w:t>）工艺流程简述</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①</w:t>
            </w:r>
            <w:r>
              <w:rPr>
                <w:rFonts w:ascii="Times New Roman" w:hAnsi="Times New Roman" w:cs="Times New Roman"/>
                <w:b/>
                <w:bCs/>
                <w:color w:val="000000" w:themeColor="text1"/>
                <w:sz w:val="24"/>
              </w:rPr>
              <w:t>委托运输</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rPr>
              <w:t>各危险废物产生单位将产生的</w:t>
            </w:r>
            <w:r>
              <w:rPr>
                <w:rFonts w:ascii="Times New Roman" w:hAnsi="Times New Roman" w:cs="Times New Roman"/>
                <w:bCs/>
                <w:color w:val="000000" w:themeColor="text1"/>
                <w:sz w:val="24"/>
                <w:szCs w:val="24"/>
              </w:rPr>
              <w:t>危险废物在各自厂区按照相关要求进行分类收集</w:t>
            </w:r>
            <w:r>
              <w:rPr>
                <w:rFonts w:ascii="Times New Roman" w:hAnsi="Times New Roman" w:cs="Times New Roman"/>
                <w:bCs/>
                <w:color w:val="000000" w:themeColor="text1"/>
                <w:sz w:val="24"/>
              </w:rPr>
              <w:t>，</w:t>
            </w:r>
            <w:r>
              <w:rPr>
                <w:rFonts w:ascii="Times New Roman" w:hAnsi="Times New Roman" w:cs="Times New Roman"/>
                <w:bCs/>
                <w:color w:val="000000" w:themeColor="text1"/>
                <w:sz w:val="24"/>
                <w:szCs w:val="24"/>
              </w:rPr>
              <w:t>并</w:t>
            </w:r>
            <w:r>
              <w:rPr>
                <w:rFonts w:ascii="Times New Roman" w:hAnsi="Times New Roman" w:cs="Times New Roman"/>
                <w:bCs/>
                <w:color w:val="000000" w:themeColor="text1"/>
                <w:sz w:val="24"/>
              </w:rPr>
              <w:t>根据其属性和形态采用</w:t>
            </w:r>
            <w:r>
              <w:rPr>
                <w:rFonts w:ascii="Times New Roman" w:hAnsi="Times New Roman" w:cs="Times New Roman"/>
                <w:bCs/>
                <w:color w:val="000000" w:themeColor="text1"/>
                <w:sz w:val="24"/>
                <w:szCs w:val="24"/>
              </w:rPr>
              <w:t>塑料桶、铁桶和吨袋等</w:t>
            </w:r>
            <w:r>
              <w:rPr>
                <w:rFonts w:ascii="Times New Roman" w:hAnsi="Times New Roman" w:cs="Times New Roman"/>
                <w:bCs/>
                <w:color w:val="000000" w:themeColor="text1"/>
                <w:sz w:val="24"/>
              </w:rPr>
              <w:t>进行盛装</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rPr>
              <w:t>待各危险废物贮存至</w:t>
            </w:r>
            <w:r>
              <w:rPr>
                <w:rFonts w:ascii="Times New Roman" w:hAnsi="Times New Roman" w:cs="Times New Roman"/>
                <w:bCs/>
                <w:color w:val="000000" w:themeColor="text1"/>
                <w:sz w:val="24"/>
                <w:szCs w:val="24"/>
              </w:rPr>
              <w:t>一定量后，</w:t>
            </w:r>
            <w:r>
              <w:rPr>
                <w:rFonts w:ascii="Times New Roman" w:hAnsi="Times New Roman" w:cs="Times New Roman"/>
                <w:bCs/>
                <w:color w:val="000000" w:themeColor="text1"/>
                <w:sz w:val="24"/>
              </w:rPr>
              <w:t>进行危险废物转运申请，并</w:t>
            </w:r>
            <w:r>
              <w:rPr>
                <w:rFonts w:ascii="Times New Roman" w:hAnsi="Times New Roman" w:cs="Times New Roman"/>
                <w:bCs/>
                <w:color w:val="000000" w:themeColor="text1"/>
                <w:sz w:val="24"/>
                <w:szCs w:val="24"/>
              </w:rPr>
              <w:t>通知建设单位进行</w:t>
            </w:r>
            <w:r>
              <w:rPr>
                <w:rFonts w:ascii="Times New Roman" w:hAnsi="Times New Roman" w:cs="Times New Roman"/>
                <w:bCs/>
                <w:color w:val="000000" w:themeColor="text1"/>
                <w:sz w:val="24"/>
              </w:rPr>
              <w:t>转运</w:t>
            </w:r>
            <w:r>
              <w:rPr>
                <w:rFonts w:ascii="Times New Roman" w:hAnsi="Times New Roman" w:cs="Times New Roman"/>
                <w:bCs/>
                <w:color w:val="000000" w:themeColor="text1"/>
                <w:sz w:val="24"/>
                <w:szCs w:val="24"/>
              </w:rPr>
              <w:t>。运输由有资质的危险废物运输单位及专用车辆（配备GPS、计重称等）到达产废单位处进行分类收运，现场计重并记录，随后按计划好的运输路线转运到</w:t>
            </w:r>
            <w:r>
              <w:rPr>
                <w:rFonts w:ascii="Times New Roman" w:hAnsi="Times New Roman" w:cs="Times New Roman"/>
                <w:bCs/>
                <w:color w:val="000000" w:themeColor="text1"/>
                <w:sz w:val="24"/>
              </w:rPr>
              <w:t>项目</w:t>
            </w:r>
            <w:r>
              <w:rPr>
                <w:rFonts w:ascii="Times New Roman" w:hAnsi="Times New Roman" w:cs="Times New Roman"/>
                <w:bCs/>
                <w:color w:val="000000" w:themeColor="text1"/>
                <w:sz w:val="24"/>
                <w:szCs w:val="24"/>
              </w:rPr>
              <w:t>贮存区。该项目委托具有危险废物运输资质的单位承担危险废物收运任务。</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rPr>
              <w:t>②入库检查</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rPr>
              <w:t>各类</w:t>
            </w:r>
            <w:r>
              <w:rPr>
                <w:rFonts w:ascii="Times New Roman" w:hAnsi="Times New Roman" w:cs="Times New Roman"/>
                <w:bCs/>
                <w:color w:val="000000" w:themeColor="text1"/>
                <w:sz w:val="24"/>
                <w:szCs w:val="24"/>
              </w:rPr>
              <w:t>危险废物运输</w:t>
            </w:r>
            <w:r>
              <w:rPr>
                <w:rFonts w:ascii="Times New Roman" w:hAnsi="Times New Roman" w:cs="Times New Roman"/>
                <w:bCs/>
                <w:color w:val="000000" w:themeColor="text1"/>
                <w:sz w:val="24"/>
              </w:rPr>
              <w:t>至项目厂区</w:t>
            </w:r>
            <w:r>
              <w:rPr>
                <w:rFonts w:ascii="Times New Roman" w:hAnsi="Times New Roman" w:cs="Times New Roman"/>
                <w:bCs/>
                <w:color w:val="000000" w:themeColor="text1"/>
                <w:sz w:val="24"/>
                <w:szCs w:val="24"/>
              </w:rPr>
              <w:t>后，入库前应进行检验，核实危险废物转移联单与预定接收的危险废物是否一致，不符合要求的退回原单位。</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③卸车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经检验符合贮存要求的危险废物，由运输车辆直接送至库房装卸区，进行卸车</w:t>
            </w:r>
            <w:r>
              <w:rPr>
                <w:rFonts w:ascii="Times New Roman" w:hAnsi="Times New Roman" w:cs="Times New Roman"/>
                <w:bCs/>
                <w:color w:val="000000" w:themeColor="text1"/>
                <w:sz w:val="24"/>
              </w:rPr>
              <w:t>。</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④登记入库</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卸车后进行计重，并及时按照要求进行登记，办理危险废物入库手续填写危险废物入库单，按照危险废物来源、类别、数量、特性、入场时间等信息进行详细记录。同时在入库暂存位置放置信息明确的记录牌或记录表。</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⑤分类贮存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各危险废物按照危险废物的种类和特性分区贮存，入库与转运出库的包装方式不变，固态危险废物仍以桶装或袋装暂存，液态和半固态危险废物仍以桶装保存，不拆包装、不倒罐。</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⑥委托处置</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szCs w:val="24"/>
              </w:rPr>
              <w:t>项目根据收集的危险废物的类别、特性，提前与有危险废物处理资质的单位签订危险废物的最终处置合同。该项目针对部分危险废物在库房内可能进行合并打包，将同一类别的多个小包装至于大包装中，以便于转运的需要，但均不拆包、不倒罐。具体打包要求按照危险废物最终处置单位提供的包装要求进行操作。</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rPr>
              <w:t>⑦出库登记</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szCs w:val="24"/>
              </w:rPr>
              <w:t>当暂存的危险废物达到一定数量时，办理转移联单，将其转运至有危险废物</w:t>
            </w:r>
            <w:r>
              <w:rPr>
                <w:rFonts w:ascii="Times New Roman" w:hAnsi="Times New Roman" w:cs="Times New Roman"/>
                <w:bCs/>
                <w:color w:val="000000" w:themeColor="text1"/>
                <w:sz w:val="24"/>
              </w:rPr>
              <w:t>处理</w:t>
            </w:r>
            <w:r>
              <w:rPr>
                <w:rFonts w:ascii="Times New Roman" w:hAnsi="Times New Roman" w:cs="Times New Roman"/>
                <w:bCs/>
                <w:color w:val="000000" w:themeColor="text1"/>
                <w:sz w:val="24"/>
                <w:szCs w:val="24"/>
              </w:rPr>
              <w:t>资质的单位进行处置</w:t>
            </w:r>
            <w:r>
              <w:rPr>
                <w:rFonts w:ascii="Times New Roman" w:hAnsi="Times New Roman" w:cs="Times New Roman"/>
                <w:bCs/>
                <w:color w:val="000000" w:themeColor="text1"/>
                <w:sz w:val="24"/>
              </w:rPr>
              <w:t>（</w:t>
            </w:r>
            <w:r>
              <w:rPr>
                <w:rFonts w:ascii="Times New Roman" w:hAnsi="Times New Roman" w:cs="Times New Roman"/>
                <w:bCs/>
                <w:color w:val="000000" w:themeColor="text1"/>
                <w:sz w:val="24"/>
                <w:szCs w:val="24"/>
              </w:rPr>
              <w:t>收集、贮存的危险废物与包装桶/袋一并交处置单位妥善处置</w:t>
            </w:r>
            <w:r>
              <w:rPr>
                <w:rFonts w:ascii="Times New Roman" w:hAnsi="Times New Roman" w:cs="Times New Roman"/>
                <w:bCs/>
                <w:color w:val="000000" w:themeColor="text1"/>
                <w:sz w:val="24"/>
              </w:rPr>
              <w:t>），各类危险废物称重出库后进行出库登记。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w:t>
            </w:r>
            <w:r>
              <w:rPr>
                <w:rFonts w:ascii="Times New Roman" w:hAnsi="Times New Roman" w:cs="Times New Roman"/>
                <w:bCs/>
                <w:color w:val="000000" w:themeColor="text1"/>
                <w:sz w:val="24"/>
              </w:rPr>
              <w:t>出库后的</w:t>
            </w:r>
            <w:r>
              <w:rPr>
                <w:rFonts w:ascii="Times New Roman" w:hAnsi="Times New Roman" w:cs="Times New Roman"/>
                <w:bCs/>
                <w:color w:val="000000" w:themeColor="text1"/>
                <w:sz w:val="24"/>
                <w:szCs w:val="24"/>
              </w:rPr>
              <w:t>运输过程</w:t>
            </w:r>
            <w:r>
              <w:rPr>
                <w:rFonts w:ascii="Times New Roman" w:hAnsi="Times New Roman" w:cs="Times New Roman"/>
                <w:bCs/>
                <w:color w:val="000000" w:themeColor="text1"/>
                <w:sz w:val="24"/>
              </w:rPr>
              <w:t>由处置单位</w:t>
            </w:r>
            <w:r>
              <w:rPr>
                <w:rFonts w:ascii="Times New Roman" w:hAnsi="Times New Roman" w:cs="Times New Roman"/>
                <w:bCs/>
                <w:color w:val="000000" w:themeColor="text1"/>
                <w:sz w:val="24"/>
                <w:szCs w:val="24"/>
              </w:rPr>
              <w:t>委托具有危险废物运输资质的单位进行</w:t>
            </w:r>
            <w:r>
              <w:rPr>
                <w:rFonts w:ascii="Times New Roman" w:hAnsi="Times New Roman" w:cs="Times New Roman"/>
                <w:bCs/>
                <w:color w:val="000000" w:themeColor="text1"/>
                <w:sz w:val="24"/>
              </w:rPr>
              <w:t>运输</w:t>
            </w:r>
            <w:r>
              <w:rPr>
                <w:rFonts w:ascii="Times New Roman" w:hAnsi="Times New Roman" w:cs="Times New Roman"/>
                <w:bCs/>
                <w:color w:val="000000" w:themeColor="text1"/>
                <w:sz w:val="24"/>
                <w:szCs w:val="24"/>
              </w:rPr>
              <w:t>。该项目不涉及转运容器及运输车辆的清洗</w:t>
            </w:r>
            <w:r>
              <w:rPr>
                <w:rFonts w:ascii="Times New Roman" w:hAnsi="Times New Roman" w:cs="Times New Roman"/>
                <w:bCs/>
                <w:color w:val="000000" w:themeColor="text1"/>
                <w:sz w:val="24"/>
              </w:rPr>
              <w:t>，各类清洗</w:t>
            </w:r>
            <w:r>
              <w:rPr>
                <w:rFonts w:ascii="Times New Roman" w:hAnsi="Times New Roman" w:cs="Times New Roman"/>
                <w:bCs/>
                <w:color w:val="000000" w:themeColor="text1"/>
                <w:sz w:val="24"/>
                <w:szCs w:val="24"/>
              </w:rPr>
              <w:t>均由具有危险废物运输资质的车辆单位统一委托具有处理资质单位进行清洗。</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收运要求：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危险废物收集、贮存、运输技术规范》（HJ2025-2012）中相关规定，在危险废物产生源头应做好分类工作，并在危险废物收集、贮存、运输时按腐蚀性、毒性、易燃性、反应性和感染性等危险特性对废物进行分类、包装并设置相应的标志及标签。如遇贮存危险废物容器破裂，应及时清理危险废物并更换贮存容器。在与企业签定收运合同时，不得超出公司收运危险废物类别范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委托具备危险废物运输资质的公司承担危险废物收运任务，采用专用危险废物运输车辆进行密闭运输，运输路线尽量避开人口密集区、饮用水源保护区等环境敏感区。危险废物统一收集后按计划好的线路运输至该项目所在地暂存。该项目不配备运输车辆，所有危险废物运输车辆不得作为它用。危险废物收运前，应对运输车况进行详细检查，确保运输安全。危险废物收运时，建设单位派出管理人员随同，严格按照建设单位与产废单位达成的废物处置协议内容进行收运，不在协议范围内或与协议约定内容不一致的废物拒绝收运。</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危险废物源头分类、包装要求：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该项目危险废物收集情况，按照《危险废物收集、贮存、运输技术规范》（HJ2025-2012）中相关要求；危险废物收集、贮存、运输时按腐蚀性、毒性、易燃性、反应性等危险特性对废物进行分类、包装，并设置相应的标志及标签。根据危险废物的种类、数量、危险特性、物理形态、运输要求等因素确定包装形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危险废物产生单位将危险废物存放于相应的容器内（贮存容器由项目建设单位提供或由建设单位确定贮存容器）。危险废物移交过程依照《危险废物转移联单管理办法》中的要求，严格执行危险废物转移联单管理制度。转运车每车每次</w:t>
            </w:r>
            <w:r>
              <w:rPr>
                <w:rFonts w:ascii="Times New Roman" w:hAnsi="Times New Roman" w:cs="Times New Roman"/>
                <w:bCs/>
                <w:color w:val="000000" w:themeColor="text1"/>
                <w:sz w:val="24"/>
              </w:rPr>
              <w:t>运输</w:t>
            </w:r>
            <w:r>
              <w:rPr>
                <w:rFonts w:ascii="Times New Roman" w:hAnsi="Times New Roman" w:cs="Times New Roman"/>
                <w:bCs/>
                <w:color w:val="000000" w:themeColor="text1"/>
                <w:sz w:val="24"/>
                <w:szCs w:val="24"/>
              </w:rPr>
              <w:t>的危险废物采用《危险废物</w:t>
            </w:r>
            <w:r>
              <w:rPr>
                <w:rFonts w:ascii="Times New Roman" w:hAnsi="Times New Roman" w:cs="Times New Roman"/>
                <w:bCs/>
                <w:color w:val="000000" w:themeColor="text1"/>
                <w:sz w:val="24"/>
              </w:rPr>
              <w:t>运输</w:t>
            </w:r>
            <w:r>
              <w:rPr>
                <w:rFonts w:ascii="Times New Roman" w:hAnsi="Times New Roman" w:cs="Times New Roman"/>
                <w:bCs/>
                <w:color w:val="000000" w:themeColor="text1"/>
                <w:sz w:val="24"/>
                <w:szCs w:val="24"/>
              </w:rPr>
              <w:t>登记卡》管理，一车一卡，由企业危险废物管理人员交接时填写并签字。</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危险废物转运要求：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危险废物转运委托具备危险废物运输资质的公司采用专用危险废物运输车辆进行密闭运输，运输路线尽量避开人口密集区、饮用水源保护区等环境敏感区。危险废物暂存结束后按照规定的路线运输至有危险废物处置资质单位进行最终处置。</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rPr>
              <w:t>该项目运输</w:t>
            </w:r>
            <w:r>
              <w:rPr>
                <w:rFonts w:ascii="Times New Roman" w:hAnsi="Times New Roman" w:cs="Times New Roman"/>
                <w:bCs/>
                <w:color w:val="000000" w:themeColor="text1"/>
                <w:sz w:val="24"/>
                <w:szCs w:val="24"/>
              </w:rPr>
              <w:t>车辆严格按照《汽车运输危险货物规则》（JT 617-2004）执行严格执行联单制度以及有关管理制度，每车必须过磅，专职司机，专车专用，车辆选用密闭式，车辆配备GPS、阻火装置和事故报警装置，并应设置危险警示标志，车厢要定期清理，不得掺入杂物，车轮要定期清洗，保持清洁。杜绝危险废物异味外溢污染周边环境，并制定专项事故应急预案。</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2.8.1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该项目利用昆明旭鑫环保科技有限公司原料暂存库项目中1000m²区域进行建设，厂区主体工程不存在施工期，本次施工期建设内容主要</w:t>
            </w:r>
            <w:r>
              <w:rPr>
                <w:rFonts w:hint="eastAsia" w:ascii="Times New Roman" w:hAnsi="Times New Roman" w:cs="Times New Roman"/>
                <w:bCs/>
                <w:color w:val="000000" w:themeColor="text1"/>
                <w:sz w:val="24"/>
                <w:szCs w:val="24"/>
              </w:rPr>
              <w:t>包括：贮存区隔档建设、安装</w:t>
            </w:r>
            <w:r>
              <w:rPr>
                <w:rFonts w:ascii="Times New Roman" w:hAnsi="Times New Roman" w:cs="Times New Roman"/>
                <w:bCs/>
                <w:color w:val="000000" w:themeColor="text1"/>
                <w:sz w:val="24"/>
                <w:szCs w:val="24"/>
              </w:rPr>
              <w:t>警报系统</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负压收集系统</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废气处理装置</w:t>
            </w:r>
            <w:r>
              <w:rPr>
                <w:rFonts w:hint="eastAsia" w:ascii="Times New Roman" w:hAnsi="Times New Roman" w:cs="Times New Roman"/>
                <w:bCs/>
                <w:color w:val="000000" w:themeColor="text1"/>
                <w:sz w:val="24"/>
                <w:szCs w:val="24"/>
              </w:rPr>
              <w:t>、排气筒、</w:t>
            </w:r>
            <w:r>
              <w:rPr>
                <w:rFonts w:ascii="Times New Roman" w:hAnsi="Times New Roman" w:cs="Times New Roman"/>
                <w:bCs/>
                <w:color w:val="000000" w:themeColor="text1"/>
                <w:sz w:val="24"/>
                <w:szCs w:val="24"/>
              </w:rPr>
              <w:t>导流渠</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渗滤液收集池</w:t>
            </w:r>
            <w:r>
              <w:rPr>
                <w:rFonts w:hint="eastAsia" w:ascii="Times New Roman" w:hAnsi="Times New Roman" w:cs="Times New Roman"/>
                <w:bCs/>
                <w:color w:val="000000" w:themeColor="text1"/>
                <w:sz w:val="24"/>
                <w:szCs w:val="24"/>
              </w:rPr>
              <w:t>及其防渗工程等环保设施建设。</w:t>
            </w:r>
            <w:r>
              <w:rPr>
                <w:rFonts w:ascii="Times New Roman" w:hAnsi="Times New Roman" w:cs="Times New Roman"/>
                <w:bCs/>
                <w:color w:val="000000" w:themeColor="text1"/>
                <w:sz w:val="24"/>
                <w:szCs w:val="24"/>
              </w:rPr>
              <w:t>施工期产污环节包括施工废气、施工噪声、施工固废等。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根据项目贮存的危险废物类别分析，该项目产生的主要废气污染物为有机废气（非甲烷总烃）、酸性废气（HCl）、恶臭废气（氨、硫化氢和臭气浓度）。</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根据项目工程内容及生产工艺，该项目碱喷淋废液按危险废物处理，无生产废水外排。无生活废水外排，仅有初期雨水。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根据项目工程内容及生产工艺，项目噪声污染源主要为设备噪声。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根据项目工程内容及生产工艺，该项目无生活设施，因此无生活固废产生，项目产生的固体废物包括：渗滤液、废劳保用品、废包装物、废活性炭和碱喷淋废液。</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vAlign w:val="center"/>
          </w:tcPr>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拟利用昆明旭鑫环保科技有限公司原料暂存库项目中1000m²区域开展小微企业危险废物收集试点东川网点项目建设，现有项目昆明旭鑫环保科技有限公司原料暂存库项目为昆明旭鑫环保科技有限公司运营的“铋冶炼综合回收车间、电解车间建设工程”提供原料贮存场所，由于该现有工程为单独立项、单独办理环保手续的建设项目</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且本次改建项目其主要目的为对试点单位服务区域内小微企业危险废物集中转运处置，改建项目和“铋冶炼综合回收车间、电解车间建设工程”无任何关系，因此本次环评仅不对“铋冶炼综合回收车间、电解车间建设工程”进行分析，仅对昆明旭鑫环保科技有限公司原料暂存库项目进行见到描述，现有项目基本情况如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现有项目环保手续办理情况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现有项目名称为“昆明旭鑫环保科技有限公司原料暂存库项目”，昆明旭鑫环保科技有限公司原料暂存库项目为昆明旭鑫环保科技有限公司运营的“铋冶炼综合回收车间、电解车间建设工程”配套的原料库项目，但该项目单独办理了相关环保手续，现有项目环保手续办理情况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表2.9-1 现有项目环保手续办理情况一览表</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1188"/>
              <w:gridCol w:w="5954"/>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 w:hRule="atLeast"/>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序号</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手续名称</w:t>
                  </w:r>
                </w:p>
              </w:tc>
              <w:tc>
                <w:tcPr>
                  <w:tcW w:w="595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办理情况</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是否满足要求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立项</w:t>
                  </w:r>
                </w:p>
              </w:tc>
              <w:tc>
                <w:tcPr>
                  <w:tcW w:w="595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现有项目于2020年11月30日取得东川区发展和改革局的投资项目备案证（项目代码为：2020-</w:t>
                  </w:r>
                  <w:r>
                    <w:rPr>
                      <w:rFonts w:hint="eastAsia" w:eastAsiaTheme="minorEastAsia"/>
                      <w:color w:val="000000" w:themeColor="text1"/>
                      <w:szCs w:val="21"/>
                      <w:lang w:eastAsia="zh-CN"/>
                    </w:rPr>
                    <w:t>******</w:t>
                  </w:r>
                  <w:r>
                    <w:rPr>
                      <w:rFonts w:eastAsiaTheme="minorEastAsia"/>
                      <w:color w:val="000000" w:themeColor="text1"/>
                      <w:szCs w:val="21"/>
                    </w:rPr>
                    <w:t>-59-03-010831）。</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环境影响评价情况</w:t>
                  </w:r>
                </w:p>
              </w:tc>
              <w:tc>
                <w:tcPr>
                  <w:tcW w:w="595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现有项目委托云南黔秀环保科技有限公司于2021年1月编制完成了《昆明旭鑫环保科技有限公司原料暂存库项目环境影响报告表》，并于2021年2月9日取得昆明市生态环境局东川分局《关于对昆明旭鑫环保科技有限公司原料暂存库项目的批复》（昆生环（东）复【2021】2号），</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排污许可证办理情况</w:t>
                  </w:r>
                </w:p>
              </w:tc>
              <w:tc>
                <w:tcPr>
                  <w:tcW w:w="595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建设单位于2019年办理了《云南省排放污染物许可证》（91</w:t>
                  </w:r>
                  <w:r>
                    <w:rPr>
                      <w:rFonts w:hint="eastAsia" w:eastAsiaTheme="minorEastAsia"/>
                      <w:color w:val="000000" w:themeColor="text1"/>
                      <w:szCs w:val="21"/>
                      <w:lang w:eastAsia="zh-CN"/>
                    </w:rPr>
                    <w:t>******</w:t>
                  </w:r>
                  <w:r>
                    <w:rPr>
                      <w:rFonts w:eastAsiaTheme="minorEastAsia"/>
                      <w:color w:val="000000" w:themeColor="text1"/>
                      <w:szCs w:val="21"/>
                    </w:rPr>
                    <w:t>MA6P59AC0001Y）有效期为2019年10月24日-2024年10月24日；又于2022年5月13日取得了新《排污许可证》（证书编号：91</w:t>
                  </w:r>
                  <w:r>
                    <w:rPr>
                      <w:rFonts w:hint="eastAsia" w:eastAsiaTheme="minorEastAsia"/>
                      <w:color w:val="000000" w:themeColor="text1"/>
                      <w:szCs w:val="21"/>
                      <w:lang w:eastAsia="zh-CN"/>
                    </w:rPr>
                    <w:t>******</w:t>
                  </w:r>
                  <w:r>
                    <w:rPr>
                      <w:rFonts w:eastAsiaTheme="minorEastAsia"/>
                      <w:color w:val="000000" w:themeColor="text1"/>
                      <w:szCs w:val="21"/>
                    </w:rPr>
                    <w:t>MA6P59A811001P）有效期为：2022年5月13日至2027年5月12日。</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突发环境事件应急预案办理情况</w:t>
                  </w:r>
                </w:p>
              </w:tc>
              <w:tc>
                <w:tcPr>
                  <w:tcW w:w="595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建设单位主持编制完成了《昆明旭鑫环保科技有限公司突发环境事件应急预案》和《昆明旭鑫环保科技有限公司危险物质突发环境事件专项应急预案》，并于2021年2月22日在昆明市生态环境局东川分局进行了备案（备案编号：</w:t>
                  </w:r>
                  <w:r>
                    <w:rPr>
                      <w:rFonts w:hint="eastAsia" w:eastAsiaTheme="minorEastAsia"/>
                      <w:color w:val="000000" w:themeColor="text1"/>
                      <w:szCs w:val="21"/>
                      <w:lang w:eastAsia="zh-CN"/>
                    </w:rPr>
                    <w:t>******</w:t>
                  </w:r>
                  <w:r>
                    <w:rPr>
                      <w:rFonts w:eastAsiaTheme="minorEastAsia"/>
                      <w:color w:val="000000" w:themeColor="text1"/>
                      <w:szCs w:val="21"/>
                    </w:rPr>
                    <w:t>-2021-001-M）。</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5</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环境保护竣工验收办理情况</w:t>
                  </w:r>
                </w:p>
              </w:tc>
              <w:tc>
                <w:tcPr>
                  <w:tcW w:w="595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现有项目于2021年2月开工建设，2021年7月初建设完成，并于2021年8月20日通过建设单位组织的环境保护竣工自主验收。</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w:t>
                  </w:r>
                </w:p>
              </w:tc>
              <w:tc>
                <w:tcPr>
                  <w:tcW w:w="118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危险废物经营许可证</w:t>
                  </w:r>
                </w:p>
              </w:tc>
              <w:tc>
                <w:tcPr>
                  <w:tcW w:w="595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建设单位已取得《云南省危险废物经营许可证》（证书编号：Y</w:t>
                  </w:r>
                  <w:r>
                    <w:rPr>
                      <w:rFonts w:hint="eastAsia" w:eastAsiaTheme="minorEastAsia"/>
                      <w:color w:val="000000" w:themeColor="text1"/>
                      <w:szCs w:val="21"/>
                      <w:lang w:eastAsia="zh-CN"/>
                    </w:rPr>
                    <w:t>******</w:t>
                  </w:r>
                  <w:r>
                    <w:rPr>
                      <w:rFonts w:eastAsiaTheme="minorEastAsia"/>
                      <w:color w:val="000000" w:themeColor="text1"/>
                      <w:szCs w:val="21"/>
                    </w:rPr>
                    <w:t>0059），有效期为2021年5月10日-2026年5月9日。</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满足</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综上，现有项目环保手续齐全。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现有项目建设内容及规模</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根据调查，现有工程建设面积为3000m²原料暂存库，</w:t>
            </w:r>
            <w:r>
              <w:rPr>
                <w:rFonts w:hint="eastAsia" w:ascii="Times New Roman" w:hAnsi="Times New Roman" w:cs="Times New Roman"/>
                <w:bCs/>
                <w:color w:val="000000" w:themeColor="text1"/>
                <w:sz w:val="24"/>
                <w:szCs w:val="24"/>
              </w:rPr>
              <w:t>该原料库高度为12m，</w:t>
            </w:r>
            <w:r>
              <w:rPr>
                <w:rFonts w:ascii="Times New Roman" w:hAnsi="Times New Roman" w:cs="Times New Roman"/>
                <w:bCs/>
                <w:color w:val="000000" w:themeColor="text1"/>
                <w:sz w:val="24"/>
                <w:szCs w:val="24"/>
              </w:rPr>
              <w:t>对昆明旭鑫环保科技有限公司“铋冶炼综合回收车间、电解车间建设工程”生产所需的铅渣、铋渣等11类危险废物原料（代码为：（304-002-31、384-004-31、321-002-48、321-004-48、321-008-48、321-010-48、321-013-48、321-014-48、321-019-48、321-021-48、321-029-48））进行分类暂存，各类危险废物原料最大暂存量为35000t/a，最大堆存量为5000t，每批原料堆存时间不超过1年。</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 现有项目生产工艺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根据调查，现有项目工艺流程如下如所示。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object>
                <v:shape id="_x0000_i1025" o:spt="75" type="#_x0000_t75" style="height:115.75pt;width:320.4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图2.11-1  项目生产工艺及产污节点示意图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生产工艺简述：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（1）接收</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现有项目作为危险废物原料库项目，建设单位将严格按照《危险废物收集、贮存、运输技术规范》（HJ2025-2012）的要求规范接收原料，仅接收转运手续合法的危险废物原料。项目接收的危险废物均采用胶袋包装完整。并委托有资质的单位运输至项目区内，目前合同期范围内的委托单位包括：云南恒彩物流有限公司、曲靖市马龙区鹏泉运输服务有限公司、昆明锐泽运输有限公司、云南沙巴运输有限公司、红河州向荣国际物流有限公司、兴义市裕泰经贸有限公司等。</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（2）暂存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现有项目</w:t>
            </w:r>
            <w:r>
              <w:rPr>
                <w:rFonts w:ascii="Times New Roman" w:hAnsi="Times New Roman" w:cs="Times New Roman"/>
                <w:color w:val="000000" w:themeColor="text1"/>
                <w:sz w:val="24"/>
                <w:szCs w:val="24"/>
              </w:rPr>
              <w:t>接收包装完好的各类原料，在原料库房进行分类堆码贮存。该原料库堆存量为35000t/a，最大堆存量为5000t。每批原料堆存时间不得超过1年。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（3）拆包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现有项目暂存的原料运输至生产车间后再对原料进行拆包和使用，但也存在直接原料库对其进行拆包后，再运输至生产车间使用，在原料车间拆包量约为总暂存量的30%，贮存</w:t>
            </w:r>
            <w:r>
              <w:rPr>
                <w:rFonts w:hint="eastAsia" w:ascii="Times New Roman" w:hAnsi="Times New Roman" w:cs="Times New Roman"/>
                <w:color w:val="000000" w:themeColor="text1"/>
                <w:sz w:val="24"/>
                <w:szCs w:val="24"/>
              </w:rPr>
              <w:t>的危险废物主要为浸出渣，大部分凝聚成团粒，其</w:t>
            </w:r>
            <w:r>
              <w:rPr>
                <w:rFonts w:ascii="Times New Roman" w:hAnsi="Times New Roman" w:cs="Times New Roman"/>
                <w:color w:val="000000" w:themeColor="text1"/>
                <w:sz w:val="24"/>
                <w:szCs w:val="24"/>
              </w:rPr>
              <w:t>贮存</w:t>
            </w:r>
            <w:r>
              <w:rPr>
                <w:rFonts w:hint="eastAsia" w:ascii="Times New Roman" w:hAnsi="Times New Roman" w:cs="Times New Roman"/>
                <w:color w:val="000000" w:themeColor="text1"/>
                <w:sz w:val="24"/>
                <w:szCs w:val="24"/>
              </w:rPr>
              <w:t>装卸过程产生的</w:t>
            </w:r>
            <w:r>
              <w:rPr>
                <w:rFonts w:ascii="Times New Roman" w:hAnsi="Times New Roman" w:cs="Times New Roman"/>
                <w:color w:val="000000" w:themeColor="text1"/>
                <w:sz w:val="24"/>
                <w:szCs w:val="24"/>
              </w:rPr>
              <w:t>逸散废气</w:t>
            </w:r>
            <w:r>
              <w:rPr>
                <w:rFonts w:hint="eastAsia" w:ascii="Times New Roman" w:hAnsi="Times New Roman" w:cs="Times New Roman"/>
                <w:color w:val="000000" w:themeColor="text1"/>
                <w:sz w:val="24"/>
                <w:szCs w:val="24"/>
              </w:rPr>
              <w:t>极少</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现有项目</w:t>
            </w:r>
            <w:r>
              <w:rPr>
                <w:rFonts w:hint="eastAsia" w:ascii="Times New Roman" w:hAnsi="Times New Roman" w:cs="Times New Roman"/>
                <w:color w:val="000000" w:themeColor="text1"/>
                <w:sz w:val="24"/>
                <w:szCs w:val="24"/>
              </w:rPr>
              <w:t>贮存库如下图所示。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drawing>
                <wp:inline distT="0" distB="0" distL="0" distR="0">
                  <wp:extent cx="2399665" cy="1799590"/>
                  <wp:effectExtent l="19050" t="0" r="510" b="0"/>
                  <wp:docPr id="1" name="图片 5" descr="E:\已完成\验收\9.22方总危险废物库验收\现场照片\IMG_6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已完成\验收\9.22方总危险废物库验收\现场照片\IMG_6153.JPG"/>
                          <pic:cNvPicPr>
                            <a:picLocks noChangeAspect="1" noChangeArrowheads="1"/>
                          </pic:cNvPicPr>
                        </pic:nvPicPr>
                        <pic:blipFill>
                          <a:blip r:embed="rId8" cstate="print"/>
                          <a:srcRect/>
                          <a:stretch>
                            <a:fillRect/>
                          </a:stretch>
                        </pic:blipFill>
                        <pic:spPr>
                          <a:xfrm>
                            <a:off x="0" y="0"/>
                            <a:ext cx="2399790" cy="1800000"/>
                          </a:xfrm>
                          <a:prstGeom prst="rect">
                            <a:avLst/>
                          </a:prstGeom>
                          <a:noFill/>
                          <a:ln w="9525">
                            <a:noFill/>
                            <a:miter lim="800000"/>
                            <a:headEnd/>
                            <a:tailEnd/>
                          </a:ln>
                        </pic:spPr>
                      </pic:pic>
                    </a:graphicData>
                  </a:graphic>
                </wp:inline>
              </w:drawing>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drawing>
                <wp:inline distT="0" distB="0" distL="0" distR="0">
                  <wp:extent cx="2400935" cy="1801495"/>
                  <wp:effectExtent l="19050" t="0" r="0" b="0"/>
                  <wp:docPr id="7" name="图片 7" descr="F:\工作\2东川\2旭鑫小微企业环评\现场照片\IMG_09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工作\2东川\2旭鑫小微企业环评\现场照片\IMG_09490.jpg"/>
                          <pic:cNvPicPr>
                            <a:picLocks noChangeAspect="1" noChangeArrowheads="1"/>
                          </pic:cNvPicPr>
                        </pic:nvPicPr>
                        <pic:blipFill>
                          <a:blip r:embed="rId9" cstate="print"/>
                          <a:srcRect/>
                          <a:stretch>
                            <a:fillRect/>
                          </a:stretch>
                        </pic:blipFill>
                        <pic:spPr>
                          <a:xfrm>
                            <a:off x="0" y="0"/>
                            <a:ext cx="2401200" cy="1801906"/>
                          </a:xfrm>
                          <a:prstGeom prst="rect">
                            <a:avLst/>
                          </a:prstGeom>
                          <a:noFill/>
                          <a:ln w="9525">
                            <a:noFill/>
                            <a:miter lim="800000"/>
                            <a:headEnd/>
                            <a:tailEnd/>
                          </a:ln>
                        </pic:spPr>
                      </pic:pic>
                    </a:graphicData>
                  </a:graphic>
                </wp:inline>
              </w:drawing>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贮存的凝聚成团粒的危险废物                袋装贮存的危险废物</w:t>
            </w:r>
          </w:p>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 现有项目污染物排放情况</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2.12.1 现有项目废气排放情况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根据项目竣工验收报告分析结果，</w:t>
            </w:r>
            <w:r>
              <w:rPr>
                <w:rFonts w:ascii="Times New Roman" w:hAnsi="Times New Roman" w:cs="Times New Roman"/>
                <w:color w:val="000000" w:themeColor="text1"/>
                <w:sz w:val="24"/>
                <w:szCs w:val="24"/>
              </w:rPr>
              <w:t>贮存</w:t>
            </w:r>
            <w:r>
              <w:rPr>
                <w:rFonts w:hint="eastAsia" w:ascii="Times New Roman" w:hAnsi="Times New Roman" w:cs="Times New Roman"/>
                <w:color w:val="000000" w:themeColor="text1"/>
                <w:sz w:val="24"/>
                <w:szCs w:val="24"/>
              </w:rPr>
              <w:t>的危险废物主要为浸出渣，大部分凝聚成团粒，且部分采用吨包贮存，其</w:t>
            </w:r>
            <w:r>
              <w:rPr>
                <w:rFonts w:ascii="Times New Roman" w:hAnsi="Times New Roman" w:cs="Times New Roman"/>
                <w:color w:val="000000" w:themeColor="text1"/>
                <w:sz w:val="24"/>
                <w:szCs w:val="24"/>
              </w:rPr>
              <w:t>贮存</w:t>
            </w:r>
            <w:r>
              <w:rPr>
                <w:rFonts w:hint="eastAsia" w:ascii="Times New Roman" w:hAnsi="Times New Roman" w:cs="Times New Roman"/>
                <w:color w:val="000000" w:themeColor="text1"/>
                <w:sz w:val="24"/>
                <w:szCs w:val="24"/>
              </w:rPr>
              <w:t>装卸过程产生的</w:t>
            </w:r>
            <w:r>
              <w:rPr>
                <w:rFonts w:ascii="Times New Roman" w:hAnsi="Times New Roman" w:cs="Times New Roman"/>
                <w:color w:val="000000" w:themeColor="text1"/>
                <w:sz w:val="24"/>
                <w:szCs w:val="24"/>
              </w:rPr>
              <w:t>逸散废气</w:t>
            </w:r>
            <w:r>
              <w:rPr>
                <w:rFonts w:hint="eastAsia" w:ascii="Times New Roman" w:hAnsi="Times New Roman" w:cs="Times New Roman"/>
                <w:color w:val="000000" w:themeColor="text1"/>
                <w:sz w:val="24"/>
                <w:szCs w:val="24"/>
              </w:rPr>
              <w:t>极少，根据竣工验收监测报告，该监测报告对原料库上风向及下风向监测了颗粒物、铅和硫酸雾，检测出了</w:t>
            </w:r>
            <w:r>
              <w:rPr>
                <w:rFonts w:ascii="Times New Roman" w:hAnsi="Times New Roman" w:cs="Times New Roman"/>
                <w:bCs/>
                <w:color w:val="000000" w:themeColor="text1"/>
                <w:sz w:val="24"/>
                <w:szCs w:val="24"/>
              </w:rPr>
              <w:t>颗粒物、硫酸雾</w:t>
            </w:r>
            <w:r>
              <w:rPr>
                <w:rFonts w:hint="eastAsia" w:ascii="Times New Roman" w:hAnsi="Times New Roman" w:cs="Times New Roman"/>
                <w:bCs/>
                <w:color w:val="000000" w:themeColor="text1"/>
                <w:sz w:val="24"/>
                <w:szCs w:val="24"/>
              </w:rPr>
              <w:t>，未检测出铅，因此</w:t>
            </w:r>
            <w:r>
              <w:rPr>
                <w:rFonts w:ascii="Times New Roman" w:hAnsi="Times New Roman" w:cs="Times New Roman"/>
                <w:bCs/>
                <w:color w:val="000000" w:themeColor="text1"/>
                <w:sz w:val="24"/>
                <w:szCs w:val="24"/>
              </w:rPr>
              <w:t>逸散废气</w:t>
            </w:r>
            <w:r>
              <w:rPr>
                <w:rFonts w:hint="eastAsia" w:ascii="Times New Roman" w:hAnsi="Times New Roman" w:cs="Times New Roman"/>
                <w:bCs/>
                <w:color w:val="000000" w:themeColor="text1"/>
                <w:sz w:val="24"/>
                <w:szCs w:val="24"/>
              </w:rPr>
              <w:t>的主要成分为</w:t>
            </w:r>
            <w:r>
              <w:rPr>
                <w:rFonts w:ascii="Times New Roman" w:hAnsi="Times New Roman" w:cs="Times New Roman"/>
                <w:bCs/>
                <w:color w:val="000000" w:themeColor="text1"/>
                <w:sz w:val="24"/>
                <w:szCs w:val="24"/>
              </w:rPr>
              <w:t>（颗粒物</w:t>
            </w:r>
            <w:r>
              <w:rPr>
                <w:rFonts w:hint="eastAsia" w:ascii="Times New Roman" w:hAnsi="Times New Roman" w:cs="Times New Roman"/>
                <w:bCs/>
                <w:color w:val="000000" w:themeColor="text1"/>
                <w:sz w:val="24"/>
                <w:szCs w:val="24"/>
              </w:rPr>
              <w:t>和</w:t>
            </w:r>
            <w:r>
              <w:rPr>
                <w:rFonts w:ascii="Times New Roman" w:hAnsi="Times New Roman" w:cs="Times New Roman"/>
                <w:bCs/>
                <w:color w:val="000000" w:themeColor="text1"/>
                <w:sz w:val="24"/>
                <w:szCs w:val="24"/>
              </w:rPr>
              <w:t>硫酸雾），现有项目废气污染物排放源产排情况如下表所示。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表2.12.1-2  现有项目废气污染物排放源产排量及达标情况一览表</w:t>
            </w:r>
          </w:p>
          <w:tbl>
            <w:tblPr>
              <w:tblStyle w:val="19"/>
              <w:tblW w:w="87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6"/>
              <w:gridCol w:w="860"/>
              <w:gridCol w:w="1145"/>
              <w:gridCol w:w="858"/>
              <w:gridCol w:w="2290"/>
              <w:gridCol w:w="1288"/>
              <w:gridCol w:w="744"/>
              <w:gridCol w:w="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Merge w:val="restart"/>
                  <w:vAlign w:val="center"/>
                </w:tcPr>
                <w:p>
                  <w:pPr>
                    <w:pStyle w:val="29"/>
                    <w:spacing w:line="360" w:lineRule="exact"/>
                    <w:rPr>
                      <w:color w:val="000000" w:themeColor="text1"/>
                      <w:szCs w:val="21"/>
                    </w:rPr>
                  </w:pPr>
                  <w:r>
                    <w:rPr>
                      <w:color w:val="000000" w:themeColor="text1"/>
                      <w:szCs w:val="21"/>
                    </w:rPr>
                    <w:t>产排污环节</w:t>
                  </w:r>
                </w:p>
              </w:tc>
              <w:tc>
                <w:tcPr>
                  <w:tcW w:w="860" w:type="dxa"/>
                  <w:vMerge w:val="restart"/>
                  <w:vAlign w:val="center"/>
                </w:tcPr>
                <w:p>
                  <w:pPr>
                    <w:pStyle w:val="29"/>
                    <w:spacing w:line="360" w:lineRule="exact"/>
                    <w:rPr>
                      <w:color w:val="000000" w:themeColor="text1"/>
                      <w:szCs w:val="21"/>
                    </w:rPr>
                  </w:pPr>
                  <w:r>
                    <w:rPr>
                      <w:color w:val="000000" w:themeColor="text1"/>
                      <w:szCs w:val="21"/>
                    </w:rPr>
                    <w:t>污染物种类</w:t>
                  </w:r>
                </w:p>
              </w:tc>
              <w:tc>
                <w:tcPr>
                  <w:tcW w:w="2003" w:type="dxa"/>
                  <w:gridSpan w:val="2"/>
                  <w:tcBorders>
                    <w:left w:val="single" w:color="auto" w:sz="4" w:space="0"/>
                  </w:tcBorders>
                  <w:vAlign w:val="center"/>
                </w:tcPr>
                <w:p>
                  <w:pPr>
                    <w:pStyle w:val="29"/>
                    <w:spacing w:line="360" w:lineRule="exact"/>
                    <w:rPr>
                      <w:color w:val="000000" w:themeColor="text1"/>
                      <w:szCs w:val="21"/>
                    </w:rPr>
                  </w:pPr>
                  <w:r>
                    <w:rPr>
                      <w:color w:val="000000" w:themeColor="text1"/>
                      <w:szCs w:val="21"/>
                    </w:rPr>
                    <w:t>污染物产生量</w:t>
                  </w:r>
                </w:p>
              </w:tc>
              <w:tc>
                <w:tcPr>
                  <w:tcW w:w="229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污染治理措施</w:t>
                  </w:r>
                </w:p>
              </w:tc>
              <w:tc>
                <w:tcPr>
                  <w:tcW w:w="2032" w:type="dxa"/>
                  <w:gridSpan w:val="2"/>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污染物排放量</w:t>
                  </w:r>
                </w:p>
              </w:tc>
              <w:tc>
                <w:tcPr>
                  <w:tcW w:w="766" w:type="dxa"/>
                  <w:vMerge w:val="restart"/>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排放方式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Merge w:val="continue"/>
                  <w:vAlign w:val="center"/>
                </w:tcPr>
                <w:p>
                  <w:pPr>
                    <w:pStyle w:val="29"/>
                    <w:spacing w:line="360" w:lineRule="exact"/>
                    <w:rPr>
                      <w:color w:val="000000" w:themeColor="text1"/>
                      <w:szCs w:val="21"/>
                    </w:rPr>
                  </w:pPr>
                </w:p>
              </w:tc>
              <w:tc>
                <w:tcPr>
                  <w:tcW w:w="860" w:type="dxa"/>
                  <w:vMerge w:val="continue"/>
                  <w:vAlign w:val="center"/>
                </w:tcPr>
                <w:p>
                  <w:pPr>
                    <w:pStyle w:val="29"/>
                    <w:spacing w:line="360" w:lineRule="exact"/>
                    <w:rPr>
                      <w:color w:val="000000" w:themeColor="text1"/>
                      <w:szCs w:val="21"/>
                    </w:rPr>
                  </w:pPr>
                </w:p>
              </w:tc>
              <w:tc>
                <w:tcPr>
                  <w:tcW w:w="1145"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产生浓度mg/m³</w:t>
                  </w:r>
                </w:p>
              </w:tc>
              <w:tc>
                <w:tcPr>
                  <w:tcW w:w="85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产生量t/a</w:t>
                  </w:r>
                </w:p>
              </w:tc>
              <w:tc>
                <w:tcPr>
                  <w:tcW w:w="2290" w:type="dxa"/>
                  <w:vMerge w:val="continue"/>
                  <w:tcBorders>
                    <w:right w:val="single" w:color="auto" w:sz="4" w:space="0"/>
                  </w:tcBorders>
                  <w:vAlign w:val="center"/>
                </w:tcPr>
                <w:p>
                  <w:pPr>
                    <w:pStyle w:val="29"/>
                    <w:rPr>
                      <w:bCs w:val="0"/>
                      <w:color w:val="000000" w:themeColor="text1"/>
                    </w:rPr>
                  </w:pPr>
                </w:p>
              </w:tc>
              <w:tc>
                <w:tcPr>
                  <w:tcW w:w="1288"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排放浓度mg/m³</w:t>
                  </w:r>
                </w:p>
              </w:tc>
              <w:tc>
                <w:tcPr>
                  <w:tcW w:w="744"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排放量t/a</w:t>
                  </w:r>
                </w:p>
              </w:tc>
              <w:tc>
                <w:tcPr>
                  <w:tcW w:w="76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Merge w:val="restart"/>
                  <w:vAlign w:val="center"/>
                </w:tcPr>
                <w:p>
                  <w:pPr>
                    <w:pStyle w:val="29"/>
                    <w:spacing w:line="360" w:lineRule="exact"/>
                    <w:rPr>
                      <w:color w:val="000000" w:themeColor="text1"/>
                      <w:szCs w:val="21"/>
                    </w:rPr>
                  </w:pPr>
                  <w:r>
                    <w:rPr>
                      <w:color w:val="000000" w:themeColor="text1"/>
                      <w:szCs w:val="21"/>
                    </w:rPr>
                    <w:t>贮存</w:t>
                  </w:r>
                </w:p>
              </w:tc>
              <w:tc>
                <w:tcPr>
                  <w:tcW w:w="860"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w:t>
                  </w:r>
                </w:p>
              </w:tc>
              <w:tc>
                <w:tcPr>
                  <w:tcW w:w="1145"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85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少量</w:t>
                  </w:r>
                </w:p>
              </w:tc>
              <w:tc>
                <w:tcPr>
                  <w:tcW w:w="2290" w:type="dxa"/>
                  <w:vMerge w:val="restart"/>
                  <w:vAlign w:val="center"/>
                </w:tcPr>
                <w:p>
                  <w:pPr>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根据调查，项目原料库已全部采用彩钢瓦进行了全封闭，可满足“防风、防雨、防晒”要求。同时顶棚采取了错位设计，满足一定的通风条件，保证其室内的空气环境。</w:t>
                  </w:r>
                </w:p>
              </w:tc>
              <w:tc>
                <w:tcPr>
                  <w:tcW w:w="1288"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0.31</w:t>
                  </w:r>
                </w:p>
              </w:tc>
              <w:tc>
                <w:tcPr>
                  <w:tcW w:w="744"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少量</w:t>
                  </w:r>
                </w:p>
              </w:tc>
              <w:tc>
                <w:tcPr>
                  <w:tcW w:w="766" w:type="dxa"/>
                  <w:vMerge w:val="restart"/>
                  <w:tcBorders>
                    <w:top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无组织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Merge w:val="continue"/>
                  <w:vAlign w:val="center"/>
                </w:tcPr>
                <w:p>
                  <w:pPr>
                    <w:pStyle w:val="29"/>
                    <w:spacing w:line="360" w:lineRule="exact"/>
                    <w:rPr>
                      <w:color w:val="000000" w:themeColor="text1"/>
                      <w:szCs w:val="21"/>
                    </w:rPr>
                  </w:pPr>
                </w:p>
              </w:tc>
              <w:tc>
                <w:tcPr>
                  <w:tcW w:w="860" w:type="dxa"/>
                  <w:tcBorders>
                    <w:bottom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硫酸雾</w:t>
                  </w:r>
                </w:p>
              </w:tc>
              <w:tc>
                <w:tcPr>
                  <w:tcW w:w="1145"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85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少量</w:t>
                  </w:r>
                </w:p>
              </w:tc>
              <w:tc>
                <w:tcPr>
                  <w:tcW w:w="2290" w:type="dxa"/>
                  <w:vMerge w:val="continue"/>
                  <w:tcBorders>
                    <w:bottom w:val="single" w:color="auto" w:sz="4" w:space="0"/>
                  </w:tcBorders>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p>
              </w:tc>
              <w:tc>
                <w:tcPr>
                  <w:tcW w:w="1288" w:type="dxa"/>
                  <w:tcBorders>
                    <w:top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0.128</w:t>
                  </w:r>
                </w:p>
              </w:tc>
              <w:tc>
                <w:tcPr>
                  <w:tcW w:w="744" w:type="dxa"/>
                  <w:tcBorders>
                    <w:top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少量</w:t>
                  </w:r>
                </w:p>
              </w:tc>
              <w:tc>
                <w:tcPr>
                  <w:tcW w:w="766" w:type="dxa"/>
                  <w:vMerge w:val="continue"/>
                  <w:tcBorders>
                    <w:right w:val="single" w:color="auto" w:sz="4" w:space="0"/>
                  </w:tcBorders>
                  <w:vAlign w:val="center"/>
                </w:tcPr>
                <w:p>
                  <w:pPr>
                    <w:pStyle w:val="29"/>
                    <w:spacing w:line="360" w:lineRule="exact"/>
                    <w:rPr>
                      <w:color w:val="000000" w:themeColor="text1"/>
                      <w:szCs w:val="21"/>
                    </w:rPr>
                  </w:pP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由上表可知，项目无组织排放废气可达到《大气污染物综合排放标准》（GB</w:t>
            </w:r>
            <w:r>
              <w:rPr>
                <w:rFonts w:hint="eastAsia"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rPr>
              <w:t>-1996）中表2无组织排放监控浓度限值；即：颗粒物＜1.0mg/m³、硫酸雾＜1.2mg/m³。</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2.12.2 现有项目废水排放情况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根据项目竣工验收报告分析结果，现有项目无废水产生及外排。现有项目主要废水为初期雨水，</w:t>
            </w:r>
            <w:r>
              <w:rPr>
                <w:rFonts w:ascii="Times New Roman" w:hAnsi="Times New Roman" w:cs="Times New Roman"/>
                <w:color w:val="000000" w:themeColor="text1"/>
                <w:sz w:val="24"/>
                <w:szCs w:val="24"/>
              </w:rPr>
              <w:t>现有厂区的初期雨水项目区初期雨水产生量按下述公式进行计算：</w:t>
            </w:r>
          </w:p>
          <w:p>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Qm=F·Hm·Ψ÷1000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式中：Qm：最大径流量（m³）；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F：汇水面积（m²）；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Hm：降雨量（mm）；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Ψ：径流系数，取0.9；</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汇水面积取雨水直接落到地面上的占地面积，该项目厂区内区域可能受污染区的占地面积约4410m²，考虑到项目区场地的硬化程度，径流系数取0.9。该区30年一遇最大日降雨量153.3mm，经计算项目区最大日雨水量为608.44m³，初期雨水按暴雨前2h计，经计算，项目初期雨水产生量约为51.2m³/次，初期雨水的主要污染物为CODcr和SS，CODcr产生浓度约60mg/L、SS产生浓度约400mg/L。根据调查，厂区内已设置了雨水沟和在厂区东北侧地势最低处建设了1座容积为680m³初期雨水收集池。初期雨水收集疏导后进入初期雨水收集池并处理后回用于厂区生产，根据多年生产情况，初期雨水可完全回用，不外排，后期雨水排入园区雨水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2.12.3 现有项目噪声排放情况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根据项目竣工验收报告分析结果，项目正常运营期间，现有项目噪声监测结果情况如下表所示。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表2.12.3-1  现有项目厂界噪声监测结果表   单位：</w:t>
            </w:r>
            <w:bookmarkStart w:id="26" w:name="OLE_LINK18"/>
            <w:bookmarkStart w:id="27" w:name="OLE_LINK7"/>
            <w:r>
              <w:rPr>
                <w:rFonts w:ascii="Times New Roman" w:hAnsi="Times New Roman" w:eastAsia="宋体" w:cs="Times New Roman"/>
                <w:b/>
                <w:color w:val="000000" w:themeColor="text1"/>
              </w:rPr>
              <w:t>dB（A）</w:t>
            </w:r>
            <w:bookmarkEnd w:id="26"/>
            <w:bookmarkEnd w:id="27"/>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32"/>
              <w:gridCol w:w="863"/>
              <w:gridCol w:w="867"/>
              <w:gridCol w:w="867"/>
              <w:gridCol w:w="867"/>
              <w:gridCol w:w="867"/>
              <w:gridCol w:w="86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08" w:type="dxa"/>
                  <w:vMerge w:val="restart"/>
                  <w:tcBorders>
                    <w:tl2br w:val="single" w:color="auto" w:sz="4" w:space="0"/>
                  </w:tcBorders>
                  <w:shd w:val="clear" w:color="auto" w:fill="auto"/>
                  <w:vAlign w:val="center"/>
                </w:tcPr>
                <w:p>
                  <w:pPr>
                    <w:pStyle w:val="29"/>
                    <w:spacing w:line="360" w:lineRule="exact"/>
                    <w:rPr>
                      <w:color w:val="000000" w:themeColor="text1"/>
                      <w:szCs w:val="21"/>
                    </w:rPr>
                  </w:pPr>
                  <w:r>
                    <w:rPr>
                      <w:color w:val="000000" w:themeColor="text1"/>
                      <w:szCs w:val="21"/>
                    </w:rPr>
                    <w:t xml:space="preserve">     检测点位</w:t>
                  </w:r>
                </w:p>
                <w:p>
                  <w:pPr>
                    <w:pStyle w:val="29"/>
                    <w:spacing w:line="360" w:lineRule="exact"/>
                    <w:jc w:val="left"/>
                    <w:rPr>
                      <w:color w:val="000000" w:themeColor="text1"/>
                      <w:szCs w:val="21"/>
                    </w:rPr>
                  </w:pPr>
                  <w:r>
                    <w:rPr>
                      <w:color w:val="000000" w:themeColor="text1"/>
                      <w:szCs w:val="21"/>
                    </w:rPr>
                    <w:t>检测时段</w:t>
                  </w:r>
                </w:p>
              </w:tc>
              <w:tc>
                <w:tcPr>
                  <w:tcW w:w="983" w:type="dxa"/>
                  <w:shd w:val="clear" w:color="auto" w:fill="auto"/>
                  <w:vAlign w:val="center"/>
                </w:tcPr>
                <w:p>
                  <w:pPr>
                    <w:pStyle w:val="29"/>
                    <w:spacing w:line="360" w:lineRule="exact"/>
                    <w:rPr>
                      <w:color w:val="000000" w:themeColor="text1"/>
                      <w:szCs w:val="21"/>
                    </w:rPr>
                  </w:pPr>
                  <w:r>
                    <w:rPr>
                      <w:color w:val="000000" w:themeColor="text1"/>
                      <w:szCs w:val="21"/>
                    </w:rPr>
                    <w:t>东侧</w:t>
                  </w:r>
                </w:p>
              </w:tc>
              <w:tc>
                <w:tcPr>
                  <w:tcW w:w="909" w:type="dxa"/>
                  <w:shd w:val="clear" w:color="auto" w:fill="auto"/>
                  <w:vAlign w:val="center"/>
                </w:tcPr>
                <w:p>
                  <w:pPr>
                    <w:pStyle w:val="29"/>
                    <w:spacing w:line="360" w:lineRule="exact"/>
                    <w:rPr>
                      <w:color w:val="000000" w:themeColor="text1"/>
                      <w:szCs w:val="21"/>
                    </w:rPr>
                  </w:pPr>
                  <w:r>
                    <w:rPr>
                      <w:color w:val="000000" w:themeColor="text1"/>
                      <w:szCs w:val="21"/>
                    </w:rPr>
                    <w:t>西侧</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南侧</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北侧</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东侧</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西侧</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南侧</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708" w:type="dxa"/>
                  <w:vMerge w:val="continue"/>
                  <w:shd w:val="clear" w:color="auto" w:fill="auto"/>
                  <w:vAlign w:val="center"/>
                </w:tcPr>
                <w:p>
                  <w:pPr>
                    <w:pStyle w:val="29"/>
                    <w:spacing w:line="360" w:lineRule="exact"/>
                    <w:rPr>
                      <w:color w:val="000000" w:themeColor="text1"/>
                      <w:szCs w:val="21"/>
                    </w:rPr>
                  </w:pPr>
                </w:p>
              </w:tc>
              <w:tc>
                <w:tcPr>
                  <w:tcW w:w="3716" w:type="dxa"/>
                  <w:gridSpan w:val="4"/>
                  <w:shd w:val="clear" w:color="auto" w:fill="auto"/>
                  <w:vAlign w:val="center"/>
                </w:tcPr>
                <w:p>
                  <w:pPr>
                    <w:pStyle w:val="29"/>
                    <w:spacing w:line="360" w:lineRule="exact"/>
                    <w:rPr>
                      <w:color w:val="000000" w:themeColor="text1"/>
                      <w:szCs w:val="21"/>
                    </w:rPr>
                  </w:pPr>
                  <w:r>
                    <w:rPr>
                      <w:color w:val="000000" w:themeColor="text1"/>
                      <w:szCs w:val="21"/>
                    </w:rPr>
                    <w:t>昼间</w:t>
                  </w:r>
                </w:p>
              </w:tc>
              <w:tc>
                <w:tcPr>
                  <w:tcW w:w="3648" w:type="dxa"/>
                  <w:gridSpan w:val="4"/>
                  <w:shd w:val="clear" w:color="auto" w:fill="auto"/>
                  <w:vAlign w:val="center"/>
                </w:tcPr>
                <w:p>
                  <w:pPr>
                    <w:pStyle w:val="29"/>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1708" w:type="dxa"/>
                  <w:shd w:val="clear" w:color="auto" w:fill="auto"/>
                  <w:vAlign w:val="center"/>
                </w:tcPr>
                <w:p>
                  <w:pPr>
                    <w:pStyle w:val="29"/>
                    <w:spacing w:line="360" w:lineRule="exact"/>
                    <w:rPr>
                      <w:color w:val="000000" w:themeColor="text1"/>
                      <w:szCs w:val="21"/>
                    </w:rPr>
                  </w:pPr>
                  <w:r>
                    <w:rPr>
                      <w:color w:val="000000" w:themeColor="text1"/>
                      <w:szCs w:val="21"/>
                    </w:rPr>
                    <w:t>2021/8/5</w:t>
                  </w:r>
                </w:p>
              </w:tc>
              <w:tc>
                <w:tcPr>
                  <w:tcW w:w="983" w:type="dxa"/>
                  <w:shd w:val="clear" w:color="auto" w:fill="auto"/>
                  <w:vAlign w:val="center"/>
                </w:tcPr>
                <w:p>
                  <w:pPr>
                    <w:pStyle w:val="29"/>
                    <w:spacing w:line="360" w:lineRule="exact"/>
                    <w:rPr>
                      <w:color w:val="000000" w:themeColor="text1"/>
                      <w:szCs w:val="21"/>
                    </w:rPr>
                  </w:pPr>
                  <w:r>
                    <w:rPr>
                      <w:color w:val="000000" w:themeColor="text1"/>
                      <w:szCs w:val="21"/>
                    </w:rPr>
                    <w:t>52</w:t>
                  </w:r>
                </w:p>
              </w:tc>
              <w:tc>
                <w:tcPr>
                  <w:tcW w:w="909" w:type="dxa"/>
                  <w:shd w:val="clear" w:color="auto" w:fill="auto"/>
                  <w:vAlign w:val="center"/>
                </w:tcPr>
                <w:p>
                  <w:pPr>
                    <w:pStyle w:val="29"/>
                    <w:spacing w:line="360" w:lineRule="exact"/>
                    <w:rPr>
                      <w:color w:val="000000" w:themeColor="text1"/>
                      <w:szCs w:val="21"/>
                    </w:rPr>
                  </w:pPr>
                  <w:r>
                    <w:rPr>
                      <w:color w:val="000000" w:themeColor="text1"/>
                      <w:szCs w:val="21"/>
                    </w:rPr>
                    <w:t>52</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50</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55</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47</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49</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47</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8" w:type="dxa"/>
                  <w:shd w:val="clear" w:color="auto" w:fill="auto"/>
                  <w:vAlign w:val="center"/>
                </w:tcPr>
                <w:p>
                  <w:pPr>
                    <w:pStyle w:val="29"/>
                    <w:spacing w:line="360" w:lineRule="exact"/>
                    <w:rPr>
                      <w:color w:val="000000" w:themeColor="text1"/>
                      <w:szCs w:val="21"/>
                    </w:rPr>
                  </w:pPr>
                  <w:r>
                    <w:rPr>
                      <w:color w:val="000000" w:themeColor="text1"/>
                      <w:szCs w:val="21"/>
                    </w:rPr>
                    <w:t>2021/8/6</w:t>
                  </w:r>
                </w:p>
              </w:tc>
              <w:tc>
                <w:tcPr>
                  <w:tcW w:w="983" w:type="dxa"/>
                  <w:shd w:val="clear" w:color="auto" w:fill="auto"/>
                  <w:vAlign w:val="center"/>
                </w:tcPr>
                <w:p>
                  <w:pPr>
                    <w:pStyle w:val="29"/>
                    <w:spacing w:line="360" w:lineRule="exact"/>
                    <w:rPr>
                      <w:color w:val="000000" w:themeColor="text1"/>
                      <w:szCs w:val="21"/>
                    </w:rPr>
                  </w:pPr>
                  <w:r>
                    <w:rPr>
                      <w:color w:val="000000" w:themeColor="text1"/>
                      <w:szCs w:val="21"/>
                    </w:rPr>
                    <w:t>51</w:t>
                  </w:r>
                </w:p>
              </w:tc>
              <w:tc>
                <w:tcPr>
                  <w:tcW w:w="909" w:type="dxa"/>
                  <w:shd w:val="clear" w:color="auto" w:fill="auto"/>
                  <w:vAlign w:val="center"/>
                </w:tcPr>
                <w:p>
                  <w:pPr>
                    <w:pStyle w:val="29"/>
                    <w:spacing w:line="360" w:lineRule="exact"/>
                    <w:rPr>
                      <w:color w:val="000000" w:themeColor="text1"/>
                      <w:szCs w:val="21"/>
                    </w:rPr>
                  </w:pPr>
                  <w:r>
                    <w:rPr>
                      <w:color w:val="000000" w:themeColor="text1"/>
                      <w:szCs w:val="21"/>
                    </w:rPr>
                    <w:t>53</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51</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56</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48</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48</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47</w:t>
                  </w:r>
                </w:p>
              </w:tc>
              <w:tc>
                <w:tcPr>
                  <w:tcW w:w="912" w:type="dxa"/>
                  <w:shd w:val="clear" w:color="auto" w:fill="auto"/>
                  <w:vAlign w:val="center"/>
                </w:tcPr>
                <w:p>
                  <w:pPr>
                    <w:pStyle w:val="29"/>
                    <w:spacing w:line="360" w:lineRule="exact"/>
                    <w:rPr>
                      <w:color w:val="000000" w:themeColor="text1"/>
                      <w:szCs w:val="21"/>
                    </w:rPr>
                  </w:pPr>
                  <w:r>
                    <w:rPr>
                      <w:color w:val="000000" w:themeColor="text1"/>
                      <w:szCs w:val="21"/>
                    </w:rPr>
                    <w:t>48</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根据以上监测数据可知，项目噪声厂界处贡献值达到《工业企业厂界环境噪声排放标准》（GB</w:t>
            </w:r>
            <w:r>
              <w:rPr>
                <w:rFonts w:hint="eastAsia"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rPr>
              <w:t>-2008）3类标准。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2.12.4 现有项目固体废物排放情况</w:t>
            </w:r>
          </w:p>
          <w:p>
            <w:pPr>
              <w:pStyle w:val="37"/>
              <w:ind w:firstLine="480"/>
              <w:rPr>
                <w:bCs/>
                <w:color w:val="000000" w:themeColor="text1"/>
                <w:szCs w:val="24"/>
              </w:rPr>
            </w:pPr>
            <w:r>
              <w:rPr>
                <w:bCs/>
                <w:color w:val="000000" w:themeColor="text1"/>
                <w:szCs w:val="24"/>
              </w:rPr>
              <w:t>根据项目竣工验收报告分析结果，现有项目产生的固体废物主要包括：</w:t>
            </w:r>
            <w:r>
              <w:rPr>
                <w:rFonts w:eastAsiaTheme="minorEastAsia"/>
                <w:color w:val="000000" w:themeColor="text1"/>
                <w:szCs w:val="21"/>
              </w:rPr>
              <w:t>废包装物</w:t>
            </w:r>
            <w:r>
              <w:rPr>
                <w:bCs/>
                <w:color w:val="000000" w:themeColor="text1"/>
                <w:szCs w:val="24"/>
              </w:rPr>
              <w:t>和生活垃圾，现有项目固体废物排放情况如下表所示。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表2.12.4-1  现有项目固体废物环境影响和保护措施分析一览表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1"/>
              <w:gridCol w:w="1432"/>
              <w:gridCol w:w="1288"/>
              <w:gridCol w:w="1002"/>
              <w:gridCol w:w="3292"/>
              <w:gridCol w:w="9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序号</w:t>
                  </w:r>
                </w:p>
              </w:tc>
              <w:tc>
                <w:tcPr>
                  <w:tcW w:w="141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名称</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属性</w:t>
                  </w:r>
                </w:p>
              </w:tc>
              <w:tc>
                <w:tcPr>
                  <w:tcW w:w="99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产生量</w:t>
                  </w:r>
                </w:p>
              </w:tc>
              <w:tc>
                <w:tcPr>
                  <w:tcW w:w="326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处置率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w:t>
                  </w:r>
                </w:p>
              </w:tc>
              <w:tc>
                <w:tcPr>
                  <w:tcW w:w="141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废包装物</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992" w:type="dxa"/>
                  <w:vAlign w:val="center"/>
                </w:tcPr>
                <w:p>
                  <w:pPr>
                    <w:pStyle w:val="29"/>
                    <w:spacing w:line="360" w:lineRule="exact"/>
                    <w:rPr>
                      <w:rFonts w:eastAsiaTheme="minorEastAsia"/>
                      <w:color w:val="000000" w:themeColor="text1"/>
                      <w:szCs w:val="21"/>
                    </w:rPr>
                  </w:pPr>
                  <w:r>
                    <w:rPr>
                      <w:color w:val="000000" w:themeColor="text1"/>
                    </w:rPr>
                    <w:t>1.6t/a</w:t>
                  </w:r>
                </w:p>
              </w:tc>
              <w:tc>
                <w:tcPr>
                  <w:tcW w:w="3260" w:type="dxa"/>
                  <w:vAlign w:val="center"/>
                </w:tcPr>
                <w:p>
                  <w:pPr>
                    <w:pStyle w:val="29"/>
                    <w:spacing w:line="360" w:lineRule="exact"/>
                    <w:ind w:firstLine="210" w:firstLineChars="100"/>
                    <w:jc w:val="both"/>
                    <w:rPr>
                      <w:rFonts w:eastAsiaTheme="minorEastAsia"/>
                      <w:color w:val="000000" w:themeColor="text1"/>
                      <w:szCs w:val="24"/>
                    </w:rPr>
                  </w:pPr>
                  <w:r>
                    <w:rPr>
                      <w:color w:val="000000" w:themeColor="text1"/>
                    </w:rPr>
                    <w:t>目前贮存于废包装袋暂存区，委托云南大地丰源环保有限公司进行处理；该项目建成后，贮存于5#贮存区对应区域，定期委托有资质的单位处置。</w:t>
                  </w:r>
                </w:p>
              </w:tc>
              <w:tc>
                <w:tcPr>
                  <w:tcW w:w="901"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1418"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生活垃圾</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生活固废</w:t>
                  </w:r>
                </w:p>
              </w:tc>
              <w:tc>
                <w:tcPr>
                  <w:tcW w:w="99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2t/a</w:t>
                  </w:r>
                </w:p>
              </w:tc>
              <w:tc>
                <w:tcPr>
                  <w:tcW w:w="3260"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01" w:type="dxa"/>
                  <w:vMerge w:val="continue"/>
                  <w:vAlign w:val="center"/>
                </w:tcPr>
                <w:p>
                  <w:pPr>
                    <w:pStyle w:val="29"/>
                    <w:spacing w:line="360" w:lineRule="exact"/>
                    <w:rPr>
                      <w:rFonts w:eastAsiaTheme="minorEastAsia"/>
                      <w:color w:val="000000" w:themeColor="text1"/>
                      <w:szCs w:val="21"/>
                    </w:rPr>
                  </w:pP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综上，现有项目固体废物处置率为100%。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 与现有项目有关的主要环境问题及整改措施</w:t>
            </w:r>
          </w:p>
          <w:p>
            <w:pPr>
              <w:pStyle w:val="37"/>
              <w:ind w:firstLine="480"/>
              <w:rPr>
                <w:bCs/>
                <w:color w:val="000000" w:themeColor="text1"/>
                <w:szCs w:val="24"/>
              </w:rPr>
            </w:pPr>
            <w:r>
              <w:rPr>
                <w:bCs/>
                <w:color w:val="000000" w:themeColor="text1"/>
                <w:szCs w:val="24"/>
              </w:rPr>
              <w:t>该项目拟利用昆明旭鑫环保科技有限公司原料暂存库项目中1000m²区域开展小微企业危险废物收集试点东川网点项目建设，根据调查，昆明旭鑫环保科技有限公司现有原料暂存库全部区域均已采用复合土工膜防渗后，再浇筑混凝土；施工过程如下图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drawing>
                <wp:inline distT="0" distB="0" distL="0" distR="0">
                  <wp:extent cx="2400935" cy="1799590"/>
                  <wp:effectExtent l="19050" t="0" r="0" b="0"/>
                  <wp:docPr id="17" name="图片 7" descr="C:\Users\ADMINI~1\AppData\Local\Temp\WeChat Files\5c4744fa3dc1bb0bcc4ab6528c38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C:\Users\ADMINI~1\AppData\Local\Temp\WeChat Files\5c4744fa3dc1bb0bcc4ab6528c38ac0.jpg"/>
                          <pic:cNvPicPr>
                            <a:picLocks noChangeAspect="1" noChangeArrowheads="1"/>
                          </pic:cNvPicPr>
                        </pic:nvPicPr>
                        <pic:blipFill>
                          <a:blip r:embed="rId10" cstate="print"/>
                          <a:srcRect/>
                          <a:stretch>
                            <a:fillRect/>
                          </a:stretch>
                        </pic:blipFill>
                        <pic:spPr>
                          <a:xfrm>
                            <a:off x="0" y="0"/>
                            <a:ext cx="2401421" cy="1800000"/>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rPr>
              <w:t xml:space="preserve">  </w:t>
            </w:r>
            <w:r>
              <w:rPr>
                <w:rFonts w:ascii="Times New Roman" w:hAnsi="Times New Roman" w:cs="Times New Roman"/>
                <w:b/>
                <w:color w:val="000000" w:themeColor="text1"/>
              </w:rPr>
              <w:drawing>
                <wp:inline distT="0" distB="0" distL="0" distR="0">
                  <wp:extent cx="2400935" cy="1799590"/>
                  <wp:effectExtent l="19050" t="0" r="0" b="0"/>
                  <wp:docPr id="18" name="图片 9" descr="C:\Users\ADMINI~1\AppData\Local\Temp\WeChat Files\4c1667a7bec723331a51ecc2154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C:\Users\ADMINI~1\AppData\Local\Temp\WeChat Files\4c1667a7bec723331a51ecc21544331.jpg"/>
                          <pic:cNvPicPr>
                            <a:picLocks noChangeAspect="1" noChangeArrowheads="1"/>
                          </pic:cNvPicPr>
                        </pic:nvPicPr>
                        <pic:blipFill>
                          <a:blip r:embed="rId11" cstate="print"/>
                          <a:srcRect/>
                          <a:stretch>
                            <a:fillRect/>
                          </a:stretch>
                        </pic:blipFill>
                        <pic:spPr>
                          <a:xfrm>
                            <a:off x="0" y="0"/>
                            <a:ext cx="2401421" cy="1800000"/>
                          </a:xfrm>
                          <a:prstGeom prst="rect">
                            <a:avLst/>
                          </a:prstGeom>
                          <a:noFill/>
                          <a:ln w="9525">
                            <a:noFill/>
                            <a:miter lim="800000"/>
                            <a:headEnd/>
                            <a:tailEnd/>
                          </a:ln>
                        </pic:spPr>
                      </pic:pic>
                    </a:graphicData>
                  </a:graphic>
                </wp:inline>
              </w:drawing>
            </w:r>
          </w:p>
          <w:p>
            <w:pPr>
              <w:jc w:val="center"/>
              <w:rPr>
                <w:rFonts w:ascii="Times New Roman" w:hAnsi="Times New Roman" w:cs="Times New Roman"/>
                <w:b/>
                <w:color w:val="000000" w:themeColor="text1"/>
              </w:rPr>
            </w:pPr>
            <w:r>
              <w:rPr>
                <w:rFonts w:ascii="Times New Roman" w:hAnsi="Times New Roman" w:cs="Times New Roman"/>
                <w:b/>
                <w:color w:val="000000" w:themeColor="text1"/>
              </w:rPr>
              <w:t>复合土工膜铺设照片防渗层铺设后浇筑混凝土</w:t>
            </w:r>
          </w:p>
          <w:p>
            <w:pPr>
              <w:pStyle w:val="37"/>
              <w:spacing w:beforeLines="50"/>
              <w:ind w:firstLine="480"/>
              <w:rPr>
                <w:color w:val="000000" w:themeColor="text1"/>
                <w:szCs w:val="24"/>
              </w:rPr>
            </w:pPr>
            <w:r>
              <w:rPr>
                <w:color w:val="000000" w:themeColor="text1"/>
                <w:szCs w:val="24"/>
              </w:rPr>
              <w:t>该复合土工膜防渗云南睿利能工程材料制造有限公司生产的土工膜，根据其检测报告，其防渗系数达到渗透系数≤2.3×10</w:t>
            </w:r>
            <w:r>
              <w:rPr>
                <w:color w:val="000000" w:themeColor="text1"/>
                <w:szCs w:val="24"/>
                <w:vertAlign w:val="superscript"/>
              </w:rPr>
              <w:t>-12</w:t>
            </w:r>
            <w:r>
              <w:rPr>
                <w:color w:val="000000" w:themeColor="text1"/>
                <w:szCs w:val="24"/>
              </w:rPr>
              <w:t>cm/s，满足渗透系数≤10</w:t>
            </w:r>
            <w:r>
              <w:rPr>
                <w:color w:val="000000" w:themeColor="text1"/>
                <w:szCs w:val="24"/>
                <w:vertAlign w:val="superscript"/>
              </w:rPr>
              <w:t>-10</w:t>
            </w:r>
            <w:r>
              <w:rPr>
                <w:color w:val="000000" w:themeColor="text1"/>
                <w:szCs w:val="24"/>
              </w:rPr>
              <w:t>cm/s的要求。</w:t>
            </w:r>
          </w:p>
          <w:p>
            <w:pPr>
              <w:pStyle w:val="37"/>
              <w:ind w:firstLine="480"/>
              <w:rPr>
                <w:rFonts w:eastAsiaTheme="minorEastAsia"/>
                <w:color w:val="000000" w:themeColor="text1"/>
                <w:szCs w:val="24"/>
              </w:rPr>
            </w:pPr>
            <w:r>
              <w:rPr>
                <w:rFonts w:eastAsiaTheme="minorEastAsia"/>
                <w:color w:val="000000" w:themeColor="text1"/>
                <w:szCs w:val="24"/>
              </w:rPr>
              <w:t>根据调查，昆明旭鑫环保科技有限公司现有原料暂存库建筑面积为3000m²，对昆明旭鑫环保科技有限公司生产所需的铅渣、铋渣等11类危险废物原料进行分类暂存；该原料暂存库暂存的危险废物原料类别包括：铜冶炼粉尘（321-002-48）、除铋浸出渣（321-013-48）、显像管玻璃熔炼废渣（304-002-31）、铅蓄电池生产过程中产生的粉尘（384-004-31）、锌焙烧矿浸出渣（321-004-48）、铅锑合金锌粉除铜产生的废渣（321-008-48）、氧化锌浸出渣（321-010-48）、铅阳极泥处理渣（321-019-48）、铅银渣（321-021-48）、铅冶炼过程中产生的烟尘（321-014-48）和再生铅烟尘（321-029-48）等2个大类11个小类。根据业主提供的资料，该原料库投入使用至今，其实际使用率不到总库存的50%，因此划出1000m²后，该原料库依然可满足昆明旭鑫环保科技有限公司原料分类暂存需求。不会对其造成。且现有工程运营过程严格按照环保要求进行管理，调查期间无与该项目有关的原有环境污染问题。</w:t>
            </w: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bookmarkStart w:id="28" w:name="_Toc146789445"/>
      <w:r>
        <w:rPr>
          <w:rFonts w:ascii="Times New Roman" w:hAnsi="Times New Roman" w:cs="Times New Roman"/>
          <w:b/>
          <w:color w:val="000000" w:themeColor="text1"/>
          <w:sz w:val="28"/>
          <w:szCs w:val="20"/>
        </w:rPr>
        <w:t>三、区域环境质量现状、环境保护目标及评价标准</w:t>
      </w:r>
      <w:bookmarkEnd w:id="28"/>
    </w:p>
    <w:tbl>
      <w:tblPr>
        <w:tblStyle w:val="19"/>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7"/>
              <w:ind w:firstLine="482"/>
              <w:rPr>
                <w:rFonts w:eastAsiaTheme="minorEastAsia"/>
                <w:b/>
                <w:color w:val="000000" w:themeColor="text1"/>
                <w:szCs w:val="24"/>
              </w:rPr>
            </w:pPr>
            <w:r>
              <w:rPr>
                <w:rFonts w:eastAsiaTheme="minorEastAsia"/>
                <w:b/>
                <w:color w:val="000000" w:themeColor="text1"/>
                <w:szCs w:val="24"/>
              </w:rPr>
              <w:t>3.1.1 环境空气质量现状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（1）常规因子环境质量现状</w:t>
            </w:r>
          </w:p>
          <w:p>
            <w:pPr>
              <w:pStyle w:val="58"/>
              <w:spacing w:line="360" w:lineRule="auto"/>
              <w:ind w:firstLine="480"/>
              <w:rPr>
                <w:rFonts w:hAnsi="Times New Roman"/>
                <w:color w:val="000000" w:themeColor="text1"/>
                <w:sz w:val="24"/>
                <w:szCs w:val="24"/>
              </w:rPr>
            </w:pPr>
            <w:r>
              <w:rPr>
                <w:rFonts w:hAnsi="Times New Roman"/>
                <w:color w:val="000000" w:themeColor="text1"/>
                <w:sz w:val="24"/>
                <w:szCs w:val="24"/>
              </w:rPr>
              <w:t>该项目位于云南东川产业园区四方地片区昆明旭鑫环保科技有限公司厂区，属于环境空气二类区，执行《环境空气质量标准》（GB</w:t>
            </w:r>
            <w:r>
              <w:rPr>
                <w:rFonts w:hint="eastAsia" w:hAnsi="Times New Roman"/>
                <w:color w:val="000000" w:themeColor="text1"/>
                <w:sz w:val="24"/>
                <w:szCs w:val="24"/>
                <w:lang w:eastAsia="zh-CN"/>
              </w:rPr>
              <w:t>****</w:t>
            </w:r>
            <w:r>
              <w:rPr>
                <w:rFonts w:hAnsi="Times New Roman"/>
                <w:color w:val="000000" w:themeColor="text1"/>
                <w:sz w:val="24"/>
                <w:szCs w:val="24"/>
              </w:rPr>
              <w:t>-2012）二级标准；根据《2022年度昆明市生态环境状况公报》，各县（市）区环境空气质量总体保持良好。项目所在区域属于环境空气质量达标区。</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（2）特征因子环境质量现状</w:t>
            </w:r>
          </w:p>
          <w:p>
            <w:pPr>
              <w:pStyle w:val="58"/>
              <w:spacing w:line="360" w:lineRule="auto"/>
              <w:ind w:firstLine="480"/>
              <w:rPr>
                <w:rFonts w:hAnsi="Times New Roman"/>
                <w:color w:val="000000" w:themeColor="text1"/>
                <w:sz w:val="24"/>
                <w:szCs w:val="24"/>
              </w:rPr>
            </w:pPr>
            <w:r>
              <w:rPr>
                <w:rFonts w:hAnsi="Times New Roman"/>
                <w:color w:val="000000" w:themeColor="text1"/>
                <w:sz w:val="24"/>
                <w:szCs w:val="24"/>
              </w:rPr>
              <w:t>根据项目特点，该项目排放的特征污染物为有机废气（非甲烷总烃）、酸性废气（HCl）、恶臭（氨、硫化氢和臭气浓度）；而</w:t>
            </w:r>
            <w:r>
              <w:rPr>
                <w:rFonts w:hint="eastAsia" w:hAnsi="Times New Roman"/>
                <w:color w:val="000000" w:themeColor="text1"/>
                <w:sz w:val="24"/>
                <w:szCs w:val="24"/>
              </w:rPr>
              <w:t>现有项目</w:t>
            </w:r>
            <w:r>
              <w:rPr>
                <w:rFonts w:hAnsi="Times New Roman"/>
                <w:color w:val="000000" w:themeColor="text1"/>
                <w:sz w:val="24"/>
                <w:szCs w:val="24"/>
              </w:rPr>
              <w:t>排放的特征污染物包括：颗粒物和硫酸雾。则该项目及昆明旭鑫环保科技有限公司原料暂存库项目排放的废气中有环境质量标准的污染因子</w:t>
            </w:r>
            <w:r>
              <w:rPr>
                <w:rFonts w:hint="eastAsia" w:hAnsi="Times New Roman"/>
                <w:color w:val="000000" w:themeColor="text1"/>
                <w:sz w:val="24"/>
                <w:szCs w:val="24"/>
              </w:rPr>
              <w:t>为</w:t>
            </w:r>
            <w:r>
              <w:rPr>
                <w:rFonts w:hAnsi="Times New Roman"/>
                <w:color w:val="000000" w:themeColor="text1"/>
                <w:sz w:val="24"/>
                <w:szCs w:val="24"/>
              </w:rPr>
              <w:t>颗粒物，根据《建设项目环境影响报告表编制技术指南》（污染影响类）（试行）的要求：“排放国家、地方环境空气质量标准中有标准限值要求的特征污染物时，引用建设项目周边5 千米范围内近3 年的现有监测数据”进行现状评价，</w:t>
            </w:r>
          </w:p>
          <w:p>
            <w:pPr>
              <w:pStyle w:val="58"/>
              <w:spacing w:line="360" w:lineRule="auto"/>
              <w:ind w:firstLine="480"/>
              <w:rPr>
                <w:rFonts w:hAnsi="Times New Roman"/>
                <w:color w:val="000000" w:themeColor="text1"/>
                <w:sz w:val="24"/>
                <w:szCs w:val="24"/>
              </w:rPr>
            </w:pPr>
            <w:r>
              <w:rPr>
                <w:rFonts w:hAnsi="Times New Roman"/>
                <w:color w:val="000000" w:themeColor="text1"/>
                <w:sz w:val="24"/>
                <w:szCs w:val="24"/>
              </w:rPr>
              <w:t>昆明龙凤锌业开发有限公司拟建昆明龙凤锌业开发有限公司生产工艺改造项目环评期间已委托</w:t>
            </w:r>
            <w:r>
              <w:fldChar w:fldCharType="begin"/>
            </w:r>
            <w:r>
              <w:instrText xml:space="preserve"> HYPERLINK "https://c.gdt.qq.com/gdt_click.fcg?viewid=!bLXfwUp08yEwEKJHDMAnASR79Jd_KDMTShfoEAvUDxaBulb3vmO6CCMYb_aG9sjhsOt_ZsRhrXtwCi4luHnq3sY!S5eWmmEDu8ikgrs_QdpC5P6j1ngYwM5MYQAtYlXpeERPHeeHg9kdf0TrW57bX4i0v1Vr0SnX8zCu_Oa7M6M1yXCdqWUBDDAJx6c!ENO5TO4pHSfSyavz9B1zoSq64XOP1QMLDOjFInZG5cQFTw&amp;jtype=0&amp;wspm=1&amp;i=1&amp;os=3&amp;clklpp=__CLICK_LPP__&amp;cdnxj=1&amp;xp=3&amp;pid=9093395412657957&amp;vto=__VIDEO_PLAY_TIME__&amp;report_source=__REPORT_SOURCE__&amp;kid=1277873242&amp;c_comp_id=4891003200&amp;queryword=%E4%BA%91%E5%8D%97%E4%B8%AD%E7%A7%91%E6%A3%80%E6%B5%8B%E6%8A%80%E6%9C%AF%E6%9C%89%E9%99%90%E5%85%AC%E5%8F%B8&amp;page_number=0&amp;sogou_uuid=99d2c49a-470b-44f7-a35b-4da9518e326f&amp;request_time_ms=1694678838000&amp;is_sogou_request=1&amp;search_flow_type=5&amp;c_exp_param1=1&amp;tl=1&amp;sg_wuid=&amp;sg_suid=5CBAF2B6364A910A00000000646C84C0&amp;slot=60&amp;comp_id=2533395008&amp;comp_index=0&amp;ems=1694678841886" \t "_blank" </w:instrText>
            </w:r>
            <w:r>
              <w:fldChar w:fldCharType="separate"/>
            </w:r>
            <w:r>
              <w:rPr>
                <w:rFonts w:hAnsi="Times New Roman"/>
                <w:color w:val="000000" w:themeColor="text1"/>
                <w:sz w:val="24"/>
                <w:szCs w:val="24"/>
              </w:rPr>
              <w:t>云南华都生态环境监测有限公司</w:t>
            </w:r>
            <w:r>
              <w:rPr>
                <w:rFonts w:hAnsi="Times New Roman"/>
                <w:color w:val="000000" w:themeColor="text1"/>
                <w:sz w:val="24"/>
                <w:szCs w:val="24"/>
              </w:rPr>
              <w:fldChar w:fldCharType="end"/>
            </w:r>
            <w:r>
              <w:rPr>
                <w:rFonts w:hAnsi="Times New Roman"/>
                <w:color w:val="000000" w:themeColor="text1"/>
                <w:sz w:val="24"/>
                <w:szCs w:val="24"/>
              </w:rPr>
              <w:t>对项目区域环境空气进行了监测，本环评引用其监测数据进行环境空气现状评价，监测时间为2022年5月4日-2022年5月11日，满足引用条件，因此本环评引用其对环境质量现状进行评价。</w:t>
            </w:r>
          </w:p>
          <w:p>
            <w:pPr>
              <w:pStyle w:val="37"/>
              <w:ind w:firstLine="482"/>
              <w:rPr>
                <w:rFonts w:eastAsiaTheme="minorEastAsia"/>
                <w:b/>
                <w:color w:val="000000" w:themeColor="text1"/>
                <w:szCs w:val="24"/>
              </w:rPr>
            </w:pPr>
            <w:r>
              <w:rPr>
                <w:b/>
                <w:color w:val="000000" w:themeColor="text1"/>
                <w:szCs w:val="24"/>
              </w:rPr>
              <w:t>①</w:t>
            </w:r>
            <w:r>
              <w:rPr>
                <w:rFonts w:eastAsiaTheme="minorEastAsia"/>
                <w:b/>
                <w:color w:val="000000" w:themeColor="text1"/>
                <w:szCs w:val="24"/>
              </w:rPr>
              <w:t>引用环境空气现状监测参数设置</w:t>
            </w:r>
          </w:p>
          <w:p>
            <w:pPr>
              <w:pStyle w:val="37"/>
              <w:ind w:firstLine="480"/>
              <w:rPr>
                <w:rFonts w:eastAsiaTheme="minorEastAsia"/>
                <w:color w:val="000000" w:themeColor="text1"/>
                <w:szCs w:val="24"/>
              </w:rPr>
            </w:pPr>
            <w:r>
              <w:rPr>
                <w:rFonts w:eastAsiaTheme="minorEastAsia"/>
                <w:color w:val="000000" w:themeColor="text1"/>
                <w:szCs w:val="24"/>
              </w:rPr>
              <w:t>引用监测参数如下表所示。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表3.1.1-1  引用监测参数一览表</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3"/>
              <w:gridCol w:w="1351"/>
              <w:gridCol w:w="66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rPr>
                  </w:pPr>
                  <w:r>
                    <w:rPr>
                      <w:color w:val="000000" w:themeColor="text1"/>
                    </w:rPr>
                    <w:t>序号</w:t>
                  </w:r>
                </w:p>
              </w:tc>
              <w:tc>
                <w:tcPr>
                  <w:tcW w:w="1417" w:type="dxa"/>
                  <w:vAlign w:val="center"/>
                </w:tcPr>
                <w:p>
                  <w:pPr>
                    <w:pStyle w:val="29"/>
                    <w:spacing w:line="360" w:lineRule="exact"/>
                    <w:rPr>
                      <w:color w:val="000000" w:themeColor="text1"/>
                    </w:rPr>
                  </w:pPr>
                  <w:r>
                    <w:rPr>
                      <w:color w:val="000000" w:themeColor="text1"/>
                    </w:rPr>
                    <w:t>项目</w:t>
                  </w:r>
                </w:p>
              </w:tc>
              <w:tc>
                <w:tcPr>
                  <w:tcW w:w="6988" w:type="dxa"/>
                  <w:vAlign w:val="center"/>
                </w:tcPr>
                <w:p>
                  <w:pPr>
                    <w:pStyle w:val="29"/>
                    <w:spacing w:line="360" w:lineRule="exact"/>
                    <w:rPr>
                      <w:color w:val="000000" w:themeColor="text1"/>
                    </w:rPr>
                  </w:pPr>
                  <w:r>
                    <w:rPr>
                      <w:color w:val="000000" w:themeColor="text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rPr>
                  </w:pPr>
                  <w:r>
                    <w:rPr>
                      <w:color w:val="000000" w:themeColor="text1"/>
                    </w:rPr>
                    <w:t>1</w:t>
                  </w:r>
                </w:p>
              </w:tc>
              <w:tc>
                <w:tcPr>
                  <w:tcW w:w="1417" w:type="dxa"/>
                  <w:vAlign w:val="center"/>
                </w:tcPr>
                <w:p>
                  <w:pPr>
                    <w:pStyle w:val="29"/>
                    <w:spacing w:line="360" w:lineRule="exact"/>
                    <w:rPr>
                      <w:color w:val="000000" w:themeColor="text1"/>
                    </w:rPr>
                  </w:pPr>
                  <w:r>
                    <w:rPr>
                      <w:color w:val="000000" w:themeColor="text1"/>
                    </w:rPr>
                    <w:t>监测点位</w:t>
                  </w:r>
                </w:p>
              </w:tc>
              <w:tc>
                <w:tcPr>
                  <w:tcW w:w="6988" w:type="dxa"/>
                  <w:vAlign w:val="center"/>
                </w:tcPr>
                <w:p>
                  <w:pPr>
                    <w:pStyle w:val="29"/>
                    <w:spacing w:line="360" w:lineRule="exact"/>
                    <w:ind w:firstLine="210" w:firstLineChars="100"/>
                    <w:jc w:val="both"/>
                    <w:rPr>
                      <w:color w:val="000000" w:themeColor="text1"/>
                    </w:rPr>
                  </w:pPr>
                  <w:r>
                    <w:rPr>
                      <w:color w:val="000000" w:themeColor="text1"/>
                    </w:rPr>
                    <w:t>监测点位：昆明龙凤锌业开发有限公司办公室，该点位位于项目区西南侧586m处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rPr>
                  </w:pPr>
                  <w:r>
                    <w:rPr>
                      <w:color w:val="000000" w:themeColor="text1"/>
                    </w:rPr>
                    <w:t>2</w:t>
                  </w:r>
                </w:p>
              </w:tc>
              <w:tc>
                <w:tcPr>
                  <w:tcW w:w="1417" w:type="dxa"/>
                  <w:vAlign w:val="center"/>
                </w:tcPr>
                <w:p>
                  <w:pPr>
                    <w:pStyle w:val="29"/>
                    <w:spacing w:line="360" w:lineRule="exact"/>
                    <w:rPr>
                      <w:color w:val="000000" w:themeColor="text1"/>
                    </w:rPr>
                  </w:pPr>
                  <w:r>
                    <w:rPr>
                      <w:color w:val="000000" w:themeColor="text1"/>
                    </w:rPr>
                    <w:t>监测项目</w:t>
                  </w:r>
                </w:p>
              </w:tc>
              <w:tc>
                <w:tcPr>
                  <w:tcW w:w="6988" w:type="dxa"/>
                  <w:vAlign w:val="center"/>
                </w:tcPr>
                <w:p>
                  <w:pPr>
                    <w:pStyle w:val="29"/>
                    <w:spacing w:line="360" w:lineRule="exact"/>
                    <w:ind w:firstLine="210" w:firstLineChars="100"/>
                    <w:jc w:val="both"/>
                    <w:rPr>
                      <w:color w:val="000000" w:themeColor="text1"/>
                    </w:rPr>
                  </w:pPr>
                  <w:r>
                    <w:rPr>
                      <w:color w:val="000000" w:themeColor="text1"/>
                    </w:rPr>
                    <w:t>TSP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rPr>
                  </w:pPr>
                  <w:r>
                    <w:rPr>
                      <w:color w:val="000000" w:themeColor="text1"/>
                    </w:rPr>
                    <w:t>3</w:t>
                  </w:r>
                </w:p>
              </w:tc>
              <w:tc>
                <w:tcPr>
                  <w:tcW w:w="1417" w:type="dxa"/>
                  <w:vAlign w:val="center"/>
                </w:tcPr>
                <w:p>
                  <w:pPr>
                    <w:pStyle w:val="29"/>
                    <w:spacing w:line="360" w:lineRule="exact"/>
                    <w:rPr>
                      <w:color w:val="000000" w:themeColor="text1"/>
                    </w:rPr>
                  </w:pPr>
                  <w:r>
                    <w:rPr>
                      <w:color w:val="000000" w:themeColor="text1"/>
                    </w:rPr>
                    <w:t>监测频次</w:t>
                  </w:r>
                </w:p>
              </w:tc>
              <w:tc>
                <w:tcPr>
                  <w:tcW w:w="6988" w:type="dxa"/>
                  <w:vAlign w:val="center"/>
                </w:tcPr>
                <w:p>
                  <w:pPr>
                    <w:pStyle w:val="29"/>
                    <w:spacing w:line="360" w:lineRule="exact"/>
                    <w:ind w:firstLine="210" w:firstLineChars="100"/>
                    <w:jc w:val="both"/>
                    <w:rPr>
                      <w:color w:val="000000" w:themeColor="text1"/>
                    </w:rPr>
                  </w:pPr>
                  <w:r>
                    <w:rPr>
                      <w:color w:val="000000" w:themeColor="text1"/>
                    </w:rPr>
                    <w:t xml:space="preserve">连续检测7天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rPr>
                  </w:pPr>
                  <w:r>
                    <w:rPr>
                      <w:color w:val="000000" w:themeColor="text1"/>
                    </w:rPr>
                    <w:t>4</w:t>
                  </w:r>
                </w:p>
              </w:tc>
              <w:tc>
                <w:tcPr>
                  <w:tcW w:w="1417" w:type="dxa"/>
                  <w:vAlign w:val="center"/>
                </w:tcPr>
                <w:p>
                  <w:pPr>
                    <w:pStyle w:val="29"/>
                    <w:spacing w:line="360" w:lineRule="exact"/>
                    <w:rPr>
                      <w:color w:val="000000" w:themeColor="text1"/>
                    </w:rPr>
                  </w:pPr>
                  <w:r>
                    <w:rPr>
                      <w:color w:val="000000" w:themeColor="text1"/>
                    </w:rPr>
                    <w:t>采样时间</w:t>
                  </w:r>
                </w:p>
              </w:tc>
              <w:tc>
                <w:tcPr>
                  <w:tcW w:w="6988" w:type="dxa"/>
                  <w:vAlign w:val="center"/>
                </w:tcPr>
                <w:p>
                  <w:pPr>
                    <w:pStyle w:val="29"/>
                    <w:spacing w:line="360" w:lineRule="exact"/>
                    <w:ind w:firstLine="210" w:firstLineChars="100"/>
                    <w:jc w:val="both"/>
                    <w:rPr>
                      <w:color w:val="000000" w:themeColor="text1"/>
                    </w:rPr>
                  </w:pPr>
                  <w:r>
                    <w:rPr>
                      <w:color w:val="000000" w:themeColor="text1"/>
                    </w:rPr>
                    <w:t>2022年5月4日-2022年5月11日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rPr>
                  </w:pPr>
                  <w:r>
                    <w:rPr>
                      <w:color w:val="000000" w:themeColor="text1"/>
                    </w:rPr>
                    <w:t>5</w:t>
                  </w:r>
                </w:p>
              </w:tc>
              <w:tc>
                <w:tcPr>
                  <w:tcW w:w="1417" w:type="dxa"/>
                  <w:vAlign w:val="center"/>
                </w:tcPr>
                <w:p>
                  <w:pPr>
                    <w:pStyle w:val="29"/>
                    <w:spacing w:line="360" w:lineRule="exact"/>
                    <w:rPr>
                      <w:color w:val="000000" w:themeColor="text1"/>
                    </w:rPr>
                  </w:pPr>
                  <w:r>
                    <w:rPr>
                      <w:color w:val="000000" w:themeColor="text1"/>
                    </w:rPr>
                    <w:t>监测方法</w:t>
                  </w:r>
                </w:p>
              </w:tc>
              <w:tc>
                <w:tcPr>
                  <w:tcW w:w="6988" w:type="dxa"/>
                  <w:vAlign w:val="center"/>
                </w:tcPr>
                <w:p>
                  <w:pPr>
                    <w:pStyle w:val="29"/>
                    <w:spacing w:line="360" w:lineRule="exact"/>
                    <w:ind w:firstLine="210" w:firstLineChars="100"/>
                    <w:jc w:val="both"/>
                    <w:rPr>
                      <w:color w:val="000000" w:themeColor="text1"/>
                    </w:rPr>
                  </w:pPr>
                  <w:r>
                    <w:rPr>
                      <w:color w:val="000000" w:themeColor="text1"/>
                    </w:rPr>
                    <w:t>按照国家相关要求进行</w:t>
                  </w:r>
                </w:p>
              </w:tc>
            </w:tr>
          </w:tbl>
          <w:p>
            <w:pPr>
              <w:pStyle w:val="37"/>
              <w:spacing w:beforeLines="50"/>
              <w:ind w:firstLine="482"/>
              <w:rPr>
                <w:rFonts w:eastAsiaTheme="minorEastAsia"/>
                <w:b/>
                <w:color w:val="000000" w:themeColor="text1"/>
                <w:szCs w:val="24"/>
              </w:rPr>
            </w:pPr>
            <w:r>
              <w:rPr>
                <w:b/>
                <w:color w:val="000000" w:themeColor="text1"/>
                <w:szCs w:val="24"/>
              </w:rPr>
              <w:t>②</w:t>
            </w:r>
            <w:r>
              <w:rPr>
                <w:rFonts w:eastAsiaTheme="minorEastAsia"/>
                <w:b/>
                <w:color w:val="000000" w:themeColor="text1"/>
                <w:szCs w:val="24"/>
              </w:rPr>
              <w:t>引用环境空气监测结果</w:t>
            </w:r>
          </w:p>
          <w:p>
            <w:pPr>
              <w:pStyle w:val="37"/>
              <w:ind w:firstLine="480"/>
              <w:rPr>
                <w:rFonts w:eastAsiaTheme="minorEastAsia"/>
                <w:color w:val="000000" w:themeColor="text1"/>
                <w:szCs w:val="24"/>
              </w:rPr>
            </w:pPr>
            <w:r>
              <w:rPr>
                <w:rFonts w:eastAsiaTheme="minorEastAsia"/>
                <w:color w:val="000000" w:themeColor="text1"/>
                <w:szCs w:val="24"/>
              </w:rPr>
              <w:t>引用监测结果见下表。</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表3.1.1-2 引用检测结果一览表   单位：ug/m³</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51"/>
              <w:gridCol w:w="874"/>
              <w:gridCol w:w="1167"/>
              <w:gridCol w:w="1127"/>
              <w:gridCol w:w="1847"/>
              <w:gridCol w:w="990"/>
              <w:gridCol w:w="78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 w:hRule="atLeast"/>
                <w:tblHeader/>
              </w:trPr>
              <w:tc>
                <w:tcPr>
                  <w:tcW w:w="611" w:type="pct"/>
                  <w:tcMar>
                    <w:left w:w="28" w:type="dxa"/>
                    <w:right w:w="28" w:type="dxa"/>
                  </w:tcMar>
                  <w:vAlign w:val="center"/>
                </w:tcPr>
                <w:p>
                  <w:pPr>
                    <w:pStyle w:val="29"/>
                    <w:spacing w:line="360" w:lineRule="exact"/>
                    <w:rPr>
                      <w:color w:val="000000" w:themeColor="text1"/>
                    </w:rPr>
                  </w:pPr>
                  <w:r>
                    <w:rPr>
                      <w:color w:val="000000" w:themeColor="text1"/>
                    </w:rPr>
                    <w:t>监测点</w:t>
                  </w:r>
                </w:p>
              </w:tc>
              <w:tc>
                <w:tcPr>
                  <w:tcW w:w="508" w:type="pct"/>
                  <w:tcMar>
                    <w:left w:w="28" w:type="dxa"/>
                    <w:right w:w="28" w:type="dxa"/>
                  </w:tcMar>
                  <w:vAlign w:val="center"/>
                </w:tcPr>
                <w:p>
                  <w:pPr>
                    <w:pStyle w:val="29"/>
                    <w:spacing w:line="360" w:lineRule="exact"/>
                    <w:rPr>
                      <w:color w:val="000000" w:themeColor="text1"/>
                    </w:rPr>
                  </w:pPr>
                  <w:r>
                    <w:rPr>
                      <w:color w:val="000000" w:themeColor="text1"/>
                    </w:rPr>
                    <w:t>污染物</w:t>
                  </w:r>
                </w:p>
              </w:tc>
              <w:tc>
                <w:tcPr>
                  <w:tcW w:w="678" w:type="pct"/>
                  <w:tcMar>
                    <w:left w:w="28" w:type="dxa"/>
                    <w:right w:w="28" w:type="dxa"/>
                  </w:tcMar>
                  <w:vAlign w:val="center"/>
                </w:tcPr>
                <w:p>
                  <w:pPr>
                    <w:pStyle w:val="29"/>
                    <w:spacing w:line="360" w:lineRule="exact"/>
                    <w:rPr>
                      <w:color w:val="000000" w:themeColor="text1"/>
                    </w:rPr>
                  </w:pPr>
                  <w:r>
                    <w:rPr>
                      <w:color w:val="000000" w:themeColor="text1"/>
                    </w:rPr>
                    <w:t>监测时间</w:t>
                  </w:r>
                </w:p>
              </w:tc>
              <w:tc>
                <w:tcPr>
                  <w:tcW w:w="655" w:type="pct"/>
                  <w:tcMar>
                    <w:left w:w="28" w:type="dxa"/>
                    <w:right w:w="28" w:type="dxa"/>
                  </w:tcMar>
                  <w:vAlign w:val="center"/>
                </w:tcPr>
                <w:p>
                  <w:pPr>
                    <w:pStyle w:val="29"/>
                    <w:spacing w:line="360" w:lineRule="exact"/>
                    <w:rPr>
                      <w:color w:val="000000" w:themeColor="text1"/>
                    </w:rPr>
                  </w:pPr>
                  <w:r>
                    <w:rPr>
                      <w:color w:val="000000" w:themeColor="text1"/>
                    </w:rPr>
                    <w:t>标准值</w:t>
                  </w:r>
                </w:p>
              </w:tc>
              <w:tc>
                <w:tcPr>
                  <w:tcW w:w="1073" w:type="pct"/>
                  <w:tcMar>
                    <w:left w:w="28" w:type="dxa"/>
                    <w:right w:w="28" w:type="dxa"/>
                  </w:tcMar>
                  <w:vAlign w:val="center"/>
                </w:tcPr>
                <w:p>
                  <w:pPr>
                    <w:pStyle w:val="29"/>
                    <w:spacing w:line="360" w:lineRule="exact"/>
                    <w:rPr>
                      <w:color w:val="000000" w:themeColor="text1"/>
                    </w:rPr>
                  </w:pPr>
                  <w:r>
                    <w:rPr>
                      <w:color w:val="000000" w:themeColor="text1"/>
                    </w:rPr>
                    <w:t>监测浓度范围（μg/m³）</w:t>
                  </w:r>
                </w:p>
              </w:tc>
              <w:tc>
                <w:tcPr>
                  <w:tcW w:w="575" w:type="pct"/>
                  <w:tcMar>
                    <w:left w:w="0" w:type="dxa"/>
                    <w:right w:w="0" w:type="dxa"/>
                  </w:tcMar>
                  <w:vAlign w:val="center"/>
                </w:tcPr>
                <w:p>
                  <w:pPr>
                    <w:pStyle w:val="29"/>
                    <w:spacing w:line="360" w:lineRule="exact"/>
                    <w:rPr>
                      <w:color w:val="000000" w:themeColor="text1"/>
                    </w:rPr>
                  </w:pPr>
                  <w:r>
                    <w:rPr>
                      <w:color w:val="000000" w:themeColor="text1"/>
                    </w:rPr>
                    <w:t>最大浓度占标率</w:t>
                  </w:r>
                </w:p>
              </w:tc>
              <w:tc>
                <w:tcPr>
                  <w:tcW w:w="456" w:type="pct"/>
                  <w:tcMar>
                    <w:left w:w="28" w:type="dxa"/>
                    <w:right w:w="28" w:type="dxa"/>
                  </w:tcMar>
                  <w:vAlign w:val="center"/>
                </w:tcPr>
                <w:p>
                  <w:pPr>
                    <w:pStyle w:val="29"/>
                    <w:spacing w:line="360" w:lineRule="exact"/>
                    <w:rPr>
                      <w:color w:val="000000" w:themeColor="text1"/>
                    </w:rPr>
                  </w:pPr>
                  <w:r>
                    <w:rPr>
                      <w:color w:val="000000" w:themeColor="text1"/>
                    </w:rPr>
                    <w:t>超标率</w:t>
                  </w:r>
                </w:p>
              </w:tc>
              <w:tc>
                <w:tcPr>
                  <w:tcW w:w="444" w:type="pct"/>
                  <w:tcMar>
                    <w:left w:w="28" w:type="dxa"/>
                    <w:right w:w="28" w:type="dxa"/>
                  </w:tcMar>
                  <w:vAlign w:val="center"/>
                </w:tcPr>
                <w:p>
                  <w:pPr>
                    <w:pStyle w:val="29"/>
                    <w:spacing w:line="360" w:lineRule="exact"/>
                    <w:rPr>
                      <w:color w:val="000000" w:themeColor="text1"/>
                    </w:rPr>
                  </w:pPr>
                  <w:r>
                    <w:rPr>
                      <w:color w:val="000000" w:themeColor="text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0" w:hRule="atLeast"/>
              </w:trPr>
              <w:tc>
                <w:tcPr>
                  <w:tcW w:w="611" w:type="pct"/>
                  <w:vAlign w:val="center"/>
                </w:tcPr>
                <w:p>
                  <w:pPr>
                    <w:pStyle w:val="29"/>
                    <w:spacing w:line="360" w:lineRule="exact"/>
                    <w:rPr>
                      <w:color w:val="000000" w:themeColor="text1"/>
                    </w:rPr>
                  </w:pPr>
                  <w:r>
                    <w:rPr>
                      <w:color w:val="000000" w:themeColor="text1"/>
                    </w:rPr>
                    <w:t>项目区西南侧586m处</w:t>
                  </w:r>
                </w:p>
              </w:tc>
              <w:tc>
                <w:tcPr>
                  <w:tcW w:w="508" w:type="pct"/>
                  <w:vAlign w:val="center"/>
                </w:tcPr>
                <w:p>
                  <w:pPr>
                    <w:pStyle w:val="29"/>
                    <w:spacing w:line="360" w:lineRule="exact"/>
                    <w:rPr>
                      <w:color w:val="000000" w:themeColor="text1"/>
                    </w:rPr>
                  </w:pPr>
                  <w:r>
                    <w:rPr>
                      <w:color w:val="000000" w:themeColor="text1"/>
                    </w:rPr>
                    <w:t>TSP</w:t>
                  </w:r>
                </w:p>
              </w:tc>
              <w:tc>
                <w:tcPr>
                  <w:tcW w:w="678" w:type="pct"/>
                </w:tcPr>
                <w:p>
                  <w:pPr>
                    <w:pStyle w:val="29"/>
                    <w:spacing w:line="360" w:lineRule="exact"/>
                    <w:rPr>
                      <w:color w:val="000000" w:themeColor="text1"/>
                    </w:rPr>
                  </w:pPr>
                  <w:r>
                    <w:rPr>
                      <w:color w:val="000000" w:themeColor="text1"/>
                    </w:rPr>
                    <w:t>24小时均值</w:t>
                  </w:r>
                </w:p>
              </w:tc>
              <w:tc>
                <w:tcPr>
                  <w:tcW w:w="655" w:type="pct"/>
                  <w:vAlign w:val="center"/>
                </w:tcPr>
                <w:p>
                  <w:pPr>
                    <w:pStyle w:val="29"/>
                    <w:spacing w:line="360" w:lineRule="exact"/>
                    <w:rPr>
                      <w:color w:val="000000" w:themeColor="text1"/>
                    </w:rPr>
                  </w:pPr>
                  <w:r>
                    <w:rPr>
                      <w:color w:val="000000" w:themeColor="text1"/>
                    </w:rPr>
                    <w:t>300</w:t>
                  </w:r>
                </w:p>
              </w:tc>
              <w:tc>
                <w:tcPr>
                  <w:tcW w:w="1073" w:type="pct"/>
                  <w:vAlign w:val="center"/>
                </w:tcPr>
                <w:p>
                  <w:pPr>
                    <w:pStyle w:val="29"/>
                    <w:spacing w:line="360" w:lineRule="exact"/>
                    <w:rPr>
                      <w:color w:val="000000" w:themeColor="text1"/>
                    </w:rPr>
                  </w:pPr>
                  <w:r>
                    <w:rPr>
                      <w:color w:val="000000" w:themeColor="text1"/>
                    </w:rPr>
                    <w:t>235~241</w:t>
                  </w:r>
                </w:p>
              </w:tc>
              <w:tc>
                <w:tcPr>
                  <w:tcW w:w="575" w:type="pct"/>
                  <w:vAlign w:val="center"/>
                </w:tcPr>
                <w:p>
                  <w:pPr>
                    <w:pStyle w:val="29"/>
                    <w:spacing w:line="360" w:lineRule="exact"/>
                    <w:rPr>
                      <w:color w:val="000000" w:themeColor="text1"/>
                    </w:rPr>
                  </w:pPr>
                  <w:r>
                    <w:rPr>
                      <w:color w:val="000000" w:themeColor="text1"/>
                    </w:rPr>
                    <w:t>80.33%</w:t>
                  </w:r>
                </w:p>
              </w:tc>
              <w:tc>
                <w:tcPr>
                  <w:tcW w:w="456" w:type="pct"/>
                  <w:vAlign w:val="center"/>
                </w:tcPr>
                <w:p>
                  <w:pPr>
                    <w:pStyle w:val="29"/>
                    <w:spacing w:line="360" w:lineRule="exact"/>
                    <w:rPr>
                      <w:color w:val="000000" w:themeColor="text1"/>
                    </w:rPr>
                  </w:pPr>
                  <w:r>
                    <w:rPr>
                      <w:color w:val="000000" w:themeColor="text1"/>
                    </w:rPr>
                    <w:t>0%</w:t>
                  </w:r>
                </w:p>
              </w:tc>
              <w:tc>
                <w:tcPr>
                  <w:tcW w:w="444" w:type="pct"/>
                  <w:tcMar>
                    <w:left w:w="28" w:type="dxa"/>
                    <w:right w:w="28" w:type="dxa"/>
                  </w:tcMar>
                  <w:vAlign w:val="center"/>
                </w:tcPr>
                <w:p>
                  <w:pPr>
                    <w:pStyle w:val="29"/>
                    <w:spacing w:line="360" w:lineRule="exact"/>
                    <w:rPr>
                      <w:color w:val="000000" w:themeColor="text1"/>
                    </w:rPr>
                  </w:pPr>
                  <w:r>
                    <w:rPr>
                      <w:color w:val="000000" w:themeColor="text1"/>
                    </w:rPr>
                    <w:t>达标</w:t>
                  </w:r>
                </w:p>
              </w:tc>
            </w:tr>
          </w:tbl>
          <w:p>
            <w:pPr>
              <w:pStyle w:val="37"/>
              <w:spacing w:beforeLines="50"/>
              <w:ind w:firstLine="480"/>
              <w:rPr>
                <w:rFonts w:eastAsiaTheme="minorEastAsia"/>
                <w:color w:val="000000" w:themeColor="text1"/>
                <w:szCs w:val="24"/>
              </w:rPr>
            </w:pPr>
            <w:r>
              <w:rPr>
                <w:rFonts w:eastAsiaTheme="minorEastAsia"/>
                <w:color w:val="000000" w:themeColor="text1"/>
                <w:szCs w:val="24"/>
              </w:rPr>
              <w:t>根据以上引用监测结果可知，项目评价范围内TSP可达到《环境空气质量标准》（GB</w:t>
            </w:r>
            <w:r>
              <w:rPr>
                <w:rFonts w:hint="eastAsia" w:eastAsiaTheme="minorEastAsia"/>
                <w:color w:val="000000" w:themeColor="text1"/>
                <w:szCs w:val="24"/>
                <w:lang w:eastAsia="zh-CN"/>
              </w:rPr>
              <w:t>****</w:t>
            </w:r>
            <w:r>
              <w:rPr>
                <w:rFonts w:eastAsiaTheme="minorEastAsia"/>
                <w:color w:val="000000" w:themeColor="text1"/>
                <w:szCs w:val="24"/>
              </w:rPr>
              <w:t>-2012）二级标准限值要求。</w:t>
            </w:r>
          </w:p>
          <w:p>
            <w:pPr>
              <w:pStyle w:val="37"/>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58"/>
              <w:spacing w:line="360" w:lineRule="auto"/>
              <w:ind w:firstLine="480"/>
              <w:rPr>
                <w:rFonts w:hAnsi="Times New Roman"/>
                <w:color w:val="000000" w:themeColor="text1"/>
                <w:sz w:val="24"/>
                <w:szCs w:val="24"/>
              </w:rPr>
            </w:pPr>
            <w:r>
              <w:rPr>
                <w:rFonts w:hAnsi="Times New Roman"/>
                <w:color w:val="000000" w:themeColor="text1"/>
                <w:sz w:val="24"/>
                <w:szCs w:val="24"/>
              </w:rPr>
              <w:t>项目所在区域属于小江的汇水范围，小江（清水海-入金沙江口段）位于项目西侧1872m处；根据云南省水利厅发布的《云南省水功能区划》（2014版），小江（清水海-入金沙江口段）到2030年的水质目标为III类水体，执行《地表水环境质量标准》（GB</w:t>
            </w:r>
            <w:r>
              <w:rPr>
                <w:rFonts w:hint="eastAsia" w:hAnsi="Times New Roman"/>
                <w:color w:val="000000" w:themeColor="text1"/>
                <w:sz w:val="24"/>
                <w:szCs w:val="24"/>
                <w:lang w:eastAsia="zh-CN"/>
              </w:rPr>
              <w:t>****</w:t>
            </w:r>
            <w:r>
              <w:rPr>
                <w:rFonts w:hAnsi="Times New Roman"/>
                <w:color w:val="000000" w:themeColor="text1"/>
                <w:sz w:val="24"/>
                <w:szCs w:val="24"/>
              </w:rPr>
              <w:t>-2002）</w:t>
            </w:r>
            <w:r>
              <w:rPr>
                <w:rFonts w:hAnsi="Times New Roman"/>
                <w:color w:val="000000" w:themeColor="text1"/>
                <w:sz w:val="24"/>
                <w:szCs w:val="24"/>
              </w:rPr>
              <w:fldChar w:fldCharType="begin"/>
            </w:r>
            <w:r>
              <w:rPr>
                <w:rFonts w:hAnsi="Times New Roman"/>
                <w:color w:val="000000" w:themeColor="text1"/>
                <w:sz w:val="24"/>
                <w:szCs w:val="24"/>
              </w:rPr>
              <w:instrText xml:space="preserve"> = 3 \* ROMAN </w:instrText>
            </w:r>
            <w:r>
              <w:rPr>
                <w:rFonts w:hAnsi="Times New Roman"/>
                <w:color w:val="000000" w:themeColor="text1"/>
                <w:sz w:val="24"/>
                <w:szCs w:val="24"/>
              </w:rPr>
              <w:fldChar w:fldCharType="separate"/>
            </w:r>
            <w:r>
              <w:rPr>
                <w:rFonts w:hAnsi="Times New Roman"/>
                <w:color w:val="000000" w:themeColor="text1"/>
                <w:sz w:val="24"/>
                <w:szCs w:val="24"/>
              </w:rPr>
              <w:t>II</w:t>
            </w:r>
            <w:r>
              <w:rPr>
                <w:rFonts w:hAnsi="Times New Roman"/>
                <w:color w:val="000000" w:themeColor="text1"/>
                <w:sz w:val="24"/>
                <w:szCs w:val="24"/>
              </w:rPr>
              <w:fldChar w:fldCharType="end"/>
            </w:r>
            <w:r>
              <w:rPr>
                <w:rFonts w:hAnsi="Times New Roman"/>
                <w:color w:val="000000" w:themeColor="text1"/>
                <w:sz w:val="24"/>
                <w:szCs w:val="24"/>
              </w:rPr>
              <w:t>I类标准。</w:t>
            </w:r>
          </w:p>
          <w:p>
            <w:pPr>
              <w:pStyle w:val="58"/>
              <w:spacing w:line="360" w:lineRule="auto"/>
              <w:ind w:firstLine="480"/>
              <w:rPr>
                <w:rFonts w:hAnsi="Times New Roman"/>
                <w:color w:val="000000" w:themeColor="text1"/>
                <w:sz w:val="24"/>
                <w:szCs w:val="24"/>
              </w:rPr>
            </w:pPr>
            <w:r>
              <w:rPr>
                <w:rFonts w:hAnsi="Times New Roman"/>
                <w:color w:val="000000" w:themeColor="text1"/>
                <w:sz w:val="24"/>
                <w:szCs w:val="24"/>
              </w:rPr>
              <w:t xml:space="preserve">环评按照《建设项目环境影响报告表编制技术指南》（污染影响类）的要求，引用2021年《昆明市东川区环境质量报告书》的小江板河口断面水质监测结果，具体如下表所示。 </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表3.1.2-1 项目区域地表水体小江水质检测结果一览表 单位：mg/L</w:t>
            </w:r>
          </w:p>
          <w:tbl>
            <w:tblPr>
              <w:tblStyle w:val="18"/>
              <w:tblW w:w="5000" w:type="pct"/>
              <w:tblInd w:w="0" w:type="dxa"/>
              <w:tblLayout w:type="fixed"/>
              <w:tblCellMar>
                <w:top w:w="0" w:type="dxa"/>
                <w:left w:w="108" w:type="dxa"/>
                <w:bottom w:w="0" w:type="dxa"/>
                <w:right w:w="108" w:type="dxa"/>
              </w:tblCellMar>
            </w:tblPr>
            <w:tblGrid>
              <w:gridCol w:w="1076"/>
              <w:gridCol w:w="2369"/>
              <w:gridCol w:w="1785"/>
              <w:gridCol w:w="1459"/>
              <w:gridCol w:w="1926"/>
            </w:tblGrid>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序号</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监测项目</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板河口</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标准值</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达标情况</w:t>
                  </w:r>
                </w:p>
              </w:tc>
            </w:tr>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pH（无量纲）</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8.16-8.52</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6-9</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2</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CODcr</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7</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20</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3</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BOD</w:t>
                  </w:r>
                  <w:r>
                    <w:rPr>
                      <w:rFonts w:eastAsiaTheme="minorEastAsia"/>
                      <w:color w:val="000000" w:themeColor="text1"/>
                      <w:sz w:val="20"/>
                      <w:szCs w:val="21"/>
                      <w:vertAlign w:val="subscript"/>
                    </w:rPr>
                    <w:t>5</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2</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4</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5</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氨氮</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0.23</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6</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总磷</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0.12</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0.2</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7</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砷</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0.032</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0.05</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8</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氟化物</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0.30</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9</w:t>
                  </w:r>
                </w:p>
              </w:tc>
              <w:tc>
                <w:tcPr>
                  <w:tcW w:w="236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挥发酚</w:t>
                  </w:r>
                </w:p>
              </w:tc>
              <w:tc>
                <w:tcPr>
                  <w:tcW w:w="1784"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0.0003L</w:t>
                  </w:r>
                </w:p>
              </w:tc>
              <w:tc>
                <w:tcPr>
                  <w:tcW w:w="1457" w:type="dxa"/>
                  <w:tcBorders>
                    <w:top w:val="nil"/>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0.005</w:t>
                  </w:r>
                </w:p>
              </w:tc>
              <w:tc>
                <w:tcPr>
                  <w:tcW w:w="1925" w:type="dxa"/>
                  <w:tcBorders>
                    <w:top w:val="nil"/>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10</w:t>
                  </w:r>
                </w:p>
              </w:tc>
              <w:tc>
                <w:tcPr>
                  <w:tcW w:w="236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氰化物</w:t>
                  </w:r>
                </w:p>
              </w:tc>
              <w:tc>
                <w:tcPr>
                  <w:tcW w:w="1784"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0.2</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11</w:t>
                  </w:r>
                </w:p>
              </w:tc>
              <w:tc>
                <w:tcPr>
                  <w:tcW w:w="236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总汞</w:t>
                  </w:r>
                </w:p>
              </w:tc>
              <w:tc>
                <w:tcPr>
                  <w:tcW w:w="1784"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0.00004L</w:t>
                  </w:r>
                </w:p>
              </w:tc>
              <w:tc>
                <w:tcPr>
                  <w:tcW w:w="145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0.0001</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12</w:t>
                  </w:r>
                </w:p>
              </w:tc>
              <w:tc>
                <w:tcPr>
                  <w:tcW w:w="236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六价铬</w:t>
                  </w:r>
                </w:p>
              </w:tc>
              <w:tc>
                <w:tcPr>
                  <w:tcW w:w="1784"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13</w:t>
                  </w:r>
                </w:p>
              </w:tc>
              <w:tc>
                <w:tcPr>
                  <w:tcW w:w="236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铅</w:t>
                  </w:r>
                </w:p>
              </w:tc>
              <w:tc>
                <w:tcPr>
                  <w:tcW w:w="1784"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0.002L</w:t>
                  </w:r>
                </w:p>
              </w:tc>
              <w:tc>
                <w:tcPr>
                  <w:tcW w:w="145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243"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14</w:t>
                  </w:r>
                </w:p>
              </w:tc>
              <w:tc>
                <w:tcPr>
                  <w:tcW w:w="236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镉</w:t>
                  </w:r>
                </w:p>
              </w:tc>
              <w:tc>
                <w:tcPr>
                  <w:tcW w:w="1784"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0.0001L</w:t>
                  </w:r>
                </w:p>
              </w:tc>
              <w:tc>
                <w:tcPr>
                  <w:tcW w:w="145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15</w:t>
                  </w:r>
                </w:p>
              </w:tc>
              <w:tc>
                <w:tcPr>
                  <w:tcW w:w="236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石油类</w:t>
                  </w:r>
                </w:p>
              </w:tc>
              <w:tc>
                <w:tcPr>
                  <w:tcW w:w="1784"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0.01L</w:t>
                  </w:r>
                </w:p>
              </w:tc>
              <w:tc>
                <w:tcPr>
                  <w:tcW w:w="1457" w:type="dxa"/>
                  <w:tcBorders>
                    <w:top w:val="single" w:color="auto" w:sz="4" w:space="0"/>
                    <w:left w:val="nil"/>
                    <w:bottom w:val="single" w:color="auto" w:sz="4" w:space="0"/>
                    <w:right w:val="single" w:color="auto" w:sz="4" w:space="0"/>
                  </w:tcBorders>
                  <w:shd w:val="clear" w:color="auto" w:fill="auto"/>
                </w:tcPr>
                <w:p>
                  <w:pPr>
                    <w:pStyle w:val="29"/>
                    <w:spacing w:line="360" w:lineRule="exact"/>
                    <w:ind w:left="11"/>
                    <w:rPr>
                      <w:rFonts w:eastAsiaTheme="minorEastAsia"/>
                      <w:color w:val="000000" w:themeColor="text1"/>
                      <w:sz w:val="20"/>
                      <w:szCs w:val="21"/>
                    </w:rPr>
                  </w:pPr>
                  <w:r>
                    <w:rPr>
                      <w:rFonts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达标</w:t>
                  </w:r>
                </w:p>
              </w:tc>
            </w:tr>
          </w:tbl>
          <w:p>
            <w:pPr>
              <w:pStyle w:val="37"/>
              <w:spacing w:beforeLines="50"/>
              <w:ind w:firstLine="480"/>
              <w:rPr>
                <w:rFonts w:eastAsiaTheme="minorEastAsia"/>
                <w:color w:val="000000" w:themeColor="text1"/>
                <w:szCs w:val="24"/>
              </w:rPr>
            </w:pPr>
            <w:r>
              <w:rPr>
                <w:rFonts w:eastAsiaTheme="minorEastAsia"/>
                <w:color w:val="000000" w:themeColor="text1"/>
                <w:szCs w:val="24"/>
              </w:rPr>
              <w:t>根据以上监测结果可知，该项目地表水小江板河口断面上述指标水质可达到《地表水环境质量标准》（GB</w:t>
            </w:r>
            <w:r>
              <w:rPr>
                <w:rFonts w:hint="eastAsia" w:eastAsiaTheme="minorEastAsia"/>
                <w:color w:val="000000" w:themeColor="text1"/>
                <w:szCs w:val="24"/>
                <w:lang w:eastAsia="zh-CN"/>
              </w:rPr>
              <w:t>****</w:t>
            </w:r>
            <w:r>
              <w:rPr>
                <w:rFonts w:eastAsiaTheme="minorEastAsia"/>
                <w:color w:val="000000" w:themeColor="text1"/>
                <w:szCs w:val="24"/>
              </w:rPr>
              <w:t>-2002）III类标准。</w:t>
            </w:r>
          </w:p>
          <w:p>
            <w:pPr>
              <w:pStyle w:val="37"/>
              <w:ind w:firstLine="482"/>
              <w:rPr>
                <w:rFonts w:eastAsiaTheme="minorEastAsia"/>
                <w:b/>
                <w:color w:val="000000" w:themeColor="text1"/>
                <w:szCs w:val="24"/>
              </w:rPr>
            </w:pPr>
            <w:r>
              <w:rPr>
                <w:rFonts w:eastAsiaTheme="minorEastAsia"/>
                <w:b/>
                <w:color w:val="000000" w:themeColor="text1"/>
                <w:szCs w:val="24"/>
              </w:rPr>
              <w:t>3.1.3声环境质量现状</w:t>
            </w:r>
          </w:p>
          <w:p>
            <w:pPr>
              <w:pStyle w:val="37"/>
              <w:ind w:firstLine="480"/>
              <w:rPr>
                <w:color w:val="000000" w:themeColor="text1"/>
                <w:szCs w:val="24"/>
              </w:rPr>
            </w:pPr>
            <w:r>
              <w:rPr>
                <w:color w:val="000000" w:themeColor="text1"/>
                <w:szCs w:val="24"/>
              </w:rPr>
              <w:t>该项目位于云南东川产业园区四方地片区昆明旭鑫环保科技有限公司厂区，根据《云南东川产业园区总体规划修编（2021-2035）环境影响报告书》，项目区域为3类区，在项目区50m范围内无声环境保护目标；根据《建设项目环境影响报告表编制技术指南》（污染影响类）（试行）的要求，可不进行声环境质量现状调查。</w:t>
            </w:r>
          </w:p>
          <w:p>
            <w:pPr>
              <w:pStyle w:val="37"/>
              <w:ind w:firstLine="482"/>
              <w:rPr>
                <w:rFonts w:eastAsiaTheme="minorEastAsia"/>
                <w:b/>
                <w:color w:val="000000" w:themeColor="text1"/>
                <w:szCs w:val="24"/>
              </w:rPr>
            </w:pPr>
            <w:bookmarkStart w:id="29" w:name="_Toc248077256"/>
            <w:r>
              <w:rPr>
                <w:rFonts w:eastAsiaTheme="minorEastAsia"/>
                <w:b/>
                <w:color w:val="000000" w:themeColor="text1"/>
                <w:szCs w:val="24"/>
              </w:rPr>
              <w:t>3.1.4生态环境质量现状</w:t>
            </w:r>
            <w:bookmarkEnd w:id="29"/>
          </w:p>
          <w:p>
            <w:pPr>
              <w:pStyle w:val="37"/>
              <w:ind w:firstLine="480"/>
              <w:rPr>
                <w:rFonts w:eastAsiaTheme="minorEastAsia"/>
                <w:color w:val="000000" w:themeColor="text1"/>
                <w:szCs w:val="24"/>
              </w:rPr>
            </w:pPr>
            <w:r>
              <w:rPr>
                <w:rFonts w:eastAsiaTheme="minorEastAsia"/>
                <w:color w:val="000000" w:themeColor="text1"/>
                <w:szCs w:val="24"/>
              </w:rPr>
              <w:t>该项目位于云南东川产业园区四方地片区昆明旭鑫环保科技有限公司厂区，根据现场调查，厂区范围主要为人工生态系统，随着原有厂区多年的运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7"/>
              <w:ind w:firstLine="482"/>
              <w:rPr>
                <w:rFonts w:eastAsiaTheme="minorEastAsia"/>
                <w:b/>
                <w:color w:val="000000" w:themeColor="text1"/>
                <w:szCs w:val="24"/>
              </w:rPr>
            </w:pPr>
            <w:r>
              <w:rPr>
                <w:rFonts w:eastAsiaTheme="minorEastAsia"/>
                <w:b/>
                <w:color w:val="000000" w:themeColor="text1"/>
                <w:szCs w:val="24"/>
              </w:rPr>
              <w:t>3.1.5 地下水、土壤环境</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的要求，原则上不开展环境质量现状调查。建设项目存在土壤、地下水环境污染途径的，应结合污染源、保护目标分布情况开展现状调查以留作背景值。</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（1）地下水质量现状</w:t>
            </w:r>
          </w:p>
          <w:p>
            <w:pPr>
              <w:pStyle w:val="37"/>
              <w:ind w:firstLine="480"/>
              <w:rPr>
                <w:rFonts w:eastAsiaTheme="minorEastAsia"/>
                <w:color w:val="000000" w:themeColor="text1"/>
                <w:szCs w:val="24"/>
              </w:rPr>
            </w:pPr>
            <w:r>
              <w:rPr>
                <w:rFonts w:eastAsiaTheme="minorEastAsia"/>
                <w:color w:val="000000" w:themeColor="text1"/>
                <w:szCs w:val="24"/>
              </w:rPr>
              <w:t>该项目属于小微企业危险废物收集试点项目，存在地下水环境污染途径，但根据调查，厂界外500m范围内不涉及集中式饮用水水源和热水、矿泉水、温泉等特殊地下水资源，因此环评引用项目区下游地下水监测数据对其进行评价。</w:t>
            </w:r>
          </w:p>
          <w:p>
            <w:pPr>
              <w:pStyle w:val="37"/>
              <w:ind w:firstLine="480"/>
              <w:rPr>
                <w:rFonts w:eastAsiaTheme="minorEastAsia"/>
                <w:color w:val="000000" w:themeColor="text1"/>
                <w:szCs w:val="24"/>
              </w:rPr>
            </w:pPr>
            <w:r>
              <w:rPr>
                <w:rFonts w:eastAsiaTheme="minorEastAsia"/>
                <w:color w:val="000000" w:themeColor="text1"/>
                <w:szCs w:val="24"/>
              </w:rPr>
              <w:t>该项目位于云南东川产业园区四方地片区昆明旭鑫环保科技有限公司厂区，根据调查，项目所在区域的地下水主要功能为工农业用水，属于地下水质量III类。根据项目区域水文地质概况，区域地下水流向为由东南方向流向西北方向。根据项目区水文地质图，凉水井村位于项目区东南侧278m处，其村庄内有一个泉点和本次建设项目位于同一水文地址单元内，因此本环评拟采用《</w:t>
            </w:r>
            <w:r>
              <w:rPr>
                <w:color w:val="000000" w:themeColor="text1"/>
                <w:szCs w:val="24"/>
              </w:rPr>
              <w:t>云南东川产业园区总体规划修编（2021-2035）环境影响报告书</w:t>
            </w:r>
            <w:r>
              <w:rPr>
                <w:rFonts w:eastAsiaTheme="minorEastAsia"/>
                <w:color w:val="000000" w:themeColor="text1"/>
                <w:szCs w:val="24"/>
              </w:rPr>
              <w:t>》编制过程中委托云南中科检测技术有限公司于2022年3月3日-4日连续2天对凉水井泉点的监测数据对区域地下水进行评价。</w:t>
            </w:r>
          </w:p>
          <w:p>
            <w:pPr>
              <w:spacing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①地下水现状监测参数设置</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监测数据中监测参数如下表所示。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表5.1.5-1  监测参数一览表</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1259"/>
              <w:gridCol w:w="66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9"/>
                    <w:spacing w:line="360" w:lineRule="exact"/>
                    <w:rPr>
                      <w:color w:val="000000" w:themeColor="text1"/>
                      <w:szCs w:val="21"/>
                    </w:rPr>
                  </w:pPr>
                  <w:r>
                    <w:rPr>
                      <w:color w:val="000000" w:themeColor="text1"/>
                      <w:szCs w:val="21"/>
                    </w:rPr>
                    <w:t>序号</w:t>
                  </w:r>
                </w:p>
              </w:tc>
              <w:tc>
                <w:tcPr>
                  <w:tcW w:w="1259" w:type="dxa"/>
                  <w:vAlign w:val="center"/>
                </w:tcPr>
                <w:p>
                  <w:pPr>
                    <w:pStyle w:val="29"/>
                    <w:spacing w:line="360" w:lineRule="exact"/>
                    <w:rPr>
                      <w:color w:val="000000" w:themeColor="text1"/>
                      <w:szCs w:val="21"/>
                    </w:rPr>
                  </w:pPr>
                  <w:r>
                    <w:rPr>
                      <w:color w:val="000000" w:themeColor="text1"/>
                      <w:szCs w:val="21"/>
                    </w:rPr>
                    <w:t>项目</w:t>
                  </w:r>
                </w:p>
              </w:tc>
              <w:tc>
                <w:tcPr>
                  <w:tcW w:w="6611" w:type="dxa"/>
                  <w:vAlign w:val="center"/>
                </w:tcPr>
                <w:p>
                  <w:pPr>
                    <w:pStyle w:val="29"/>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9"/>
                    <w:spacing w:line="360" w:lineRule="exact"/>
                    <w:rPr>
                      <w:color w:val="000000" w:themeColor="text1"/>
                      <w:szCs w:val="21"/>
                    </w:rPr>
                  </w:pPr>
                  <w:r>
                    <w:rPr>
                      <w:color w:val="000000" w:themeColor="text1"/>
                      <w:szCs w:val="21"/>
                    </w:rPr>
                    <w:t>1</w:t>
                  </w:r>
                </w:p>
              </w:tc>
              <w:tc>
                <w:tcPr>
                  <w:tcW w:w="1259" w:type="dxa"/>
                  <w:vAlign w:val="center"/>
                </w:tcPr>
                <w:p>
                  <w:pPr>
                    <w:pStyle w:val="29"/>
                    <w:spacing w:line="360" w:lineRule="exact"/>
                    <w:rPr>
                      <w:color w:val="000000" w:themeColor="text1"/>
                      <w:szCs w:val="21"/>
                    </w:rPr>
                  </w:pPr>
                  <w:r>
                    <w:rPr>
                      <w:color w:val="000000" w:themeColor="text1"/>
                      <w:szCs w:val="21"/>
                    </w:rPr>
                    <w:t>监测点位</w:t>
                  </w:r>
                </w:p>
              </w:tc>
              <w:tc>
                <w:tcPr>
                  <w:tcW w:w="661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凉水井泉点，凉水井村位于项目区东南侧278m处，泉点位于项目区东南侧约326m处。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9"/>
                    <w:spacing w:line="360" w:lineRule="exact"/>
                    <w:rPr>
                      <w:color w:val="000000" w:themeColor="text1"/>
                      <w:szCs w:val="21"/>
                    </w:rPr>
                  </w:pPr>
                  <w:r>
                    <w:rPr>
                      <w:color w:val="000000" w:themeColor="text1"/>
                      <w:szCs w:val="21"/>
                    </w:rPr>
                    <w:t>2</w:t>
                  </w:r>
                </w:p>
              </w:tc>
              <w:tc>
                <w:tcPr>
                  <w:tcW w:w="1259" w:type="dxa"/>
                  <w:vAlign w:val="center"/>
                </w:tcPr>
                <w:p>
                  <w:pPr>
                    <w:pStyle w:val="29"/>
                    <w:spacing w:line="360" w:lineRule="exact"/>
                    <w:rPr>
                      <w:color w:val="000000" w:themeColor="text1"/>
                      <w:szCs w:val="21"/>
                    </w:rPr>
                  </w:pPr>
                  <w:r>
                    <w:rPr>
                      <w:color w:val="000000" w:themeColor="text1"/>
                      <w:szCs w:val="21"/>
                    </w:rPr>
                    <w:t>监测项目</w:t>
                  </w:r>
                </w:p>
              </w:tc>
              <w:tc>
                <w:tcPr>
                  <w:tcW w:w="6611" w:type="dxa"/>
                  <w:vAlign w:val="center"/>
                </w:tcPr>
                <w:p>
                  <w:pPr>
                    <w:pStyle w:val="29"/>
                    <w:spacing w:line="360" w:lineRule="exact"/>
                    <w:ind w:firstLine="210" w:firstLineChars="100"/>
                    <w:jc w:val="both"/>
                    <w:rPr>
                      <w:color w:val="000000" w:themeColor="text1"/>
                      <w:szCs w:val="21"/>
                    </w:rPr>
                  </w:pPr>
                  <w:r>
                    <w:rPr>
                      <w:color w:val="000000" w:themeColor="text1"/>
                      <w:szCs w:val="21"/>
                    </w:rPr>
                    <w:t>K</w:t>
                  </w:r>
                  <w:r>
                    <w:rPr>
                      <w:color w:val="000000" w:themeColor="text1"/>
                      <w:szCs w:val="21"/>
                      <w:vertAlign w:val="superscript"/>
                    </w:rPr>
                    <w:t>+</w:t>
                  </w:r>
                  <w:r>
                    <w:rPr>
                      <w:color w:val="000000" w:themeColor="text1"/>
                      <w:szCs w:val="21"/>
                    </w:rPr>
                    <w:t>、Na</w:t>
                  </w:r>
                  <w:r>
                    <w:rPr>
                      <w:color w:val="000000" w:themeColor="text1"/>
                      <w:szCs w:val="21"/>
                      <w:vertAlign w:val="superscript"/>
                    </w:rPr>
                    <w:t>+</w:t>
                  </w:r>
                  <w:r>
                    <w:rPr>
                      <w:color w:val="000000" w:themeColor="text1"/>
                      <w:szCs w:val="21"/>
                    </w:rPr>
                    <w:t>、Ca</w:t>
                  </w:r>
                  <w:r>
                    <w:rPr>
                      <w:color w:val="000000" w:themeColor="text1"/>
                      <w:szCs w:val="21"/>
                      <w:vertAlign w:val="superscript"/>
                    </w:rPr>
                    <w:t>2+</w:t>
                  </w:r>
                  <w:r>
                    <w:rPr>
                      <w:color w:val="000000" w:themeColor="text1"/>
                      <w:szCs w:val="21"/>
                    </w:rPr>
                    <w:t>、Mg</w:t>
                  </w:r>
                  <w:r>
                    <w:rPr>
                      <w:color w:val="000000" w:themeColor="text1"/>
                      <w:szCs w:val="21"/>
                      <w:vertAlign w:val="superscript"/>
                    </w:rPr>
                    <w:t>2+</w:t>
                  </w:r>
                  <w:r>
                    <w:rPr>
                      <w:color w:val="000000" w:themeColor="text1"/>
                      <w:szCs w:val="21"/>
                    </w:rPr>
                    <w:t>、CO</w:t>
                  </w:r>
                  <w:r>
                    <w:rPr>
                      <w:color w:val="000000" w:themeColor="text1"/>
                      <w:szCs w:val="21"/>
                      <w:vertAlign w:val="subscript"/>
                    </w:rPr>
                    <w:t>3</w:t>
                  </w:r>
                  <w:r>
                    <w:rPr>
                      <w:color w:val="000000" w:themeColor="text1"/>
                      <w:szCs w:val="21"/>
                      <w:vertAlign w:val="superscript"/>
                    </w:rPr>
                    <w:t>2-</w:t>
                  </w:r>
                  <w:r>
                    <w:rPr>
                      <w:color w:val="000000" w:themeColor="text1"/>
                      <w:szCs w:val="21"/>
                    </w:rPr>
                    <w:t>、Cl</w:t>
                  </w:r>
                  <w:r>
                    <w:rPr>
                      <w:color w:val="000000" w:themeColor="text1"/>
                      <w:szCs w:val="21"/>
                      <w:vertAlign w:val="superscript"/>
                    </w:rPr>
                    <w:t>-</w:t>
                  </w:r>
                  <w:r>
                    <w:rPr>
                      <w:color w:val="000000" w:themeColor="text1"/>
                      <w:szCs w:val="21"/>
                    </w:rPr>
                    <w:t>、SO</w:t>
                  </w:r>
                  <w:r>
                    <w:rPr>
                      <w:color w:val="000000" w:themeColor="text1"/>
                      <w:szCs w:val="21"/>
                      <w:vertAlign w:val="subscript"/>
                    </w:rPr>
                    <w:t>4</w:t>
                  </w:r>
                  <w:r>
                    <w:rPr>
                      <w:color w:val="000000" w:themeColor="text1"/>
                      <w:szCs w:val="21"/>
                      <w:vertAlign w:val="superscript"/>
                    </w:rPr>
                    <w:t>2-</w:t>
                  </w:r>
                  <w:r>
                    <w:rPr>
                      <w:color w:val="000000" w:themeColor="text1"/>
                      <w:szCs w:val="21"/>
                    </w:rPr>
                    <w:t>、pH、水温、色度、嗅和味、肉眼可见物、总硬度、溶解性总固体、硫酸盐、氯化物、铁、锰、铜、锌、挥发酚类、阴离子表面活性剂、耗氧量、氨氮、硫化物、总大肠菌群、菌落总数、亚硝酸盐氮、硝酸盐氮、氰化物、氟化物、汞、砷、镉、铬（六价）、铅、镍、、总磷、溶解氧，共39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9"/>
                    <w:spacing w:line="360" w:lineRule="exact"/>
                    <w:rPr>
                      <w:color w:val="000000" w:themeColor="text1"/>
                      <w:szCs w:val="21"/>
                    </w:rPr>
                  </w:pPr>
                  <w:r>
                    <w:rPr>
                      <w:color w:val="000000" w:themeColor="text1"/>
                      <w:szCs w:val="21"/>
                    </w:rPr>
                    <w:t>3</w:t>
                  </w:r>
                </w:p>
              </w:tc>
              <w:tc>
                <w:tcPr>
                  <w:tcW w:w="1259" w:type="dxa"/>
                  <w:vAlign w:val="center"/>
                </w:tcPr>
                <w:p>
                  <w:pPr>
                    <w:pStyle w:val="29"/>
                    <w:spacing w:line="360" w:lineRule="exact"/>
                    <w:rPr>
                      <w:color w:val="000000" w:themeColor="text1"/>
                      <w:szCs w:val="21"/>
                    </w:rPr>
                  </w:pPr>
                  <w:r>
                    <w:rPr>
                      <w:color w:val="000000" w:themeColor="text1"/>
                      <w:szCs w:val="21"/>
                    </w:rPr>
                    <w:t>监测频次</w:t>
                  </w:r>
                </w:p>
              </w:tc>
              <w:tc>
                <w:tcPr>
                  <w:tcW w:w="661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检测2天，每天检测1次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9"/>
                    <w:spacing w:line="360" w:lineRule="exact"/>
                    <w:rPr>
                      <w:color w:val="000000" w:themeColor="text1"/>
                      <w:szCs w:val="21"/>
                    </w:rPr>
                  </w:pPr>
                  <w:r>
                    <w:rPr>
                      <w:color w:val="000000" w:themeColor="text1"/>
                      <w:szCs w:val="21"/>
                    </w:rPr>
                    <w:t>4</w:t>
                  </w:r>
                </w:p>
              </w:tc>
              <w:tc>
                <w:tcPr>
                  <w:tcW w:w="1259" w:type="dxa"/>
                  <w:vAlign w:val="center"/>
                </w:tcPr>
                <w:p>
                  <w:pPr>
                    <w:pStyle w:val="29"/>
                    <w:spacing w:line="360" w:lineRule="exact"/>
                    <w:rPr>
                      <w:color w:val="000000" w:themeColor="text1"/>
                      <w:szCs w:val="21"/>
                    </w:rPr>
                  </w:pPr>
                  <w:r>
                    <w:rPr>
                      <w:color w:val="000000" w:themeColor="text1"/>
                      <w:szCs w:val="21"/>
                    </w:rPr>
                    <w:t>采样时间</w:t>
                  </w:r>
                </w:p>
              </w:tc>
              <w:tc>
                <w:tcPr>
                  <w:tcW w:w="661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2022年3月3日-4日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9"/>
                    <w:spacing w:line="360" w:lineRule="exact"/>
                    <w:rPr>
                      <w:color w:val="000000" w:themeColor="text1"/>
                      <w:szCs w:val="21"/>
                    </w:rPr>
                  </w:pPr>
                  <w:r>
                    <w:rPr>
                      <w:color w:val="000000" w:themeColor="text1"/>
                      <w:szCs w:val="21"/>
                    </w:rPr>
                    <w:t>5</w:t>
                  </w:r>
                </w:p>
              </w:tc>
              <w:tc>
                <w:tcPr>
                  <w:tcW w:w="1259" w:type="dxa"/>
                  <w:vAlign w:val="center"/>
                </w:tcPr>
                <w:p>
                  <w:pPr>
                    <w:pStyle w:val="29"/>
                    <w:spacing w:line="360" w:lineRule="exact"/>
                    <w:rPr>
                      <w:color w:val="000000" w:themeColor="text1"/>
                      <w:szCs w:val="21"/>
                    </w:rPr>
                  </w:pPr>
                  <w:r>
                    <w:rPr>
                      <w:color w:val="000000" w:themeColor="text1"/>
                      <w:szCs w:val="21"/>
                    </w:rPr>
                    <w:t>监测方法</w:t>
                  </w:r>
                </w:p>
              </w:tc>
              <w:tc>
                <w:tcPr>
                  <w:tcW w:w="661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按照国家相关要求进行。</w:t>
                  </w:r>
                </w:p>
              </w:tc>
            </w:tr>
          </w:tbl>
          <w:p>
            <w:pPr>
              <w:spacing w:beforeLines="50"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②地下水监测结果</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地下水主要监测结果见下表。</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表3.1.5-2 项目区域地下水质检测结果一览表单位：mg/L</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703"/>
              <w:gridCol w:w="1703"/>
              <w:gridCol w:w="141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2431" w:type="dxa"/>
                  <w:vMerge w:val="restart"/>
                  <w:tcBorders>
                    <w:top w:val="single" w:color="auto" w:sz="8" w:space="0"/>
                    <w:left w:val="single" w:color="auto" w:sz="8" w:space="0"/>
                    <w:tl2br w:val="single" w:color="auto" w:sz="8" w:space="0"/>
                  </w:tcBorders>
                  <w:vAlign w:val="center"/>
                </w:tcPr>
                <w:p>
                  <w:pPr>
                    <w:pStyle w:val="29"/>
                    <w:spacing w:line="360" w:lineRule="exact"/>
                    <w:rPr>
                      <w:color w:val="000000" w:themeColor="text1"/>
                      <w:szCs w:val="21"/>
                    </w:rPr>
                  </w:pPr>
                  <w:r>
                    <w:rPr>
                      <w:color w:val="000000" w:themeColor="text1"/>
                      <w:szCs w:val="21"/>
                    </w:rPr>
                    <w:t xml:space="preserve">          时间/点位</w:t>
                  </w:r>
                </w:p>
                <w:p>
                  <w:pPr>
                    <w:pStyle w:val="29"/>
                    <w:spacing w:line="360" w:lineRule="exact"/>
                    <w:jc w:val="left"/>
                    <w:rPr>
                      <w:color w:val="000000" w:themeColor="text1"/>
                      <w:szCs w:val="21"/>
                    </w:rPr>
                  </w:pPr>
                  <w:r>
                    <w:rPr>
                      <w:color w:val="000000" w:themeColor="text1"/>
                      <w:szCs w:val="21"/>
                    </w:rPr>
                    <w:t>检测项目</w:t>
                  </w:r>
                </w:p>
              </w:tc>
              <w:tc>
                <w:tcPr>
                  <w:tcW w:w="3402" w:type="dxa"/>
                  <w:gridSpan w:val="2"/>
                  <w:tcBorders>
                    <w:top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凉水井泉点</w:t>
                  </w:r>
                </w:p>
              </w:tc>
              <w:tc>
                <w:tcPr>
                  <w:tcW w:w="1417" w:type="dxa"/>
                  <w:vMerge w:val="restart"/>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标准值</w:t>
                  </w:r>
                </w:p>
              </w:tc>
              <w:tc>
                <w:tcPr>
                  <w:tcW w:w="1345" w:type="dxa"/>
                  <w:vMerge w:val="restart"/>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31" w:type="dxa"/>
                  <w:vMerge w:val="continue"/>
                  <w:tcBorders>
                    <w:left w:val="single" w:color="auto" w:sz="8" w:space="0"/>
                    <w:tl2br w:val="single" w:color="auto" w:sz="8" w:space="0"/>
                  </w:tcBorders>
                  <w:vAlign w:val="center"/>
                </w:tcPr>
                <w:p>
                  <w:pPr>
                    <w:pStyle w:val="29"/>
                    <w:spacing w:line="360" w:lineRule="exact"/>
                    <w:rPr>
                      <w:color w:val="000000" w:themeColor="text1"/>
                      <w:szCs w:val="21"/>
                    </w:rPr>
                  </w:pP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监测均值</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标准指数</w:t>
                  </w:r>
                </w:p>
              </w:tc>
              <w:tc>
                <w:tcPr>
                  <w:tcW w:w="1417"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345" w:type="dxa"/>
                  <w:vMerge w:val="continue"/>
                  <w:tcBorders>
                    <w:left w:val="single" w:color="auto" w:sz="4" w:space="0"/>
                    <w:right w:val="single" w:color="auto" w:sz="8" w:space="0"/>
                  </w:tcBorders>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pH（无量纲）</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7.4</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6.5~8.5</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0.27</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水温</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13.2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色度（度）</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5</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15</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0.33</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浑浊度（NTU）</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0.67</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嗅和味</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无</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无</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肉眼可见物</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无</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无</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总硬度</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304</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450</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0.67</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溶解性总固体</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469</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1000</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0.47</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硫酸盐</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55</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250</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0.22</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氯化物</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18.6</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250</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0.07</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铁</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0.03L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0.3</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锰</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0.01L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铜</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1.02×10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0.001</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锌</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6.7×10</w:t>
                  </w:r>
                  <w:r>
                    <w:rPr>
                      <w:color w:val="000000" w:themeColor="text1"/>
                      <w:szCs w:val="21"/>
                      <w:vertAlign w:val="superscript"/>
                    </w:rPr>
                    <w:t>-4</w:t>
                  </w:r>
                  <w:r>
                    <w:rPr>
                      <w:color w:val="000000" w:themeColor="text1"/>
                      <w:szCs w:val="21"/>
                    </w:rPr>
                    <w:t>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0.001</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挥发酚类</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0.002L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0.002</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1.00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阴离子表面活性剂</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0.050L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0.3</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0.17</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耗氧量</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0.25</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0.08</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氨氮</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0.02L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0.5</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硫化物</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0.02L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0.02</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1.00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总大肠菌群（MPNb/100mL）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未检出</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菌落总数（CFU/mL）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93</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100</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0.93</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亚硝酸盐氮</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0.037</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硝酸盐氮</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10.0</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20</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0.50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氰化物</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0.002L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0.05</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氟化物</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0.20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汞</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1×10</w:t>
                  </w:r>
                  <w:r>
                    <w:rPr>
                      <w:color w:val="000000" w:themeColor="text1"/>
                      <w:szCs w:val="21"/>
                      <w:vertAlign w:val="superscript"/>
                    </w:rPr>
                    <w:t>-4</w:t>
                  </w:r>
                  <w:r>
                    <w:rPr>
                      <w:color w:val="000000" w:themeColor="text1"/>
                      <w:szCs w:val="21"/>
                    </w:rPr>
                    <w:t>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0.001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砷</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1.5×10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0.15</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镉</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7.5×10</w:t>
                  </w:r>
                  <w:r>
                    <w:rPr>
                      <w:color w:val="000000" w:themeColor="text1"/>
                      <w:szCs w:val="21"/>
                      <w:vertAlign w:val="superscript"/>
                    </w:rPr>
                    <w:t>-5</w:t>
                  </w:r>
                  <w:r>
                    <w:rPr>
                      <w:color w:val="000000" w:themeColor="text1"/>
                      <w:szCs w:val="21"/>
                    </w:rPr>
                    <w:t>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0.005</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0.02</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铬（六价）（mg/L）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0.004L</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0.05</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0.08</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铅</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1.4×10</w:t>
                  </w:r>
                  <w:r>
                    <w:rPr>
                      <w:color w:val="000000" w:themeColor="text1"/>
                      <w:szCs w:val="21"/>
                      <w:vertAlign w:val="superscript"/>
                    </w:rPr>
                    <w:t>-4</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0.01</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0.01</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镍</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3.72×10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0.02</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0.19</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K</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1.23</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Na</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8.51</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Ca</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94.9</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Mg</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30.1</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CO</w:t>
                  </w:r>
                  <w:r>
                    <w:rPr>
                      <w:color w:val="000000" w:themeColor="text1"/>
                      <w:szCs w:val="21"/>
                      <w:vertAlign w:val="subscript"/>
                    </w:rPr>
                    <w:t>3</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未检出</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HCO</w:t>
                  </w:r>
                  <w:r>
                    <w:rPr>
                      <w:color w:val="000000" w:themeColor="text1"/>
                      <w:szCs w:val="21"/>
                      <w:vertAlign w:val="subscript"/>
                    </w:rPr>
                    <w:t>3</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372</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Cl</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16.3</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29"/>
                    <w:spacing w:line="360" w:lineRule="exact"/>
                    <w:rPr>
                      <w:color w:val="000000" w:themeColor="text1"/>
                      <w:szCs w:val="21"/>
                    </w:rPr>
                  </w:pPr>
                  <w:r>
                    <w:rPr>
                      <w:color w:val="000000" w:themeColor="text1"/>
                      <w:szCs w:val="21"/>
                    </w:rPr>
                    <w:t>SO</w:t>
                  </w:r>
                  <w:r>
                    <w:rPr>
                      <w:color w:val="000000" w:themeColor="text1"/>
                      <w:szCs w:val="21"/>
                      <w:vertAlign w:val="subscript"/>
                    </w:rPr>
                    <w:t>4</w:t>
                  </w:r>
                  <w:r>
                    <w:rPr>
                      <w:color w:val="000000" w:themeColor="text1"/>
                      <w:szCs w:val="21"/>
                      <w:vertAlign w:val="superscript"/>
                    </w:rPr>
                    <w:t>2-</w:t>
                  </w:r>
                </w:p>
              </w:tc>
              <w:tc>
                <w:tcPr>
                  <w:tcW w:w="1701" w:type="dxa"/>
                  <w:tcBorders>
                    <w:top w:val="single" w:color="auto" w:sz="8" w:space="0"/>
                    <w:bottom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52.9</w:t>
                  </w:r>
                </w:p>
              </w:tc>
              <w:tc>
                <w:tcPr>
                  <w:tcW w:w="1701" w:type="dxa"/>
                  <w:tcBorders>
                    <w:top w:val="single" w:color="auto" w:sz="8" w:space="0"/>
                    <w:bottom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29"/>
                    <w:spacing w:line="360" w:lineRule="exact"/>
                    <w:rPr>
                      <w:color w:val="000000" w:themeColor="text1"/>
                      <w:szCs w:val="21"/>
                    </w:rPr>
                  </w:pPr>
                  <w:r>
                    <w:rPr>
                      <w:color w:val="000000" w:themeColor="text1"/>
                      <w:szCs w:val="21"/>
                    </w:rPr>
                    <w:t>总磷</w:t>
                  </w:r>
                </w:p>
              </w:tc>
              <w:tc>
                <w:tcPr>
                  <w:tcW w:w="1701" w:type="dxa"/>
                  <w:tcBorders>
                    <w:top w:val="single" w:color="auto" w:sz="8" w:space="0"/>
                    <w:bottom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0.06L</w:t>
                  </w:r>
                </w:p>
              </w:tc>
              <w:tc>
                <w:tcPr>
                  <w:tcW w:w="1701" w:type="dxa"/>
                  <w:tcBorders>
                    <w:top w:val="single" w:color="auto" w:sz="8" w:space="0"/>
                    <w:bottom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9"/>
                    <w:spacing w:line="360" w:lineRule="exact"/>
                    <w:rPr>
                      <w:color w:val="000000" w:themeColor="text1"/>
                      <w:szCs w:val="21"/>
                    </w:rPr>
                  </w:pPr>
                  <w:r>
                    <w:rPr>
                      <w:color w:val="000000" w:themeColor="text1"/>
                      <w:szCs w:val="21"/>
                    </w:rPr>
                    <w:t>溶解氧</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7.8</w:t>
                  </w:r>
                </w:p>
              </w:tc>
              <w:tc>
                <w:tcPr>
                  <w:tcW w:w="1701" w:type="dxa"/>
                  <w:tcBorders>
                    <w:top w:val="single" w:color="auto" w:sz="8"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29"/>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③地下水监测结果及地下水现状分析</w:t>
            </w:r>
          </w:p>
          <w:p>
            <w:pPr>
              <w:pStyle w:val="37"/>
              <w:ind w:firstLine="480"/>
              <w:rPr>
                <w:rFonts w:eastAsiaTheme="minorEastAsia"/>
                <w:color w:val="000000" w:themeColor="text1"/>
                <w:szCs w:val="24"/>
              </w:rPr>
            </w:pPr>
            <w:r>
              <w:rPr>
                <w:color w:val="000000" w:themeColor="text1"/>
                <w:szCs w:val="32"/>
              </w:rPr>
              <w:t>根据以上监测结果可知，评价区域的上述监测因子均达到《地下水质量标准》（GB/T</w:t>
            </w:r>
            <w:r>
              <w:rPr>
                <w:rFonts w:hint="eastAsia"/>
                <w:color w:val="000000" w:themeColor="text1"/>
                <w:szCs w:val="32"/>
                <w:lang w:eastAsia="zh-CN"/>
              </w:rPr>
              <w:t>*****</w:t>
            </w:r>
            <w:r>
              <w:rPr>
                <w:color w:val="000000" w:themeColor="text1"/>
                <w:szCs w:val="32"/>
              </w:rPr>
              <w:t>-2017）III类标准。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（2）土壤环境质量现状</w:t>
            </w:r>
          </w:p>
          <w:p>
            <w:pPr>
              <w:pStyle w:val="37"/>
              <w:ind w:firstLine="480"/>
              <w:rPr>
                <w:color w:val="000000" w:themeColor="text1"/>
                <w:szCs w:val="32"/>
              </w:rPr>
            </w:pPr>
            <w:r>
              <w:rPr>
                <w:color w:val="000000" w:themeColor="text1"/>
                <w:szCs w:val="32"/>
              </w:rPr>
              <w:t>该项目属于小微企业危险废物收集试点项目，存在土壤环境污染途径，该项目存在土壤、地下水环境污染途径的，拟在昆明旭鑫环保科技有限公司昆明旭鑫环保科技有限公司原料暂存库项目旁开展现状调查以留作背景值。为此建设单位委托云南环普检测科技有限公司对项目区域土壤进行了环境质量现状监测，具体监测情况如下。</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①监测参数设置</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监测参数如下表所示。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表3.1.5-3 土壤质量现状监测情况一览表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84"/>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29"/>
                    <w:spacing w:line="360" w:lineRule="exact"/>
                    <w:rPr>
                      <w:color w:val="000000" w:themeColor="text1"/>
                      <w:szCs w:val="21"/>
                    </w:rPr>
                  </w:pPr>
                  <w:r>
                    <w:rPr>
                      <w:color w:val="000000" w:themeColor="text1"/>
                      <w:szCs w:val="21"/>
                    </w:rPr>
                    <w:t>--</w:t>
                  </w:r>
                </w:p>
              </w:tc>
              <w:tc>
                <w:tcPr>
                  <w:tcW w:w="1134" w:type="dxa"/>
                  <w:vAlign w:val="center"/>
                </w:tcPr>
                <w:p>
                  <w:pPr>
                    <w:pStyle w:val="29"/>
                    <w:spacing w:line="360" w:lineRule="exact"/>
                    <w:rPr>
                      <w:color w:val="000000" w:themeColor="text1"/>
                      <w:szCs w:val="21"/>
                    </w:rPr>
                  </w:pPr>
                  <w:r>
                    <w:rPr>
                      <w:color w:val="000000" w:themeColor="text1"/>
                      <w:szCs w:val="21"/>
                    </w:rPr>
                    <w:t>项目</w:t>
                  </w:r>
                </w:p>
              </w:tc>
              <w:tc>
                <w:tcPr>
                  <w:tcW w:w="7271" w:type="dxa"/>
                  <w:vAlign w:val="center"/>
                </w:tcPr>
                <w:p>
                  <w:pPr>
                    <w:pStyle w:val="29"/>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29"/>
                    <w:spacing w:line="360" w:lineRule="exact"/>
                    <w:rPr>
                      <w:color w:val="000000" w:themeColor="text1"/>
                      <w:szCs w:val="21"/>
                    </w:rPr>
                  </w:pPr>
                  <w:r>
                    <w:rPr>
                      <w:color w:val="000000" w:themeColor="text1"/>
                      <w:szCs w:val="21"/>
                    </w:rPr>
                    <w:t>土壤</w:t>
                  </w:r>
                </w:p>
              </w:tc>
              <w:tc>
                <w:tcPr>
                  <w:tcW w:w="1134" w:type="dxa"/>
                  <w:vAlign w:val="center"/>
                </w:tcPr>
                <w:p>
                  <w:pPr>
                    <w:pStyle w:val="29"/>
                    <w:spacing w:line="360" w:lineRule="exact"/>
                    <w:rPr>
                      <w:color w:val="000000" w:themeColor="text1"/>
                      <w:szCs w:val="21"/>
                    </w:rPr>
                  </w:pPr>
                  <w:r>
                    <w:rPr>
                      <w:color w:val="000000" w:themeColor="text1"/>
                      <w:szCs w:val="21"/>
                    </w:rPr>
                    <w:t>监测项目</w:t>
                  </w:r>
                </w:p>
              </w:tc>
              <w:tc>
                <w:tcPr>
                  <w:tcW w:w="7271" w:type="dxa"/>
                  <w:vAlign w:val="center"/>
                </w:tcPr>
                <w:p>
                  <w:pPr>
                    <w:pStyle w:val="29"/>
                    <w:spacing w:line="360" w:lineRule="exact"/>
                    <w:ind w:firstLine="210" w:firstLineChars="100"/>
                    <w:jc w:val="both"/>
                    <w:rPr>
                      <w:color w:val="000000" w:themeColor="text1"/>
                      <w:szCs w:val="21"/>
                    </w:rPr>
                  </w:pPr>
                  <w:r>
                    <w:rPr>
                      <w:color w:val="000000" w:themeColor="text1"/>
                      <w:szCs w:val="21"/>
                    </w:rPr>
                    <w:t>四氯化碳、氯仿、氯甲烷、1,1-二氯乙烷、1,2-二氯乙烷、1,1-二氯乙烯、顺式-1,2-二氯乙烯、反式-1,2-二氯乙烯、二氯甲烷、1,2-二氯丙烷、1,1,1,2-四氯乙烷、1,1,2,2-四氯乙烷、四氯乙烯、1,1,1-三氯乙烷、1,1,2-三氯乙烷、三氯乙烯、1,2,3-三氯丙烷、氯乙烯、苯、氯苯、1,2-二氯苯、1,4-二氯苯、乙苯、苯乙烯、甲苯、间二甲苯+对二甲苯、邻二甲苯、硝基苯、苯胺、2-氯苯酚、苯并[a]蒽、苯并[a]芘、苯并[b]荧蒽、苯并[k]荧蒽、䓛、二苯并[a,h]蒽、茚并[1,2,3-cd]芘、萘、pH、阳离子交换量、氧化还原电位、饱和导水率、土壤容重、孔隙度、砷、镉、六价铬、铜、铅、汞、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29"/>
                    <w:spacing w:line="360" w:lineRule="exact"/>
                    <w:rPr>
                      <w:color w:val="000000" w:themeColor="text1"/>
                      <w:szCs w:val="21"/>
                    </w:rPr>
                  </w:pPr>
                </w:p>
              </w:tc>
              <w:tc>
                <w:tcPr>
                  <w:tcW w:w="1134" w:type="dxa"/>
                  <w:vAlign w:val="center"/>
                </w:tcPr>
                <w:p>
                  <w:pPr>
                    <w:pStyle w:val="29"/>
                    <w:tabs>
                      <w:tab w:val="center" w:pos="540"/>
                    </w:tabs>
                    <w:spacing w:line="360" w:lineRule="exact"/>
                    <w:rPr>
                      <w:color w:val="000000" w:themeColor="text1"/>
                      <w:szCs w:val="21"/>
                    </w:rPr>
                  </w:pPr>
                  <w:r>
                    <w:rPr>
                      <w:color w:val="000000" w:themeColor="text1"/>
                      <w:szCs w:val="21"/>
                    </w:rPr>
                    <w:t>采样频率</w:t>
                  </w:r>
                </w:p>
              </w:tc>
              <w:tc>
                <w:tcPr>
                  <w:tcW w:w="7271" w:type="dxa"/>
                  <w:vAlign w:val="center"/>
                </w:tcPr>
                <w:p>
                  <w:pPr>
                    <w:pStyle w:val="29"/>
                    <w:spacing w:line="360" w:lineRule="exact"/>
                    <w:ind w:firstLine="210" w:firstLineChars="100"/>
                    <w:jc w:val="left"/>
                    <w:rPr>
                      <w:color w:val="000000" w:themeColor="text1"/>
                      <w:szCs w:val="21"/>
                    </w:rPr>
                  </w:pPr>
                  <w:r>
                    <w:rPr>
                      <w:color w:val="000000" w:themeColor="text1"/>
                      <w:szCs w:val="21"/>
                    </w:rPr>
                    <w:t>取样1次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29"/>
                    <w:spacing w:line="360" w:lineRule="exact"/>
                    <w:rPr>
                      <w:color w:val="000000" w:themeColor="text1"/>
                      <w:szCs w:val="21"/>
                    </w:rPr>
                  </w:pPr>
                </w:p>
              </w:tc>
              <w:tc>
                <w:tcPr>
                  <w:tcW w:w="1134" w:type="dxa"/>
                  <w:vAlign w:val="center"/>
                </w:tcPr>
                <w:p>
                  <w:pPr>
                    <w:pStyle w:val="29"/>
                    <w:spacing w:line="360" w:lineRule="exact"/>
                    <w:rPr>
                      <w:color w:val="000000" w:themeColor="text1"/>
                      <w:szCs w:val="21"/>
                    </w:rPr>
                  </w:pPr>
                  <w:r>
                    <w:rPr>
                      <w:color w:val="000000" w:themeColor="text1"/>
                      <w:szCs w:val="21"/>
                    </w:rPr>
                    <w:t>采样地点</w:t>
                  </w:r>
                </w:p>
              </w:tc>
              <w:tc>
                <w:tcPr>
                  <w:tcW w:w="7271" w:type="dxa"/>
                  <w:vAlign w:val="center"/>
                </w:tcPr>
                <w:p>
                  <w:pPr>
                    <w:pStyle w:val="29"/>
                    <w:spacing w:line="360" w:lineRule="exact"/>
                    <w:ind w:firstLine="210" w:firstLineChars="100"/>
                    <w:jc w:val="left"/>
                    <w:rPr>
                      <w:color w:val="000000" w:themeColor="text1"/>
                      <w:szCs w:val="21"/>
                    </w:rPr>
                  </w:pPr>
                  <w:r>
                    <w:rPr>
                      <w:color w:val="000000" w:themeColor="text1"/>
                      <w:szCs w:val="21"/>
                    </w:rPr>
                    <w:t>昆明旭鑫环保科技有限公司原料暂存库项目旁设置1个点。</w:t>
                  </w:r>
                </w:p>
              </w:tc>
            </w:tr>
          </w:tbl>
          <w:p>
            <w:pPr>
              <w:spacing w:beforeLines="50"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②土壤监测结果</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土壤理化性质如下表所示。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表3.1.5-4 土壤理化性质检测结果一览表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863"/>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29"/>
                    <w:tabs>
                      <w:tab w:val="center" w:pos="540"/>
                    </w:tabs>
                    <w:spacing w:line="360" w:lineRule="exact"/>
                    <w:rPr>
                      <w:color w:val="000000" w:themeColor="text1"/>
                      <w:szCs w:val="21"/>
                    </w:rPr>
                  </w:pPr>
                  <w:r>
                    <w:rPr>
                      <w:color w:val="000000" w:themeColor="text1"/>
                      <w:szCs w:val="21"/>
                    </w:rPr>
                    <w:t>采样日期</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2023.09.14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29"/>
                    <w:tabs>
                      <w:tab w:val="center" w:pos="540"/>
                    </w:tabs>
                    <w:spacing w:line="360" w:lineRule="exact"/>
                    <w:rPr>
                      <w:color w:val="000000" w:themeColor="text1"/>
                      <w:szCs w:val="21"/>
                    </w:rPr>
                  </w:pPr>
                  <w:r>
                    <w:rPr>
                      <w:color w:val="000000" w:themeColor="text1"/>
                      <w:szCs w:val="21"/>
                    </w:rPr>
                    <w:t>监测点位</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昆明旭鑫环保科技有限公司原料暂存库项目旁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29"/>
                    <w:tabs>
                      <w:tab w:val="center" w:pos="540"/>
                    </w:tabs>
                    <w:spacing w:line="360" w:lineRule="exact"/>
                    <w:rPr>
                      <w:color w:val="000000" w:themeColor="text1"/>
                      <w:szCs w:val="21"/>
                    </w:rPr>
                  </w:pPr>
                  <w:r>
                    <w:rPr>
                      <w:color w:val="000000" w:themeColor="text1"/>
                      <w:szCs w:val="21"/>
                    </w:rPr>
                    <w:t>经纬度</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经度：103.129045°，纬度：26.185018°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29"/>
                    <w:tabs>
                      <w:tab w:val="center" w:pos="540"/>
                    </w:tabs>
                    <w:spacing w:line="360" w:lineRule="exact"/>
                    <w:rPr>
                      <w:color w:val="000000" w:themeColor="text1"/>
                      <w:szCs w:val="21"/>
                    </w:rPr>
                  </w:pPr>
                  <w:r>
                    <w:rPr>
                      <w:color w:val="000000" w:themeColor="text1"/>
                      <w:szCs w:val="21"/>
                    </w:rPr>
                    <w:t>取样深度</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29"/>
                    <w:tabs>
                      <w:tab w:val="center" w:pos="540"/>
                    </w:tabs>
                    <w:spacing w:line="360" w:lineRule="exact"/>
                    <w:rPr>
                      <w:color w:val="000000" w:themeColor="text1"/>
                      <w:szCs w:val="21"/>
                    </w:rPr>
                  </w:pPr>
                  <w:r>
                    <w:rPr>
                      <w:color w:val="000000" w:themeColor="text1"/>
                      <w:szCs w:val="21"/>
                    </w:rPr>
                    <w:t>样品编号</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23091213A101-3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restart"/>
                  <w:vAlign w:val="center"/>
                </w:tcPr>
                <w:p>
                  <w:pPr>
                    <w:pStyle w:val="29"/>
                    <w:tabs>
                      <w:tab w:val="center" w:pos="540"/>
                    </w:tabs>
                    <w:spacing w:line="360" w:lineRule="exact"/>
                    <w:rPr>
                      <w:color w:val="000000" w:themeColor="text1"/>
                      <w:szCs w:val="21"/>
                    </w:rPr>
                  </w:pPr>
                  <w:r>
                    <w:rPr>
                      <w:color w:val="000000" w:themeColor="text1"/>
                      <w:szCs w:val="21"/>
                    </w:rPr>
                    <w:t>现场记录</w:t>
                  </w: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颜色</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红棕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植物根系</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质地</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砂砾含量</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restart"/>
                  <w:vAlign w:val="center"/>
                </w:tcPr>
                <w:p>
                  <w:pPr>
                    <w:pStyle w:val="29"/>
                    <w:tabs>
                      <w:tab w:val="center" w:pos="540"/>
                    </w:tabs>
                    <w:spacing w:line="360" w:lineRule="exact"/>
                    <w:rPr>
                      <w:color w:val="000000" w:themeColor="text1"/>
                      <w:szCs w:val="21"/>
                    </w:rPr>
                  </w:pPr>
                  <w:r>
                    <w:rPr>
                      <w:color w:val="000000" w:themeColor="text1"/>
                      <w:szCs w:val="21"/>
                    </w:rPr>
                    <w:t>实验室测定</w:t>
                  </w: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pH值（无量纲）</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阳离子交换量（cmol/kg）</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氧化还原电位（mv）</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饱和导水率（mm/min）</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土壤容重（g/cm³）</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29"/>
                    <w:tabs>
                      <w:tab w:val="center" w:pos="540"/>
                    </w:tabs>
                    <w:spacing w:line="360" w:lineRule="exact"/>
                    <w:rPr>
                      <w:color w:val="000000" w:themeColor="text1"/>
                      <w:szCs w:val="21"/>
                    </w:rPr>
                  </w:pPr>
                </w:p>
              </w:tc>
              <w:tc>
                <w:tcPr>
                  <w:tcW w:w="2835" w:type="dxa"/>
                  <w:vAlign w:val="center"/>
                </w:tcPr>
                <w:p>
                  <w:pPr>
                    <w:pStyle w:val="29"/>
                    <w:tabs>
                      <w:tab w:val="center" w:pos="540"/>
                    </w:tabs>
                    <w:spacing w:line="360" w:lineRule="exact"/>
                    <w:rPr>
                      <w:color w:val="000000" w:themeColor="text1"/>
                      <w:szCs w:val="21"/>
                    </w:rPr>
                  </w:pPr>
                  <w:r>
                    <w:rPr>
                      <w:color w:val="000000" w:themeColor="text1"/>
                      <w:szCs w:val="21"/>
                    </w:rPr>
                    <w:t>孔隙度（%）</w:t>
                  </w:r>
                </w:p>
              </w:tc>
              <w:tc>
                <w:tcPr>
                  <w:tcW w:w="4586" w:type="dxa"/>
                  <w:vAlign w:val="center"/>
                </w:tcPr>
                <w:p>
                  <w:pPr>
                    <w:pStyle w:val="29"/>
                    <w:tabs>
                      <w:tab w:val="center" w:pos="540"/>
                    </w:tabs>
                    <w:spacing w:line="360" w:lineRule="exact"/>
                    <w:rPr>
                      <w:color w:val="000000" w:themeColor="text1"/>
                      <w:szCs w:val="21"/>
                    </w:rPr>
                  </w:pPr>
                  <w:r>
                    <w:rPr>
                      <w:color w:val="000000" w:themeColor="text1"/>
                      <w:szCs w:val="21"/>
                    </w:rPr>
                    <w:t>44.5</w:t>
                  </w:r>
                </w:p>
              </w:tc>
            </w:tr>
          </w:tbl>
          <w:p>
            <w:pPr>
              <w:spacing w:beforeLines="50"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土壤监测结果见下表。</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表3.1.5-6  土壤监测结果表 单位：mg/kg</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3101"/>
              <w:gridCol w:w="2278"/>
              <w:gridCol w:w="156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56" w:type="dxa"/>
                  <w:vAlign w:val="center"/>
                </w:tcPr>
                <w:p>
                  <w:pPr>
                    <w:pStyle w:val="29"/>
                    <w:spacing w:line="360" w:lineRule="exact"/>
                    <w:rPr>
                      <w:color w:val="000000" w:themeColor="text1"/>
                      <w:szCs w:val="21"/>
                    </w:rPr>
                  </w:pPr>
                  <w:r>
                    <w:rPr>
                      <w:color w:val="000000" w:themeColor="text1"/>
                      <w:szCs w:val="21"/>
                    </w:rPr>
                    <w:t>序号</w:t>
                  </w:r>
                </w:p>
              </w:tc>
              <w:tc>
                <w:tcPr>
                  <w:tcW w:w="3271" w:type="dxa"/>
                  <w:vAlign w:val="center"/>
                </w:tcPr>
                <w:p>
                  <w:pPr>
                    <w:pStyle w:val="29"/>
                    <w:spacing w:line="360" w:lineRule="exact"/>
                    <w:rPr>
                      <w:color w:val="000000" w:themeColor="text1"/>
                      <w:szCs w:val="21"/>
                    </w:rPr>
                  </w:pPr>
                  <w:r>
                    <w:rPr>
                      <w:color w:val="000000" w:themeColor="text1"/>
                      <w:szCs w:val="21"/>
                    </w:rPr>
                    <w:t>检测值</w:t>
                  </w:r>
                </w:p>
                <w:p>
                  <w:pPr>
                    <w:pStyle w:val="29"/>
                    <w:spacing w:line="360" w:lineRule="exact"/>
                    <w:rPr>
                      <w:color w:val="000000" w:themeColor="text1"/>
                      <w:szCs w:val="21"/>
                    </w:rPr>
                  </w:pPr>
                  <w:r>
                    <w:rPr>
                      <w:color w:val="000000" w:themeColor="text1"/>
                      <w:szCs w:val="21"/>
                    </w:rPr>
                    <w:t>分析指标</w:t>
                  </w:r>
                </w:p>
              </w:tc>
              <w:tc>
                <w:tcPr>
                  <w:tcW w:w="2402" w:type="dxa"/>
                  <w:vAlign w:val="center"/>
                </w:tcPr>
                <w:p>
                  <w:pPr>
                    <w:pStyle w:val="29"/>
                    <w:spacing w:line="360" w:lineRule="exact"/>
                    <w:rPr>
                      <w:color w:val="000000" w:themeColor="text1"/>
                      <w:szCs w:val="21"/>
                    </w:rPr>
                  </w:pPr>
                  <w:r>
                    <w:rPr>
                      <w:color w:val="000000" w:themeColor="text1"/>
                      <w:szCs w:val="21"/>
                    </w:rPr>
                    <w:t>昆明旭鑫环保科技有限公司原料暂存库项目旁</w:t>
                  </w:r>
                </w:p>
              </w:tc>
              <w:tc>
                <w:tcPr>
                  <w:tcW w:w="1650" w:type="dxa"/>
                  <w:vAlign w:val="center"/>
                </w:tcPr>
                <w:p>
                  <w:pPr>
                    <w:pStyle w:val="29"/>
                    <w:spacing w:line="360" w:lineRule="exact"/>
                    <w:rPr>
                      <w:color w:val="000000" w:themeColor="text1"/>
                      <w:szCs w:val="21"/>
                    </w:rPr>
                  </w:pPr>
                  <w:r>
                    <w:rPr>
                      <w:color w:val="000000" w:themeColor="text1"/>
                      <w:szCs w:val="21"/>
                    </w:rPr>
                    <w:t>第二类用地筛选值</w:t>
                  </w:r>
                </w:p>
              </w:tc>
              <w:tc>
                <w:tcPr>
                  <w:tcW w:w="1093" w:type="dxa"/>
                  <w:vAlign w:val="center"/>
                </w:tcPr>
                <w:p>
                  <w:pPr>
                    <w:pStyle w:val="29"/>
                    <w:spacing w:line="360" w:lineRule="exact"/>
                    <w:rPr>
                      <w:color w:val="000000" w:themeColor="text1"/>
                      <w:szCs w:val="21"/>
                    </w:rPr>
                  </w:pPr>
                  <w:r>
                    <w:rPr>
                      <w:color w:val="000000" w:themeColor="text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w:t>
                  </w:r>
                </w:p>
              </w:tc>
              <w:tc>
                <w:tcPr>
                  <w:tcW w:w="3271" w:type="dxa"/>
                  <w:vAlign w:val="center"/>
                </w:tcPr>
                <w:p>
                  <w:pPr>
                    <w:pStyle w:val="29"/>
                    <w:spacing w:line="360" w:lineRule="exact"/>
                    <w:rPr>
                      <w:color w:val="000000" w:themeColor="text1"/>
                      <w:szCs w:val="21"/>
                    </w:rPr>
                  </w:pPr>
                  <w:r>
                    <w:rPr>
                      <w:color w:val="000000" w:themeColor="text1"/>
                      <w:szCs w:val="21"/>
                    </w:rPr>
                    <w:t>镉（mg/kg）</w:t>
                  </w:r>
                </w:p>
              </w:tc>
              <w:tc>
                <w:tcPr>
                  <w:tcW w:w="2402" w:type="dxa"/>
                  <w:vAlign w:val="center"/>
                </w:tcPr>
                <w:p>
                  <w:pPr>
                    <w:pStyle w:val="29"/>
                    <w:spacing w:line="360" w:lineRule="exact"/>
                    <w:rPr>
                      <w:color w:val="000000" w:themeColor="text1"/>
                      <w:szCs w:val="21"/>
                    </w:rPr>
                  </w:pPr>
                  <w:r>
                    <w:rPr>
                      <w:color w:val="000000" w:themeColor="text1"/>
                      <w:szCs w:val="21"/>
                    </w:rPr>
                    <w:t>7.58</w:t>
                  </w:r>
                </w:p>
              </w:tc>
              <w:tc>
                <w:tcPr>
                  <w:tcW w:w="1650" w:type="dxa"/>
                  <w:vAlign w:val="center"/>
                </w:tcPr>
                <w:p>
                  <w:pPr>
                    <w:pStyle w:val="29"/>
                    <w:spacing w:line="360" w:lineRule="exact"/>
                    <w:rPr>
                      <w:color w:val="000000" w:themeColor="text1"/>
                      <w:szCs w:val="21"/>
                    </w:rPr>
                  </w:pPr>
                  <w:r>
                    <w:rPr>
                      <w:color w:val="000000" w:themeColor="text1"/>
                      <w:szCs w:val="21"/>
                    </w:rPr>
                    <w:t>65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w:t>
                  </w:r>
                </w:p>
              </w:tc>
              <w:tc>
                <w:tcPr>
                  <w:tcW w:w="3271" w:type="dxa"/>
                  <w:vAlign w:val="center"/>
                </w:tcPr>
                <w:p>
                  <w:pPr>
                    <w:pStyle w:val="29"/>
                    <w:spacing w:line="360" w:lineRule="exact"/>
                    <w:rPr>
                      <w:color w:val="000000" w:themeColor="text1"/>
                      <w:szCs w:val="21"/>
                    </w:rPr>
                  </w:pPr>
                  <w:r>
                    <w:rPr>
                      <w:color w:val="000000" w:themeColor="text1"/>
                      <w:szCs w:val="21"/>
                    </w:rPr>
                    <w:t>汞（mg/kg）</w:t>
                  </w:r>
                </w:p>
              </w:tc>
              <w:tc>
                <w:tcPr>
                  <w:tcW w:w="2402" w:type="dxa"/>
                  <w:vAlign w:val="center"/>
                </w:tcPr>
                <w:p>
                  <w:pPr>
                    <w:pStyle w:val="29"/>
                    <w:spacing w:line="360" w:lineRule="exact"/>
                    <w:rPr>
                      <w:color w:val="000000" w:themeColor="text1"/>
                      <w:szCs w:val="21"/>
                    </w:rPr>
                  </w:pPr>
                  <w:r>
                    <w:rPr>
                      <w:color w:val="000000" w:themeColor="text1"/>
                      <w:szCs w:val="21"/>
                    </w:rPr>
                    <w:t>2.73</w:t>
                  </w:r>
                </w:p>
              </w:tc>
              <w:tc>
                <w:tcPr>
                  <w:tcW w:w="1650" w:type="dxa"/>
                  <w:vAlign w:val="center"/>
                </w:tcPr>
                <w:p>
                  <w:pPr>
                    <w:pStyle w:val="29"/>
                    <w:spacing w:line="360" w:lineRule="exact"/>
                    <w:rPr>
                      <w:color w:val="000000" w:themeColor="text1"/>
                      <w:szCs w:val="21"/>
                    </w:rPr>
                  </w:pPr>
                  <w:r>
                    <w:rPr>
                      <w:color w:val="000000" w:themeColor="text1"/>
                      <w:szCs w:val="21"/>
                    </w:rPr>
                    <w:t>38</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w:t>
                  </w:r>
                </w:p>
              </w:tc>
              <w:tc>
                <w:tcPr>
                  <w:tcW w:w="3271" w:type="dxa"/>
                  <w:vAlign w:val="center"/>
                </w:tcPr>
                <w:p>
                  <w:pPr>
                    <w:pStyle w:val="29"/>
                    <w:spacing w:line="360" w:lineRule="exact"/>
                    <w:rPr>
                      <w:color w:val="000000" w:themeColor="text1"/>
                      <w:szCs w:val="21"/>
                    </w:rPr>
                  </w:pPr>
                  <w:r>
                    <w:rPr>
                      <w:color w:val="000000" w:themeColor="text1"/>
                      <w:szCs w:val="21"/>
                    </w:rPr>
                    <w:t>砷（mg/kg）</w:t>
                  </w:r>
                </w:p>
              </w:tc>
              <w:tc>
                <w:tcPr>
                  <w:tcW w:w="2402" w:type="dxa"/>
                  <w:vAlign w:val="center"/>
                </w:tcPr>
                <w:p>
                  <w:pPr>
                    <w:pStyle w:val="29"/>
                    <w:spacing w:line="360" w:lineRule="exact"/>
                    <w:rPr>
                      <w:color w:val="000000" w:themeColor="text1"/>
                      <w:szCs w:val="21"/>
                    </w:rPr>
                  </w:pPr>
                  <w:r>
                    <w:rPr>
                      <w:rFonts w:hint="eastAsia"/>
                      <w:color w:val="000000" w:themeColor="text1"/>
                      <w:szCs w:val="21"/>
                    </w:rPr>
                    <w:t>55</w:t>
                  </w:r>
                </w:p>
              </w:tc>
              <w:tc>
                <w:tcPr>
                  <w:tcW w:w="1650" w:type="dxa"/>
                  <w:vAlign w:val="center"/>
                </w:tcPr>
                <w:p>
                  <w:pPr>
                    <w:pStyle w:val="29"/>
                    <w:spacing w:line="360" w:lineRule="exact"/>
                    <w:rPr>
                      <w:color w:val="000000" w:themeColor="text1"/>
                      <w:szCs w:val="21"/>
                    </w:rPr>
                  </w:pPr>
                  <w:r>
                    <w:rPr>
                      <w:color w:val="000000" w:themeColor="text1"/>
                      <w:szCs w:val="21"/>
                    </w:rPr>
                    <w:t>60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5</w:t>
                  </w:r>
                </w:p>
              </w:tc>
              <w:tc>
                <w:tcPr>
                  <w:tcW w:w="3271" w:type="dxa"/>
                  <w:vAlign w:val="center"/>
                </w:tcPr>
                <w:p>
                  <w:pPr>
                    <w:pStyle w:val="29"/>
                    <w:spacing w:line="360" w:lineRule="exact"/>
                    <w:rPr>
                      <w:color w:val="000000" w:themeColor="text1"/>
                      <w:szCs w:val="21"/>
                    </w:rPr>
                  </w:pPr>
                  <w:r>
                    <w:rPr>
                      <w:color w:val="000000" w:themeColor="text1"/>
                      <w:szCs w:val="21"/>
                    </w:rPr>
                    <w:t>铅（mg/kg）</w:t>
                  </w:r>
                </w:p>
              </w:tc>
              <w:tc>
                <w:tcPr>
                  <w:tcW w:w="2402" w:type="dxa"/>
                  <w:vAlign w:val="center"/>
                </w:tcPr>
                <w:p>
                  <w:pPr>
                    <w:pStyle w:val="29"/>
                    <w:spacing w:line="360" w:lineRule="exact"/>
                    <w:rPr>
                      <w:color w:val="000000" w:themeColor="text1"/>
                      <w:szCs w:val="21"/>
                    </w:rPr>
                  </w:pPr>
                  <w:r>
                    <w:rPr>
                      <w:color w:val="000000" w:themeColor="text1"/>
                      <w:szCs w:val="21"/>
                    </w:rPr>
                    <w:t>211</w:t>
                  </w:r>
                </w:p>
              </w:tc>
              <w:tc>
                <w:tcPr>
                  <w:tcW w:w="1650" w:type="dxa"/>
                  <w:vAlign w:val="center"/>
                </w:tcPr>
                <w:p>
                  <w:pPr>
                    <w:pStyle w:val="29"/>
                    <w:spacing w:line="360" w:lineRule="exact"/>
                    <w:rPr>
                      <w:color w:val="000000" w:themeColor="text1"/>
                      <w:szCs w:val="21"/>
                    </w:rPr>
                  </w:pPr>
                  <w:r>
                    <w:rPr>
                      <w:color w:val="000000" w:themeColor="text1"/>
                      <w:szCs w:val="21"/>
                    </w:rPr>
                    <w:t>800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6</w:t>
                  </w:r>
                </w:p>
              </w:tc>
              <w:tc>
                <w:tcPr>
                  <w:tcW w:w="3271" w:type="dxa"/>
                  <w:vAlign w:val="center"/>
                </w:tcPr>
                <w:p>
                  <w:pPr>
                    <w:pStyle w:val="29"/>
                    <w:spacing w:line="360" w:lineRule="exact"/>
                    <w:rPr>
                      <w:color w:val="000000" w:themeColor="text1"/>
                      <w:szCs w:val="21"/>
                    </w:rPr>
                  </w:pPr>
                  <w:r>
                    <w:rPr>
                      <w:color w:val="000000" w:themeColor="text1"/>
                      <w:szCs w:val="21"/>
                    </w:rPr>
                    <w:t>六价铬（mg/kg）</w:t>
                  </w:r>
                </w:p>
              </w:tc>
              <w:tc>
                <w:tcPr>
                  <w:tcW w:w="2402" w:type="dxa"/>
                  <w:vAlign w:val="center"/>
                </w:tcPr>
                <w:p>
                  <w:pPr>
                    <w:pStyle w:val="29"/>
                    <w:spacing w:line="360" w:lineRule="exact"/>
                    <w:rPr>
                      <w:color w:val="000000" w:themeColor="text1"/>
                      <w:szCs w:val="21"/>
                    </w:rPr>
                  </w:pPr>
                  <w:r>
                    <w:rPr>
                      <w:color w:val="000000" w:themeColor="text1"/>
                      <w:szCs w:val="21"/>
                    </w:rPr>
                    <w:t>0.5L</w:t>
                  </w:r>
                </w:p>
              </w:tc>
              <w:tc>
                <w:tcPr>
                  <w:tcW w:w="1650" w:type="dxa"/>
                  <w:vAlign w:val="center"/>
                </w:tcPr>
                <w:p>
                  <w:pPr>
                    <w:pStyle w:val="29"/>
                    <w:spacing w:line="360" w:lineRule="exact"/>
                    <w:rPr>
                      <w:color w:val="000000" w:themeColor="text1"/>
                      <w:szCs w:val="21"/>
                    </w:rPr>
                  </w:pPr>
                  <w:r>
                    <w:rPr>
                      <w:color w:val="000000" w:themeColor="text1"/>
                      <w:szCs w:val="21"/>
                    </w:rPr>
                    <w:t>5.7</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7</w:t>
                  </w:r>
                </w:p>
              </w:tc>
              <w:tc>
                <w:tcPr>
                  <w:tcW w:w="3271" w:type="dxa"/>
                  <w:vAlign w:val="center"/>
                </w:tcPr>
                <w:p>
                  <w:pPr>
                    <w:pStyle w:val="29"/>
                    <w:spacing w:line="360" w:lineRule="exact"/>
                    <w:rPr>
                      <w:color w:val="000000" w:themeColor="text1"/>
                      <w:szCs w:val="21"/>
                    </w:rPr>
                  </w:pPr>
                  <w:r>
                    <w:rPr>
                      <w:color w:val="000000" w:themeColor="text1"/>
                      <w:szCs w:val="21"/>
                    </w:rPr>
                    <w:t>铜（mg/kg）</w:t>
                  </w:r>
                </w:p>
              </w:tc>
              <w:tc>
                <w:tcPr>
                  <w:tcW w:w="2402" w:type="dxa"/>
                  <w:vAlign w:val="center"/>
                </w:tcPr>
                <w:p>
                  <w:pPr>
                    <w:pStyle w:val="29"/>
                    <w:spacing w:line="360" w:lineRule="exact"/>
                    <w:rPr>
                      <w:color w:val="000000" w:themeColor="text1"/>
                      <w:szCs w:val="21"/>
                    </w:rPr>
                  </w:pPr>
                  <w:r>
                    <w:rPr>
                      <w:color w:val="000000" w:themeColor="text1"/>
                      <w:szCs w:val="21"/>
                    </w:rPr>
                    <w:t>112</w:t>
                  </w:r>
                </w:p>
              </w:tc>
              <w:tc>
                <w:tcPr>
                  <w:tcW w:w="1650" w:type="dxa"/>
                  <w:vAlign w:val="center"/>
                </w:tcPr>
                <w:p>
                  <w:pPr>
                    <w:pStyle w:val="29"/>
                    <w:spacing w:line="360" w:lineRule="exact"/>
                    <w:rPr>
                      <w:color w:val="000000" w:themeColor="text1"/>
                      <w:szCs w:val="21"/>
                    </w:rPr>
                  </w:pPr>
                  <w:r>
                    <w:rPr>
                      <w:color w:val="000000" w:themeColor="text1"/>
                      <w:szCs w:val="21"/>
                    </w:rPr>
                    <w:t>18000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8</w:t>
                  </w:r>
                </w:p>
              </w:tc>
              <w:tc>
                <w:tcPr>
                  <w:tcW w:w="3271" w:type="dxa"/>
                  <w:vAlign w:val="center"/>
                </w:tcPr>
                <w:p>
                  <w:pPr>
                    <w:pStyle w:val="29"/>
                    <w:spacing w:line="360" w:lineRule="exact"/>
                    <w:rPr>
                      <w:color w:val="000000" w:themeColor="text1"/>
                      <w:szCs w:val="21"/>
                    </w:rPr>
                  </w:pPr>
                  <w:r>
                    <w:rPr>
                      <w:color w:val="000000" w:themeColor="text1"/>
                      <w:szCs w:val="21"/>
                    </w:rPr>
                    <w:t>镍（mg/kg）</w:t>
                  </w:r>
                </w:p>
              </w:tc>
              <w:tc>
                <w:tcPr>
                  <w:tcW w:w="2402" w:type="dxa"/>
                  <w:vAlign w:val="center"/>
                </w:tcPr>
                <w:p>
                  <w:pPr>
                    <w:pStyle w:val="29"/>
                    <w:spacing w:line="360" w:lineRule="exact"/>
                    <w:rPr>
                      <w:color w:val="000000" w:themeColor="text1"/>
                      <w:szCs w:val="21"/>
                    </w:rPr>
                  </w:pPr>
                  <w:r>
                    <w:rPr>
                      <w:color w:val="000000" w:themeColor="text1"/>
                      <w:szCs w:val="21"/>
                    </w:rPr>
                    <w:t>24</w:t>
                  </w:r>
                </w:p>
              </w:tc>
              <w:tc>
                <w:tcPr>
                  <w:tcW w:w="1650" w:type="dxa"/>
                  <w:vAlign w:val="center"/>
                </w:tcPr>
                <w:p>
                  <w:pPr>
                    <w:pStyle w:val="29"/>
                    <w:spacing w:line="360" w:lineRule="exact"/>
                    <w:rPr>
                      <w:color w:val="000000" w:themeColor="text1"/>
                      <w:szCs w:val="21"/>
                    </w:rPr>
                  </w:pPr>
                  <w:r>
                    <w:rPr>
                      <w:color w:val="000000" w:themeColor="text1"/>
                      <w:szCs w:val="21"/>
                    </w:rPr>
                    <w:t>900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11</w:t>
                  </w:r>
                </w:p>
              </w:tc>
              <w:tc>
                <w:tcPr>
                  <w:tcW w:w="3271" w:type="dxa"/>
                  <w:vAlign w:val="center"/>
                </w:tcPr>
                <w:p>
                  <w:pPr>
                    <w:pStyle w:val="29"/>
                    <w:spacing w:line="360" w:lineRule="exact"/>
                    <w:rPr>
                      <w:color w:val="000000" w:themeColor="text1"/>
                      <w:szCs w:val="21"/>
                    </w:rPr>
                  </w:pPr>
                  <w:r>
                    <w:rPr>
                      <w:color w:val="000000" w:themeColor="text1"/>
                      <w:szCs w:val="21"/>
                    </w:rPr>
                    <w:t>四氯化碳（μg/kg）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2.8</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12</w:t>
                  </w:r>
                </w:p>
              </w:tc>
              <w:tc>
                <w:tcPr>
                  <w:tcW w:w="3271" w:type="dxa"/>
                  <w:vAlign w:val="center"/>
                </w:tcPr>
                <w:p>
                  <w:pPr>
                    <w:pStyle w:val="29"/>
                    <w:spacing w:line="360" w:lineRule="exact"/>
                    <w:rPr>
                      <w:color w:val="000000" w:themeColor="text1"/>
                      <w:szCs w:val="21"/>
                    </w:rPr>
                  </w:pPr>
                  <w:r>
                    <w:rPr>
                      <w:color w:val="000000" w:themeColor="text1"/>
                      <w:szCs w:val="21"/>
                    </w:rPr>
                    <w:t>氯仿（μg/kg）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0.9</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13</w:t>
                  </w:r>
                </w:p>
              </w:tc>
              <w:tc>
                <w:tcPr>
                  <w:tcW w:w="3271" w:type="dxa"/>
                  <w:vAlign w:val="center"/>
                </w:tcPr>
                <w:p>
                  <w:pPr>
                    <w:pStyle w:val="29"/>
                    <w:spacing w:line="360" w:lineRule="exact"/>
                    <w:rPr>
                      <w:color w:val="000000" w:themeColor="text1"/>
                      <w:szCs w:val="21"/>
                    </w:rPr>
                  </w:pPr>
                  <w:r>
                    <w:rPr>
                      <w:color w:val="000000" w:themeColor="text1"/>
                      <w:szCs w:val="21"/>
                    </w:rPr>
                    <w:t>氯甲烷（μg/kg）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37</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14</w:t>
                  </w:r>
                </w:p>
              </w:tc>
              <w:tc>
                <w:tcPr>
                  <w:tcW w:w="3271" w:type="dxa"/>
                  <w:vAlign w:val="center"/>
                </w:tcPr>
                <w:p>
                  <w:pPr>
                    <w:pStyle w:val="29"/>
                    <w:spacing w:line="360" w:lineRule="exact"/>
                    <w:rPr>
                      <w:color w:val="000000" w:themeColor="text1"/>
                      <w:szCs w:val="21"/>
                    </w:rPr>
                  </w:pPr>
                  <w:r>
                    <w:rPr>
                      <w:color w:val="000000" w:themeColor="text1"/>
                      <w:szCs w:val="21"/>
                    </w:rPr>
                    <w:t>1,1-二氯乙烷（μg/kg）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9</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15</w:t>
                  </w:r>
                </w:p>
              </w:tc>
              <w:tc>
                <w:tcPr>
                  <w:tcW w:w="3271" w:type="dxa"/>
                  <w:vAlign w:val="center"/>
                </w:tcPr>
                <w:p>
                  <w:pPr>
                    <w:pStyle w:val="29"/>
                    <w:spacing w:line="360" w:lineRule="exact"/>
                    <w:rPr>
                      <w:color w:val="000000" w:themeColor="text1"/>
                      <w:szCs w:val="21"/>
                    </w:rPr>
                  </w:pPr>
                  <w:r>
                    <w:rPr>
                      <w:color w:val="000000" w:themeColor="text1"/>
                      <w:szCs w:val="21"/>
                    </w:rPr>
                    <w:t>1,2-二氯乙烷（μg/kg）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16</w:t>
                  </w:r>
                </w:p>
              </w:tc>
              <w:tc>
                <w:tcPr>
                  <w:tcW w:w="3271" w:type="dxa"/>
                  <w:vAlign w:val="center"/>
                </w:tcPr>
                <w:p>
                  <w:pPr>
                    <w:pStyle w:val="29"/>
                    <w:spacing w:line="360" w:lineRule="exact"/>
                    <w:rPr>
                      <w:color w:val="000000" w:themeColor="text1"/>
                      <w:szCs w:val="21"/>
                    </w:rPr>
                  </w:pPr>
                  <w:r>
                    <w:rPr>
                      <w:color w:val="000000" w:themeColor="text1"/>
                      <w:szCs w:val="21"/>
                    </w:rPr>
                    <w:t>1,1-二氯乙烯（ug/kg）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66</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17</w:t>
                  </w:r>
                </w:p>
              </w:tc>
              <w:tc>
                <w:tcPr>
                  <w:tcW w:w="3271" w:type="dxa"/>
                  <w:vAlign w:val="center"/>
                </w:tcPr>
                <w:p>
                  <w:pPr>
                    <w:pStyle w:val="29"/>
                    <w:spacing w:line="360" w:lineRule="exact"/>
                    <w:rPr>
                      <w:color w:val="000000" w:themeColor="text1"/>
                      <w:szCs w:val="21"/>
                    </w:rPr>
                  </w:pPr>
                  <w:r>
                    <w:rPr>
                      <w:color w:val="000000" w:themeColor="text1"/>
                      <w:szCs w:val="21"/>
                    </w:rPr>
                    <w:t>顺式-1,2-二氯乙烯（ug/kg）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596</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18</w:t>
                  </w:r>
                </w:p>
              </w:tc>
              <w:tc>
                <w:tcPr>
                  <w:tcW w:w="3271" w:type="dxa"/>
                  <w:vAlign w:val="center"/>
                </w:tcPr>
                <w:p>
                  <w:pPr>
                    <w:pStyle w:val="29"/>
                    <w:spacing w:line="360" w:lineRule="exact"/>
                    <w:rPr>
                      <w:color w:val="000000" w:themeColor="text1"/>
                      <w:szCs w:val="21"/>
                    </w:rPr>
                  </w:pPr>
                  <w:r>
                    <w:rPr>
                      <w:color w:val="000000" w:themeColor="text1"/>
                      <w:szCs w:val="21"/>
                    </w:rPr>
                    <w:t>反式-1,2-二氯乙烯（ug/kg）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54</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19</w:t>
                  </w:r>
                </w:p>
              </w:tc>
              <w:tc>
                <w:tcPr>
                  <w:tcW w:w="3271" w:type="dxa"/>
                  <w:vAlign w:val="center"/>
                </w:tcPr>
                <w:p>
                  <w:pPr>
                    <w:pStyle w:val="29"/>
                    <w:spacing w:line="360" w:lineRule="exact"/>
                    <w:rPr>
                      <w:color w:val="000000" w:themeColor="text1"/>
                      <w:szCs w:val="21"/>
                    </w:rPr>
                  </w:pPr>
                  <w:r>
                    <w:rPr>
                      <w:color w:val="000000" w:themeColor="text1"/>
                      <w:szCs w:val="21"/>
                    </w:rPr>
                    <w:t>二氯甲烷（ug/kg）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616</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20</w:t>
                  </w:r>
                </w:p>
              </w:tc>
              <w:tc>
                <w:tcPr>
                  <w:tcW w:w="3271" w:type="dxa"/>
                  <w:vAlign w:val="center"/>
                </w:tcPr>
                <w:p>
                  <w:pPr>
                    <w:pStyle w:val="29"/>
                    <w:spacing w:line="360" w:lineRule="exact"/>
                    <w:rPr>
                      <w:color w:val="000000" w:themeColor="text1"/>
                      <w:szCs w:val="21"/>
                    </w:rPr>
                  </w:pPr>
                  <w:r>
                    <w:rPr>
                      <w:color w:val="000000" w:themeColor="text1"/>
                      <w:szCs w:val="21"/>
                    </w:rPr>
                    <w:t>1,2-二氯丙烷（ug/kg）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21</w:t>
                  </w:r>
                </w:p>
              </w:tc>
              <w:tc>
                <w:tcPr>
                  <w:tcW w:w="3271" w:type="dxa"/>
                  <w:vAlign w:val="center"/>
                </w:tcPr>
                <w:p>
                  <w:pPr>
                    <w:pStyle w:val="29"/>
                    <w:spacing w:line="360" w:lineRule="exact"/>
                    <w:rPr>
                      <w:color w:val="000000" w:themeColor="text1"/>
                      <w:szCs w:val="21"/>
                    </w:rPr>
                  </w:pPr>
                  <w:r>
                    <w:rPr>
                      <w:color w:val="000000" w:themeColor="text1"/>
                      <w:szCs w:val="21"/>
                    </w:rPr>
                    <w:t>1,1,1,2-四氯乙烷（ug/kg）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22</w:t>
                  </w:r>
                </w:p>
              </w:tc>
              <w:tc>
                <w:tcPr>
                  <w:tcW w:w="3271" w:type="dxa"/>
                  <w:vAlign w:val="center"/>
                </w:tcPr>
                <w:p>
                  <w:pPr>
                    <w:pStyle w:val="29"/>
                    <w:spacing w:line="360" w:lineRule="exact"/>
                    <w:rPr>
                      <w:color w:val="000000" w:themeColor="text1"/>
                      <w:szCs w:val="21"/>
                    </w:rPr>
                  </w:pPr>
                  <w:r>
                    <w:rPr>
                      <w:color w:val="000000" w:themeColor="text1"/>
                      <w:szCs w:val="21"/>
                    </w:rPr>
                    <w:t>1,1,2,2-四氯乙烷（ug/kg）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6.8</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23</w:t>
                  </w:r>
                </w:p>
              </w:tc>
              <w:tc>
                <w:tcPr>
                  <w:tcW w:w="3271" w:type="dxa"/>
                  <w:vAlign w:val="center"/>
                </w:tcPr>
                <w:p>
                  <w:pPr>
                    <w:pStyle w:val="29"/>
                    <w:spacing w:line="360" w:lineRule="exact"/>
                    <w:rPr>
                      <w:color w:val="000000" w:themeColor="text1"/>
                      <w:szCs w:val="21"/>
                    </w:rPr>
                  </w:pPr>
                  <w:r>
                    <w:rPr>
                      <w:color w:val="000000" w:themeColor="text1"/>
                      <w:szCs w:val="21"/>
                    </w:rPr>
                    <w:t>四氯乙烯（ug/kg）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53</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24</w:t>
                  </w:r>
                </w:p>
              </w:tc>
              <w:tc>
                <w:tcPr>
                  <w:tcW w:w="3271" w:type="dxa"/>
                  <w:vAlign w:val="center"/>
                </w:tcPr>
                <w:p>
                  <w:pPr>
                    <w:pStyle w:val="29"/>
                    <w:spacing w:line="360" w:lineRule="exact"/>
                    <w:rPr>
                      <w:color w:val="000000" w:themeColor="text1"/>
                      <w:szCs w:val="21"/>
                    </w:rPr>
                  </w:pPr>
                  <w:r>
                    <w:rPr>
                      <w:color w:val="000000" w:themeColor="text1"/>
                      <w:szCs w:val="21"/>
                    </w:rPr>
                    <w:t>1,1,1-三氯乙烷（ug/kg）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840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25</w:t>
                  </w:r>
                </w:p>
              </w:tc>
              <w:tc>
                <w:tcPr>
                  <w:tcW w:w="3271" w:type="dxa"/>
                  <w:vAlign w:val="center"/>
                </w:tcPr>
                <w:p>
                  <w:pPr>
                    <w:pStyle w:val="29"/>
                    <w:spacing w:line="360" w:lineRule="exact"/>
                    <w:rPr>
                      <w:color w:val="000000" w:themeColor="text1"/>
                      <w:szCs w:val="21"/>
                    </w:rPr>
                  </w:pPr>
                  <w:r>
                    <w:rPr>
                      <w:color w:val="000000" w:themeColor="text1"/>
                      <w:szCs w:val="21"/>
                    </w:rPr>
                    <w:t>1,1,2-三氯乙烷（ug/kg）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2.8</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26</w:t>
                  </w:r>
                </w:p>
              </w:tc>
              <w:tc>
                <w:tcPr>
                  <w:tcW w:w="3271" w:type="dxa"/>
                  <w:vAlign w:val="center"/>
                </w:tcPr>
                <w:p>
                  <w:pPr>
                    <w:pStyle w:val="29"/>
                    <w:spacing w:line="360" w:lineRule="exact"/>
                    <w:rPr>
                      <w:color w:val="000000" w:themeColor="text1"/>
                      <w:szCs w:val="21"/>
                    </w:rPr>
                  </w:pPr>
                  <w:r>
                    <w:rPr>
                      <w:color w:val="000000" w:themeColor="text1"/>
                      <w:szCs w:val="21"/>
                    </w:rPr>
                    <w:t>三氯乙烯（ug/kg）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2.8</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27</w:t>
                  </w:r>
                </w:p>
              </w:tc>
              <w:tc>
                <w:tcPr>
                  <w:tcW w:w="3271" w:type="dxa"/>
                  <w:vAlign w:val="center"/>
                </w:tcPr>
                <w:p>
                  <w:pPr>
                    <w:pStyle w:val="29"/>
                    <w:spacing w:line="360" w:lineRule="exact"/>
                    <w:rPr>
                      <w:color w:val="000000" w:themeColor="text1"/>
                      <w:szCs w:val="21"/>
                    </w:rPr>
                  </w:pPr>
                  <w:r>
                    <w:rPr>
                      <w:color w:val="000000" w:themeColor="text1"/>
                      <w:szCs w:val="21"/>
                    </w:rPr>
                    <w:t>1,2,3-三氯丙烷（ug/kg）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0.5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28</w:t>
                  </w:r>
                </w:p>
              </w:tc>
              <w:tc>
                <w:tcPr>
                  <w:tcW w:w="3271" w:type="dxa"/>
                  <w:vAlign w:val="center"/>
                </w:tcPr>
                <w:p>
                  <w:pPr>
                    <w:pStyle w:val="29"/>
                    <w:spacing w:line="360" w:lineRule="exact"/>
                    <w:rPr>
                      <w:color w:val="000000" w:themeColor="text1"/>
                      <w:szCs w:val="21"/>
                    </w:rPr>
                  </w:pPr>
                  <w:r>
                    <w:rPr>
                      <w:color w:val="000000" w:themeColor="text1"/>
                      <w:szCs w:val="21"/>
                    </w:rPr>
                    <w:t>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0.43</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29</w:t>
                  </w:r>
                </w:p>
              </w:tc>
              <w:tc>
                <w:tcPr>
                  <w:tcW w:w="3271" w:type="dxa"/>
                  <w:vAlign w:val="center"/>
                </w:tcPr>
                <w:p>
                  <w:pPr>
                    <w:pStyle w:val="29"/>
                    <w:spacing w:line="360" w:lineRule="exact"/>
                    <w:rPr>
                      <w:color w:val="000000" w:themeColor="text1"/>
                      <w:szCs w:val="21"/>
                    </w:rPr>
                  </w:pPr>
                  <w:r>
                    <w:rPr>
                      <w:color w:val="000000" w:themeColor="text1"/>
                      <w:szCs w:val="21"/>
                    </w:rPr>
                    <w:t>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4</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30</w:t>
                  </w:r>
                </w:p>
              </w:tc>
              <w:tc>
                <w:tcPr>
                  <w:tcW w:w="3271" w:type="dxa"/>
                  <w:vAlign w:val="center"/>
                </w:tcPr>
                <w:p>
                  <w:pPr>
                    <w:pStyle w:val="29"/>
                    <w:spacing w:line="360" w:lineRule="exact"/>
                    <w:rPr>
                      <w:color w:val="000000" w:themeColor="text1"/>
                      <w:szCs w:val="21"/>
                    </w:rPr>
                  </w:pPr>
                  <w:r>
                    <w:rPr>
                      <w:color w:val="000000" w:themeColor="text1"/>
                      <w:szCs w:val="21"/>
                    </w:rPr>
                    <w:t>氯苯（ug/kg）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270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31</w:t>
                  </w:r>
                </w:p>
              </w:tc>
              <w:tc>
                <w:tcPr>
                  <w:tcW w:w="3271" w:type="dxa"/>
                  <w:vAlign w:val="center"/>
                </w:tcPr>
                <w:p>
                  <w:pPr>
                    <w:pStyle w:val="29"/>
                    <w:spacing w:line="360" w:lineRule="exact"/>
                    <w:rPr>
                      <w:color w:val="000000" w:themeColor="text1"/>
                      <w:szCs w:val="21"/>
                    </w:rPr>
                  </w:pPr>
                  <w:r>
                    <w:rPr>
                      <w:color w:val="000000" w:themeColor="text1"/>
                      <w:szCs w:val="21"/>
                    </w:rPr>
                    <w:t>1,2-二氯苯（ug/kg）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560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32</w:t>
                  </w:r>
                </w:p>
              </w:tc>
              <w:tc>
                <w:tcPr>
                  <w:tcW w:w="3271" w:type="dxa"/>
                  <w:vAlign w:val="center"/>
                </w:tcPr>
                <w:p>
                  <w:pPr>
                    <w:pStyle w:val="29"/>
                    <w:spacing w:line="360" w:lineRule="exact"/>
                    <w:rPr>
                      <w:color w:val="000000" w:themeColor="text1"/>
                      <w:szCs w:val="21"/>
                    </w:rPr>
                  </w:pPr>
                  <w:r>
                    <w:rPr>
                      <w:color w:val="000000" w:themeColor="text1"/>
                      <w:szCs w:val="21"/>
                    </w:rPr>
                    <w:t>1,4-二氯苯（ug/kg）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33</w:t>
                  </w:r>
                </w:p>
              </w:tc>
              <w:tc>
                <w:tcPr>
                  <w:tcW w:w="3271" w:type="dxa"/>
                  <w:vAlign w:val="center"/>
                </w:tcPr>
                <w:p>
                  <w:pPr>
                    <w:pStyle w:val="29"/>
                    <w:spacing w:line="360" w:lineRule="exact"/>
                    <w:rPr>
                      <w:color w:val="000000" w:themeColor="text1"/>
                      <w:szCs w:val="21"/>
                    </w:rPr>
                  </w:pPr>
                  <w:r>
                    <w:rPr>
                      <w:color w:val="000000" w:themeColor="text1"/>
                      <w:szCs w:val="21"/>
                    </w:rPr>
                    <w:t>乙苯（ug/kg）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28</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34</w:t>
                  </w:r>
                </w:p>
              </w:tc>
              <w:tc>
                <w:tcPr>
                  <w:tcW w:w="3271" w:type="dxa"/>
                  <w:vAlign w:val="center"/>
                </w:tcPr>
                <w:p>
                  <w:pPr>
                    <w:pStyle w:val="29"/>
                    <w:spacing w:line="360" w:lineRule="exact"/>
                    <w:rPr>
                      <w:color w:val="000000" w:themeColor="text1"/>
                      <w:szCs w:val="21"/>
                    </w:rPr>
                  </w:pPr>
                  <w:r>
                    <w:rPr>
                      <w:color w:val="000000" w:themeColor="text1"/>
                      <w:szCs w:val="21"/>
                    </w:rPr>
                    <w:t>苯乙烯（ug/kg）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1290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35</w:t>
                  </w:r>
                </w:p>
              </w:tc>
              <w:tc>
                <w:tcPr>
                  <w:tcW w:w="3271" w:type="dxa"/>
                  <w:vAlign w:val="center"/>
                </w:tcPr>
                <w:p>
                  <w:pPr>
                    <w:pStyle w:val="29"/>
                    <w:spacing w:line="360" w:lineRule="exact"/>
                    <w:rPr>
                      <w:color w:val="000000" w:themeColor="text1"/>
                      <w:szCs w:val="21"/>
                    </w:rPr>
                  </w:pPr>
                  <w:r>
                    <w:rPr>
                      <w:color w:val="000000" w:themeColor="text1"/>
                      <w:szCs w:val="21"/>
                    </w:rPr>
                    <w:t>甲苯（ug/kg）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1200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36</w:t>
                  </w:r>
                </w:p>
              </w:tc>
              <w:tc>
                <w:tcPr>
                  <w:tcW w:w="3271" w:type="dxa"/>
                  <w:vAlign w:val="center"/>
                </w:tcPr>
                <w:p>
                  <w:pPr>
                    <w:pStyle w:val="29"/>
                    <w:spacing w:line="360" w:lineRule="exact"/>
                    <w:rPr>
                      <w:color w:val="000000" w:themeColor="text1"/>
                      <w:szCs w:val="21"/>
                    </w:rPr>
                  </w:pPr>
                  <w:r>
                    <w:rPr>
                      <w:color w:val="000000" w:themeColor="text1"/>
                      <w:szCs w:val="21"/>
                    </w:rPr>
                    <w:t>间二甲苯+对二甲苯（ug/kg）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570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37</w:t>
                  </w:r>
                </w:p>
              </w:tc>
              <w:tc>
                <w:tcPr>
                  <w:tcW w:w="3271" w:type="dxa"/>
                  <w:vAlign w:val="center"/>
                </w:tcPr>
                <w:p>
                  <w:pPr>
                    <w:pStyle w:val="29"/>
                    <w:spacing w:line="360" w:lineRule="exact"/>
                    <w:rPr>
                      <w:color w:val="000000" w:themeColor="text1"/>
                      <w:szCs w:val="21"/>
                    </w:rPr>
                  </w:pPr>
                  <w:r>
                    <w:rPr>
                      <w:color w:val="000000" w:themeColor="text1"/>
                      <w:szCs w:val="21"/>
                    </w:rPr>
                    <w:t>邻-二甲苯（ug/kg）</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640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38</w:t>
                  </w:r>
                </w:p>
              </w:tc>
              <w:tc>
                <w:tcPr>
                  <w:tcW w:w="3271" w:type="dxa"/>
                  <w:vAlign w:val="center"/>
                </w:tcPr>
                <w:p>
                  <w:pPr>
                    <w:pStyle w:val="29"/>
                    <w:spacing w:line="360" w:lineRule="exact"/>
                    <w:rPr>
                      <w:color w:val="000000" w:themeColor="text1"/>
                      <w:szCs w:val="21"/>
                    </w:rPr>
                  </w:pPr>
                  <w:r>
                    <w:rPr>
                      <w:color w:val="000000" w:themeColor="text1"/>
                      <w:szCs w:val="21"/>
                    </w:rPr>
                    <w:t>硝基苯</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76</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39</w:t>
                  </w:r>
                </w:p>
              </w:tc>
              <w:tc>
                <w:tcPr>
                  <w:tcW w:w="3271" w:type="dxa"/>
                  <w:vAlign w:val="center"/>
                </w:tcPr>
                <w:p>
                  <w:pPr>
                    <w:pStyle w:val="29"/>
                    <w:spacing w:line="360" w:lineRule="exact"/>
                    <w:rPr>
                      <w:color w:val="000000" w:themeColor="text1"/>
                      <w:szCs w:val="21"/>
                    </w:rPr>
                  </w:pPr>
                  <w:r>
                    <w:rPr>
                      <w:color w:val="000000" w:themeColor="text1"/>
                      <w:szCs w:val="21"/>
                    </w:rPr>
                    <w:t>苯胺</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260</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40</w:t>
                  </w:r>
                </w:p>
              </w:tc>
              <w:tc>
                <w:tcPr>
                  <w:tcW w:w="3271" w:type="dxa"/>
                  <w:vAlign w:val="center"/>
                </w:tcPr>
                <w:p>
                  <w:pPr>
                    <w:pStyle w:val="29"/>
                    <w:spacing w:line="360" w:lineRule="exact"/>
                    <w:rPr>
                      <w:color w:val="000000" w:themeColor="text1"/>
                      <w:szCs w:val="21"/>
                    </w:rPr>
                  </w:pPr>
                  <w:r>
                    <w:rPr>
                      <w:color w:val="000000" w:themeColor="text1"/>
                      <w:szCs w:val="21"/>
                    </w:rPr>
                    <w:t>2-氯酚</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2256</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41</w:t>
                  </w:r>
                </w:p>
              </w:tc>
              <w:tc>
                <w:tcPr>
                  <w:tcW w:w="3271" w:type="dxa"/>
                  <w:vAlign w:val="center"/>
                </w:tcPr>
                <w:p>
                  <w:pPr>
                    <w:pStyle w:val="29"/>
                    <w:spacing w:line="360" w:lineRule="exact"/>
                    <w:rPr>
                      <w:color w:val="000000" w:themeColor="text1"/>
                      <w:szCs w:val="21"/>
                    </w:rPr>
                  </w:pPr>
                  <w:r>
                    <w:rPr>
                      <w:color w:val="000000" w:themeColor="text1"/>
                      <w:szCs w:val="21"/>
                    </w:rPr>
                    <w:t>苯并[a]蒽</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42</w:t>
                  </w:r>
                </w:p>
              </w:tc>
              <w:tc>
                <w:tcPr>
                  <w:tcW w:w="3271" w:type="dxa"/>
                  <w:vAlign w:val="center"/>
                </w:tcPr>
                <w:p>
                  <w:pPr>
                    <w:pStyle w:val="29"/>
                    <w:spacing w:line="360" w:lineRule="exact"/>
                    <w:rPr>
                      <w:color w:val="000000" w:themeColor="text1"/>
                      <w:szCs w:val="21"/>
                    </w:rPr>
                  </w:pPr>
                  <w:r>
                    <w:rPr>
                      <w:color w:val="000000" w:themeColor="text1"/>
                      <w:szCs w:val="21"/>
                    </w:rPr>
                    <w:t>苯并[a]芘</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43</w:t>
                  </w:r>
                </w:p>
              </w:tc>
              <w:tc>
                <w:tcPr>
                  <w:tcW w:w="3271" w:type="dxa"/>
                  <w:vAlign w:val="center"/>
                </w:tcPr>
                <w:p>
                  <w:pPr>
                    <w:pStyle w:val="29"/>
                    <w:spacing w:line="360" w:lineRule="exact"/>
                    <w:rPr>
                      <w:color w:val="000000" w:themeColor="text1"/>
                      <w:szCs w:val="21"/>
                    </w:rPr>
                  </w:pPr>
                  <w:r>
                    <w:rPr>
                      <w:color w:val="000000" w:themeColor="text1"/>
                      <w:szCs w:val="21"/>
                    </w:rPr>
                    <w:t>苯并[b]荧蒽</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44</w:t>
                  </w:r>
                </w:p>
              </w:tc>
              <w:tc>
                <w:tcPr>
                  <w:tcW w:w="3271" w:type="dxa"/>
                  <w:vAlign w:val="center"/>
                </w:tcPr>
                <w:p>
                  <w:pPr>
                    <w:pStyle w:val="29"/>
                    <w:spacing w:line="360" w:lineRule="exact"/>
                    <w:rPr>
                      <w:color w:val="000000" w:themeColor="text1"/>
                      <w:szCs w:val="21"/>
                    </w:rPr>
                  </w:pPr>
                  <w:r>
                    <w:rPr>
                      <w:color w:val="000000" w:themeColor="text1"/>
                      <w:szCs w:val="21"/>
                    </w:rPr>
                    <w:t>苯并[k]荧蒽</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151</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45</w:t>
                  </w:r>
                </w:p>
              </w:tc>
              <w:tc>
                <w:tcPr>
                  <w:tcW w:w="3271" w:type="dxa"/>
                  <w:vAlign w:val="center"/>
                </w:tcPr>
                <w:p>
                  <w:pPr>
                    <w:pStyle w:val="29"/>
                    <w:spacing w:line="360" w:lineRule="exact"/>
                    <w:rPr>
                      <w:color w:val="000000" w:themeColor="text1"/>
                      <w:szCs w:val="21"/>
                    </w:rPr>
                  </w:pPr>
                  <w:r>
                    <w:rPr>
                      <w:color w:val="000000" w:themeColor="text1"/>
                      <w:szCs w:val="21"/>
                    </w:rPr>
                    <w:t>䓛</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1293</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46</w:t>
                  </w:r>
                </w:p>
              </w:tc>
              <w:tc>
                <w:tcPr>
                  <w:tcW w:w="3271" w:type="dxa"/>
                  <w:vAlign w:val="center"/>
                </w:tcPr>
                <w:p>
                  <w:pPr>
                    <w:pStyle w:val="29"/>
                    <w:spacing w:line="360" w:lineRule="exact"/>
                    <w:rPr>
                      <w:color w:val="000000" w:themeColor="text1"/>
                      <w:szCs w:val="21"/>
                    </w:rPr>
                  </w:pPr>
                  <w:r>
                    <w:rPr>
                      <w:color w:val="000000" w:themeColor="text1"/>
                      <w:szCs w:val="21"/>
                    </w:rPr>
                    <w:t>二苯并[a,h]蒽</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47</w:t>
                  </w:r>
                </w:p>
              </w:tc>
              <w:tc>
                <w:tcPr>
                  <w:tcW w:w="3271" w:type="dxa"/>
                  <w:vAlign w:val="center"/>
                </w:tcPr>
                <w:p>
                  <w:pPr>
                    <w:pStyle w:val="29"/>
                    <w:spacing w:line="360" w:lineRule="exact"/>
                    <w:rPr>
                      <w:color w:val="000000" w:themeColor="text1"/>
                      <w:szCs w:val="21"/>
                    </w:rPr>
                  </w:pPr>
                  <w:r>
                    <w:rPr>
                      <w:color w:val="000000" w:themeColor="text1"/>
                      <w:szCs w:val="21"/>
                    </w:rPr>
                    <w:t>茚并[1,2,3-cd]芘</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15</w:t>
                  </w:r>
                </w:p>
              </w:tc>
              <w:tc>
                <w:tcPr>
                  <w:tcW w:w="1093" w:type="dxa"/>
                  <w:vAlign w:val="center"/>
                </w:tcPr>
                <w:p>
                  <w:pPr>
                    <w:pStyle w:val="29"/>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pPr>
                    <w:pStyle w:val="29"/>
                    <w:spacing w:line="360" w:lineRule="exact"/>
                    <w:rPr>
                      <w:color w:val="000000" w:themeColor="text1"/>
                      <w:szCs w:val="21"/>
                    </w:rPr>
                  </w:pPr>
                  <w:r>
                    <w:rPr>
                      <w:color w:val="000000" w:themeColor="text1"/>
                      <w:szCs w:val="21"/>
                    </w:rPr>
                    <w:t>48</w:t>
                  </w:r>
                </w:p>
              </w:tc>
              <w:tc>
                <w:tcPr>
                  <w:tcW w:w="3271" w:type="dxa"/>
                  <w:vAlign w:val="center"/>
                </w:tcPr>
                <w:p>
                  <w:pPr>
                    <w:pStyle w:val="29"/>
                    <w:spacing w:line="360" w:lineRule="exact"/>
                    <w:rPr>
                      <w:color w:val="000000" w:themeColor="text1"/>
                      <w:szCs w:val="21"/>
                    </w:rPr>
                  </w:pPr>
                  <w:r>
                    <w:rPr>
                      <w:color w:val="000000" w:themeColor="text1"/>
                      <w:szCs w:val="21"/>
                    </w:rPr>
                    <w:t>萘</w:t>
                  </w:r>
                </w:p>
              </w:tc>
              <w:tc>
                <w:tcPr>
                  <w:tcW w:w="2402" w:type="dxa"/>
                  <w:vAlign w:val="center"/>
                </w:tcPr>
                <w:p>
                  <w:pPr>
                    <w:pStyle w:val="29"/>
                    <w:spacing w:line="360" w:lineRule="exact"/>
                    <w:rPr>
                      <w:color w:val="000000" w:themeColor="text1"/>
                      <w:szCs w:val="21"/>
                    </w:rPr>
                  </w:pPr>
                  <w:r>
                    <w:rPr>
                      <w:color w:val="000000" w:themeColor="text1"/>
                      <w:szCs w:val="21"/>
                    </w:rPr>
                    <w:t>未检出</w:t>
                  </w:r>
                </w:p>
              </w:tc>
              <w:tc>
                <w:tcPr>
                  <w:tcW w:w="1650" w:type="dxa"/>
                  <w:vAlign w:val="center"/>
                </w:tcPr>
                <w:p>
                  <w:pPr>
                    <w:pStyle w:val="29"/>
                    <w:spacing w:line="360" w:lineRule="exact"/>
                    <w:rPr>
                      <w:color w:val="000000" w:themeColor="text1"/>
                      <w:szCs w:val="21"/>
                    </w:rPr>
                  </w:pPr>
                  <w:r>
                    <w:rPr>
                      <w:color w:val="000000" w:themeColor="text1"/>
                      <w:szCs w:val="21"/>
                    </w:rPr>
                    <w:t>70</w:t>
                  </w:r>
                </w:p>
              </w:tc>
              <w:tc>
                <w:tcPr>
                  <w:tcW w:w="1093" w:type="dxa"/>
                  <w:vAlign w:val="center"/>
                </w:tcPr>
                <w:p>
                  <w:pPr>
                    <w:pStyle w:val="29"/>
                    <w:spacing w:line="360" w:lineRule="exact"/>
                    <w:rPr>
                      <w:color w:val="000000" w:themeColor="text1"/>
                      <w:szCs w:val="21"/>
                    </w:rPr>
                  </w:pPr>
                  <w:r>
                    <w:rPr>
                      <w:color w:val="000000" w:themeColor="text1"/>
                      <w:szCs w:val="21"/>
                    </w:rPr>
                    <w:t>达标</w:t>
                  </w:r>
                </w:p>
              </w:tc>
            </w:tr>
          </w:tbl>
          <w:p>
            <w:pPr>
              <w:spacing w:beforeLines="50"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由上表可知，该项目昆明旭鑫环保科技有限公司原料暂存库项目旁土壤</w:t>
            </w:r>
            <w:r>
              <w:rPr>
                <w:rFonts w:hint="eastAsia" w:ascii="Times New Roman" w:hAnsi="Times New Roman" w:cs="Times New Roman"/>
                <w:color w:val="000000" w:themeColor="text1"/>
                <w:sz w:val="24"/>
                <w:szCs w:val="32"/>
              </w:rPr>
              <w:t>上述</w:t>
            </w:r>
            <w:r>
              <w:rPr>
                <w:rFonts w:ascii="Times New Roman" w:hAnsi="Times New Roman" w:cs="Times New Roman"/>
                <w:color w:val="000000" w:themeColor="text1"/>
                <w:sz w:val="24"/>
                <w:szCs w:val="32"/>
              </w:rPr>
              <w:t>污染因子可达到《土壤环境质量 建设用地土壤污染风险管控质量标准（试行）》（GB36600-2018）表1中建设用地（第二类用地）筛选值要求。</w:t>
            </w:r>
          </w:p>
          <w:p>
            <w:pPr>
              <w:pStyle w:val="37"/>
              <w:ind w:firstLine="480"/>
              <w:rPr>
                <w:rFonts w:eastAsiaTheme="minorEastAsia"/>
                <w:color w:val="000000" w:themeColor="text1"/>
                <w:szCs w:val="24"/>
              </w:rPr>
            </w:pPr>
            <w:r>
              <w:rPr>
                <w:rFonts w:eastAsiaTheme="minorEastAsia"/>
                <w:color w:val="000000" w:themeColor="text1"/>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pStyle w:val="37"/>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7"/>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7"/>
              <w:ind w:firstLine="480"/>
              <w:rPr>
                <w:rFonts w:eastAsiaTheme="minorEastAsia"/>
                <w:color w:val="000000" w:themeColor="text1"/>
                <w:szCs w:val="24"/>
              </w:rPr>
            </w:pPr>
            <w:r>
              <w:rPr>
                <w:rFonts w:eastAsiaTheme="minorEastAsia"/>
                <w:color w:val="000000" w:themeColor="text1"/>
                <w:szCs w:val="24"/>
              </w:rPr>
              <w:t>根据调查，该项目主要大气环境保护目标如下表所示。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1559"/>
              <w:gridCol w:w="1417"/>
              <w:gridCol w:w="851"/>
              <w:gridCol w:w="1276"/>
              <w:gridCol w:w="850"/>
              <w:gridCol w:w="851"/>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pStyle w:val="29"/>
                    <w:spacing w:line="360" w:lineRule="exact"/>
                    <w:rPr>
                      <w:color w:val="000000" w:themeColor="text1"/>
                      <w:kern w:val="0"/>
                      <w:szCs w:val="21"/>
                    </w:rPr>
                  </w:pPr>
                  <w:r>
                    <w:rPr>
                      <w:color w:val="000000" w:themeColor="text1"/>
                      <w:kern w:val="0"/>
                      <w:szCs w:val="21"/>
                    </w:rPr>
                    <w:t>名称</w:t>
                  </w:r>
                </w:p>
              </w:tc>
              <w:tc>
                <w:tcPr>
                  <w:tcW w:w="2976" w:type="dxa"/>
                  <w:gridSpan w:val="2"/>
                  <w:vAlign w:val="center"/>
                </w:tcPr>
                <w:p>
                  <w:pPr>
                    <w:pStyle w:val="29"/>
                    <w:spacing w:line="360" w:lineRule="exact"/>
                    <w:rPr>
                      <w:color w:val="000000" w:themeColor="text1"/>
                      <w:kern w:val="0"/>
                      <w:szCs w:val="21"/>
                    </w:rPr>
                  </w:pPr>
                  <w:r>
                    <w:rPr>
                      <w:color w:val="000000" w:themeColor="text1"/>
                      <w:kern w:val="0"/>
                      <w:szCs w:val="21"/>
                    </w:rPr>
                    <w:t>坐标</w:t>
                  </w:r>
                </w:p>
              </w:tc>
              <w:tc>
                <w:tcPr>
                  <w:tcW w:w="851" w:type="dxa"/>
                  <w:vMerge w:val="restart"/>
                  <w:vAlign w:val="center"/>
                </w:tcPr>
                <w:p>
                  <w:pPr>
                    <w:pStyle w:val="29"/>
                    <w:spacing w:line="360" w:lineRule="exact"/>
                    <w:rPr>
                      <w:color w:val="000000" w:themeColor="text1"/>
                      <w:kern w:val="0"/>
                      <w:szCs w:val="21"/>
                    </w:rPr>
                  </w:pPr>
                  <w:r>
                    <w:rPr>
                      <w:color w:val="000000" w:themeColor="text1"/>
                      <w:kern w:val="0"/>
                      <w:szCs w:val="21"/>
                    </w:rPr>
                    <w:t>保护对象</w:t>
                  </w:r>
                </w:p>
              </w:tc>
              <w:tc>
                <w:tcPr>
                  <w:tcW w:w="1276" w:type="dxa"/>
                  <w:vMerge w:val="restart"/>
                  <w:vAlign w:val="center"/>
                </w:tcPr>
                <w:p>
                  <w:pPr>
                    <w:pStyle w:val="29"/>
                    <w:spacing w:line="360" w:lineRule="exact"/>
                    <w:rPr>
                      <w:color w:val="000000" w:themeColor="text1"/>
                      <w:kern w:val="0"/>
                      <w:szCs w:val="21"/>
                    </w:rPr>
                  </w:pPr>
                  <w:r>
                    <w:rPr>
                      <w:color w:val="000000" w:themeColor="text1"/>
                      <w:kern w:val="0"/>
                      <w:szCs w:val="21"/>
                    </w:rPr>
                    <w:t>保护内容</w:t>
                  </w:r>
                </w:p>
              </w:tc>
              <w:tc>
                <w:tcPr>
                  <w:tcW w:w="850" w:type="dxa"/>
                  <w:vMerge w:val="restart"/>
                  <w:vAlign w:val="center"/>
                </w:tcPr>
                <w:p>
                  <w:pPr>
                    <w:pStyle w:val="29"/>
                    <w:spacing w:line="360" w:lineRule="exact"/>
                    <w:rPr>
                      <w:color w:val="000000" w:themeColor="text1"/>
                      <w:kern w:val="0"/>
                      <w:szCs w:val="21"/>
                    </w:rPr>
                  </w:pPr>
                  <w:r>
                    <w:rPr>
                      <w:color w:val="000000" w:themeColor="text1"/>
                      <w:kern w:val="0"/>
                      <w:szCs w:val="21"/>
                    </w:rPr>
                    <w:t>环境功能区</w:t>
                  </w:r>
                </w:p>
              </w:tc>
              <w:tc>
                <w:tcPr>
                  <w:tcW w:w="851" w:type="dxa"/>
                  <w:vMerge w:val="restart"/>
                  <w:vAlign w:val="center"/>
                </w:tcPr>
                <w:p>
                  <w:pPr>
                    <w:pStyle w:val="29"/>
                    <w:spacing w:line="360" w:lineRule="exact"/>
                    <w:rPr>
                      <w:color w:val="000000" w:themeColor="text1"/>
                      <w:kern w:val="0"/>
                      <w:szCs w:val="21"/>
                    </w:rPr>
                  </w:pPr>
                  <w:r>
                    <w:rPr>
                      <w:color w:val="000000" w:themeColor="text1"/>
                      <w:kern w:val="0"/>
                      <w:szCs w:val="21"/>
                    </w:rPr>
                    <w:t>相对厂址方位</w:t>
                  </w:r>
                </w:p>
              </w:tc>
              <w:tc>
                <w:tcPr>
                  <w:tcW w:w="924" w:type="dxa"/>
                  <w:vMerge w:val="restart"/>
                  <w:vAlign w:val="center"/>
                </w:tcPr>
                <w:p>
                  <w:pPr>
                    <w:pStyle w:val="29"/>
                    <w:spacing w:line="360" w:lineRule="exact"/>
                    <w:rPr>
                      <w:color w:val="000000" w:themeColor="text1"/>
                      <w:kern w:val="0"/>
                      <w:szCs w:val="21"/>
                    </w:rPr>
                  </w:pPr>
                  <w:r>
                    <w:rPr>
                      <w:color w:val="000000" w:themeColor="text1"/>
                      <w:kern w:val="0"/>
                      <w:szCs w:val="21"/>
                    </w:rPr>
                    <w:t>相对厂界距离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9"/>
                    <w:spacing w:line="360" w:lineRule="exact"/>
                    <w:rPr>
                      <w:color w:val="000000" w:themeColor="text1"/>
                      <w:kern w:val="0"/>
                      <w:szCs w:val="21"/>
                    </w:rPr>
                  </w:pPr>
                </w:p>
              </w:tc>
              <w:tc>
                <w:tcPr>
                  <w:tcW w:w="1559" w:type="dxa"/>
                  <w:vAlign w:val="center"/>
                </w:tcPr>
                <w:p>
                  <w:pPr>
                    <w:pStyle w:val="29"/>
                    <w:spacing w:line="360" w:lineRule="exact"/>
                    <w:rPr>
                      <w:color w:val="000000" w:themeColor="text1"/>
                      <w:kern w:val="0"/>
                      <w:szCs w:val="21"/>
                    </w:rPr>
                  </w:pPr>
                  <w:r>
                    <w:rPr>
                      <w:color w:val="000000" w:themeColor="text1"/>
                      <w:kern w:val="0"/>
                      <w:szCs w:val="21"/>
                    </w:rPr>
                    <w:t>经度</w:t>
                  </w:r>
                </w:p>
              </w:tc>
              <w:tc>
                <w:tcPr>
                  <w:tcW w:w="1417" w:type="dxa"/>
                  <w:vAlign w:val="center"/>
                </w:tcPr>
                <w:p>
                  <w:pPr>
                    <w:pStyle w:val="29"/>
                    <w:spacing w:line="360" w:lineRule="exact"/>
                    <w:rPr>
                      <w:color w:val="000000" w:themeColor="text1"/>
                      <w:kern w:val="0"/>
                      <w:szCs w:val="21"/>
                    </w:rPr>
                  </w:pPr>
                  <w:r>
                    <w:rPr>
                      <w:color w:val="000000" w:themeColor="text1"/>
                      <w:kern w:val="0"/>
                      <w:szCs w:val="21"/>
                    </w:rPr>
                    <w:t>纬度</w:t>
                  </w:r>
                </w:p>
              </w:tc>
              <w:tc>
                <w:tcPr>
                  <w:tcW w:w="851" w:type="dxa"/>
                  <w:vMerge w:val="continue"/>
                  <w:vAlign w:val="center"/>
                </w:tcPr>
                <w:p>
                  <w:pPr>
                    <w:pStyle w:val="29"/>
                    <w:spacing w:line="360" w:lineRule="exact"/>
                    <w:rPr>
                      <w:color w:val="000000" w:themeColor="text1"/>
                      <w:kern w:val="0"/>
                      <w:szCs w:val="21"/>
                    </w:rPr>
                  </w:pPr>
                </w:p>
              </w:tc>
              <w:tc>
                <w:tcPr>
                  <w:tcW w:w="1276" w:type="dxa"/>
                  <w:vMerge w:val="continue"/>
                  <w:vAlign w:val="center"/>
                </w:tcPr>
                <w:p>
                  <w:pPr>
                    <w:pStyle w:val="29"/>
                    <w:spacing w:line="360" w:lineRule="exact"/>
                    <w:rPr>
                      <w:color w:val="000000" w:themeColor="text1"/>
                      <w:kern w:val="0"/>
                      <w:szCs w:val="21"/>
                    </w:rPr>
                  </w:pPr>
                </w:p>
              </w:tc>
              <w:tc>
                <w:tcPr>
                  <w:tcW w:w="850" w:type="dxa"/>
                  <w:vMerge w:val="continue"/>
                  <w:vAlign w:val="center"/>
                </w:tcPr>
                <w:p>
                  <w:pPr>
                    <w:pStyle w:val="29"/>
                    <w:spacing w:line="360" w:lineRule="exact"/>
                    <w:rPr>
                      <w:color w:val="000000" w:themeColor="text1"/>
                      <w:kern w:val="0"/>
                      <w:szCs w:val="21"/>
                    </w:rPr>
                  </w:pPr>
                </w:p>
              </w:tc>
              <w:tc>
                <w:tcPr>
                  <w:tcW w:w="851" w:type="dxa"/>
                  <w:vMerge w:val="continue"/>
                  <w:vAlign w:val="center"/>
                </w:tcPr>
                <w:p>
                  <w:pPr>
                    <w:pStyle w:val="29"/>
                    <w:spacing w:line="360" w:lineRule="exact"/>
                    <w:rPr>
                      <w:color w:val="000000" w:themeColor="text1"/>
                      <w:kern w:val="0"/>
                      <w:szCs w:val="21"/>
                    </w:rPr>
                  </w:pPr>
                </w:p>
              </w:tc>
              <w:tc>
                <w:tcPr>
                  <w:tcW w:w="924" w:type="dxa"/>
                  <w:vMerge w:val="continue"/>
                  <w:vAlign w:val="center"/>
                </w:tcPr>
                <w:p>
                  <w:pPr>
                    <w:pStyle w:val="29"/>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pStyle w:val="29"/>
                    <w:spacing w:line="360" w:lineRule="exact"/>
                    <w:rPr>
                      <w:color w:val="000000" w:themeColor="text1"/>
                      <w:kern w:val="0"/>
                      <w:szCs w:val="21"/>
                    </w:rPr>
                  </w:pPr>
                  <w:r>
                    <w:rPr>
                      <w:color w:val="000000" w:themeColor="text1"/>
                      <w:kern w:val="0"/>
                      <w:szCs w:val="21"/>
                    </w:rPr>
                    <w:t>凉水井</w:t>
                  </w:r>
                </w:p>
              </w:tc>
              <w:tc>
                <w:tcPr>
                  <w:tcW w:w="1559" w:type="dxa"/>
                  <w:vAlign w:val="center"/>
                </w:tcPr>
                <w:p>
                  <w:pPr>
                    <w:pStyle w:val="29"/>
                    <w:spacing w:line="360" w:lineRule="exact"/>
                    <w:rPr>
                      <w:color w:val="000000" w:themeColor="text1"/>
                      <w:kern w:val="0"/>
                      <w:szCs w:val="21"/>
                    </w:rPr>
                  </w:pPr>
                  <w:r>
                    <w:rPr>
                      <w:color w:val="000000" w:themeColor="text1"/>
                      <w:kern w:val="0"/>
                      <w:szCs w:val="21"/>
                    </w:rPr>
                    <w:t>103°07′55.33″</w:t>
                  </w:r>
                </w:p>
              </w:tc>
              <w:tc>
                <w:tcPr>
                  <w:tcW w:w="1417" w:type="dxa"/>
                  <w:vAlign w:val="center"/>
                </w:tcPr>
                <w:p>
                  <w:pPr>
                    <w:pStyle w:val="29"/>
                    <w:spacing w:line="360" w:lineRule="exact"/>
                    <w:rPr>
                      <w:color w:val="000000" w:themeColor="text1"/>
                      <w:kern w:val="0"/>
                      <w:szCs w:val="21"/>
                    </w:rPr>
                  </w:pPr>
                  <w:r>
                    <w:rPr>
                      <w:color w:val="000000" w:themeColor="text1"/>
                      <w:kern w:val="0"/>
                      <w:szCs w:val="21"/>
                    </w:rPr>
                    <w:t>26°11′00.11″</w:t>
                  </w:r>
                </w:p>
              </w:tc>
              <w:tc>
                <w:tcPr>
                  <w:tcW w:w="851" w:type="dxa"/>
                  <w:vAlign w:val="center"/>
                </w:tcPr>
                <w:p>
                  <w:pPr>
                    <w:pStyle w:val="29"/>
                    <w:spacing w:line="360" w:lineRule="exact"/>
                    <w:rPr>
                      <w:color w:val="000000" w:themeColor="text1"/>
                      <w:kern w:val="0"/>
                      <w:szCs w:val="21"/>
                    </w:rPr>
                  </w:pPr>
                  <w:r>
                    <w:rPr>
                      <w:color w:val="000000" w:themeColor="text1"/>
                      <w:kern w:val="0"/>
                      <w:szCs w:val="21"/>
                    </w:rPr>
                    <w:t>居民区</w:t>
                  </w:r>
                </w:p>
              </w:tc>
              <w:tc>
                <w:tcPr>
                  <w:tcW w:w="1276" w:type="dxa"/>
                  <w:vAlign w:val="center"/>
                </w:tcPr>
                <w:p>
                  <w:pPr>
                    <w:pStyle w:val="29"/>
                    <w:spacing w:line="360" w:lineRule="exact"/>
                    <w:rPr>
                      <w:color w:val="000000" w:themeColor="text1"/>
                      <w:kern w:val="0"/>
                      <w:szCs w:val="21"/>
                    </w:rPr>
                  </w:pPr>
                  <w:r>
                    <w:rPr>
                      <w:color w:val="000000" w:themeColor="text1"/>
                      <w:kern w:val="0"/>
                      <w:szCs w:val="21"/>
                    </w:rPr>
                    <w:t>34户/152人</w:t>
                  </w:r>
                </w:p>
              </w:tc>
              <w:tc>
                <w:tcPr>
                  <w:tcW w:w="850" w:type="dxa"/>
                  <w:vAlign w:val="center"/>
                </w:tcPr>
                <w:p>
                  <w:pPr>
                    <w:pStyle w:val="29"/>
                    <w:spacing w:line="360" w:lineRule="exact"/>
                    <w:rPr>
                      <w:color w:val="000000" w:themeColor="text1"/>
                      <w:kern w:val="0"/>
                      <w:szCs w:val="21"/>
                    </w:rPr>
                  </w:pPr>
                  <w:r>
                    <w:rPr>
                      <w:color w:val="000000" w:themeColor="text1"/>
                      <w:kern w:val="0"/>
                      <w:szCs w:val="21"/>
                    </w:rPr>
                    <w:t>二类区</w:t>
                  </w:r>
                </w:p>
              </w:tc>
              <w:tc>
                <w:tcPr>
                  <w:tcW w:w="851" w:type="dxa"/>
                  <w:vAlign w:val="center"/>
                </w:tcPr>
                <w:p>
                  <w:pPr>
                    <w:pStyle w:val="29"/>
                    <w:spacing w:line="360" w:lineRule="exact"/>
                    <w:rPr>
                      <w:color w:val="000000" w:themeColor="text1"/>
                      <w:kern w:val="0"/>
                      <w:szCs w:val="21"/>
                    </w:rPr>
                  </w:pPr>
                  <w:r>
                    <w:rPr>
                      <w:color w:val="000000" w:themeColor="text1"/>
                      <w:kern w:val="0"/>
                      <w:szCs w:val="21"/>
                    </w:rPr>
                    <w:t>东南侧</w:t>
                  </w:r>
                </w:p>
              </w:tc>
              <w:tc>
                <w:tcPr>
                  <w:tcW w:w="924" w:type="dxa"/>
                  <w:vAlign w:val="center"/>
                </w:tcPr>
                <w:p>
                  <w:pPr>
                    <w:pStyle w:val="29"/>
                    <w:spacing w:line="360" w:lineRule="exact"/>
                    <w:rPr>
                      <w:color w:val="000000" w:themeColor="text1"/>
                      <w:kern w:val="0"/>
                      <w:szCs w:val="21"/>
                    </w:rPr>
                  </w:pPr>
                  <w:r>
                    <w:rPr>
                      <w:color w:val="000000" w:themeColor="text1"/>
                      <w:kern w:val="0"/>
                      <w:szCs w:val="21"/>
                    </w:rPr>
                    <w:t>278m</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但项目所在区域属于小江的汇水范围，因此拟将小江列入该项目水环境保护目标。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92"/>
              <w:gridCol w:w="2835"/>
              <w:gridCol w:w="1418"/>
              <w:gridCol w:w="85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保护目标</w:t>
                  </w:r>
                </w:p>
              </w:tc>
              <w:tc>
                <w:tcPr>
                  <w:tcW w:w="2835"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坐标</w:t>
                  </w:r>
                </w:p>
              </w:tc>
              <w:tc>
                <w:tcPr>
                  <w:tcW w:w="1418"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与项目区的方位及距离</w:t>
                  </w:r>
                </w:p>
              </w:tc>
              <w:tc>
                <w:tcPr>
                  <w:tcW w:w="850"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高差</w:t>
                  </w:r>
                </w:p>
              </w:tc>
              <w:tc>
                <w:tcPr>
                  <w:tcW w:w="1775"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35" w:type="dxa"/>
                  <w:tcBorders>
                    <w:top w:val="single" w:color="auto" w:sz="4"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地表水</w:t>
                  </w:r>
                </w:p>
              </w:tc>
              <w:tc>
                <w:tcPr>
                  <w:tcW w:w="992"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bCs w:val="0"/>
                      <w:color w:val="000000" w:themeColor="text1"/>
                      <w:szCs w:val="24"/>
                    </w:rPr>
                    <w:t>小江</w:t>
                  </w:r>
                </w:p>
              </w:tc>
              <w:tc>
                <w:tcPr>
                  <w:tcW w:w="2835" w:type="dxa"/>
                  <w:tcBorders>
                    <w:top w:val="single" w:color="auto" w:sz="4" w:space="0"/>
                    <w:left w:val="single" w:color="auto" w:sz="4" w:space="0"/>
                    <w:right w:val="single" w:color="auto" w:sz="4" w:space="0"/>
                  </w:tcBorders>
                  <w:vAlign w:val="center"/>
                </w:tcPr>
                <w:p>
                  <w:pPr>
                    <w:pStyle w:val="29"/>
                    <w:spacing w:line="360" w:lineRule="exact"/>
                    <w:ind w:firstLine="210" w:firstLineChars="100"/>
                    <w:jc w:val="left"/>
                    <w:rPr>
                      <w:color w:val="000000" w:themeColor="text1"/>
                      <w:szCs w:val="21"/>
                    </w:rPr>
                  </w:pPr>
                  <w:r>
                    <w:rPr>
                      <w:color w:val="000000" w:themeColor="text1"/>
                      <w:szCs w:val="21"/>
                    </w:rPr>
                    <w:t>起点：东经103°7′13.06″，北纬26°9′46.39″</w:t>
                  </w:r>
                </w:p>
                <w:p>
                  <w:pPr>
                    <w:pStyle w:val="29"/>
                    <w:spacing w:line="360" w:lineRule="exact"/>
                    <w:ind w:firstLine="210" w:firstLineChars="100"/>
                    <w:jc w:val="left"/>
                    <w:rPr>
                      <w:color w:val="000000" w:themeColor="text1"/>
                      <w:szCs w:val="21"/>
                    </w:rPr>
                  </w:pPr>
                  <w:r>
                    <w:rPr>
                      <w:color w:val="000000" w:themeColor="text1"/>
                      <w:szCs w:val="21"/>
                    </w:rPr>
                    <w:t>终点：东经103°6′27.79″，北纬26°11′14.66″</w:t>
                  </w:r>
                </w:p>
              </w:tc>
              <w:tc>
                <w:tcPr>
                  <w:tcW w:w="1418"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bCs w:val="0"/>
                      <w:color w:val="000000" w:themeColor="text1"/>
                      <w:szCs w:val="24"/>
                    </w:rPr>
                    <w:t>西侧1872m</w:t>
                  </w:r>
                </w:p>
              </w:tc>
              <w:tc>
                <w:tcPr>
                  <w:tcW w:w="850"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438m</w:t>
                  </w:r>
                </w:p>
              </w:tc>
              <w:tc>
                <w:tcPr>
                  <w:tcW w:w="1775" w:type="dxa"/>
                  <w:tcBorders>
                    <w:top w:val="single" w:color="auto" w:sz="4" w:space="0"/>
                    <w:left w:val="single" w:color="auto" w:sz="4" w:space="0"/>
                    <w:right w:val="single" w:color="auto" w:sz="4" w:space="0"/>
                  </w:tcBorders>
                  <w:vAlign w:val="center"/>
                </w:tcPr>
                <w:p>
                  <w:pPr>
                    <w:pStyle w:val="29"/>
                    <w:spacing w:line="360" w:lineRule="exact"/>
                    <w:ind w:firstLine="210" w:firstLineChars="100"/>
                    <w:jc w:val="left"/>
                    <w:rPr>
                      <w:color w:val="000000" w:themeColor="text1"/>
                      <w:szCs w:val="21"/>
                    </w:rPr>
                  </w:pPr>
                  <w:r>
                    <w:rPr>
                      <w:color w:val="000000" w:themeColor="text1"/>
                      <w:szCs w:val="21"/>
                    </w:rPr>
                    <w:t>《地表水环境质量标准》（GB</w:t>
                  </w:r>
                  <w:r>
                    <w:rPr>
                      <w:rFonts w:hint="eastAsia"/>
                      <w:color w:val="000000" w:themeColor="text1"/>
                      <w:szCs w:val="21"/>
                      <w:lang w:eastAsia="zh-CN"/>
                    </w:rPr>
                    <w:t>****</w:t>
                  </w:r>
                  <w:r>
                    <w:rPr>
                      <w:color w:val="000000" w:themeColor="text1"/>
                      <w:szCs w:val="21"/>
                    </w:rPr>
                    <w:t>-2002）III类标准</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3.2.3地下水环境保护目标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项目位于云南东川产业园区四方地片区昆明旭鑫环保科技有限公司厂区，该项目选址不涉及到地下水集中式饮用水水源和热水、矿泉水、温泉等特殊地下水资源。</w:t>
            </w:r>
          </w:p>
          <w:p>
            <w:pPr>
              <w:pStyle w:val="37"/>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根据《建设项目环境影响报告表编制技术指南》（污染影响类）（试行）的要求，该项目声环境评价范围为50m，根据调查，50m评价范围内无声环境保护目标。</w:t>
            </w:r>
          </w:p>
          <w:p>
            <w:pPr>
              <w:pStyle w:val="37"/>
              <w:ind w:firstLine="482"/>
              <w:rPr>
                <w:rFonts w:eastAsiaTheme="minorEastAsia"/>
                <w:b/>
                <w:color w:val="000000" w:themeColor="text1"/>
                <w:szCs w:val="24"/>
              </w:rPr>
            </w:pPr>
            <w:r>
              <w:rPr>
                <w:rFonts w:eastAsiaTheme="minorEastAsia"/>
                <w:b/>
                <w:color w:val="000000" w:themeColor="text1"/>
                <w:szCs w:val="24"/>
              </w:rPr>
              <w:t>3.2.5生态环境保护目标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项目位于云南东川产业园区四方地片区昆明旭鑫环保科技有限公司厂区，属于工业园区，且不新增用地，因此不设置生态环境保护目标。</w:t>
            </w: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hint="eastAsia" w:eastAsiaTheme="minorEastAsia"/>
                <w:color w:val="000000" w:themeColor="text1"/>
                <w:szCs w:val="24"/>
              </w:rPr>
            </w:pPr>
          </w:p>
          <w:p>
            <w:pPr>
              <w:pStyle w:val="37"/>
              <w:ind w:firstLine="480"/>
              <w:rPr>
                <w:rFonts w:hint="eastAsia" w:eastAsiaTheme="minorEastAsia"/>
                <w:color w:val="000000" w:themeColor="text1"/>
                <w:szCs w:val="24"/>
              </w:rPr>
            </w:pPr>
          </w:p>
          <w:p>
            <w:pPr>
              <w:pStyle w:val="37"/>
              <w:ind w:firstLine="480"/>
              <w:rPr>
                <w:rFonts w:hint="eastAsia" w:eastAsiaTheme="minorEastAsia"/>
                <w:color w:val="000000" w:themeColor="text1"/>
                <w:szCs w:val="24"/>
              </w:rPr>
            </w:pPr>
          </w:p>
          <w:p>
            <w:pPr>
              <w:pStyle w:val="37"/>
              <w:ind w:firstLine="480"/>
              <w:rPr>
                <w:rFonts w:hint="eastAsia" w:eastAsiaTheme="minorEastAsia"/>
                <w:color w:val="000000" w:themeColor="text1"/>
                <w:szCs w:val="24"/>
              </w:rPr>
            </w:pPr>
          </w:p>
          <w:p>
            <w:pPr>
              <w:pStyle w:val="37"/>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37"/>
              <w:ind w:firstLine="482"/>
              <w:rPr>
                <w:rFonts w:eastAsiaTheme="minorEastAsia"/>
                <w:b/>
                <w:color w:val="000000" w:themeColor="text1"/>
                <w:szCs w:val="24"/>
              </w:rPr>
            </w:pPr>
            <w:r>
              <w:rPr>
                <w:rFonts w:eastAsiaTheme="minorEastAsia"/>
                <w:b/>
                <w:color w:val="000000" w:themeColor="text1"/>
                <w:szCs w:val="24"/>
              </w:rPr>
              <w:t>3.3.1 施工期污染物排放控制标准</w:t>
            </w:r>
          </w:p>
          <w:p>
            <w:pPr>
              <w:pStyle w:val="37"/>
              <w:ind w:firstLine="361" w:firstLineChars="150"/>
              <w:rPr>
                <w:rFonts w:eastAsiaTheme="minorEastAsia"/>
                <w:b/>
                <w:color w:val="000000" w:themeColor="text1"/>
              </w:rPr>
            </w:pPr>
            <w:r>
              <w:rPr>
                <w:rFonts w:eastAsiaTheme="minorEastAsia"/>
                <w:b/>
                <w:color w:val="000000" w:themeColor="text1"/>
              </w:rPr>
              <w:t>（1）施工期废气排放标准</w:t>
            </w:r>
          </w:p>
          <w:p>
            <w:pPr>
              <w:pStyle w:val="37"/>
              <w:ind w:firstLine="480"/>
              <w:rPr>
                <w:color w:val="000000" w:themeColor="text1"/>
                <w:szCs w:val="24"/>
              </w:rPr>
            </w:pPr>
            <w:r>
              <w:rPr>
                <w:color w:val="000000" w:themeColor="text1"/>
                <w:szCs w:val="24"/>
              </w:rPr>
              <w:t>施工期扬尘执行《大气污染物综合排放标准》（GB</w:t>
            </w:r>
            <w:r>
              <w:rPr>
                <w:rFonts w:hint="eastAsia"/>
                <w:color w:val="000000" w:themeColor="text1"/>
                <w:szCs w:val="24"/>
                <w:lang w:eastAsia="zh-CN"/>
              </w:rPr>
              <w:t>*****</w:t>
            </w:r>
            <w:r>
              <w:rPr>
                <w:color w:val="000000" w:themeColor="text1"/>
                <w:szCs w:val="24"/>
              </w:rPr>
              <w:t>-1996）中表2无组织排放监控浓度限值，周界外浓度最高点≤1.0mg/m³。</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（2）施工期废水排放标准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根据项目特点，该项目施工量较小，施工过程使用的少量施工用水全部自然蒸发，无废水产生。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（3）施工期噪声排放标准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建筑施工场界噪声标准限值单位：dB（A）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15" w:type="dxa"/>
                  <w:vMerge w:val="restart"/>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29"/>
                    <w:spacing w:line="360" w:lineRule="exact"/>
                    <w:ind w:left="11"/>
                    <w:rPr>
                      <w:rFonts w:eastAsiaTheme="minorEastAsia"/>
                      <w:color w:val="000000" w:themeColor="text1"/>
                      <w:szCs w:val="21"/>
                    </w:rPr>
                  </w:pPr>
                </w:p>
              </w:tc>
              <w:tc>
                <w:tcPr>
                  <w:tcW w:w="2977"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55</w:t>
                  </w:r>
                </w:p>
              </w:tc>
            </w:tr>
          </w:tbl>
          <w:p>
            <w:pPr>
              <w:pStyle w:val="37"/>
              <w:ind w:firstLine="482"/>
              <w:rPr>
                <w:rFonts w:eastAsiaTheme="minorEastAsia"/>
                <w:b/>
                <w:color w:val="000000" w:themeColor="text1"/>
                <w:szCs w:val="24"/>
              </w:rPr>
            </w:pPr>
            <w:r>
              <w:rPr>
                <w:rFonts w:eastAsiaTheme="minorEastAsia"/>
                <w:b/>
                <w:color w:val="000000" w:themeColor="text1"/>
                <w:szCs w:val="24"/>
              </w:rPr>
              <w:t>3.3.3 运营期污染物排放控制标准</w:t>
            </w:r>
          </w:p>
          <w:p>
            <w:pPr>
              <w:pStyle w:val="37"/>
              <w:ind w:firstLine="361" w:firstLineChars="150"/>
              <w:rPr>
                <w:rFonts w:eastAsiaTheme="minorEastAsia"/>
                <w:b/>
                <w:color w:val="000000" w:themeColor="text1"/>
              </w:rPr>
            </w:pPr>
            <w:r>
              <w:rPr>
                <w:rFonts w:eastAsiaTheme="minorEastAsia"/>
                <w:b/>
                <w:color w:val="000000" w:themeColor="text1"/>
              </w:rPr>
              <w:t>（1）运营期废气排放标准</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①该项目废气执行标准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产生的主要废气污染物为有机废气（非甲烷总烃）、酸性废气（HCl）、恶臭废气（氨、硫化氢和臭气浓度）。小微企业危险废物贮存库区产生的废气，通过1套负压收集系统对其收集后，拟设置1套废气处理装置对其进行处理，处理后通过1根Φ0.68、高15m的排气筒（DA001）外排。执行标准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有机废气（非甲烷总烃）、酸性废气（HCl）执行标准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有机废气（非甲烷总烃）、酸性废气（HCl）执行《大气污染物综合排放标准》（GB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-1996）表2 标准限值。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具体如下表所示。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污染源大气污染物排放限值</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1276"/>
              <w:gridCol w:w="1559"/>
              <w:gridCol w:w="1559"/>
              <w:gridCol w:w="993"/>
              <w:gridCol w:w="1275"/>
              <w:gridCol w:w="1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restart"/>
                  <w:vAlign w:val="center"/>
                </w:tcPr>
                <w:p>
                  <w:pPr>
                    <w:pStyle w:val="29"/>
                    <w:spacing w:line="360" w:lineRule="exact"/>
                    <w:rPr>
                      <w:color w:val="000000" w:themeColor="text1"/>
                      <w:szCs w:val="21"/>
                    </w:rPr>
                  </w:pPr>
                  <w:r>
                    <w:rPr>
                      <w:color w:val="000000" w:themeColor="text1"/>
                      <w:szCs w:val="21"/>
                    </w:rPr>
                    <w:t>序号</w:t>
                  </w:r>
                </w:p>
              </w:tc>
              <w:tc>
                <w:tcPr>
                  <w:tcW w:w="1276" w:type="dxa"/>
                  <w:vMerge w:val="restart"/>
                  <w:vAlign w:val="center"/>
                </w:tcPr>
                <w:p>
                  <w:pPr>
                    <w:pStyle w:val="29"/>
                    <w:spacing w:line="360" w:lineRule="exact"/>
                    <w:rPr>
                      <w:color w:val="000000" w:themeColor="text1"/>
                      <w:szCs w:val="21"/>
                    </w:rPr>
                  </w:pPr>
                  <w:r>
                    <w:rPr>
                      <w:color w:val="000000" w:themeColor="text1"/>
                      <w:szCs w:val="21"/>
                    </w:rPr>
                    <w:t>污染物</w:t>
                  </w:r>
                </w:p>
              </w:tc>
              <w:tc>
                <w:tcPr>
                  <w:tcW w:w="1559" w:type="dxa"/>
                  <w:vMerge w:val="restart"/>
                  <w:vAlign w:val="center"/>
                </w:tcPr>
                <w:p>
                  <w:pPr>
                    <w:pStyle w:val="29"/>
                    <w:spacing w:line="360" w:lineRule="exact"/>
                    <w:rPr>
                      <w:color w:val="000000" w:themeColor="text1"/>
                      <w:szCs w:val="21"/>
                    </w:rPr>
                  </w:pPr>
                  <w:r>
                    <w:rPr>
                      <w:color w:val="000000" w:themeColor="text1"/>
                      <w:szCs w:val="21"/>
                    </w:rPr>
                    <w:t>最高允许排放浓度mg/m³</w:t>
                  </w:r>
                </w:p>
              </w:tc>
              <w:tc>
                <w:tcPr>
                  <w:tcW w:w="2552" w:type="dxa"/>
                  <w:gridSpan w:val="2"/>
                  <w:vAlign w:val="center"/>
                </w:tcPr>
                <w:p>
                  <w:pPr>
                    <w:pStyle w:val="29"/>
                    <w:spacing w:line="360" w:lineRule="exact"/>
                    <w:rPr>
                      <w:color w:val="000000" w:themeColor="text1"/>
                      <w:szCs w:val="21"/>
                    </w:rPr>
                  </w:pPr>
                  <w:r>
                    <w:rPr>
                      <w:color w:val="000000" w:themeColor="text1"/>
                      <w:szCs w:val="21"/>
                    </w:rPr>
                    <w:t>最高允许排放速率，kg/h</w:t>
                  </w:r>
                </w:p>
              </w:tc>
              <w:tc>
                <w:tcPr>
                  <w:tcW w:w="2625" w:type="dxa"/>
                  <w:gridSpan w:val="2"/>
                  <w:vAlign w:val="center"/>
                </w:tcPr>
                <w:p>
                  <w:pPr>
                    <w:pStyle w:val="29"/>
                    <w:spacing w:line="360" w:lineRule="exact"/>
                    <w:rPr>
                      <w:color w:val="000000" w:themeColor="text1"/>
                      <w:szCs w:val="21"/>
                    </w:rPr>
                  </w:pPr>
                  <w:r>
                    <w:rPr>
                      <w:color w:val="000000" w:themeColor="text1"/>
                      <w:szCs w:val="21"/>
                    </w:rPr>
                    <w:t>无组织排放监控浓度限制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continue"/>
                  <w:vAlign w:val="center"/>
                </w:tcPr>
                <w:p>
                  <w:pPr>
                    <w:pStyle w:val="29"/>
                    <w:spacing w:line="360" w:lineRule="exact"/>
                    <w:rPr>
                      <w:color w:val="000000" w:themeColor="text1"/>
                      <w:szCs w:val="21"/>
                    </w:rPr>
                  </w:pPr>
                </w:p>
              </w:tc>
              <w:tc>
                <w:tcPr>
                  <w:tcW w:w="1276" w:type="dxa"/>
                  <w:vMerge w:val="continue"/>
                  <w:vAlign w:val="center"/>
                </w:tcPr>
                <w:p>
                  <w:pPr>
                    <w:pStyle w:val="29"/>
                    <w:spacing w:line="360" w:lineRule="exact"/>
                    <w:rPr>
                      <w:color w:val="000000" w:themeColor="text1"/>
                      <w:szCs w:val="21"/>
                    </w:rPr>
                  </w:pPr>
                </w:p>
              </w:tc>
              <w:tc>
                <w:tcPr>
                  <w:tcW w:w="1559" w:type="dxa"/>
                  <w:vMerge w:val="continue"/>
                  <w:vAlign w:val="center"/>
                </w:tcPr>
                <w:p>
                  <w:pPr>
                    <w:pStyle w:val="29"/>
                    <w:spacing w:line="360" w:lineRule="exact"/>
                    <w:rPr>
                      <w:color w:val="000000" w:themeColor="text1"/>
                      <w:szCs w:val="21"/>
                    </w:rPr>
                  </w:pPr>
                </w:p>
              </w:tc>
              <w:tc>
                <w:tcPr>
                  <w:tcW w:w="1559" w:type="dxa"/>
                  <w:vAlign w:val="center"/>
                </w:tcPr>
                <w:p>
                  <w:pPr>
                    <w:pStyle w:val="29"/>
                    <w:spacing w:line="360" w:lineRule="exact"/>
                    <w:rPr>
                      <w:color w:val="000000" w:themeColor="text1"/>
                      <w:szCs w:val="21"/>
                    </w:rPr>
                  </w:pPr>
                  <w:r>
                    <w:rPr>
                      <w:color w:val="000000" w:themeColor="text1"/>
                      <w:szCs w:val="21"/>
                    </w:rPr>
                    <w:t>排气筒高度m</w:t>
                  </w:r>
                </w:p>
              </w:tc>
              <w:tc>
                <w:tcPr>
                  <w:tcW w:w="993" w:type="dxa"/>
                  <w:vAlign w:val="center"/>
                </w:tcPr>
                <w:p>
                  <w:pPr>
                    <w:pStyle w:val="29"/>
                    <w:spacing w:line="360" w:lineRule="exact"/>
                    <w:rPr>
                      <w:color w:val="000000" w:themeColor="text1"/>
                      <w:szCs w:val="21"/>
                    </w:rPr>
                  </w:pPr>
                  <w:r>
                    <w:rPr>
                      <w:color w:val="000000" w:themeColor="text1"/>
                      <w:szCs w:val="21"/>
                    </w:rPr>
                    <w:t>二级</w:t>
                  </w:r>
                </w:p>
              </w:tc>
              <w:tc>
                <w:tcPr>
                  <w:tcW w:w="1275" w:type="dxa"/>
                  <w:vAlign w:val="center"/>
                </w:tcPr>
                <w:p>
                  <w:pPr>
                    <w:pStyle w:val="29"/>
                    <w:spacing w:line="360" w:lineRule="exact"/>
                    <w:rPr>
                      <w:color w:val="000000" w:themeColor="text1"/>
                      <w:szCs w:val="21"/>
                    </w:rPr>
                  </w:pPr>
                  <w:r>
                    <w:rPr>
                      <w:color w:val="000000" w:themeColor="text1"/>
                      <w:szCs w:val="21"/>
                    </w:rPr>
                    <w:t>监控点</w:t>
                  </w:r>
                </w:p>
              </w:tc>
              <w:tc>
                <w:tcPr>
                  <w:tcW w:w="1350" w:type="dxa"/>
                  <w:vAlign w:val="center"/>
                </w:tcPr>
                <w:p>
                  <w:pPr>
                    <w:pStyle w:val="29"/>
                    <w:spacing w:line="360" w:lineRule="exact"/>
                    <w:rPr>
                      <w:color w:val="000000" w:themeColor="text1"/>
                      <w:szCs w:val="21"/>
                    </w:rPr>
                  </w:pPr>
                  <w:r>
                    <w:rPr>
                      <w:color w:val="000000" w:themeColor="text1"/>
                      <w:szCs w:val="21"/>
                    </w:rPr>
                    <w:t>浓度mg/m³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color w:val="000000" w:themeColor="text1"/>
                      <w:szCs w:val="21"/>
                    </w:rPr>
                  </w:pPr>
                  <w:r>
                    <w:rPr>
                      <w:color w:val="000000" w:themeColor="text1"/>
                      <w:szCs w:val="21"/>
                    </w:rPr>
                    <w:t>1</w:t>
                  </w:r>
                </w:p>
              </w:tc>
              <w:tc>
                <w:tcPr>
                  <w:tcW w:w="1276" w:type="dxa"/>
                  <w:vAlign w:val="center"/>
                </w:tcPr>
                <w:p>
                  <w:pPr>
                    <w:pStyle w:val="29"/>
                    <w:spacing w:line="360" w:lineRule="exact"/>
                    <w:rPr>
                      <w:color w:val="000000" w:themeColor="text1"/>
                      <w:szCs w:val="21"/>
                    </w:rPr>
                  </w:pPr>
                  <w:r>
                    <w:rPr>
                      <w:color w:val="000000" w:themeColor="text1"/>
                      <w:szCs w:val="21"/>
                    </w:rPr>
                    <w:t>非甲烷总烃</w:t>
                  </w:r>
                </w:p>
              </w:tc>
              <w:tc>
                <w:tcPr>
                  <w:tcW w:w="1559" w:type="dxa"/>
                  <w:vAlign w:val="center"/>
                </w:tcPr>
                <w:p>
                  <w:pPr>
                    <w:pStyle w:val="29"/>
                    <w:spacing w:line="360" w:lineRule="exact"/>
                    <w:rPr>
                      <w:color w:val="000000" w:themeColor="text1"/>
                      <w:szCs w:val="21"/>
                    </w:rPr>
                  </w:pPr>
                  <w:r>
                    <w:rPr>
                      <w:color w:val="000000" w:themeColor="text1"/>
                      <w:szCs w:val="21"/>
                    </w:rPr>
                    <w:t>120</w:t>
                  </w:r>
                </w:p>
              </w:tc>
              <w:tc>
                <w:tcPr>
                  <w:tcW w:w="1559" w:type="dxa"/>
                  <w:vMerge w:val="restart"/>
                  <w:vAlign w:val="center"/>
                </w:tcPr>
                <w:p>
                  <w:pPr>
                    <w:pStyle w:val="29"/>
                    <w:spacing w:line="360" w:lineRule="exact"/>
                    <w:rPr>
                      <w:color w:val="000000" w:themeColor="text1"/>
                      <w:szCs w:val="21"/>
                    </w:rPr>
                  </w:pPr>
                  <w:r>
                    <w:rPr>
                      <w:color w:val="000000" w:themeColor="text1"/>
                      <w:szCs w:val="21"/>
                    </w:rPr>
                    <w:t>15</w:t>
                  </w:r>
                </w:p>
              </w:tc>
              <w:tc>
                <w:tcPr>
                  <w:tcW w:w="993" w:type="dxa"/>
                  <w:vAlign w:val="center"/>
                </w:tcPr>
                <w:p>
                  <w:pPr>
                    <w:pStyle w:val="29"/>
                    <w:spacing w:line="360" w:lineRule="exact"/>
                    <w:rPr>
                      <w:color w:val="000000" w:themeColor="text1"/>
                      <w:szCs w:val="21"/>
                    </w:rPr>
                  </w:pPr>
                  <w:r>
                    <w:rPr>
                      <w:color w:val="000000" w:themeColor="text1"/>
                      <w:szCs w:val="21"/>
                    </w:rPr>
                    <w:t>10</w:t>
                  </w:r>
                </w:p>
              </w:tc>
              <w:tc>
                <w:tcPr>
                  <w:tcW w:w="1275" w:type="dxa"/>
                  <w:vMerge w:val="restart"/>
                  <w:vAlign w:val="center"/>
                </w:tcPr>
                <w:p>
                  <w:pPr>
                    <w:pStyle w:val="29"/>
                    <w:spacing w:line="360" w:lineRule="exact"/>
                    <w:rPr>
                      <w:color w:val="000000" w:themeColor="text1"/>
                      <w:szCs w:val="21"/>
                    </w:rPr>
                  </w:pPr>
                  <w:r>
                    <w:rPr>
                      <w:color w:val="000000" w:themeColor="text1"/>
                      <w:szCs w:val="21"/>
                    </w:rPr>
                    <w:t>周界外浓度最高点</w:t>
                  </w:r>
                </w:p>
              </w:tc>
              <w:tc>
                <w:tcPr>
                  <w:tcW w:w="1350" w:type="dxa"/>
                  <w:vAlign w:val="center"/>
                </w:tcPr>
                <w:p>
                  <w:pPr>
                    <w:pStyle w:val="29"/>
                    <w:spacing w:line="360" w:lineRule="exact"/>
                    <w:rPr>
                      <w:color w:val="000000" w:themeColor="text1"/>
                      <w:szCs w:val="21"/>
                    </w:rPr>
                  </w:pPr>
                  <w:r>
                    <w:rPr>
                      <w:color w:val="000000" w:themeColor="text1"/>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color w:val="000000" w:themeColor="text1"/>
                      <w:szCs w:val="21"/>
                    </w:rPr>
                  </w:pPr>
                  <w:r>
                    <w:rPr>
                      <w:color w:val="000000" w:themeColor="text1"/>
                      <w:szCs w:val="21"/>
                    </w:rPr>
                    <w:t>2</w:t>
                  </w:r>
                </w:p>
              </w:tc>
              <w:tc>
                <w:tcPr>
                  <w:tcW w:w="1276" w:type="dxa"/>
                  <w:vAlign w:val="center"/>
                </w:tcPr>
                <w:p>
                  <w:pPr>
                    <w:pStyle w:val="29"/>
                    <w:spacing w:line="360" w:lineRule="exact"/>
                    <w:rPr>
                      <w:color w:val="000000" w:themeColor="text1"/>
                      <w:szCs w:val="21"/>
                    </w:rPr>
                  </w:pPr>
                  <w:r>
                    <w:rPr>
                      <w:color w:val="000000" w:themeColor="text1"/>
                      <w:szCs w:val="21"/>
                    </w:rPr>
                    <w:t>HCl</w:t>
                  </w:r>
                </w:p>
              </w:tc>
              <w:tc>
                <w:tcPr>
                  <w:tcW w:w="1559" w:type="dxa"/>
                  <w:vAlign w:val="center"/>
                </w:tcPr>
                <w:p>
                  <w:pPr>
                    <w:pStyle w:val="29"/>
                    <w:spacing w:line="360" w:lineRule="exact"/>
                    <w:rPr>
                      <w:color w:val="000000" w:themeColor="text1"/>
                      <w:szCs w:val="21"/>
                    </w:rPr>
                  </w:pPr>
                  <w:r>
                    <w:rPr>
                      <w:color w:val="000000" w:themeColor="text1"/>
                      <w:szCs w:val="21"/>
                    </w:rPr>
                    <w:t>100</w:t>
                  </w:r>
                </w:p>
              </w:tc>
              <w:tc>
                <w:tcPr>
                  <w:tcW w:w="1559" w:type="dxa"/>
                  <w:vMerge w:val="continue"/>
                  <w:vAlign w:val="center"/>
                </w:tcPr>
                <w:p>
                  <w:pPr>
                    <w:pStyle w:val="29"/>
                    <w:spacing w:line="360" w:lineRule="exact"/>
                    <w:rPr>
                      <w:color w:val="000000" w:themeColor="text1"/>
                      <w:szCs w:val="21"/>
                    </w:rPr>
                  </w:pPr>
                </w:p>
              </w:tc>
              <w:tc>
                <w:tcPr>
                  <w:tcW w:w="993" w:type="dxa"/>
                  <w:vAlign w:val="center"/>
                </w:tcPr>
                <w:p>
                  <w:pPr>
                    <w:pStyle w:val="29"/>
                    <w:spacing w:line="360" w:lineRule="exact"/>
                    <w:rPr>
                      <w:color w:val="000000" w:themeColor="text1"/>
                      <w:szCs w:val="21"/>
                    </w:rPr>
                  </w:pPr>
                  <w:r>
                    <w:rPr>
                      <w:color w:val="000000" w:themeColor="text1"/>
                      <w:szCs w:val="21"/>
                    </w:rPr>
                    <w:t>0.26</w:t>
                  </w:r>
                </w:p>
              </w:tc>
              <w:tc>
                <w:tcPr>
                  <w:tcW w:w="1275" w:type="dxa"/>
                  <w:vMerge w:val="continue"/>
                  <w:vAlign w:val="center"/>
                </w:tcPr>
                <w:p>
                  <w:pPr>
                    <w:pStyle w:val="29"/>
                    <w:spacing w:line="360" w:lineRule="exact"/>
                    <w:rPr>
                      <w:color w:val="000000" w:themeColor="text1"/>
                      <w:szCs w:val="21"/>
                    </w:rPr>
                  </w:pPr>
                </w:p>
              </w:tc>
              <w:tc>
                <w:tcPr>
                  <w:tcW w:w="1350" w:type="dxa"/>
                  <w:vAlign w:val="center"/>
                </w:tcPr>
                <w:p>
                  <w:pPr>
                    <w:pStyle w:val="29"/>
                    <w:spacing w:line="360" w:lineRule="exact"/>
                    <w:rPr>
                      <w:color w:val="000000" w:themeColor="text1"/>
                      <w:szCs w:val="21"/>
                    </w:rPr>
                  </w:pPr>
                  <w:r>
                    <w:rPr>
                      <w:color w:val="000000" w:themeColor="text1"/>
                      <w:szCs w:val="21"/>
                    </w:rPr>
                    <w:t>0.20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恶臭废气（氨、硫化氢和臭气浓度）执行标准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恶臭废气（氨、硫化氢和臭气浓度）执行《恶臭污染物排放标准》（GB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-93）表1和表2标准限值。具体如下表所示。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恶臭污染物排放标准值及厂界标准值</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
              <w:gridCol w:w="1512"/>
              <w:gridCol w:w="1848"/>
              <w:gridCol w:w="1854"/>
              <w:gridCol w:w="2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Merge w:val="restart"/>
                  <w:vAlign w:val="center"/>
                </w:tcPr>
                <w:p>
                  <w:pPr>
                    <w:pStyle w:val="29"/>
                    <w:spacing w:line="360" w:lineRule="exact"/>
                    <w:rPr>
                      <w:color w:val="000000" w:themeColor="text1"/>
                      <w:szCs w:val="21"/>
                    </w:rPr>
                  </w:pPr>
                  <w:r>
                    <w:rPr>
                      <w:color w:val="000000" w:themeColor="text1"/>
                      <w:szCs w:val="21"/>
                    </w:rPr>
                    <w:t>序号</w:t>
                  </w:r>
                </w:p>
              </w:tc>
              <w:tc>
                <w:tcPr>
                  <w:tcW w:w="1275"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控制项目</w:t>
                  </w:r>
                </w:p>
              </w:tc>
              <w:tc>
                <w:tcPr>
                  <w:tcW w:w="3121" w:type="dxa"/>
                  <w:gridSpan w:val="2"/>
                  <w:tcBorders>
                    <w:left w:val="single" w:color="auto" w:sz="4" w:space="0"/>
                  </w:tcBorders>
                  <w:vAlign w:val="center"/>
                </w:tcPr>
                <w:p>
                  <w:pPr>
                    <w:pStyle w:val="29"/>
                    <w:spacing w:line="360" w:lineRule="exact"/>
                    <w:rPr>
                      <w:color w:val="000000" w:themeColor="text1"/>
                      <w:szCs w:val="21"/>
                    </w:rPr>
                  </w:pPr>
                  <w:r>
                    <w:rPr>
                      <w:color w:val="000000" w:themeColor="text1"/>
                      <w:szCs w:val="21"/>
                    </w:rPr>
                    <w:t>污染物排放标准值</w:t>
                  </w:r>
                </w:p>
              </w:tc>
              <w:tc>
                <w:tcPr>
                  <w:tcW w:w="2265"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污染物厂界标准值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Merge w:val="continue"/>
                  <w:vAlign w:val="center"/>
                </w:tcPr>
                <w:p>
                  <w:pPr>
                    <w:pStyle w:val="29"/>
                    <w:spacing w:line="360" w:lineRule="exact"/>
                    <w:rPr>
                      <w:color w:val="000000" w:themeColor="text1"/>
                      <w:szCs w:val="21"/>
                    </w:rPr>
                  </w:pPr>
                </w:p>
              </w:tc>
              <w:tc>
                <w:tcPr>
                  <w:tcW w:w="1275" w:type="dxa"/>
                  <w:vMerge w:val="continue"/>
                  <w:tcBorders>
                    <w:right w:val="single" w:color="auto" w:sz="4" w:space="0"/>
                  </w:tcBorders>
                  <w:vAlign w:val="center"/>
                </w:tcPr>
                <w:p>
                  <w:pPr>
                    <w:pStyle w:val="29"/>
                    <w:spacing w:line="360" w:lineRule="exact"/>
                    <w:rPr>
                      <w:color w:val="000000" w:themeColor="text1"/>
                      <w:szCs w:val="21"/>
                    </w:rPr>
                  </w:pPr>
                </w:p>
              </w:tc>
              <w:tc>
                <w:tcPr>
                  <w:tcW w:w="155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排气筒高度，m</w:t>
                  </w:r>
                </w:p>
              </w:tc>
              <w:tc>
                <w:tcPr>
                  <w:tcW w:w="1563" w:type="dxa"/>
                  <w:vAlign w:val="center"/>
                </w:tcPr>
                <w:p>
                  <w:pPr>
                    <w:pStyle w:val="29"/>
                    <w:spacing w:line="360" w:lineRule="exact"/>
                    <w:rPr>
                      <w:color w:val="000000" w:themeColor="text1"/>
                      <w:szCs w:val="21"/>
                    </w:rPr>
                  </w:pPr>
                  <w:r>
                    <w:rPr>
                      <w:color w:val="000000" w:themeColor="text1"/>
                      <w:szCs w:val="21"/>
                    </w:rPr>
                    <w:t>排放量，kg/h</w:t>
                  </w:r>
                </w:p>
              </w:tc>
              <w:tc>
                <w:tcPr>
                  <w:tcW w:w="2265"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二级（新扩改建）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Align w:val="center"/>
                </w:tcPr>
                <w:p>
                  <w:pPr>
                    <w:pStyle w:val="29"/>
                    <w:spacing w:line="360" w:lineRule="exact"/>
                    <w:rPr>
                      <w:color w:val="000000" w:themeColor="text1"/>
                      <w:szCs w:val="21"/>
                    </w:rPr>
                  </w:pPr>
                  <w:r>
                    <w:rPr>
                      <w:color w:val="000000" w:themeColor="text1"/>
                      <w:szCs w:val="21"/>
                    </w:rPr>
                    <w:t>1</w:t>
                  </w:r>
                </w:p>
              </w:tc>
              <w:tc>
                <w:tcPr>
                  <w:tcW w:w="1275" w:type="dxa"/>
                  <w:vAlign w:val="center"/>
                </w:tcPr>
                <w:p>
                  <w:pPr>
                    <w:pStyle w:val="29"/>
                    <w:spacing w:line="360" w:lineRule="exact"/>
                    <w:rPr>
                      <w:color w:val="000000" w:themeColor="text1"/>
                      <w:szCs w:val="21"/>
                    </w:rPr>
                  </w:pPr>
                  <w:r>
                    <w:rPr>
                      <w:color w:val="000000" w:themeColor="text1"/>
                      <w:szCs w:val="21"/>
                    </w:rPr>
                    <w:t>硫化氢</w:t>
                  </w:r>
                </w:p>
              </w:tc>
              <w:tc>
                <w:tcPr>
                  <w:tcW w:w="1558" w:type="dxa"/>
                  <w:vMerge w:val="restart"/>
                  <w:vAlign w:val="center"/>
                </w:tcPr>
                <w:p>
                  <w:pPr>
                    <w:pStyle w:val="29"/>
                    <w:spacing w:line="360" w:lineRule="exact"/>
                    <w:rPr>
                      <w:color w:val="000000" w:themeColor="text1"/>
                      <w:szCs w:val="21"/>
                    </w:rPr>
                  </w:pPr>
                  <w:r>
                    <w:rPr>
                      <w:color w:val="000000" w:themeColor="text1"/>
                      <w:szCs w:val="21"/>
                    </w:rPr>
                    <w:t>15</w:t>
                  </w:r>
                </w:p>
              </w:tc>
              <w:tc>
                <w:tcPr>
                  <w:tcW w:w="1563" w:type="dxa"/>
                  <w:vAlign w:val="center"/>
                </w:tcPr>
                <w:p>
                  <w:pPr>
                    <w:pStyle w:val="29"/>
                    <w:spacing w:line="360" w:lineRule="exact"/>
                    <w:rPr>
                      <w:color w:val="000000" w:themeColor="text1"/>
                      <w:szCs w:val="21"/>
                    </w:rPr>
                  </w:pPr>
                  <w:r>
                    <w:rPr>
                      <w:color w:val="000000" w:themeColor="text1"/>
                      <w:szCs w:val="21"/>
                    </w:rPr>
                    <w:t>0.33</w:t>
                  </w:r>
                </w:p>
              </w:tc>
              <w:tc>
                <w:tcPr>
                  <w:tcW w:w="2265" w:type="dxa"/>
                  <w:vAlign w:val="center"/>
                </w:tcPr>
                <w:p>
                  <w:pPr>
                    <w:pStyle w:val="29"/>
                    <w:spacing w:line="360" w:lineRule="exact"/>
                    <w:rPr>
                      <w:color w:val="000000" w:themeColor="text1"/>
                      <w:szCs w:val="21"/>
                    </w:rPr>
                  </w:pPr>
                  <w:r>
                    <w:rPr>
                      <w:color w:val="000000" w:themeColor="text1"/>
                      <w:szCs w:val="21"/>
                    </w:rPr>
                    <w:t>0.06mg/m³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Align w:val="center"/>
                </w:tcPr>
                <w:p>
                  <w:pPr>
                    <w:pStyle w:val="29"/>
                    <w:spacing w:line="360" w:lineRule="exact"/>
                    <w:rPr>
                      <w:color w:val="000000" w:themeColor="text1"/>
                      <w:szCs w:val="21"/>
                    </w:rPr>
                  </w:pPr>
                  <w:r>
                    <w:rPr>
                      <w:color w:val="000000" w:themeColor="text1"/>
                      <w:szCs w:val="21"/>
                    </w:rPr>
                    <w:t>2</w:t>
                  </w:r>
                </w:p>
              </w:tc>
              <w:tc>
                <w:tcPr>
                  <w:tcW w:w="1275" w:type="dxa"/>
                  <w:vAlign w:val="center"/>
                </w:tcPr>
                <w:p>
                  <w:pPr>
                    <w:pStyle w:val="29"/>
                    <w:spacing w:line="360" w:lineRule="exact"/>
                    <w:rPr>
                      <w:color w:val="000000" w:themeColor="text1"/>
                      <w:szCs w:val="21"/>
                    </w:rPr>
                  </w:pPr>
                  <w:r>
                    <w:rPr>
                      <w:color w:val="000000" w:themeColor="text1"/>
                      <w:szCs w:val="21"/>
                    </w:rPr>
                    <w:t>氨</w:t>
                  </w:r>
                </w:p>
              </w:tc>
              <w:tc>
                <w:tcPr>
                  <w:tcW w:w="1558" w:type="dxa"/>
                  <w:vMerge w:val="continue"/>
                  <w:vAlign w:val="center"/>
                </w:tcPr>
                <w:p>
                  <w:pPr>
                    <w:pStyle w:val="29"/>
                    <w:spacing w:line="360" w:lineRule="exact"/>
                    <w:rPr>
                      <w:color w:val="000000" w:themeColor="text1"/>
                      <w:szCs w:val="21"/>
                    </w:rPr>
                  </w:pPr>
                </w:p>
              </w:tc>
              <w:tc>
                <w:tcPr>
                  <w:tcW w:w="1563" w:type="dxa"/>
                  <w:vAlign w:val="center"/>
                </w:tcPr>
                <w:p>
                  <w:pPr>
                    <w:pStyle w:val="29"/>
                    <w:spacing w:line="360" w:lineRule="exact"/>
                    <w:rPr>
                      <w:color w:val="000000" w:themeColor="text1"/>
                      <w:szCs w:val="21"/>
                    </w:rPr>
                  </w:pPr>
                  <w:r>
                    <w:rPr>
                      <w:color w:val="000000" w:themeColor="text1"/>
                      <w:szCs w:val="21"/>
                    </w:rPr>
                    <w:t>4.9</w:t>
                  </w:r>
                </w:p>
              </w:tc>
              <w:tc>
                <w:tcPr>
                  <w:tcW w:w="2265" w:type="dxa"/>
                  <w:vAlign w:val="center"/>
                </w:tcPr>
                <w:p>
                  <w:pPr>
                    <w:pStyle w:val="29"/>
                    <w:spacing w:line="360" w:lineRule="exact"/>
                    <w:rPr>
                      <w:color w:val="000000" w:themeColor="text1"/>
                      <w:szCs w:val="21"/>
                    </w:rPr>
                  </w:pPr>
                  <w:r>
                    <w:rPr>
                      <w:color w:val="000000" w:themeColor="text1"/>
                      <w:szCs w:val="21"/>
                    </w:rPr>
                    <w:t>1.5mg/m³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Align w:val="center"/>
                </w:tcPr>
                <w:p>
                  <w:pPr>
                    <w:pStyle w:val="29"/>
                    <w:spacing w:line="360" w:lineRule="exact"/>
                    <w:rPr>
                      <w:color w:val="000000" w:themeColor="text1"/>
                      <w:szCs w:val="21"/>
                    </w:rPr>
                  </w:pPr>
                  <w:r>
                    <w:rPr>
                      <w:color w:val="000000" w:themeColor="text1"/>
                      <w:szCs w:val="21"/>
                    </w:rPr>
                    <w:t>3</w:t>
                  </w:r>
                </w:p>
              </w:tc>
              <w:tc>
                <w:tcPr>
                  <w:tcW w:w="1275" w:type="dxa"/>
                  <w:vAlign w:val="center"/>
                </w:tcPr>
                <w:p>
                  <w:pPr>
                    <w:pStyle w:val="29"/>
                    <w:spacing w:line="360" w:lineRule="exact"/>
                    <w:rPr>
                      <w:color w:val="000000" w:themeColor="text1"/>
                      <w:szCs w:val="21"/>
                    </w:rPr>
                  </w:pPr>
                  <w:r>
                    <w:rPr>
                      <w:color w:val="000000" w:themeColor="text1"/>
                      <w:szCs w:val="21"/>
                    </w:rPr>
                    <w:t>臭气浓度</w:t>
                  </w:r>
                </w:p>
              </w:tc>
              <w:tc>
                <w:tcPr>
                  <w:tcW w:w="1558" w:type="dxa"/>
                  <w:vMerge w:val="continue"/>
                  <w:vAlign w:val="center"/>
                </w:tcPr>
                <w:p>
                  <w:pPr>
                    <w:pStyle w:val="29"/>
                    <w:spacing w:line="360" w:lineRule="exact"/>
                    <w:rPr>
                      <w:color w:val="000000" w:themeColor="text1"/>
                      <w:szCs w:val="21"/>
                    </w:rPr>
                  </w:pPr>
                </w:p>
              </w:tc>
              <w:tc>
                <w:tcPr>
                  <w:tcW w:w="1563" w:type="dxa"/>
                  <w:vAlign w:val="center"/>
                </w:tcPr>
                <w:p>
                  <w:pPr>
                    <w:pStyle w:val="29"/>
                    <w:spacing w:line="360" w:lineRule="exact"/>
                    <w:rPr>
                      <w:color w:val="000000" w:themeColor="text1"/>
                      <w:szCs w:val="21"/>
                    </w:rPr>
                  </w:pPr>
                  <w:r>
                    <w:rPr>
                      <w:color w:val="000000" w:themeColor="text1"/>
                      <w:szCs w:val="21"/>
                    </w:rPr>
                    <w:t>2000（无量纲）</w:t>
                  </w:r>
                </w:p>
              </w:tc>
              <w:tc>
                <w:tcPr>
                  <w:tcW w:w="2265" w:type="dxa"/>
                  <w:vAlign w:val="center"/>
                </w:tcPr>
                <w:p>
                  <w:pPr>
                    <w:pStyle w:val="29"/>
                    <w:spacing w:line="360" w:lineRule="exact"/>
                    <w:rPr>
                      <w:color w:val="000000" w:themeColor="text1"/>
                      <w:szCs w:val="21"/>
                    </w:rPr>
                  </w:pPr>
                  <w:r>
                    <w:rPr>
                      <w:color w:val="000000" w:themeColor="text1"/>
                      <w:szCs w:val="21"/>
                    </w:rPr>
                    <w:t>20（无量纲）</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有机废气（非甲烷总烃）厂界内执行标准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无组织排放的有机废气（非甲烷总烃）厂界内需执行《挥发性有机物无组织排放控制标准》（GB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-2019）中附录A的排放限值要求。标准值如下表所示。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表3.3.1-4  项目厂界内有机废气（非甲烷总烃）排放标准  单位mg/m³</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1278"/>
              <w:gridCol w:w="2981"/>
              <w:gridCol w:w="2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1853" w:type="dxa"/>
                  <w:tcBorders>
                    <w:top w:val="single" w:color="auto" w:sz="4" w:space="0"/>
                  </w:tcBorders>
                  <w:vAlign w:val="center"/>
                </w:tcPr>
                <w:p>
                  <w:pPr>
                    <w:pStyle w:val="29"/>
                    <w:spacing w:line="360" w:lineRule="exact"/>
                    <w:rPr>
                      <w:color w:val="000000" w:themeColor="text1"/>
                      <w:szCs w:val="21"/>
                    </w:rPr>
                  </w:pPr>
                  <w:r>
                    <w:rPr>
                      <w:color w:val="000000" w:themeColor="text1"/>
                      <w:szCs w:val="21"/>
                    </w:rPr>
                    <w:t>污染物</w:t>
                  </w:r>
                </w:p>
              </w:tc>
              <w:tc>
                <w:tcPr>
                  <w:tcW w:w="1276" w:type="dxa"/>
                  <w:vAlign w:val="center"/>
                </w:tcPr>
                <w:p>
                  <w:pPr>
                    <w:pStyle w:val="29"/>
                    <w:spacing w:line="360" w:lineRule="exact"/>
                    <w:rPr>
                      <w:color w:val="000000" w:themeColor="text1"/>
                      <w:szCs w:val="21"/>
                    </w:rPr>
                  </w:pPr>
                  <w:r>
                    <w:rPr>
                      <w:color w:val="000000" w:themeColor="text1"/>
                      <w:szCs w:val="21"/>
                    </w:rPr>
                    <w:t>排放限值</w:t>
                  </w:r>
                </w:p>
              </w:tc>
              <w:tc>
                <w:tcPr>
                  <w:tcW w:w="2976"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限值含义</w:t>
                  </w:r>
                </w:p>
              </w:tc>
              <w:tc>
                <w:tcPr>
                  <w:tcW w:w="2481"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restart"/>
                  <w:vAlign w:val="center"/>
                </w:tcPr>
                <w:p>
                  <w:pPr>
                    <w:pStyle w:val="29"/>
                    <w:spacing w:line="360" w:lineRule="exact"/>
                    <w:rPr>
                      <w:color w:val="000000" w:themeColor="text1"/>
                      <w:szCs w:val="21"/>
                    </w:rPr>
                  </w:pPr>
                  <w:r>
                    <w:rPr>
                      <w:color w:val="000000" w:themeColor="text1"/>
                      <w:szCs w:val="21"/>
                    </w:rPr>
                    <w:t>NMHC</w:t>
                  </w:r>
                </w:p>
                <w:p>
                  <w:pPr>
                    <w:pStyle w:val="29"/>
                    <w:spacing w:line="360" w:lineRule="exact"/>
                    <w:rPr>
                      <w:color w:val="000000" w:themeColor="text1"/>
                      <w:szCs w:val="21"/>
                    </w:rPr>
                  </w:pPr>
                  <w:r>
                    <w:rPr>
                      <w:color w:val="000000" w:themeColor="text1"/>
                      <w:szCs w:val="21"/>
                    </w:rPr>
                    <w:t>（非甲烷总烃）</w:t>
                  </w:r>
                </w:p>
              </w:tc>
              <w:tc>
                <w:tcPr>
                  <w:tcW w:w="1276" w:type="dxa"/>
                  <w:vAlign w:val="center"/>
                </w:tcPr>
                <w:p>
                  <w:pPr>
                    <w:pStyle w:val="29"/>
                    <w:spacing w:line="360" w:lineRule="exact"/>
                    <w:rPr>
                      <w:color w:val="000000" w:themeColor="text1"/>
                      <w:szCs w:val="21"/>
                    </w:rPr>
                  </w:pPr>
                  <w:r>
                    <w:rPr>
                      <w:color w:val="000000" w:themeColor="text1"/>
                      <w:szCs w:val="21"/>
                    </w:rPr>
                    <w:t>10</w:t>
                  </w:r>
                </w:p>
              </w:tc>
              <w:tc>
                <w:tcPr>
                  <w:tcW w:w="2976"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监控点处1h平均浓度值</w:t>
                  </w:r>
                </w:p>
              </w:tc>
              <w:tc>
                <w:tcPr>
                  <w:tcW w:w="2481" w:type="dxa"/>
                  <w:vMerge w:val="restart"/>
                  <w:tcBorders>
                    <w:left w:val="single" w:color="auto" w:sz="4" w:space="0"/>
                  </w:tcBorders>
                  <w:vAlign w:val="center"/>
                </w:tcPr>
                <w:p>
                  <w:pPr>
                    <w:pStyle w:val="29"/>
                    <w:spacing w:line="360" w:lineRule="exact"/>
                    <w:rPr>
                      <w:color w:val="000000" w:themeColor="text1"/>
                      <w:szCs w:val="21"/>
                    </w:rPr>
                  </w:pPr>
                  <w:r>
                    <w:rPr>
                      <w:color w:val="000000" w:themeColor="text1"/>
                      <w:szCs w:val="21"/>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continue"/>
                  <w:vAlign w:val="center"/>
                </w:tcPr>
                <w:p>
                  <w:pPr>
                    <w:pStyle w:val="29"/>
                    <w:spacing w:line="360" w:lineRule="exact"/>
                    <w:rPr>
                      <w:color w:val="000000" w:themeColor="text1"/>
                      <w:szCs w:val="21"/>
                    </w:rPr>
                  </w:pPr>
                </w:p>
              </w:tc>
              <w:tc>
                <w:tcPr>
                  <w:tcW w:w="1276" w:type="dxa"/>
                  <w:vAlign w:val="center"/>
                </w:tcPr>
                <w:p>
                  <w:pPr>
                    <w:pStyle w:val="29"/>
                    <w:spacing w:line="360" w:lineRule="exact"/>
                    <w:rPr>
                      <w:color w:val="000000" w:themeColor="text1"/>
                      <w:szCs w:val="21"/>
                    </w:rPr>
                  </w:pPr>
                  <w:r>
                    <w:rPr>
                      <w:color w:val="000000" w:themeColor="text1"/>
                      <w:szCs w:val="21"/>
                    </w:rPr>
                    <w:t>30</w:t>
                  </w:r>
                </w:p>
              </w:tc>
              <w:tc>
                <w:tcPr>
                  <w:tcW w:w="2976"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监控点处任意一次浓度值</w:t>
                  </w:r>
                </w:p>
              </w:tc>
              <w:tc>
                <w:tcPr>
                  <w:tcW w:w="2481" w:type="dxa"/>
                  <w:vMerge w:val="continue"/>
                  <w:tcBorders>
                    <w:left w:val="single" w:color="auto" w:sz="4" w:space="0"/>
                  </w:tcBorders>
                  <w:vAlign w:val="center"/>
                </w:tcPr>
                <w:p>
                  <w:pPr>
                    <w:pStyle w:val="29"/>
                    <w:spacing w:line="360" w:lineRule="exact"/>
                    <w:rPr>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②昆明旭鑫环保科技有限公司原料暂存库项目执行标准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昆明旭鑫环保科技有限公司原料暂存库项目</w:t>
            </w:r>
            <w:r>
              <w:rPr>
                <w:rFonts w:ascii="Times New Roman" w:hAnsi="Times New Roman" w:cs="Times New Roman"/>
                <w:bCs/>
                <w:color w:val="000000" w:themeColor="text1"/>
                <w:sz w:val="24"/>
                <w:szCs w:val="24"/>
              </w:rPr>
              <w:t>逸散废气产生量</w:t>
            </w:r>
            <w:r>
              <w:rPr>
                <w:rFonts w:hint="eastAsia" w:ascii="Times New Roman" w:hAnsi="Times New Roman" w:cs="Times New Roman"/>
                <w:bCs/>
                <w:color w:val="000000" w:themeColor="text1"/>
                <w:sz w:val="24"/>
                <w:szCs w:val="24"/>
              </w:rPr>
              <w:t>极少，</w:t>
            </w:r>
            <w:r>
              <w:rPr>
                <w:rFonts w:ascii="Times New Roman" w:hAnsi="Times New Roman" w:cs="Times New Roman"/>
                <w:bCs/>
                <w:color w:val="000000" w:themeColor="text1"/>
                <w:sz w:val="24"/>
                <w:szCs w:val="24"/>
              </w:rPr>
              <w:t>逸散废气的主要成分为（颗粒物、硫酸雾），</w:t>
            </w:r>
            <w:r>
              <w:rPr>
                <w:rFonts w:ascii="Times New Roman" w:hAnsi="Times New Roman" w:cs="Times New Roman"/>
                <w:color w:val="000000" w:themeColor="text1"/>
                <w:sz w:val="24"/>
                <w:szCs w:val="24"/>
              </w:rPr>
              <w:t>执行《大气污染物综合排放标准》（GB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-1996）中表2无组织排放监控浓度限值。标准限值详见下表。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表3.3.1-5 大气污染物排放限值  单位：mg/m³</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3265"/>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69" w:type="dxa"/>
                  <w:vAlign w:val="center"/>
                </w:tcPr>
                <w:p>
                  <w:pPr>
                    <w:pStyle w:val="29"/>
                    <w:spacing w:line="360" w:lineRule="exact"/>
                    <w:rPr>
                      <w:color w:val="000000" w:themeColor="text1"/>
                      <w:szCs w:val="21"/>
                    </w:rPr>
                  </w:pPr>
                  <w:r>
                    <w:rPr>
                      <w:color w:val="000000" w:themeColor="text1"/>
                      <w:szCs w:val="21"/>
                    </w:rPr>
                    <w:t>污染物</w:t>
                  </w:r>
                </w:p>
              </w:tc>
              <w:tc>
                <w:tcPr>
                  <w:tcW w:w="3265" w:type="dxa"/>
                  <w:vAlign w:val="center"/>
                </w:tcPr>
                <w:p>
                  <w:pPr>
                    <w:pStyle w:val="29"/>
                    <w:spacing w:line="360" w:lineRule="exact"/>
                    <w:rPr>
                      <w:color w:val="000000" w:themeColor="text1"/>
                      <w:szCs w:val="21"/>
                    </w:rPr>
                  </w:pPr>
                  <w:r>
                    <w:rPr>
                      <w:color w:val="000000" w:themeColor="text1"/>
                      <w:szCs w:val="21"/>
                    </w:rPr>
                    <w:t>最高允许排放浓度</w:t>
                  </w:r>
                </w:p>
              </w:tc>
              <w:tc>
                <w:tcPr>
                  <w:tcW w:w="2771" w:type="dxa"/>
                  <w:vAlign w:val="center"/>
                </w:tcPr>
                <w:p>
                  <w:pPr>
                    <w:pStyle w:val="29"/>
                    <w:spacing w:line="360" w:lineRule="exact"/>
                    <w:rPr>
                      <w:color w:val="000000" w:themeColor="text1"/>
                      <w:szCs w:val="21"/>
                    </w:rPr>
                  </w:pP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9" w:type="dxa"/>
                  <w:vAlign w:val="center"/>
                </w:tcPr>
                <w:p>
                  <w:pPr>
                    <w:pStyle w:val="29"/>
                    <w:spacing w:line="360" w:lineRule="exact"/>
                    <w:rPr>
                      <w:color w:val="000000" w:themeColor="text1"/>
                      <w:szCs w:val="21"/>
                    </w:rPr>
                  </w:pPr>
                  <w:r>
                    <w:rPr>
                      <w:color w:val="000000" w:themeColor="text1"/>
                      <w:szCs w:val="21"/>
                    </w:rPr>
                    <w:t>颗粒物</w:t>
                  </w:r>
                </w:p>
              </w:tc>
              <w:tc>
                <w:tcPr>
                  <w:tcW w:w="3265" w:type="dxa"/>
                  <w:vAlign w:val="center"/>
                </w:tcPr>
                <w:p>
                  <w:pPr>
                    <w:pStyle w:val="29"/>
                    <w:spacing w:line="360" w:lineRule="exact"/>
                    <w:rPr>
                      <w:color w:val="000000" w:themeColor="text1"/>
                      <w:szCs w:val="21"/>
                    </w:rPr>
                  </w:pPr>
                  <w:r>
                    <w:rPr>
                      <w:color w:val="000000" w:themeColor="text1"/>
                      <w:szCs w:val="21"/>
                    </w:rPr>
                    <w:t>--</w:t>
                  </w:r>
                </w:p>
              </w:tc>
              <w:tc>
                <w:tcPr>
                  <w:tcW w:w="2771" w:type="dxa"/>
                  <w:vAlign w:val="center"/>
                </w:tcPr>
                <w:p>
                  <w:pPr>
                    <w:pStyle w:val="29"/>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9" w:type="dxa"/>
                  <w:vAlign w:val="center"/>
                </w:tcPr>
                <w:p>
                  <w:pPr>
                    <w:pStyle w:val="29"/>
                    <w:spacing w:line="360" w:lineRule="exact"/>
                    <w:rPr>
                      <w:color w:val="000000" w:themeColor="text1"/>
                      <w:szCs w:val="21"/>
                    </w:rPr>
                  </w:pPr>
                  <w:r>
                    <w:rPr>
                      <w:color w:val="000000" w:themeColor="text1"/>
                      <w:szCs w:val="21"/>
                    </w:rPr>
                    <w:t>硫酸雾</w:t>
                  </w:r>
                </w:p>
              </w:tc>
              <w:tc>
                <w:tcPr>
                  <w:tcW w:w="3265" w:type="dxa"/>
                  <w:vAlign w:val="center"/>
                </w:tcPr>
                <w:p>
                  <w:pPr>
                    <w:pStyle w:val="29"/>
                    <w:spacing w:line="360" w:lineRule="exact"/>
                    <w:rPr>
                      <w:color w:val="000000" w:themeColor="text1"/>
                      <w:szCs w:val="21"/>
                    </w:rPr>
                  </w:pPr>
                  <w:r>
                    <w:rPr>
                      <w:color w:val="000000" w:themeColor="text1"/>
                      <w:szCs w:val="21"/>
                    </w:rPr>
                    <w:t>--</w:t>
                  </w:r>
                </w:p>
              </w:tc>
              <w:tc>
                <w:tcPr>
                  <w:tcW w:w="2771" w:type="dxa"/>
                  <w:vAlign w:val="center"/>
                </w:tcPr>
                <w:p>
                  <w:pPr>
                    <w:pStyle w:val="29"/>
                    <w:spacing w:line="360" w:lineRule="exact"/>
                    <w:rPr>
                      <w:color w:val="000000" w:themeColor="text1"/>
                      <w:szCs w:val="21"/>
                    </w:rPr>
                  </w:pPr>
                  <w:r>
                    <w:rPr>
                      <w:color w:val="000000" w:themeColor="text1"/>
                      <w:szCs w:val="21"/>
                    </w:rPr>
                    <w:t>1.2</w:t>
                  </w:r>
                </w:p>
              </w:tc>
            </w:tr>
          </w:tbl>
          <w:p>
            <w:pPr>
              <w:pStyle w:val="37"/>
              <w:spacing w:beforeLines="50"/>
              <w:ind w:firstLine="361" w:firstLineChars="150"/>
              <w:rPr>
                <w:rFonts w:eastAsiaTheme="minorEastAsia"/>
                <w:b/>
                <w:color w:val="000000" w:themeColor="text1"/>
              </w:rPr>
            </w:pPr>
            <w:r>
              <w:rPr>
                <w:rFonts w:eastAsiaTheme="minorEastAsia"/>
                <w:b/>
                <w:color w:val="000000" w:themeColor="text1"/>
              </w:rPr>
              <w:t>（2）运营期废水排放标准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为危险废物收集暂存项目，无生产废水。建设单位已在厂区外单独建设办公生活区，该生活区属于厂区主体项目的配套项目，不属于该项目的附属工程，该项目依托使用。本次建设项目无生活污水产生，综上项目无废水产生，不执行废水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项目雨水直接排入市政雨水管网，不执行排放标准。</w:t>
            </w:r>
          </w:p>
          <w:p>
            <w:pPr>
              <w:pStyle w:val="37"/>
              <w:ind w:firstLine="482"/>
              <w:rPr>
                <w:rFonts w:eastAsiaTheme="minorEastAsia"/>
                <w:b/>
                <w:color w:val="000000" w:themeColor="text1"/>
                <w:szCs w:val="24"/>
              </w:rPr>
            </w:pPr>
            <w:r>
              <w:rPr>
                <w:rFonts w:eastAsiaTheme="minorEastAsia"/>
                <w:b/>
                <w:color w:val="000000" w:themeColor="text1"/>
                <w:szCs w:val="24"/>
              </w:rPr>
              <w:t>3.3.3</w:t>
            </w:r>
            <w:r>
              <w:rPr>
                <w:b/>
                <w:color w:val="000000" w:themeColor="text1"/>
                <w:szCs w:val="24"/>
              </w:rPr>
              <w:t>运营期</w:t>
            </w:r>
            <w:r>
              <w:rPr>
                <w:rFonts w:eastAsiaTheme="minorEastAsia"/>
                <w:b/>
                <w:color w:val="000000" w:themeColor="text1"/>
                <w:szCs w:val="24"/>
              </w:rPr>
              <w:t>噪声排放标准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项目位于云南东川产业园区四方地片区昆明旭鑫环保科技有限公司厂区，根据《云南东川产业园区总体规划修编（2021-2035）环境影响报告书》，该项目区域执行《工业企业厂界环境噪声排放标准》（GB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9"/>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 xml:space="preserve">3.3.4 </w:t>
            </w:r>
            <w:r>
              <w:rPr>
                <w:b/>
                <w:color w:val="000000" w:themeColor="text1"/>
                <w:szCs w:val="24"/>
              </w:rPr>
              <w:t>运营期</w:t>
            </w:r>
            <w:r>
              <w:rPr>
                <w:rFonts w:eastAsiaTheme="minorEastAsia"/>
                <w:b/>
                <w:color w:val="000000" w:themeColor="text1"/>
                <w:szCs w:val="24"/>
              </w:rPr>
              <w:t>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-2023）。</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（1）废气产排量</w:t>
            </w:r>
          </w:p>
          <w:p>
            <w:pPr>
              <w:pStyle w:val="37"/>
              <w:ind w:firstLine="480"/>
              <w:rPr>
                <w:color w:val="000000" w:themeColor="text1"/>
                <w:szCs w:val="24"/>
              </w:rPr>
            </w:pPr>
            <w:r>
              <w:rPr>
                <w:color w:val="000000" w:themeColor="text1"/>
                <w:szCs w:val="24"/>
              </w:rPr>
              <w:t>有组织排放废气：废气量14016万m³/a，非甲烷总烃：0.38t/a；HCl：0.01t/a；氨：0.08t/a；硫化氢：0.0006t/a。</w:t>
            </w:r>
          </w:p>
          <w:p>
            <w:pPr>
              <w:pStyle w:val="37"/>
              <w:ind w:firstLine="480"/>
              <w:rPr>
                <w:color w:val="000000" w:themeColor="text1"/>
                <w:szCs w:val="24"/>
              </w:rPr>
            </w:pPr>
            <w:r>
              <w:rPr>
                <w:color w:val="000000" w:themeColor="text1"/>
                <w:szCs w:val="24"/>
              </w:rPr>
              <w:t>无组织排放废气：非甲烷总烃：0.14t/a；HCl：0.056t/a；氨：0.05t/a；硫化氢：0.0004t/a。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项目无生产废水和生活污水产生。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pStyle w:val="37"/>
              <w:ind w:firstLine="480"/>
              <w:rPr>
                <w:color w:val="000000" w:themeColor="text1"/>
              </w:rPr>
            </w:pPr>
            <w:r>
              <w:rPr>
                <w:rFonts w:hint="eastAsia"/>
                <w:color w:val="000000" w:themeColor="text1"/>
                <w:szCs w:val="24"/>
              </w:rPr>
              <w:t xml:space="preserve">  </w:t>
            </w:r>
          </w:p>
        </w:tc>
      </w:tr>
    </w:tbl>
    <w:p>
      <w:pPr>
        <w:spacing w:line="360" w:lineRule="auto"/>
        <w:jc w:val="left"/>
        <w:outlineLvl w:val="0"/>
        <w:rPr>
          <w:rFonts w:ascii="Times New Roman" w:hAnsi="Times New Roman" w:cs="Times New Roman"/>
          <w:b/>
          <w:color w:val="000000" w:themeColor="text1"/>
          <w:sz w:val="28"/>
          <w:szCs w:val="20"/>
        </w:rPr>
      </w:pPr>
      <w:bookmarkStart w:id="30" w:name="_Toc146789446"/>
      <w:r>
        <w:rPr>
          <w:rFonts w:ascii="Times New Roman" w:hAnsi="Times New Roman" w:cs="Times New Roman"/>
          <w:b/>
          <w:color w:val="000000" w:themeColor="text1"/>
          <w:sz w:val="28"/>
          <w:szCs w:val="20"/>
        </w:rPr>
        <w:t>四、主要环境影响和保护措施</w:t>
      </w:r>
      <w:bookmarkEnd w:id="30"/>
    </w:p>
    <w:tbl>
      <w:tblPr>
        <w:tblStyle w:val="19"/>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项目施工期</w:t>
            </w:r>
            <w:r>
              <w:rPr>
                <w:rFonts w:hint="eastAsia" w:ascii="Times New Roman" w:hAnsi="Times New Roman" w:cs="Times New Roman"/>
                <w:bCs/>
                <w:color w:val="000000" w:themeColor="text1"/>
                <w:sz w:val="24"/>
                <w:szCs w:val="24"/>
              </w:rPr>
              <w:t>主要建设内容为：贮存区隔档建设、安装</w:t>
            </w:r>
            <w:r>
              <w:rPr>
                <w:rFonts w:ascii="Times New Roman" w:hAnsi="Times New Roman" w:cs="Times New Roman"/>
                <w:bCs/>
                <w:color w:val="000000" w:themeColor="text1"/>
                <w:sz w:val="24"/>
                <w:szCs w:val="24"/>
              </w:rPr>
              <w:t>警报系统</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负压收集系统</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废气处理装置</w:t>
            </w:r>
            <w:r>
              <w:rPr>
                <w:rFonts w:hint="eastAsia" w:ascii="Times New Roman" w:hAnsi="Times New Roman" w:cs="Times New Roman"/>
                <w:bCs/>
                <w:color w:val="000000" w:themeColor="text1"/>
                <w:sz w:val="24"/>
                <w:szCs w:val="24"/>
              </w:rPr>
              <w:t>、排气筒、</w:t>
            </w:r>
            <w:r>
              <w:rPr>
                <w:rFonts w:ascii="Times New Roman" w:hAnsi="Times New Roman" w:cs="Times New Roman"/>
                <w:bCs/>
                <w:color w:val="000000" w:themeColor="text1"/>
                <w:sz w:val="24"/>
                <w:szCs w:val="24"/>
              </w:rPr>
              <w:t>导流渠</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渗滤液收集池</w:t>
            </w:r>
            <w:r>
              <w:rPr>
                <w:rFonts w:hint="eastAsia" w:ascii="Times New Roman" w:hAnsi="Times New Roman" w:cs="Times New Roman"/>
                <w:bCs/>
                <w:color w:val="000000" w:themeColor="text1"/>
                <w:sz w:val="24"/>
                <w:szCs w:val="24"/>
              </w:rPr>
              <w:t>及其防渗工程等环保设施建设。不涉及厂房建设，施工量较小，</w:t>
            </w:r>
            <w:r>
              <w:rPr>
                <w:rFonts w:ascii="Times New Roman" w:hAnsi="Times New Roman" w:cs="Times New Roman"/>
                <w:bCs/>
                <w:color w:val="000000" w:themeColor="text1"/>
                <w:sz w:val="24"/>
                <w:szCs w:val="24"/>
              </w:rPr>
              <w:t>拟采取的环境保护措施具体如下。</w:t>
            </w:r>
          </w:p>
          <w:p>
            <w:pPr>
              <w:pStyle w:val="37"/>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焊接废气自然扩散；</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加强施工现场运输车辆管理。</w:t>
            </w:r>
            <w:bookmarkStart w:id="31" w:name="_Hlk137323025"/>
            <w:r>
              <w:rPr>
                <w:rFonts w:ascii="Times New Roman" w:hAnsi="Times New Roman" w:cs="Times New Roman"/>
                <w:color w:val="000000" w:themeColor="text1"/>
                <w:sz w:val="24"/>
                <w:szCs w:val="24"/>
              </w:rPr>
              <w:t>运输扬尘控制要求对运输车辆进行遮盖，并适时对场地内进行洒水降尘</w:t>
            </w:r>
            <w:bookmarkEnd w:id="31"/>
            <w:r>
              <w:rPr>
                <w:rFonts w:ascii="Times New Roman" w:hAnsi="Times New Roman" w:cs="Times New Roman"/>
                <w:color w:val="000000" w:themeColor="text1"/>
                <w:sz w:val="24"/>
                <w:szCs w:val="24"/>
              </w:rPr>
              <w:t>。</w:t>
            </w:r>
          </w:p>
          <w:p>
            <w:pPr>
              <w:pStyle w:val="37"/>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施工期施工人员不在项目区食宿，生活污水仅为洗手污水，通过收集后，回用于施工场地洒水降尘，不外排。</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项目施工产生废水较少。用水主要为混凝土养护水，可采取合理使用混凝土养护水的方式避免产生废水。</w:t>
            </w:r>
          </w:p>
          <w:p>
            <w:pPr>
              <w:pStyle w:val="37"/>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加强与周围居民的沟通，避免扰民事件发生。</w:t>
            </w:r>
          </w:p>
          <w:p>
            <w:pPr>
              <w:pStyle w:val="37"/>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建设垃圾包括混凝土块、废木材、废钢材等，严格按照相关部门的要求，对其进行分类收集，其中废钢材收集后外售废品收购站，其他不能回收部分运至园区指定地点进行合理处置。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根据项目贮存的危险废物类别分析，该项目产生的主要废气污染物为有机废气（非甲烷总烃）、酸性废气（HCl）、恶臭废气（氨、硫化氢和臭气浓度）。具体产排情况核算如下：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①有机废气（非甲烷总烃）产排核算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根据项目拟收集的危险废物种类中HW04 农药废物、HW06 废有机溶剂与含有机溶剂废物、HW08 废矿物油与含矿物油废物、HW09 油/水、烃/水混合物或乳化液、HW11 精（蒸）馏残渣、HW12 染料、涂料废物、HW13 有机树脂类废物类危险废物均含有可挥发性有机物，根据贮存方式可知，该项目上述危险废物的贮存情况如下表所示。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表4.2.1-1 含有可挥发性有机物贮存情况一览表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701"/>
              <w:gridCol w:w="1276"/>
              <w:gridCol w:w="155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危险废物类别</w:t>
                  </w:r>
                </w:p>
              </w:tc>
              <w:tc>
                <w:tcPr>
                  <w:tcW w:w="1701" w:type="dxa"/>
                  <w:vAlign w:val="center"/>
                </w:tcPr>
                <w:p>
                  <w:pPr>
                    <w:pStyle w:val="29"/>
                    <w:spacing w:line="360" w:lineRule="exact"/>
                    <w:rPr>
                      <w:color w:val="000000" w:themeColor="text1"/>
                      <w:kern w:val="0"/>
                      <w:szCs w:val="21"/>
                    </w:rPr>
                  </w:pPr>
                  <w:r>
                    <w:rPr>
                      <w:color w:val="000000" w:themeColor="text1"/>
                      <w:kern w:val="0"/>
                      <w:szCs w:val="21"/>
                    </w:rPr>
                    <w:t>液态危险废物包装形式</w:t>
                  </w:r>
                </w:p>
              </w:tc>
              <w:tc>
                <w:tcPr>
                  <w:tcW w:w="1276" w:type="dxa"/>
                  <w:vAlign w:val="center"/>
                </w:tcPr>
                <w:p>
                  <w:pPr>
                    <w:pStyle w:val="29"/>
                    <w:spacing w:line="360" w:lineRule="exact"/>
                    <w:rPr>
                      <w:color w:val="000000" w:themeColor="text1"/>
                      <w:kern w:val="0"/>
                      <w:szCs w:val="21"/>
                    </w:rPr>
                  </w:pPr>
                  <w:r>
                    <w:rPr>
                      <w:color w:val="000000" w:themeColor="text1"/>
                      <w:kern w:val="0"/>
                      <w:szCs w:val="21"/>
                    </w:rPr>
                    <w:t>贮存区域</w:t>
                  </w:r>
                </w:p>
              </w:tc>
              <w:tc>
                <w:tcPr>
                  <w:tcW w:w="1559" w:type="dxa"/>
                  <w:vAlign w:val="center"/>
                </w:tcPr>
                <w:p>
                  <w:pPr>
                    <w:pStyle w:val="29"/>
                    <w:spacing w:line="360" w:lineRule="exact"/>
                    <w:rPr>
                      <w:color w:val="000000" w:themeColor="text1"/>
                      <w:kern w:val="0"/>
                      <w:szCs w:val="21"/>
                    </w:rPr>
                  </w:pPr>
                  <w:r>
                    <w:rPr>
                      <w:color w:val="000000" w:themeColor="text1"/>
                      <w:kern w:val="0"/>
                      <w:szCs w:val="21"/>
                    </w:rPr>
                    <w:t>最大贮存量（t）</w:t>
                  </w:r>
                </w:p>
              </w:tc>
              <w:tc>
                <w:tcPr>
                  <w:tcW w:w="1350" w:type="dxa"/>
                  <w:vAlign w:val="center"/>
                </w:tcPr>
                <w:p>
                  <w:pPr>
                    <w:pStyle w:val="29"/>
                    <w:spacing w:line="360" w:lineRule="exact"/>
                    <w:rPr>
                      <w:color w:val="000000" w:themeColor="text1"/>
                      <w:kern w:val="0"/>
                      <w:szCs w:val="21"/>
                    </w:rPr>
                  </w:pPr>
                  <w:r>
                    <w:rPr>
                      <w:color w:val="000000" w:themeColor="text1"/>
                      <w:kern w:val="0"/>
                      <w:szCs w:val="21"/>
                    </w:rPr>
                    <w:t>年收集量（t）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HW08废矿物油与含矿物油废物</w:t>
                  </w:r>
                </w:p>
              </w:tc>
              <w:tc>
                <w:tcPr>
                  <w:tcW w:w="1701" w:type="dxa"/>
                  <w:vAlign w:val="center"/>
                </w:tcPr>
                <w:p>
                  <w:pPr>
                    <w:pStyle w:val="29"/>
                    <w:spacing w:line="360" w:lineRule="exact"/>
                    <w:rPr>
                      <w:color w:val="000000" w:themeColor="text1"/>
                      <w:kern w:val="0"/>
                      <w:szCs w:val="21"/>
                    </w:rPr>
                  </w:pPr>
                  <w:r>
                    <w:rPr>
                      <w:color w:val="000000" w:themeColor="text1"/>
                      <w:kern w:val="0"/>
                      <w:szCs w:val="21"/>
                    </w:rPr>
                    <w:t>储罐、铁桶</w:t>
                  </w:r>
                </w:p>
              </w:tc>
              <w:tc>
                <w:tcPr>
                  <w:tcW w:w="1276" w:type="dxa"/>
                  <w:vAlign w:val="center"/>
                </w:tcPr>
                <w:p>
                  <w:pPr>
                    <w:pStyle w:val="29"/>
                    <w:spacing w:line="360" w:lineRule="exact"/>
                    <w:rPr>
                      <w:color w:val="000000" w:themeColor="text1"/>
                      <w:kern w:val="0"/>
                      <w:szCs w:val="21"/>
                    </w:rPr>
                  </w:pPr>
                  <w:r>
                    <w:rPr>
                      <w:color w:val="000000" w:themeColor="text1"/>
                      <w:kern w:val="0"/>
                      <w:szCs w:val="21"/>
                    </w:rPr>
                    <w:t>1#贮存区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98.33</w:t>
                  </w:r>
                </w:p>
              </w:tc>
              <w:tc>
                <w:tcPr>
                  <w:tcW w:w="1350" w:type="dxa"/>
                  <w:vAlign w:val="center"/>
                </w:tcPr>
                <w:p>
                  <w:pPr>
                    <w:pStyle w:val="29"/>
                    <w:spacing w:line="360" w:lineRule="exact"/>
                    <w:rPr>
                      <w:color w:val="000000" w:themeColor="text1"/>
                      <w:kern w:val="0"/>
                      <w:szCs w:val="21"/>
                    </w:rPr>
                  </w:pPr>
                  <w:r>
                    <w:rPr>
                      <w:color w:val="000000" w:themeColor="text1"/>
                      <w:kern w:val="0"/>
                      <w:szCs w:val="21"/>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HW11精（蒸）馏残渣</w:t>
                  </w:r>
                </w:p>
              </w:tc>
              <w:tc>
                <w:tcPr>
                  <w:tcW w:w="1701" w:type="dxa"/>
                  <w:vAlign w:val="center"/>
                </w:tcPr>
                <w:p>
                  <w:pPr>
                    <w:pStyle w:val="29"/>
                    <w:spacing w:line="360" w:lineRule="exact"/>
                    <w:rPr>
                      <w:color w:val="000000" w:themeColor="text1"/>
                      <w:kern w:val="0"/>
                      <w:szCs w:val="21"/>
                    </w:rPr>
                  </w:pPr>
                  <w:r>
                    <w:rPr>
                      <w:color w:val="000000" w:themeColor="text1"/>
                      <w:kern w:val="0"/>
                      <w:szCs w:val="21"/>
                    </w:rPr>
                    <w:t>塑料桶</w:t>
                  </w:r>
                </w:p>
              </w:tc>
              <w:tc>
                <w:tcPr>
                  <w:tcW w:w="1276" w:type="dxa"/>
                  <w:vAlign w:val="center"/>
                </w:tcPr>
                <w:p>
                  <w:pPr>
                    <w:pStyle w:val="29"/>
                    <w:spacing w:line="360" w:lineRule="exact"/>
                    <w:rPr>
                      <w:color w:val="000000" w:themeColor="text1"/>
                      <w:kern w:val="0"/>
                      <w:szCs w:val="21"/>
                    </w:rPr>
                  </w:pPr>
                  <w:r>
                    <w:rPr>
                      <w:color w:val="000000" w:themeColor="text1"/>
                      <w:kern w:val="0"/>
                      <w:szCs w:val="21"/>
                    </w:rPr>
                    <w:t>1#贮存区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5.83</w:t>
                  </w:r>
                </w:p>
              </w:tc>
              <w:tc>
                <w:tcPr>
                  <w:tcW w:w="1350" w:type="dxa"/>
                  <w:vAlign w:val="center"/>
                </w:tcPr>
                <w:p>
                  <w:pPr>
                    <w:pStyle w:val="29"/>
                    <w:spacing w:line="360" w:lineRule="exact"/>
                    <w:rPr>
                      <w:color w:val="000000" w:themeColor="text1"/>
                      <w:kern w:val="0"/>
                      <w:szCs w:val="21"/>
                    </w:rPr>
                  </w:pPr>
                  <w:r>
                    <w:rPr>
                      <w:color w:val="000000" w:themeColor="text1"/>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HW06废有机溶剂与含有机溶剂废物</w:t>
                  </w:r>
                </w:p>
              </w:tc>
              <w:tc>
                <w:tcPr>
                  <w:tcW w:w="1701" w:type="dxa"/>
                  <w:vAlign w:val="center"/>
                </w:tcPr>
                <w:p>
                  <w:pPr>
                    <w:pStyle w:val="29"/>
                    <w:spacing w:line="360" w:lineRule="exact"/>
                    <w:rPr>
                      <w:color w:val="000000" w:themeColor="text1"/>
                      <w:kern w:val="0"/>
                      <w:szCs w:val="21"/>
                    </w:rPr>
                  </w:pPr>
                  <w:r>
                    <w:rPr>
                      <w:color w:val="000000" w:themeColor="text1"/>
                      <w:kern w:val="0"/>
                      <w:szCs w:val="21"/>
                    </w:rPr>
                    <w:t>塑料桶</w:t>
                  </w:r>
                </w:p>
              </w:tc>
              <w:tc>
                <w:tcPr>
                  <w:tcW w:w="1276" w:type="dxa"/>
                  <w:vAlign w:val="center"/>
                </w:tcPr>
                <w:p>
                  <w:pPr>
                    <w:pStyle w:val="29"/>
                    <w:spacing w:line="360" w:lineRule="exact"/>
                    <w:rPr>
                      <w:color w:val="000000" w:themeColor="text1"/>
                      <w:kern w:val="0"/>
                      <w:szCs w:val="21"/>
                    </w:rPr>
                  </w:pPr>
                  <w:r>
                    <w:rPr>
                      <w:color w:val="000000" w:themeColor="text1"/>
                      <w:kern w:val="0"/>
                      <w:szCs w:val="21"/>
                    </w:rPr>
                    <w:t>2#贮存区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25.83</w:t>
                  </w:r>
                </w:p>
              </w:tc>
              <w:tc>
                <w:tcPr>
                  <w:tcW w:w="1350" w:type="dxa"/>
                  <w:vAlign w:val="center"/>
                </w:tcPr>
                <w:p>
                  <w:pPr>
                    <w:pStyle w:val="29"/>
                    <w:spacing w:line="360" w:lineRule="exact"/>
                    <w:rPr>
                      <w:color w:val="000000" w:themeColor="text1"/>
                      <w:kern w:val="0"/>
                      <w:szCs w:val="21"/>
                    </w:rPr>
                  </w:pPr>
                  <w:r>
                    <w:rPr>
                      <w:color w:val="000000" w:themeColor="text1"/>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HW09油/水、烃/水混合物或乳化液</w:t>
                  </w:r>
                </w:p>
              </w:tc>
              <w:tc>
                <w:tcPr>
                  <w:tcW w:w="1701" w:type="dxa"/>
                  <w:vAlign w:val="center"/>
                </w:tcPr>
                <w:p>
                  <w:pPr>
                    <w:pStyle w:val="29"/>
                    <w:spacing w:line="360" w:lineRule="exact"/>
                    <w:rPr>
                      <w:color w:val="000000" w:themeColor="text1"/>
                      <w:kern w:val="0"/>
                      <w:szCs w:val="21"/>
                    </w:rPr>
                  </w:pPr>
                  <w:r>
                    <w:rPr>
                      <w:color w:val="000000" w:themeColor="text1"/>
                      <w:kern w:val="0"/>
                      <w:szCs w:val="21"/>
                    </w:rPr>
                    <w:t>塑料桶</w:t>
                  </w:r>
                </w:p>
              </w:tc>
              <w:tc>
                <w:tcPr>
                  <w:tcW w:w="1276" w:type="dxa"/>
                  <w:vAlign w:val="center"/>
                </w:tcPr>
                <w:p>
                  <w:pPr>
                    <w:pStyle w:val="29"/>
                    <w:spacing w:line="360" w:lineRule="exact"/>
                    <w:rPr>
                      <w:color w:val="000000" w:themeColor="text1"/>
                      <w:kern w:val="0"/>
                      <w:szCs w:val="21"/>
                    </w:rPr>
                  </w:pPr>
                  <w:r>
                    <w:rPr>
                      <w:color w:val="000000" w:themeColor="text1"/>
                      <w:kern w:val="0"/>
                      <w:szCs w:val="21"/>
                    </w:rPr>
                    <w:t>2#贮存区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17.5</w:t>
                  </w:r>
                </w:p>
              </w:tc>
              <w:tc>
                <w:tcPr>
                  <w:tcW w:w="1350" w:type="dxa"/>
                  <w:vAlign w:val="center"/>
                </w:tcPr>
                <w:p>
                  <w:pPr>
                    <w:pStyle w:val="29"/>
                    <w:spacing w:line="360" w:lineRule="exact"/>
                    <w:rPr>
                      <w:color w:val="000000" w:themeColor="text1"/>
                      <w:kern w:val="0"/>
                      <w:szCs w:val="21"/>
                    </w:rPr>
                  </w:pPr>
                  <w:r>
                    <w:rPr>
                      <w:color w:val="000000" w:themeColor="text1"/>
                      <w:kern w:val="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HW12染料、涂料废物</w:t>
                  </w:r>
                </w:p>
              </w:tc>
              <w:tc>
                <w:tcPr>
                  <w:tcW w:w="1701" w:type="dxa"/>
                  <w:vAlign w:val="center"/>
                </w:tcPr>
                <w:p>
                  <w:pPr>
                    <w:pStyle w:val="29"/>
                    <w:spacing w:line="360" w:lineRule="exact"/>
                    <w:rPr>
                      <w:color w:val="000000" w:themeColor="text1"/>
                      <w:kern w:val="0"/>
                      <w:szCs w:val="21"/>
                    </w:rPr>
                  </w:pPr>
                  <w:r>
                    <w:rPr>
                      <w:color w:val="000000" w:themeColor="text1"/>
                      <w:kern w:val="0"/>
                      <w:szCs w:val="21"/>
                    </w:rPr>
                    <w:t>塑料桶/铁桶</w:t>
                  </w:r>
                </w:p>
              </w:tc>
              <w:tc>
                <w:tcPr>
                  <w:tcW w:w="1276" w:type="dxa"/>
                  <w:vAlign w:val="center"/>
                </w:tcPr>
                <w:p>
                  <w:pPr>
                    <w:pStyle w:val="29"/>
                    <w:spacing w:line="360" w:lineRule="exact"/>
                    <w:rPr>
                      <w:color w:val="000000" w:themeColor="text1"/>
                      <w:kern w:val="0"/>
                      <w:szCs w:val="21"/>
                    </w:rPr>
                  </w:pPr>
                  <w:r>
                    <w:rPr>
                      <w:color w:val="000000" w:themeColor="text1"/>
                      <w:kern w:val="0"/>
                      <w:szCs w:val="21"/>
                    </w:rPr>
                    <w:t>2#贮存区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50</w:t>
                  </w:r>
                </w:p>
              </w:tc>
              <w:tc>
                <w:tcPr>
                  <w:tcW w:w="1350" w:type="dxa"/>
                  <w:vAlign w:val="center"/>
                </w:tcPr>
                <w:p>
                  <w:pPr>
                    <w:pStyle w:val="29"/>
                    <w:spacing w:line="360" w:lineRule="exact"/>
                    <w:rPr>
                      <w:color w:val="000000" w:themeColor="text1"/>
                      <w:kern w:val="0"/>
                      <w:szCs w:val="21"/>
                    </w:rPr>
                  </w:pPr>
                  <w:r>
                    <w:rPr>
                      <w:color w:val="000000" w:themeColor="text1"/>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HW13有机树脂类废物</w:t>
                  </w:r>
                </w:p>
              </w:tc>
              <w:tc>
                <w:tcPr>
                  <w:tcW w:w="1701" w:type="dxa"/>
                  <w:vAlign w:val="center"/>
                </w:tcPr>
                <w:p>
                  <w:pPr>
                    <w:pStyle w:val="29"/>
                    <w:spacing w:line="360" w:lineRule="exact"/>
                    <w:rPr>
                      <w:color w:val="000000" w:themeColor="text1"/>
                      <w:kern w:val="0"/>
                      <w:szCs w:val="21"/>
                    </w:rPr>
                  </w:pPr>
                  <w:r>
                    <w:rPr>
                      <w:color w:val="000000" w:themeColor="text1"/>
                      <w:kern w:val="0"/>
                      <w:szCs w:val="21"/>
                    </w:rPr>
                    <w:t>塑料桶</w:t>
                  </w:r>
                </w:p>
              </w:tc>
              <w:tc>
                <w:tcPr>
                  <w:tcW w:w="1276" w:type="dxa"/>
                  <w:vAlign w:val="center"/>
                </w:tcPr>
                <w:p>
                  <w:pPr>
                    <w:pStyle w:val="29"/>
                    <w:spacing w:line="360" w:lineRule="exact"/>
                    <w:rPr>
                      <w:color w:val="000000" w:themeColor="text1"/>
                      <w:kern w:val="0"/>
                      <w:szCs w:val="21"/>
                    </w:rPr>
                  </w:pPr>
                  <w:r>
                    <w:rPr>
                      <w:color w:val="000000" w:themeColor="text1"/>
                      <w:kern w:val="0"/>
                      <w:szCs w:val="21"/>
                    </w:rPr>
                    <w:t>2#贮存区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26.67</w:t>
                  </w:r>
                </w:p>
              </w:tc>
              <w:tc>
                <w:tcPr>
                  <w:tcW w:w="1350" w:type="dxa"/>
                  <w:vAlign w:val="center"/>
                </w:tcPr>
                <w:p>
                  <w:pPr>
                    <w:pStyle w:val="29"/>
                    <w:spacing w:line="360" w:lineRule="exact"/>
                    <w:rPr>
                      <w:color w:val="000000" w:themeColor="text1"/>
                      <w:kern w:val="0"/>
                      <w:szCs w:val="21"/>
                    </w:rPr>
                  </w:pPr>
                  <w:r>
                    <w:rPr>
                      <w:color w:val="000000" w:themeColor="text1"/>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9"/>
                    <w:spacing w:line="360" w:lineRule="exact"/>
                    <w:rPr>
                      <w:color w:val="000000" w:themeColor="text1"/>
                      <w:kern w:val="0"/>
                      <w:szCs w:val="21"/>
                    </w:rPr>
                  </w:pPr>
                  <w:r>
                    <w:rPr>
                      <w:color w:val="000000" w:themeColor="text1"/>
                      <w:kern w:val="0"/>
                      <w:szCs w:val="21"/>
                    </w:rPr>
                    <w:t>HW04农药废物</w:t>
                  </w:r>
                </w:p>
              </w:tc>
              <w:tc>
                <w:tcPr>
                  <w:tcW w:w="1701" w:type="dxa"/>
                  <w:vAlign w:val="center"/>
                </w:tcPr>
                <w:p>
                  <w:pPr>
                    <w:pStyle w:val="29"/>
                    <w:spacing w:line="360" w:lineRule="exact"/>
                    <w:rPr>
                      <w:color w:val="000000" w:themeColor="text1"/>
                      <w:kern w:val="0"/>
                      <w:szCs w:val="21"/>
                    </w:rPr>
                  </w:pPr>
                  <w:r>
                    <w:rPr>
                      <w:color w:val="000000" w:themeColor="text1"/>
                      <w:kern w:val="0"/>
                      <w:szCs w:val="21"/>
                    </w:rPr>
                    <w:t>塑料桶</w:t>
                  </w:r>
                </w:p>
              </w:tc>
              <w:tc>
                <w:tcPr>
                  <w:tcW w:w="1276" w:type="dxa"/>
                  <w:vAlign w:val="center"/>
                </w:tcPr>
                <w:p>
                  <w:pPr>
                    <w:pStyle w:val="29"/>
                    <w:spacing w:line="360" w:lineRule="exact"/>
                    <w:rPr>
                      <w:color w:val="000000" w:themeColor="text1"/>
                      <w:kern w:val="0"/>
                      <w:szCs w:val="21"/>
                    </w:rPr>
                  </w:pPr>
                  <w:r>
                    <w:rPr>
                      <w:color w:val="000000" w:themeColor="text1"/>
                      <w:kern w:val="0"/>
                      <w:szCs w:val="21"/>
                    </w:rPr>
                    <w:t>3#贮存区</w:t>
                  </w:r>
                </w:p>
              </w:tc>
              <w:tc>
                <w:tcPr>
                  <w:tcW w:w="1559" w:type="dxa"/>
                  <w:vAlign w:val="center"/>
                </w:tcPr>
                <w:p>
                  <w:pPr>
                    <w:pStyle w:val="29"/>
                    <w:spacing w:line="360" w:lineRule="exact"/>
                    <w:rPr>
                      <w:color w:val="000000" w:themeColor="text1"/>
                      <w:kern w:val="0"/>
                      <w:szCs w:val="21"/>
                    </w:rPr>
                  </w:pPr>
                  <w:r>
                    <w:rPr>
                      <w:color w:val="000000" w:themeColor="text1"/>
                      <w:kern w:val="0"/>
                      <w:szCs w:val="21"/>
                    </w:rPr>
                    <w:t>3.33</w:t>
                  </w:r>
                </w:p>
              </w:tc>
              <w:tc>
                <w:tcPr>
                  <w:tcW w:w="1350" w:type="dxa"/>
                  <w:vAlign w:val="center"/>
                </w:tcPr>
                <w:p>
                  <w:pPr>
                    <w:pStyle w:val="29"/>
                    <w:spacing w:line="360" w:lineRule="exact"/>
                    <w:rPr>
                      <w:color w:val="000000" w:themeColor="text1"/>
                      <w:kern w:val="0"/>
                      <w:szCs w:val="21"/>
                    </w:rPr>
                  </w:pPr>
                  <w:r>
                    <w:rPr>
                      <w:color w:val="000000" w:themeColor="text1"/>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6" w:type="dxa"/>
                  <w:gridSpan w:val="3"/>
                  <w:vAlign w:val="center"/>
                </w:tcPr>
                <w:p>
                  <w:pPr>
                    <w:pStyle w:val="29"/>
                    <w:spacing w:line="360" w:lineRule="exact"/>
                    <w:rPr>
                      <w:color w:val="000000" w:themeColor="text1"/>
                      <w:kern w:val="0"/>
                      <w:szCs w:val="21"/>
                    </w:rPr>
                  </w:pPr>
                  <w:r>
                    <w:rPr>
                      <w:color w:val="000000" w:themeColor="text1"/>
                      <w:kern w:val="0"/>
                      <w:szCs w:val="21"/>
                    </w:rPr>
                    <w:t>合计</w:t>
                  </w:r>
                </w:p>
              </w:tc>
              <w:tc>
                <w:tcPr>
                  <w:tcW w:w="1559" w:type="dxa"/>
                  <w:vAlign w:val="center"/>
                </w:tcPr>
                <w:p>
                  <w:pPr>
                    <w:pStyle w:val="29"/>
                    <w:spacing w:line="360" w:lineRule="exact"/>
                    <w:rPr>
                      <w:color w:val="000000" w:themeColor="text1"/>
                      <w:kern w:val="0"/>
                      <w:szCs w:val="21"/>
                    </w:rPr>
                  </w:pPr>
                  <w:r>
                    <w:rPr>
                      <w:color w:val="000000" w:themeColor="text1"/>
                      <w:kern w:val="0"/>
                      <w:szCs w:val="21"/>
                    </w:rPr>
                    <w:t>227.49</w:t>
                  </w:r>
                </w:p>
              </w:tc>
              <w:tc>
                <w:tcPr>
                  <w:tcW w:w="1350" w:type="dxa"/>
                  <w:vAlign w:val="center"/>
                </w:tcPr>
                <w:p>
                  <w:pPr>
                    <w:pStyle w:val="29"/>
                    <w:spacing w:line="360" w:lineRule="exact"/>
                    <w:rPr>
                      <w:color w:val="000000" w:themeColor="text1"/>
                      <w:kern w:val="0"/>
                      <w:szCs w:val="21"/>
                    </w:rPr>
                  </w:pPr>
                  <w:r>
                    <w:rPr>
                      <w:color w:val="000000" w:themeColor="text1"/>
                      <w:kern w:val="0"/>
                      <w:szCs w:val="21"/>
                    </w:rPr>
                    <w:t>2730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贮存的含有可挥发性有机物的危险废物的特点可知，废矿物油类危险废物不同于汽油、柴油等未使用的产品，矿物油中可能挥发的有机物大部分已在使用过程挥发，如HW08废矿物油与含矿物油废物，其主要成分是芳烃系列混合物、多环芳烃、醚类等，其使用工序主要包括各类机械设备的润滑抗磨和降温等过程，大部分使用环境都经历过高温等条件，其易挥发的醚类、烃类物质已挥发；而主要收集到的HW08废矿物油与含矿物油废物所含成分都是不易挥发的芳烃系列混合物、多环芳烃和杂质等，其他类别的含有可挥发性有机物也是同理，可挥发的有机物大部分已在使用过程挥发，仅少部分在变为危险废物之后挥发；且上述危险废物主要采用储罐、铁桶、塑料桶等盛装，从入库到出库整个环节都保持危险废物的原始包装状态，贮存过程没有打开包装和分装环节，因此该项目收集的危险废物在贮存和转移过程中，其有机废气（非甲烷总烃）产生量不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参考《环境影响评价实用技术指南》提供的数据对有机废气（非甲烷总烃）进行核算，有机物挥发排污系数按物料量的0.1‰-0.4‰，基于上述原因，本环评取平均值0.25‰，项目拟收集的各类含有可挥发性有机物的危险废物最大贮存量为227.49t/d、年收集量为2730t/a，则有机废气（非甲烷总烃）产生量为0.68t/a，最大日产生量为0.057t/a（2.37kg/h）。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有机废气（非甲烷总烃）的处理效率约为30%，则有机废气（非甲烷总烃）：有组织产生浓度为118.5mg/m³，排放浓度为82.95mg/m³，排放速率为1.33kg/h，排放量为0.38t/a，无组织排放量为0.14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②酸性废气（HCl）产排核算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根据项目拟收集的危险废物种类中HW16感光材料废物、HW17表面处理废物、HW34废酸危险废物均含挥发性酸性物质，根据贮存方式可知，该项目上述危险废物的贮存情况如下表所示。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表4.2.1-2 含挥发性酸性物质贮存情况一览表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574"/>
              <w:gridCol w:w="1578"/>
              <w:gridCol w:w="155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9"/>
                    <w:spacing w:line="360" w:lineRule="exact"/>
                    <w:rPr>
                      <w:color w:val="000000" w:themeColor="text1"/>
                      <w:szCs w:val="21"/>
                    </w:rPr>
                  </w:pPr>
                  <w:r>
                    <w:rPr>
                      <w:color w:val="000000" w:themeColor="text1"/>
                      <w:szCs w:val="21"/>
                    </w:rPr>
                    <w:t>危险废物类别</w:t>
                  </w:r>
                </w:p>
              </w:tc>
              <w:tc>
                <w:tcPr>
                  <w:tcW w:w="1559" w:type="dxa"/>
                  <w:vAlign w:val="center"/>
                </w:tcPr>
                <w:p>
                  <w:pPr>
                    <w:pStyle w:val="29"/>
                    <w:spacing w:line="360" w:lineRule="exact"/>
                    <w:rPr>
                      <w:color w:val="000000" w:themeColor="text1"/>
                      <w:szCs w:val="21"/>
                    </w:rPr>
                  </w:pPr>
                  <w:r>
                    <w:rPr>
                      <w:color w:val="000000" w:themeColor="text1"/>
                      <w:szCs w:val="21"/>
                    </w:rPr>
                    <w:t>液态危险废物包装形式</w:t>
                  </w:r>
                </w:p>
              </w:tc>
              <w:tc>
                <w:tcPr>
                  <w:tcW w:w="1563" w:type="dxa"/>
                  <w:vAlign w:val="center"/>
                </w:tcPr>
                <w:p>
                  <w:pPr>
                    <w:pStyle w:val="29"/>
                    <w:spacing w:line="360" w:lineRule="exact"/>
                    <w:rPr>
                      <w:color w:val="000000" w:themeColor="text1"/>
                      <w:szCs w:val="21"/>
                    </w:rPr>
                  </w:pPr>
                  <w:r>
                    <w:rPr>
                      <w:color w:val="000000" w:themeColor="text1"/>
                      <w:szCs w:val="21"/>
                    </w:rPr>
                    <w:t>贮存区域</w:t>
                  </w:r>
                </w:p>
              </w:tc>
              <w:tc>
                <w:tcPr>
                  <w:tcW w:w="1544" w:type="dxa"/>
                  <w:vAlign w:val="center"/>
                </w:tcPr>
                <w:p>
                  <w:pPr>
                    <w:pStyle w:val="29"/>
                    <w:spacing w:line="360" w:lineRule="exact"/>
                    <w:rPr>
                      <w:color w:val="000000" w:themeColor="text1"/>
                      <w:szCs w:val="21"/>
                    </w:rPr>
                  </w:pPr>
                  <w:r>
                    <w:rPr>
                      <w:color w:val="000000" w:themeColor="text1"/>
                      <w:szCs w:val="21"/>
                    </w:rPr>
                    <w:t>最大贮存量（t）</w:t>
                  </w:r>
                </w:p>
              </w:tc>
              <w:tc>
                <w:tcPr>
                  <w:tcW w:w="1338" w:type="dxa"/>
                  <w:vAlign w:val="center"/>
                </w:tcPr>
                <w:p>
                  <w:pPr>
                    <w:pStyle w:val="29"/>
                    <w:spacing w:line="360" w:lineRule="exact"/>
                    <w:rPr>
                      <w:color w:val="000000" w:themeColor="text1"/>
                      <w:szCs w:val="21"/>
                    </w:rPr>
                  </w:pPr>
                  <w:r>
                    <w:rPr>
                      <w:color w:val="000000" w:themeColor="text1"/>
                      <w:szCs w:val="21"/>
                    </w:rPr>
                    <w:t>年收集量（t）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9"/>
                    <w:spacing w:line="360" w:lineRule="exact"/>
                    <w:rPr>
                      <w:color w:val="000000" w:themeColor="text1"/>
                      <w:szCs w:val="21"/>
                    </w:rPr>
                  </w:pPr>
                  <w:r>
                    <w:rPr>
                      <w:color w:val="000000" w:themeColor="text1"/>
                      <w:szCs w:val="21"/>
                    </w:rPr>
                    <w:t>HW16感光材料废物</w:t>
                  </w:r>
                </w:p>
              </w:tc>
              <w:tc>
                <w:tcPr>
                  <w:tcW w:w="1559" w:type="dxa"/>
                  <w:vAlign w:val="center"/>
                </w:tcPr>
                <w:p>
                  <w:pPr>
                    <w:pStyle w:val="29"/>
                    <w:spacing w:line="360" w:lineRule="exact"/>
                    <w:rPr>
                      <w:color w:val="000000" w:themeColor="text1"/>
                      <w:szCs w:val="21"/>
                    </w:rPr>
                  </w:pPr>
                  <w:r>
                    <w:rPr>
                      <w:color w:val="000000" w:themeColor="text1"/>
                      <w:szCs w:val="21"/>
                    </w:rPr>
                    <w:t>塑料桶</w:t>
                  </w:r>
                </w:p>
              </w:tc>
              <w:tc>
                <w:tcPr>
                  <w:tcW w:w="1563" w:type="dxa"/>
                  <w:vAlign w:val="center"/>
                </w:tcPr>
                <w:p>
                  <w:pPr>
                    <w:pStyle w:val="29"/>
                    <w:spacing w:line="360" w:lineRule="exact"/>
                    <w:rPr>
                      <w:color w:val="000000" w:themeColor="text1"/>
                      <w:szCs w:val="21"/>
                    </w:rPr>
                  </w:pPr>
                  <w:r>
                    <w:rPr>
                      <w:color w:val="000000" w:themeColor="text1"/>
                      <w:szCs w:val="21"/>
                    </w:rPr>
                    <w:t>4#贮存区</w:t>
                  </w:r>
                </w:p>
              </w:tc>
              <w:tc>
                <w:tcPr>
                  <w:tcW w:w="1544" w:type="dxa"/>
                  <w:vAlign w:val="center"/>
                </w:tcPr>
                <w:p>
                  <w:pPr>
                    <w:pStyle w:val="29"/>
                    <w:spacing w:line="360" w:lineRule="exact"/>
                    <w:rPr>
                      <w:color w:val="000000" w:themeColor="text1"/>
                      <w:szCs w:val="21"/>
                    </w:rPr>
                  </w:pPr>
                  <w:r>
                    <w:rPr>
                      <w:color w:val="000000" w:themeColor="text1"/>
                      <w:szCs w:val="21"/>
                    </w:rPr>
                    <w:t>15.83</w:t>
                  </w:r>
                </w:p>
              </w:tc>
              <w:tc>
                <w:tcPr>
                  <w:tcW w:w="1338" w:type="dxa"/>
                  <w:vAlign w:val="center"/>
                </w:tcPr>
                <w:p>
                  <w:pPr>
                    <w:pStyle w:val="29"/>
                    <w:spacing w:line="360" w:lineRule="exact"/>
                    <w:rPr>
                      <w:color w:val="000000" w:themeColor="text1"/>
                      <w:szCs w:val="21"/>
                    </w:rPr>
                  </w:pPr>
                  <w:r>
                    <w:rPr>
                      <w:color w:val="000000" w:themeColor="text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9"/>
                    <w:spacing w:line="360" w:lineRule="exact"/>
                    <w:rPr>
                      <w:color w:val="000000" w:themeColor="text1"/>
                      <w:szCs w:val="21"/>
                    </w:rPr>
                  </w:pPr>
                  <w:r>
                    <w:rPr>
                      <w:color w:val="000000" w:themeColor="text1"/>
                      <w:szCs w:val="21"/>
                    </w:rPr>
                    <w:t>HW17表面处理废物</w:t>
                  </w:r>
                </w:p>
              </w:tc>
              <w:tc>
                <w:tcPr>
                  <w:tcW w:w="1559" w:type="dxa"/>
                  <w:vAlign w:val="center"/>
                </w:tcPr>
                <w:p>
                  <w:pPr>
                    <w:pStyle w:val="29"/>
                    <w:spacing w:line="360" w:lineRule="exact"/>
                    <w:rPr>
                      <w:color w:val="000000" w:themeColor="text1"/>
                      <w:szCs w:val="21"/>
                    </w:rPr>
                  </w:pPr>
                  <w:r>
                    <w:rPr>
                      <w:color w:val="000000" w:themeColor="text1"/>
                      <w:szCs w:val="21"/>
                    </w:rPr>
                    <w:t>塑料桶</w:t>
                  </w:r>
                </w:p>
              </w:tc>
              <w:tc>
                <w:tcPr>
                  <w:tcW w:w="1563" w:type="dxa"/>
                  <w:vAlign w:val="center"/>
                </w:tcPr>
                <w:p>
                  <w:pPr>
                    <w:pStyle w:val="29"/>
                    <w:spacing w:line="360" w:lineRule="exact"/>
                    <w:rPr>
                      <w:color w:val="000000" w:themeColor="text1"/>
                      <w:szCs w:val="21"/>
                    </w:rPr>
                  </w:pPr>
                  <w:r>
                    <w:rPr>
                      <w:color w:val="000000" w:themeColor="text1"/>
                      <w:szCs w:val="21"/>
                    </w:rPr>
                    <w:t>6#贮存区</w:t>
                  </w:r>
                </w:p>
              </w:tc>
              <w:tc>
                <w:tcPr>
                  <w:tcW w:w="1544" w:type="dxa"/>
                  <w:vAlign w:val="center"/>
                </w:tcPr>
                <w:p>
                  <w:pPr>
                    <w:pStyle w:val="29"/>
                    <w:spacing w:line="360" w:lineRule="exact"/>
                    <w:rPr>
                      <w:color w:val="000000" w:themeColor="text1"/>
                      <w:szCs w:val="21"/>
                    </w:rPr>
                  </w:pPr>
                  <w:r>
                    <w:rPr>
                      <w:color w:val="000000" w:themeColor="text1"/>
                      <w:szCs w:val="21"/>
                    </w:rPr>
                    <w:t>14.17</w:t>
                  </w:r>
                </w:p>
              </w:tc>
              <w:tc>
                <w:tcPr>
                  <w:tcW w:w="1338" w:type="dxa"/>
                  <w:vAlign w:val="center"/>
                </w:tcPr>
                <w:p>
                  <w:pPr>
                    <w:pStyle w:val="29"/>
                    <w:spacing w:line="360" w:lineRule="exact"/>
                    <w:rPr>
                      <w:color w:val="000000" w:themeColor="text1"/>
                      <w:szCs w:val="21"/>
                    </w:rPr>
                  </w:pPr>
                  <w:r>
                    <w:rPr>
                      <w:color w:val="000000" w:themeColor="text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9"/>
                    <w:spacing w:line="360" w:lineRule="exact"/>
                    <w:rPr>
                      <w:color w:val="000000" w:themeColor="text1"/>
                      <w:szCs w:val="21"/>
                    </w:rPr>
                  </w:pPr>
                  <w:r>
                    <w:rPr>
                      <w:color w:val="000000" w:themeColor="text1"/>
                      <w:szCs w:val="21"/>
                    </w:rPr>
                    <w:t>HW34废酸</w:t>
                  </w:r>
                </w:p>
              </w:tc>
              <w:tc>
                <w:tcPr>
                  <w:tcW w:w="1559" w:type="dxa"/>
                  <w:vAlign w:val="center"/>
                </w:tcPr>
                <w:p>
                  <w:pPr>
                    <w:pStyle w:val="29"/>
                    <w:spacing w:line="360" w:lineRule="exact"/>
                    <w:rPr>
                      <w:color w:val="000000" w:themeColor="text1"/>
                      <w:szCs w:val="21"/>
                    </w:rPr>
                  </w:pPr>
                  <w:r>
                    <w:rPr>
                      <w:color w:val="000000" w:themeColor="text1"/>
                      <w:szCs w:val="21"/>
                    </w:rPr>
                    <w:t>塑料桶</w:t>
                  </w:r>
                </w:p>
              </w:tc>
              <w:tc>
                <w:tcPr>
                  <w:tcW w:w="1563" w:type="dxa"/>
                  <w:vAlign w:val="center"/>
                </w:tcPr>
                <w:p>
                  <w:pPr>
                    <w:pStyle w:val="29"/>
                    <w:spacing w:line="360" w:lineRule="exact"/>
                    <w:rPr>
                      <w:color w:val="000000" w:themeColor="text1"/>
                      <w:szCs w:val="21"/>
                    </w:rPr>
                  </w:pPr>
                  <w:r>
                    <w:rPr>
                      <w:color w:val="000000" w:themeColor="text1"/>
                      <w:szCs w:val="21"/>
                    </w:rPr>
                    <w:t>4#贮存区</w:t>
                  </w:r>
                </w:p>
              </w:tc>
              <w:tc>
                <w:tcPr>
                  <w:tcW w:w="1544" w:type="dxa"/>
                  <w:vAlign w:val="center"/>
                </w:tcPr>
                <w:p>
                  <w:pPr>
                    <w:pStyle w:val="29"/>
                    <w:spacing w:line="360" w:lineRule="exact"/>
                    <w:rPr>
                      <w:color w:val="000000" w:themeColor="text1"/>
                      <w:szCs w:val="21"/>
                    </w:rPr>
                  </w:pPr>
                  <w:r>
                    <w:rPr>
                      <w:color w:val="000000" w:themeColor="text1"/>
                      <w:szCs w:val="21"/>
                    </w:rPr>
                    <w:t>16.67</w:t>
                  </w:r>
                </w:p>
              </w:tc>
              <w:tc>
                <w:tcPr>
                  <w:tcW w:w="1338" w:type="dxa"/>
                  <w:vAlign w:val="center"/>
                </w:tcPr>
                <w:p>
                  <w:pPr>
                    <w:pStyle w:val="29"/>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0" w:type="dxa"/>
                  <w:gridSpan w:val="3"/>
                  <w:vAlign w:val="center"/>
                </w:tcPr>
                <w:p>
                  <w:pPr>
                    <w:pStyle w:val="29"/>
                    <w:spacing w:line="360" w:lineRule="exact"/>
                    <w:rPr>
                      <w:color w:val="000000" w:themeColor="text1"/>
                      <w:szCs w:val="21"/>
                    </w:rPr>
                  </w:pPr>
                  <w:r>
                    <w:rPr>
                      <w:color w:val="000000" w:themeColor="text1"/>
                      <w:szCs w:val="21"/>
                    </w:rPr>
                    <w:t>合计</w:t>
                  </w:r>
                </w:p>
              </w:tc>
              <w:tc>
                <w:tcPr>
                  <w:tcW w:w="1544" w:type="dxa"/>
                  <w:vAlign w:val="center"/>
                </w:tcPr>
                <w:p>
                  <w:pPr>
                    <w:pStyle w:val="29"/>
                    <w:spacing w:line="360" w:lineRule="exact"/>
                    <w:rPr>
                      <w:color w:val="000000" w:themeColor="text1"/>
                      <w:szCs w:val="21"/>
                    </w:rPr>
                  </w:pPr>
                  <w:r>
                    <w:rPr>
                      <w:color w:val="000000" w:themeColor="text1"/>
                      <w:szCs w:val="21"/>
                    </w:rPr>
                    <w:t>46.67</w:t>
                  </w:r>
                </w:p>
              </w:tc>
              <w:tc>
                <w:tcPr>
                  <w:tcW w:w="1338" w:type="dxa"/>
                  <w:vAlign w:val="center"/>
                </w:tcPr>
                <w:p>
                  <w:pPr>
                    <w:pStyle w:val="29"/>
                    <w:spacing w:line="360" w:lineRule="exact"/>
                    <w:rPr>
                      <w:color w:val="000000" w:themeColor="text1"/>
                      <w:szCs w:val="21"/>
                    </w:rPr>
                  </w:pPr>
                  <w:r>
                    <w:rPr>
                      <w:color w:val="000000" w:themeColor="text1"/>
                      <w:szCs w:val="21"/>
                    </w:rPr>
                    <w:t>560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贮存的含挥发性酸性物质的危险废物特性可知，其主要成分包括盐酸、硫酸、硝酸和磷酸等，其中磷酸不易挥发，根据硫酸雾的产生原理可知，硫酸雾主要产生于发烟硫酸（浓度大于98%的硫酸），浓度大于98%的硫酸中溶有过量的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，在敞口时会挥发出一些SO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气体，和空气中的水蒸气结合成细小的硫酸雾滴，即形成硫酸雾），而该项目收集到的废酸或含有硫酸溶液的危险废物，基本为废稀硫酸，则基本不会有硫酸雾产生；而同样仅浓硝酸才容易分解挥发，项目所收集的废稀硝酸分解挥发的可能性较小；因此项目产生的主要有毒有害的酸性气体主要为HCl。项目所收集的酸性物质均采用密闭塑料桶收集，贮存运输，其挥发量很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类比《云南广莱再生资源回收有限公司危险废物收集试点污染防治设施建设项目环境影响报告表》的计算方法对其进行计算，根据调查，类比项目同为昆明市试点的小微企业危险废物收集试点项目，其收集规模和收集类别和本次建设项目相似，具有可类别性，类比该建设项目，酸性废气（HCl）产生量按含挥发性酸性物质贮存量的0.5‰计，项目拟收集的各类挥发性酸性物质的危险废物最大贮存量为46.67t/d、年收集量为560t/a，则酸性废气（HCl）产生量为0.28t/a，最大日产生量为0.023t/a（0.97kg/h）。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酸性废气（HCl）处理效率约为95%，则酸性废气（HCl）：有组织产生浓度为48.61mg/m³，排放浓度为2.43mg/m³，排放速率为0.04kg/h，排放量为0.01t/a，无组织排放量为0.056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③恶臭废气（氨、硫化氢和臭气浓度）产排核算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拟收集的各类危险废物暂存过程中均可能挥发产生恶臭废气，恶臭废气主要包括氨、硫化氢和臭气浓度，本环评类比《云南广莱再生资源回收有限公司危险废物收集试点污染防治设施建设项目环境影响报告表》的计算方法对其进行计算，根据调查，类比项目同为昆明市试点的小微企业危险废物收集试点项目，其收集规模和收集类别和本次建设项目相似，具有可类别性，类比该建设项目，项目氨产生速率约为0.027kg/h，氨产生量约为0.237t/a，硫化氢产生速率约为0.2g/h，硫化氢产生量约为0.002t/a，而臭气浓度无量纲，不进行定量计算。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恶臭废气（氨、硫化氢和臭气浓度）处理效率约为60%，则氨有组织产生浓度为1.35mg/m³，氨有组织排放浓度为0.54mg/m³，氨有组织排放速率为0.009kg/h，氨有组织排放量为0.08t/a，氨无组织排放量为0.05t/a；硫化氢有组织产生浓度为0.01mg/m³，硫化氢有组织排放浓度为0.004mg/m³，硫化氢有组织排放速率为0.06g/h，硫化氢有组织排放量为0.0006t/a，硫化氢无组织排放量为0.0004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表4.2.1-1废气污染物治理措施及排放方式一览表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6"/>
              <w:gridCol w:w="853"/>
              <w:gridCol w:w="852"/>
              <w:gridCol w:w="3112"/>
              <w:gridCol w:w="710"/>
              <w:gridCol w:w="710"/>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4" w:type="dxa"/>
                  <w:gridSpan w:val="2"/>
                  <w:vAlign w:val="center"/>
                </w:tcPr>
                <w:p>
                  <w:pPr>
                    <w:pStyle w:val="29"/>
                    <w:spacing w:line="360" w:lineRule="exact"/>
                    <w:rPr>
                      <w:color w:val="000000" w:themeColor="text1"/>
                      <w:szCs w:val="21"/>
                    </w:rPr>
                  </w:pPr>
                  <w:r>
                    <w:rPr>
                      <w:color w:val="000000" w:themeColor="text1"/>
                      <w:szCs w:val="21"/>
                    </w:rPr>
                    <w:t>产排污环节</w:t>
                  </w:r>
                </w:p>
              </w:tc>
              <w:tc>
                <w:tcPr>
                  <w:tcW w:w="844" w:type="dxa"/>
                  <w:vAlign w:val="center"/>
                </w:tcPr>
                <w:p>
                  <w:pPr>
                    <w:pStyle w:val="29"/>
                    <w:spacing w:line="360" w:lineRule="exact"/>
                    <w:rPr>
                      <w:color w:val="000000" w:themeColor="text1"/>
                      <w:szCs w:val="21"/>
                    </w:rPr>
                  </w:pPr>
                  <w:r>
                    <w:rPr>
                      <w:color w:val="000000" w:themeColor="text1"/>
                      <w:szCs w:val="21"/>
                    </w:rPr>
                    <w:t>污染物种类</w:t>
                  </w:r>
                </w:p>
              </w:tc>
              <w:tc>
                <w:tcPr>
                  <w:tcW w:w="3082" w:type="dxa"/>
                  <w:vAlign w:val="center"/>
                </w:tcPr>
                <w:p>
                  <w:pPr>
                    <w:pStyle w:val="29"/>
                    <w:spacing w:line="360" w:lineRule="exact"/>
                    <w:rPr>
                      <w:color w:val="000000" w:themeColor="text1"/>
                      <w:szCs w:val="21"/>
                    </w:rPr>
                  </w:pPr>
                  <w:r>
                    <w:rPr>
                      <w:color w:val="000000" w:themeColor="text1"/>
                      <w:szCs w:val="21"/>
                    </w:rPr>
                    <w:t>治理设施及效率</w:t>
                  </w:r>
                </w:p>
              </w:tc>
              <w:tc>
                <w:tcPr>
                  <w:tcW w:w="70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19" w:type="dxa"/>
                  <w:gridSpan w:val="2"/>
                  <w:vAlign w:val="center"/>
                </w:tcPr>
                <w:p>
                  <w:pPr>
                    <w:pStyle w:val="29"/>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729"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危险废物贮存</w:t>
                  </w:r>
                </w:p>
              </w:tc>
              <w:tc>
                <w:tcPr>
                  <w:tcW w:w="845" w:type="dxa"/>
                  <w:vMerge w:val="restart"/>
                  <w:tcBorders>
                    <w:left w:val="single" w:color="auto" w:sz="4" w:space="0"/>
                  </w:tcBorders>
                  <w:vAlign w:val="center"/>
                </w:tcPr>
                <w:p>
                  <w:pPr>
                    <w:pStyle w:val="29"/>
                    <w:spacing w:line="360" w:lineRule="exact"/>
                    <w:rPr>
                      <w:color w:val="000000" w:themeColor="text1"/>
                      <w:szCs w:val="21"/>
                    </w:rPr>
                  </w:pPr>
                  <w:r>
                    <w:rPr>
                      <w:color w:val="000000" w:themeColor="text1"/>
                      <w:szCs w:val="21"/>
                    </w:rPr>
                    <w:t>贮存、转运</w:t>
                  </w:r>
                </w:p>
              </w:tc>
              <w:tc>
                <w:tcPr>
                  <w:tcW w:w="844" w:type="dxa"/>
                  <w:vMerge w:val="restart"/>
                  <w:vAlign w:val="center"/>
                </w:tcPr>
                <w:p>
                  <w:pPr>
                    <w:pStyle w:val="29"/>
                    <w:spacing w:line="360" w:lineRule="exact"/>
                    <w:rPr>
                      <w:color w:val="000000" w:themeColor="text1"/>
                      <w:szCs w:val="21"/>
                    </w:rPr>
                  </w:pPr>
                  <w:r>
                    <w:rPr>
                      <w:color w:val="000000" w:themeColor="text1"/>
                      <w:szCs w:val="21"/>
                    </w:rPr>
                    <w:t>非甲烷总烃</w:t>
                  </w:r>
                </w:p>
              </w:tc>
              <w:tc>
                <w:tcPr>
                  <w:tcW w:w="3082" w:type="dxa"/>
                  <w:vMerge w:val="restart"/>
                  <w:vAlign w:val="center"/>
                </w:tcPr>
                <w:p>
                  <w:pPr>
                    <w:pStyle w:val="29"/>
                    <w:spacing w:line="360" w:lineRule="exact"/>
                    <w:ind w:firstLine="210" w:firstLineChars="100"/>
                    <w:jc w:val="both"/>
                    <w:rPr>
                      <w:color w:val="000000" w:themeColor="text1"/>
                      <w:szCs w:val="21"/>
                      <w:lang w:val="en-US"/>
                    </w:rPr>
                  </w:pPr>
                  <w:r>
                    <w:rPr>
                      <w:color w:val="000000" w:themeColor="text1"/>
                      <w:szCs w:val="21"/>
                    </w:rPr>
                    <w:t>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有机废气（非甲烷总烃）的处理效率约为30%，酸性废气（HCl）处理效率约为95%，恶臭废气（氨、硫化氢和臭气浓度）处理效率约为60%。</w:t>
                  </w:r>
                </w:p>
              </w:tc>
              <w:tc>
                <w:tcPr>
                  <w:tcW w:w="70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有组织</w:t>
                  </w:r>
                </w:p>
              </w:tc>
              <w:tc>
                <w:tcPr>
                  <w:tcW w:w="2319" w:type="dxa"/>
                  <w:gridSpan w:val="2"/>
                  <w:tcBorders>
                    <w:bottom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tcBorders>
                  <w:vAlign w:val="center"/>
                </w:tcPr>
                <w:p>
                  <w:pPr>
                    <w:pStyle w:val="29"/>
                    <w:spacing w:line="360" w:lineRule="exact"/>
                    <w:rPr>
                      <w:color w:val="000000" w:themeColor="text1"/>
                      <w:szCs w:val="21"/>
                    </w:rPr>
                  </w:pPr>
                </w:p>
              </w:tc>
              <w:tc>
                <w:tcPr>
                  <w:tcW w:w="844" w:type="dxa"/>
                  <w:vMerge w:val="continue"/>
                  <w:vAlign w:val="center"/>
                </w:tcPr>
                <w:p>
                  <w:pPr>
                    <w:pStyle w:val="29"/>
                    <w:spacing w:line="360" w:lineRule="exact"/>
                    <w:rPr>
                      <w:color w:val="000000" w:themeColor="text1"/>
                      <w:szCs w:val="21"/>
                    </w:rPr>
                  </w:pPr>
                </w:p>
              </w:tc>
              <w:tc>
                <w:tcPr>
                  <w:tcW w:w="3082" w:type="dxa"/>
                  <w:vMerge w:val="continue"/>
                  <w:vAlign w:val="center"/>
                </w:tcPr>
                <w:p>
                  <w:pPr>
                    <w:pStyle w:val="29"/>
                    <w:spacing w:line="360" w:lineRule="exact"/>
                    <w:ind w:firstLine="210" w:firstLineChars="100"/>
                    <w:jc w:val="both"/>
                    <w:rPr>
                      <w:color w:val="000000" w:themeColor="text1"/>
                      <w:szCs w:val="21"/>
                    </w:rPr>
                  </w:pPr>
                </w:p>
              </w:tc>
              <w:tc>
                <w:tcPr>
                  <w:tcW w:w="70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3"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高度</w:t>
                  </w:r>
                </w:p>
              </w:tc>
              <w:tc>
                <w:tcPr>
                  <w:tcW w:w="1616" w:type="dxa"/>
                  <w:tcBorders>
                    <w:top w:val="single" w:color="auto" w:sz="4" w:space="0"/>
                    <w:left w:val="single" w:color="auto" w:sz="4" w:space="0"/>
                    <w:bottom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tcBorders>
                  <w:vAlign w:val="center"/>
                </w:tcPr>
                <w:p>
                  <w:pPr>
                    <w:pStyle w:val="29"/>
                    <w:spacing w:line="360" w:lineRule="exact"/>
                    <w:rPr>
                      <w:color w:val="000000" w:themeColor="text1"/>
                      <w:szCs w:val="21"/>
                    </w:rPr>
                  </w:pPr>
                </w:p>
              </w:tc>
              <w:tc>
                <w:tcPr>
                  <w:tcW w:w="844" w:type="dxa"/>
                  <w:vAlign w:val="center"/>
                </w:tcPr>
                <w:p>
                  <w:pPr>
                    <w:pStyle w:val="29"/>
                    <w:spacing w:line="360" w:lineRule="exact"/>
                    <w:rPr>
                      <w:color w:val="000000" w:themeColor="text1"/>
                      <w:szCs w:val="21"/>
                    </w:rPr>
                  </w:pPr>
                  <w:r>
                    <w:rPr>
                      <w:color w:val="000000" w:themeColor="text1"/>
                      <w:szCs w:val="21"/>
                    </w:rPr>
                    <w:t>HCl</w:t>
                  </w:r>
                </w:p>
              </w:tc>
              <w:tc>
                <w:tcPr>
                  <w:tcW w:w="3082" w:type="dxa"/>
                  <w:vMerge w:val="continue"/>
                  <w:vAlign w:val="center"/>
                </w:tcPr>
                <w:p>
                  <w:pPr>
                    <w:pStyle w:val="29"/>
                    <w:spacing w:line="360" w:lineRule="exact"/>
                    <w:rPr>
                      <w:color w:val="000000" w:themeColor="text1"/>
                      <w:szCs w:val="21"/>
                    </w:rPr>
                  </w:pPr>
                </w:p>
              </w:tc>
              <w:tc>
                <w:tcPr>
                  <w:tcW w:w="70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3"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内径</w:t>
                  </w:r>
                </w:p>
              </w:tc>
              <w:tc>
                <w:tcPr>
                  <w:tcW w:w="1616" w:type="dxa"/>
                  <w:tcBorders>
                    <w:top w:val="single" w:color="auto" w:sz="4" w:space="0"/>
                    <w:left w:val="single" w:color="auto" w:sz="4" w:space="0"/>
                    <w:bottom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tcBorders>
                  <w:vAlign w:val="center"/>
                </w:tcPr>
                <w:p>
                  <w:pPr>
                    <w:pStyle w:val="29"/>
                    <w:spacing w:line="360" w:lineRule="exact"/>
                    <w:rPr>
                      <w:color w:val="000000" w:themeColor="text1"/>
                      <w:szCs w:val="21"/>
                    </w:rPr>
                  </w:pPr>
                </w:p>
              </w:tc>
              <w:tc>
                <w:tcPr>
                  <w:tcW w:w="844" w:type="dxa"/>
                  <w:vAlign w:val="center"/>
                </w:tcPr>
                <w:p>
                  <w:pPr>
                    <w:pStyle w:val="29"/>
                    <w:spacing w:line="360" w:lineRule="exact"/>
                    <w:rPr>
                      <w:color w:val="000000" w:themeColor="text1"/>
                      <w:szCs w:val="21"/>
                    </w:rPr>
                  </w:pPr>
                  <w:r>
                    <w:rPr>
                      <w:color w:val="000000" w:themeColor="text1"/>
                      <w:szCs w:val="21"/>
                    </w:rPr>
                    <w:t>氨</w:t>
                  </w:r>
                </w:p>
              </w:tc>
              <w:tc>
                <w:tcPr>
                  <w:tcW w:w="3082" w:type="dxa"/>
                  <w:vMerge w:val="continue"/>
                  <w:vAlign w:val="center"/>
                </w:tcPr>
                <w:p>
                  <w:pPr>
                    <w:pStyle w:val="29"/>
                    <w:spacing w:line="360" w:lineRule="exact"/>
                    <w:rPr>
                      <w:color w:val="000000" w:themeColor="text1"/>
                      <w:szCs w:val="21"/>
                    </w:rPr>
                  </w:pPr>
                </w:p>
              </w:tc>
              <w:tc>
                <w:tcPr>
                  <w:tcW w:w="70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3"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温度</w:t>
                  </w:r>
                </w:p>
              </w:tc>
              <w:tc>
                <w:tcPr>
                  <w:tcW w:w="1616" w:type="dxa"/>
                  <w:tcBorders>
                    <w:top w:val="single" w:color="auto" w:sz="4" w:space="0"/>
                    <w:left w:val="single" w:color="auto" w:sz="4" w:space="0"/>
                    <w:bottom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0.68m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tcBorders>
                  <w:vAlign w:val="center"/>
                </w:tcPr>
                <w:p>
                  <w:pPr>
                    <w:pStyle w:val="29"/>
                    <w:spacing w:line="360" w:lineRule="exact"/>
                    <w:rPr>
                      <w:color w:val="000000" w:themeColor="text1"/>
                      <w:szCs w:val="21"/>
                    </w:rPr>
                  </w:pPr>
                </w:p>
              </w:tc>
              <w:tc>
                <w:tcPr>
                  <w:tcW w:w="844" w:type="dxa"/>
                  <w:vMerge w:val="restart"/>
                  <w:vAlign w:val="center"/>
                </w:tcPr>
                <w:p>
                  <w:pPr>
                    <w:pStyle w:val="29"/>
                    <w:spacing w:line="360" w:lineRule="exact"/>
                    <w:rPr>
                      <w:color w:val="000000" w:themeColor="text1"/>
                      <w:szCs w:val="21"/>
                    </w:rPr>
                  </w:pPr>
                  <w:r>
                    <w:rPr>
                      <w:color w:val="000000" w:themeColor="text1"/>
                      <w:szCs w:val="21"/>
                    </w:rPr>
                    <w:t>硫化氢</w:t>
                  </w:r>
                </w:p>
              </w:tc>
              <w:tc>
                <w:tcPr>
                  <w:tcW w:w="3082" w:type="dxa"/>
                  <w:vMerge w:val="continue"/>
                  <w:vAlign w:val="center"/>
                </w:tcPr>
                <w:p>
                  <w:pPr>
                    <w:pStyle w:val="29"/>
                    <w:spacing w:line="360" w:lineRule="exact"/>
                    <w:rPr>
                      <w:color w:val="000000" w:themeColor="text1"/>
                      <w:szCs w:val="21"/>
                    </w:rPr>
                  </w:pPr>
                </w:p>
              </w:tc>
              <w:tc>
                <w:tcPr>
                  <w:tcW w:w="70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3"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编号</w:t>
                  </w:r>
                </w:p>
              </w:tc>
              <w:tc>
                <w:tcPr>
                  <w:tcW w:w="1616" w:type="dxa"/>
                  <w:tcBorders>
                    <w:top w:val="single" w:color="auto" w:sz="4" w:space="0"/>
                    <w:left w:val="single" w:color="auto" w:sz="4" w:space="0"/>
                    <w:bottom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tcBorders>
                  <w:vAlign w:val="center"/>
                </w:tcPr>
                <w:p>
                  <w:pPr>
                    <w:pStyle w:val="29"/>
                    <w:spacing w:line="360" w:lineRule="exact"/>
                    <w:rPr>
                      <w:color w:val="000000" w:themeColor="text1"/>
                      <w:szCs w:val="21"/>
                    </w:rPr>
                  </w:pPr>
                </w:p>
              </w:tc>
              <w:tc>
                <w:tcPr>
                  <w:tcW w:w="844" w:type="dxa"/>
                  <w:vMerge w:val="continue"/>
                  <w:vAlign w:val="center"/>
                </w:tcPr>
                <w:p>
                  <w:pPr>
                    <w:pStyle w:val="29"/>
                    <w:spacing w:line="360" w:lineRule="exact"/>
                    <w:rPr>
                      <w:color w:val="000000" w:themeColor="text1"/>
                      <w:szCs w:val="21"/>
                    </w:rPr>
                  </w:pPr>
                </w:p>
              </w:tc>
              <w:tc>
                <w:tcPr>
                  <w:tcW w:w="3082" w:type="dxa"/>
                  <w:vMerge w:val="continue"/>
                  <w:vAlign w:val="center"/>
                </w:tcPr>
                <w:p>
                  <w:pPr>
                    <w:pStyle w:val="29"/>
                    <w:spacing w:line="360" w:lineRule="exact"/>
                    <w:rPr>
                      <w:color w:val="000000" w:themeColor="text1"/>
                      <w:szCs w:val="21"/>
                    </w:rPr>
                  </w:pPr>
                </w:p>
              </w:tc>
              <w:tc>
                <w:tcPr>
                  <w:tcW w:w="70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3"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类型</w:t>
                  </w:r>
                </w:p>
              </w:tc>
              <w:tc>
                <w:tcPr>
                  <w:tcW w:w="1616" w:type="dxa"/>
                  <w:tcBorders>
                    <w:top w:val="single" w:color="auto" w:sz="4" w:space="0"/>
                    <w:left w:val="single" w:color="auto" w:sz="4" w:space="0"/>
                    <w:bottom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一般排放口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tcBorders>
                  <w:vAlign w:val="center"/>
                </w:tcPr>
                <w:p>
                  <w:pPr>
                    <w:pStyle w:val="29"/>
                    <w:spacing w:line="360" w:lineRule="exact"/>
                    <w:rPr>
                      <w:color w:val="000000" w:themeColor="text1"/>
                      <w:szCs w:val="21"/>
                    </w:rPr>
                  </w:pPr>
                </w:p>
              </w:tc>
              <w:tc>
                <w:tcPr>
                  <w:tcW w:w="844" w:type="dxa"/>
                  <w:vMerge w:val="continue"/>
                  <w:vAlign w:val="center"/>
                </w:tcPr>
                <w:p>
                  <w:pPr>
                    <w:pStyle w:val="29"/>
                    <w:spacing w:line="360" w:lineRule="exact"/>
                    <w:rPr>
                      <w:color w:val="000000" w:themeColor="text1"/>
                      <w:szCs w:val="21"/>
                    </w:rPr>
                  </w:pPr>
                </w:p>
              </w:tc>
              <w:tc>
                <w:tcPr>
                  <w:tcW w:w="3082" w:type="dxa"/>
                  <w:vMerge w:val="continue"/>
                  <w:vAlign w:val="center"/>
                </w:tcPr>
                <w:p>
                  <w:pPr>
                    <w:pStyle w:val="29"/>
                    <w:spacing w:line="360" w:lineRule="exact"/>
                    <w:rPr>
                      <w:color w:val="000000" w:themeColor="text1"/>
                      <w:szCs w:val="21"/>
                    </w:rPr>
                  </w:pPr>
                </w:p>
              </w:tc>
              <w:tc>
                <w:tcPr>
                  <w:tcW w:w="70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3" w:type="dxa"/>
                  <w:tcBorders>
                    <w:top w:val="single" w:color="auto" w:sz="4" w:space="0"/>
                    <w:righ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坐标</w:t>
                  </w:r>
                </w:p>
              </w:tc>
              <w:tc>
                <w:tcPr>
                  <w:tcW w:w="1616" w:type="dxa"/>
                  <w:tcBorders>
                    <w:top w:val="single" w:color="auto" w:sz="4" w:space="0"/>
                    <w:left w:val="single" w:color="auto" w:sz="4" w:space="0"/>
                  </w:tcBorders>
                  <w:vAlign w:val="center"/>
                </w:tcPr>
                <w:p>
                  <w:pPr>
                    <w:pStyle w:val="29"/>
                    <w:spacing w:line="360" w:lineRule="exact"/>
                    <w:rPr>
                      <w:color w:val="000000" w:themeColor="text1"/>
                      <w:szCs w:val="30"/>
                      <w:lang w:val="en-US"/>
                    </w:rPr>
                  </w:pPr>
                  <w:r>
                    <w:rPr>
                      <w:color w:val="000000" w:themeColor="text1"/>
                      <w:szCs w:val="30"/>
                      <w:lang w:val="en-US"/>
                    </w:rPr>
                    <w:t>E103.128554°、N26.184814°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729" w:type="dxa"/>
                  <w:vMerge w:val="continue"/>
                  <w:tcBorders>
                    <w:right w:val="single" w:color="auto" w:sz="4" w:space="0"/>
                  </w:tcBorders>
                  <w:vAlign w:val="center"/>
                </w:tcPr>
                <w:p>
                  <w:pPr>
                    <w:pStyle w:val="29"/>
                    <w:spacing w:line="360" w:lineRule="exact"/>
                    <w:rPr>
                      <w:color w:val="000000" w:themeColor="text1"/>
                      <w:szCs w:val="21"/>
                    </w:rPr>
                  </w:pPr>
                </w:p>
              </w:tc>
              <w:tc>
                <w:tcPr>
                  <w:tcW w:w="845" w:type="dxa"/>
                  <w:vMerge w:val="continue"/>
                  <w:tcBorders>
                    <w:left w:val="single" w:color="auto" w:sz="4" w:space="0"/>
                    <w:bottom w:val="single" w:color="auto" w:sz="4" w:space="0"/>
                  </w:tcBorders>
                  <w:vAlign w:val="center"/>
                </w:tcPr>
                <w:p>
                  <w:pPr>
                    <w:pStyle w:val="29"/>
                    <w:spacing w:line="360" w:lineRule="exact"/>
                    <w:rPr>
                      <w:color w:val="000000" w:themeColor="text1"/>
                      <w:szCs w:val="21"/>
                    </w:rPr>
                  </w:pPr>
                </w:p>
              </w:tc>
              <w:tc>
                <w:tcPr>
                  <w:tcW w:w="3926" w:type="dxa"/>
                  <w:gridSpan w:val="2"/>
                  <w:tcBorders>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未收集部分无组织排放</w:t>
                  </w:r>
                </w:p>
              </w:tc>
              <w:tc>
                <w:tcPr>
                  <w:tcW w:w="703" w:type="dxa"/>
                  <w:vAlign w:val="center"/>
                </w:tcPr>
                <w:p>
                  <w:pPr>
                    <w:pStyle w:val="29"/>
                    <w:spacing w:line="360" w:lineRule="exact"/>
                    <w:rPr>
                      <w:color w:val="000000" w:themeColor="text1"/>
                      <w:szCs w:val="21"/>
                    </w:rPr>
                  </w:pPr>
                  <w:r>
                    <w:rPr>
                      <w:color w:val="000000" w:themeColor="text1"/>
                      <w:szCs w:val="21"/>
                    </w:rPr>
                    <w:t>无组织</w:t>
                  </w:r>
                </w:p>
              </w:tc>
              <w:tc>
                <w:tcPr>
                  <w:tcW w:w="2319" w:type="dxa"/>
                  <w:gridSpan w:val="2"/>
                  <w:vAlign w:val="center"/>
                </w:tcPr>
                <w:p>
                  <w:pPr>
                    <w:pStyle w:val="29"/>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表4.2.1-3  废气污染物排放源产排量及达标情况一览表</w:t>
            </w:r>
          </w:p>
          <w:tbl>
            <w:tblPr>
              <w:tblStyle w:val="18"/>
              <w:tblW w:w="8595" w:type="dxa"/>
              <w:jc w:val="center"/>
              <w:tblLayout w:type="fixed"/>
              <w:tblCellMar>
                <w:top w:w="0" w:type="dxa"/>
                <w:left w:w="108" w:type="dxa"/>
                <w:bottom w:w="0" w:type="dxa"/>
                <w:right w:w="108" w:type="dxa"/>
              </w:tblCellMar>
            </w:tblPr>
            <w:tblGrid>
              <w:gridCol w:w="477"/>
              <w:gridCol w:w="438"/>
              <w:gridCol w:w="567"/>
              <w:gridCol w:w="851"/>
              <w:gridCol w:w="850"/>
              <w:gridCol w:w="851"/>
              <w:gridCol w:w="850"/>
              <w:gridCol w:w="851"/>
              <w:gridCol w:w="850"/>
              <w:gridCol w:w="1276"/>
              <w:gridCol w:w="734"/>
            </w:tblGrid>
            <w:tr>
              <w:tblPrEx>
                <w:tblCellMar>
                  <w:top w:w="0" w:type="dxa"/>
                  <w:left w:w="108" w:type="dxa"/>
                  <w:bottom w:w="0" w:type="dxa"/>
                  <w:right w:w="108" w:type="dxa"/>
                </w:tblCellMar>
              </w:tblPrEx>
              <w:trPr>
                <w:trHeight w:val="324" w:hRule="atLeast"/>
                <w:jc w:val="center"/>
              </w:trPr>
              <w:tc>
                <w:tcPr>
                  <w:tcW w:w="9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产排污环节</w:t>
                  </w:r>
                </w:p>
              </w:tc>
              <w:tc>
                <w:tcPr>
                  <w:tcW w:w="1418"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污染物种类</w:t>
                  </w:r>
                </w:p>
              </w:tc>
              <w:tc>
                <w:tcPr>
                  <w:tcW w:w="1701" w:type="dxa"/>
                  <w:gridSpan w:val="2"/>
                  <w:tcBorders>
                    <w:top w:val="single" w:color="000000" w:sz="8"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污染物产生情况</w:t>
                  </w:r>
                </w:p>
              </w:tc>
              <w:tc>
                <w:tcPr>
                  <w:tcW w:w="2551" w:type="dxa"/>
                  <w:gridSpan w:val="3"/>
                  <w:tcBorders>
                    <w:top w:val="single" w:color="000000" w:sz="8"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污染物排放量和浓度</w:t>
                  </w:r>
                </w:p>
              </w:tc>
              <w:tc>
                <w:tcPr>
                  <w:tcW w:w="12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排放标准</w:t>
                  </w:r>
                </w:p>
              </w:tc>
              <w:tc>
                <w:tcPr>
                  <w:tcW w:w="7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达标情况</w:t>
                  </w:r>
                </w:p>
              </w:tc>
            </w:tr>
            <w:tr>
              <w:tblPrEx>
                <w:tblCellMar>
                  <w:top w:w="0" w:type="dxa"/>
                  <w:left w:w="108" w:type="dxa"/>
                  <w:bottom w:w="0" w:type="dxa"/>
                  <w:right w:w="108" w:type="dxa"/>
                </w:tblCellMar>
              </w:tblPrEx>
              <w:trPr>
                <w:trHeight w:val="588" w:hRule="atLeast"/>
                <w:jc w:val="center"/>
              </w:trPr>
              <w:tc>
                <w:tcPr>
                  <w:tcW w:w="915" w:type="dxa"/>
                  <w:gridSpan w:val="2"/>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418" w:type="dxa"/>
                  <w:gridSpan w:val="2"/>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850" w:type="dxa"/>
                  <w:tcBorders>
                    <w:top w:val="nil"/>
                    <w:left w:val="nil"/>
                    <w:bottom w:val="single" w:color="000000" w:sz="8" w:space="0"/>
                    <w:right w:val="single" w:color="auto" w:sz="4" w:space="0"/>
                  </w:tcBorders>
                  <w:shd w:val="clear" w:color="auto" w:fill="auto"/>
                  <w:vAlign w:val="center"/>
                </w:tcPr>
                <w:p>
                  <w:pPr>
                    <w:pStyle w:val="29"/>
                    <w:spacing w:line="360" w:lineRule="exact"/>
                    <w:rPr>
                      <w:color w:val="000000" w:themeColor="text1"/>
                      <w:szCs w:val="21"/>
                    </w:rPr>
                  </w:pPr>
                  <w:r>
                    <w:rPr>
                      <w:color w:val="000000" w:themeColor="text1"/>
                      <w:szCs w:val="21"/>
                    </w:rPr>
                    <w:t>产生浓度mg/m³</w:t>
                  </w:r>
                </w:p>
              </w:tc>
              <w:tc>
                <w:tcPr>
                  <w:tcW w:w="851"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产生量t/a</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排放浓度mg/m³</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最大排放速率kg/h</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排放量t/a</w:t>
                  </w: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734" w:type="dxa"/>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r>
            <w:tr>
              <w:tblPrEx>
                <w:tblCellMar>
                  <w:top w:w="0" w:type="dxa"/>
                  <w:left w:w="108" w:type="dxa"/>
                  <w:bottom w:w="0" w:type="dxa"/>
                  <w:right w:w="108" w:type="dxa"/>
                </w:tblCellMar>
              </w:tblPrEx>
              <w:trPr>
                <w:trHeight w:val="324" w:hRule="atLeast"/>
                <w:jc w:val="center"/>
              </w:trPr>
              <w:tc>
                <w:tcPr>
                  <w:tcW w:w="477" w:type="dxa"/>
                  <w:vMerge w:val="restart"/>
                  <w:tcBorders>
                    <w:top w:val="nil"/>
                    <w:left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危险废物贮存</w:t>
                  </w:r>
                </w:p>
              </w:tc>
              <w:tc>
                <w:tcPr>
                  <w:tcW w:w="438" w:type="dxa"/>
                  <w:vMerge w:val="restart"/>
                  <w:tcBorders>
                    <w:top w:val="nil"/>
                    <w:left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贮存、转运</w:t>
                  </w:r>
                </w:p>
              </w:tc>
              <w:tc>
                <w:tcPr>
                  <w:tcW w:w="1418" w:type="dxa"/>
                  <w:gridSpan w:val="2"/>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废气量</w:t>
                  </w:r>
                </w:p>
              </w:tc>
              <w:tc>
                <w:tcPr>
                  <w:tcW w:w="1701" w:type="dxa"/>
                  <w:gridSpan w:val="2"/>
                  <w:tcBorders>
                    <w:top w:val="single" w:color="000000" w:sz="8"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14016万m³</w:t>
                  </w:r>
                </w:p>
              </w:tc>
              <w:tc>
                <w:tcPr>
                  <w:tcW w:w="2551" w:type="dxa"/>
                  <w:gridSpan w:val="3"/>
                  <w:tcBorders>
                    <w:top w:val="single" w:color="000000" w:sz="8"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14016万m³</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r>
            <w:tr>
              <w:tblPrEx>
                <w:tblCellMar>
                  <w:top w:w="0" w:type="dxa"/>
                  <w:left w:w="108" w:type="dxa"/>
                  <w:bottom w:w="0" w:type="dxa"/>
                  <w:right w:w="108" w:type="dxa"/>
                </w:tblCellMar>
              </w:tblPrEx>
              <w:trPr>
                <w:trHeight w:val="588"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restart"/>
                  <w:tcBorders>
                    <w:top w:val="nil"/>
                    <w:left w:val="nil"/>
                    <w:right w:val="single" w:color="auto" w:sz="4" w:space="0"/>
                  </w:tcBorders>
                  <w:shd w:val="clear" w:color="auto" w:fill="auto"/>
                  <w:vAlign w:val="center"/>
                </w:tcPr>
                <w:p>
                  <w:pPr>
                    <w:pStyle w:val="29"/>
                    <w:spacing w:line="360" w:lineRule="exact"/>
                    <w:rPr>
                      <w:color w:val="000000" w:themeColor="text1"/>
                      <w:szCs w:val="21"/>
                    </w:rPr>
                  </w:pPr>
                  <w:r>
                    <w:rPr>
                      <w:color w:val="000000" w:themeColor="text1"/>
                      <w:szCs w:val="21"/>
                    </w:rPr>
                    <w:t>非甲烷总烃</w:t>
                  </w: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有组织</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118.5</w:t>
                  </w:r>
                </w:p>
              </w:tc>
              <w:tc>
                <w:tcPr>
                  <w:tcW w:w="851" w:type="dxa"/>
                  <w:vMerge w:val="restart"/>
                  <w:tcBorders>
                    <w:top w:val="nil"/>
                    <w:left w:val="nil"/>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0.68</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82.95</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1.33</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0.38</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≤120mg/m³、10kg/h</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588"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9"/>
                    <w:spacing w:line="360" w:lineRule="exact"/>
                    <w:rPr>
                      <w:color w:val="000000" w:themeColor="text1"/>
                      <w:szCs w:val="21"/>
                    </w:rPr>
                  </w:pP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无组织</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0.198</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0.14</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4.0mg/m³</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restart"/>
                  <w:tcBorders>
                    <w:top w:val="nil"/>
                    <w:left w:val="nil"/>
                    <w:right w:val="single" w:color="auto" w:sz="4" w:space="0"/>
                  </w:tcBorders>
                  <w:shd w:val="clear" w:color="auto" w:fill="auto"/>
                  <w:vAlign w:val="center"/>
                </w:tcPr>
                <w:p>
                  <w:pPr>
                    <w:pStyle w:val="29"/>
                    <w:spacing w:line="360" w:lineRule="exact"/>
                    <w:rPr>
                      <w:color w:val="000000" w:themeColor="text1"/>
                      <w:szCs w:val="21"/>
                    </w:rPr>
                  </w:pPr>
                  <w:r>
                    <w:rPr>
                      <w:color w:val="000000" w:themeColor="text1"/>
                      <w:szCs w:val="21"/>
                    </w:rPr>
                    <w:t>HCl</w:t>
                  </w: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有组织</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48.61</w:t>
                  </w:r>
                </w:p>
              </w:tc>
              <w:tc>
                <w:tcPr>
                  <w:tcW w:w="851" w:type="dxa"/>
                  <w:vMerge w:val="restart"/>
                  <w:tcBorders>
                    <w:top w:val="nil"/>
                    <w:left w:val="nil"/>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0.28</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2.43</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0.04</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0.01</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≤100mg/m³、0.26kg/h</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275"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9"/>
                    <w:spacing w:line="360" w:lineRule="exact"/>
                    <w:rPr>
                      <w:color w:val="000000" w:themeColor="text1"/>
                      <w:szCs w:val="21"/>
                    </w:rPr>
                  </w:pP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无组织</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0.012</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0.056</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0.20mg/m³</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restart"/>
                  <w:tcBorders>
                    <w:top w:val="nil"/>
                    <w:left w:val="nil"/>
                    <w:right w:val="single" w:color="auto" w:sz="4" w:space="0"/>
                  </w:tcBorders>
                  <w:shd w:val="clear" w:color="auto" w:fill="auto"/>
                  <w:vAlign w:val="center"/>
                </w:tcPr>
                <w:p>
                  <w:pPr>
                    <w:pStyle w:val="29"/>
                    <w:spacing w:line="360" w:lineRule="exact"/>
                    <w:rPr>
                      <w:color w:val="000000" w:themeColor="text1"/>
                      <w:szCs w:val="21"/>
                    </w:rPr>
                  </w:pPr>
                  <w:r>
                    <w:rPr>
                      <w:color w:val="000000" w:themeColor="text1"/>
                      <w:szCs w:val="21"/>
                    </w:rPr>
                    <w:t>氨</w:t>
                  </w: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有组织</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1.35</w:t>
                  </w:r>
                </w:p>
              </w:tc>
              <w:tc>
                <w:tcPr>
                  <w:tcW w:w="851" w:type="dxa"/>
                  <w:vMerge w:val="restart"/>
                  <w:tcBorders>
                    <w:top w:val="nil"/>
                    <w:left w:val="nil"/>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0.237</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0.54</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0.009</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0.08</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4.9kg/h</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9"/>
                    <w:spacing w:line="360" w:lineRule="exact"/>
                    <w:rPr>
                      <w:color w:val="000000" w:themeColor="text1"/>
                      <w:szCs w:val="21"/>
                    </w:rPr>
                  </w:pP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无组织</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0.013</w:t>
                  </w:r>
                </w:p>
              </w:tc>
              <w:tc>
                <w:tcPr>
                  <w:tcW w:w="851" w:type="dxa"/>
                  <w:tcBorders>
                    <w:top w:val="nil"/>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0.05</w:t>
                  </w:r>
                </w:p>
              </w:tc>
              <w:tc>
                <w:tcPr>
                  <w:tcW w:w="1276"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1.5mg/m³</w:t>
                  </w:r>
                </w:p>
              </w:tc>
              <w:tc>
                <w:tcPr>
                  <w:tcW w:w="7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restart"/>
                  <w:tcBorders>
                    <w:top w:val="nil"/>
                    <w:left w:val="nil"/>
                    <w:right w:val="single" w:color="auto" w:sz="4" w:space="0"/>
                  </w:tcBorders>
                  <w:shd w:val="clear" w:color="auto" w:fill="auto"/>
                  <w:vAlign w:val="center"/>
                </w:tcPr>
                <w:p>
                  <w:pPr>
                    <w:pStyle w:val="29"/>
                    <w:spacing w:line="360" w:lineRule="exact"/>
                    <w:rPr>
                      <w:color w:val="000000" w:themeColor="text1"/>
                      <w:szCs w:val="21"/>
                    </w:rPr>
                  </w:pPr>
                  <w:r>
                    <w:rPr>
                      <w:color w:val="000000" w:themeColor="text1"/>
                      <w:szCs w:val="21"/>
                    </w:rPr>
                    <w:t>硫化氢</w:t>
                  </w:r>
                </w:p>
              </w:tc>
              <w:tc>
                <w:tcPr>
                  <w:tcW w:w="851" w:type="dxa"/>
                  <w:tcBorders>
                    <w:top w:val="nil"/>
                    <w:left w:val="single" w:color="auto" w:sz="4" w:space="0"/>
                    <w:bottom w:val="single" w:color="auto" w:sz="4"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有组织</w:t>
                  </w:r>
                </w:p>
              </w:tc>
              <w:tc>
                <w:tcPr>
                  <w:tcW w:w="850" w:type="dxa"/>
                  <w:tcBorders>
                    <w:top w:val="nil"/>
                    <w:left w:val="nil"/>
                    <w:bottom w:val="single" w:color="auto" w:sz="4"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0.01</w:t>
                  </w:r>
                </w:p>
              </w:tc>
              <w:tc>
                <w:tcPr>
                  <w:tcW w:w="851" w:type="dxa"/>
                  <w:vMerge w:val="restart"/>
                  <w:tcBorders>
                    <w:top w:val="nil"/>
                    <w:left w:val="nil"/>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0.002</w:t>
                  </w:r>
                </w:p>
              </w:tc>
              <w:tc>
                <w:tcPr>
                  <w:tcW w:w="850" w:type="dxa"/>
                  <w:tcBorders>
                    <w:top w:val="nil"/>
                    <w:left w:val="nil"/>
                    <w:bottom w:val="single" w:color="auto" w:sz="4"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0.004</w:t>
                  </w:r>
                </w:p>
              </w:tc>
              <w:tc>
                <w:tcPr>
                  <w:tcW w:w="851" w:type="dxa"/>
                  <w:tcBorders>
                    <w:top w:val="nil"/>
                    <w:left w:val="nil"/>
                    <w:bottom w:val="single" w:color="auto" w:sz="4"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0.00006</w:t>
                  </w:r>
                </w:p>
              </w:tc>
              <w:tc>
                <w:tcPr>
                  <w:tcW w:w="850" w:type="dxa"/>
                  <w:tcBorders>
                    <w:top w:val="nil"/>
                    <w:left w:val="nil"/>
                    <w:bottom w:val="single" w:color="auto" w:sz="4"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0.0006</w:t>
                  </w:r>
                </w:p>
              </w:tc>
              <w:tc>
                <w:tcPr>
                  <w:tcW w:w="1276" w:type="dxa"/>
                  <w:tcBorders>
                    <w:top w:val="nil"/>
                    <w:left w:val="nil"/>
                    <w:bottom w:val="single" w:color="auto" w:sz="4"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0.33kg/h</w:t>
                  </w:r>
                </w:p>
              </w:tc>
              <w:tc>
                <w:tcPr>
                  <w:tcW w:w="734" w:type="dxa"/>
                  <w:tcBorders>
                    <w:top w:val="nil"/>
                    <w:left w:val="nil"/>
                    <w:bottom w:val="single" w:color="auto" w:sz="4"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438" w:type="dxa"/>
                  <w:vMerge w:val="continue"/>
                  <w:tcBorders>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9"/>
                    <w:spacing w:line="360" w:lineRule="exact"/>
                    <w:rPr>
                      <w:color w:val="000000" w:themeColor="text1"/>
                      <w:szCs w:val="21"/>
                    </w:rPr>
                  </w:pPr>
                </w:p>
              </w:tc>
              <w:tc>
                <w:tcPr>
                  <w:tcW w:w="851" w:type="dxa"/>
                  <w:tcBorders>
                    <w:top w:val="single" w:color="auto" w:sz="4" w:space="0"/>
                    <w:left w:val="single" w:color="auto" w:sz="4"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无组织</w:t>
                  </w:r>
                </w:p>
              </w:tc>
              <w:tc>
                <w:tcPr>
                  <w:tcW w:w="850" w:type="dxa"/>
                  <w:tcBorders>
                    <w:top w:val="single" w:color="auto" w:sz="4"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p>
              </w:tc>
              <w:tc>
                <w:tcPr>
                  <w:tcW w:w="850" w:type="dxa"/>
                  <w:tcBorders>
                    <w:top w:val="single" w:color="auto" w:sz="4"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0.0001</w:t>
                  </w:r>
                </w:p>
              </w:tc>
              <w:tc>
                <w:tcPr>
                  <w:tcW w:w="851" w:type="dxa"/>
                  <w:tcBorders>
                    <w:top w:val="single" w:color="auto" w:sz="4" w:space="0"/>
                    <w:left w:val="nil"/>
                    <w:bottom w:val="single" w:color="000000" w:sz="8" w:space="0"/>
                    <w:right w:val="single" w:color="auto" w:sz="8" w:space="0"/>
                  </w:tcBorders>
                  <w:shd w:val="clear" w:color="auto" w:fill="auto"/>
                  <w:vAlign w:val="center"/>
                </w:tcPr>
                <w:p>
                  <w:pPr>
                    <w:pStyle w:val="29"/>
                    <w:spacing w:line="360" w:lineRule="exact"/>
                    <w:rPr>
                      <w:color w:val="000000" w:themeColor="text1"/>
                      <w:szCs w:val="21"/>
                    </w:rPr>
                  </w:pPr>
                  <w:r>
                    <w:rPr>
                      <w:color w:val="000000" w:themeColor="text1"/>
                      <w:szCs w:val="21"/>
                    </w:rPr>
                    <w:t>--</w:t>
                  </w:r>
                </w:p>
              </w:tc>
              <w:tc>
                <w:tcPr>
                  <w:tcW w:w="850" w:type="dxa"/>
                  <w:tcBorders>
                    <w:top w:val="single" w:color="auto" w:sz="4"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0.0004</w:t>
                  </w:r>
                </w:p>
              </w:tc>
              <w:tc>
                <w:tcPr>
                  <w:tcW w:w="1276" w:type="dxa"/>
                  <w:tcBorders>
                    <w:top w:val="single" w:color="auto" w:sz="4"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0.06mg/m³</w:t>
                  </w:r>
                </w:p>
              </w:tc>
              <w:tc>
                <w:tcPr>
                  <w:tcW w:w="734" w:type="dxa"/>
                  <w:tcBorders>
                    <w:top w:val="single" w:color="auto" w:sz="4"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达标</w:t>
                  </w:r>
                </w:p>
              </w:tc>
            </w:tr>
          </w:tbl>
          <w:p>
            <w:pPr>
              <w:pStyle w:val="37"/>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产生的废气包括非甲烷总烃、HCl、氨和硫化氢，针对小微企业危险废物贮存库区产生的废气，通过1套负压收集系统对其收集后，拟设置1套废气处理装置对其进行处理，处理后通过1根Φ0.68、高15m的排气筒（DA001）外排；其中非甲烷总烃和HCl可达到《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-1996）表2 标准限值，氨和硫化氢可达到《恶臭污染物排放标准》（GB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-93）污染物排放标准值要求。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无组织排放废气包括未被收集的非甲烷总烃、HCl、氨和硫化氢，按照《环境影响评价技术导则-大气环境》（HJ2.2-2018）附录A推荐模型中的AERSCREEN模式进行预测，非甲烷总烃最大落地浓度为0.198mg/m³，HCl最大落地浓度为0.012mg/m³，可达到《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-1996）无组织排放监控浓度限制要求；氨最大落地浓度为0.013mg/m³，硫化氢最大落地浓度为0.0001mg/m³，可达到《恶臭污染物排放标准》（GB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-93）污染物厂界标准值要求。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针对小微企业危险废物贮存库区，项目拟设置1套负压收集系统，负压收集系统由集气罩和输送管道组成，每个贮存单元内设置1个集气罩，将各贮存单位产生的废气收集后通过管道输送至废气处理装置进行处置，集气罩的风机风量为2000m³/个，合计风量为16000m³，集气效率约为80%。通过负压收集系统收集后的废气通过1套废气处理装置对其进行处理，该项目废气处理装置由活性炭吸附+碱喷淋工艺组成，根据设计参数，该装置有机废气（非甲烷总烃）的处理效率约为30%，酸性废气（HCl）处理效率约为95%，恶臭废气（氨、硫化氢和臭气浓度）处理效率约为60%。处理后经1根Φ0.68、高15m的排气筒（DA001）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该项目产生的主要废气污染物为有机废气（非甲烷总烃）、酸性废气（HCl）、恶臭废气（氨、硫化氢和臭气浓度）。该项目废气处理装置主要处理工艺为：活性炭吸附+碱喷淋工艺，主要工艺简介如下：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①活性炭吸附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利用活性炭或炭纤维表面的高比表面积对废气中挥发性有机物进行吸附，从而达到净化效果。在短时间内能吸附一定的污染物，主要是针对有机废气（非甲烷总烃）和恶臭废气（氨、硫化氢和臭气浓度），产品本身无二次污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②碱喷淋工艺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贮存区废气经负压收集系统进入碱喷淋塔，对酸性气体使用湿法处理，可提高处理效果，并减少处理成本，在碱喷淋塔内部喷入NaOH溶液，废气通过与NaOH溶液充分接触得到很高的脱酸效果。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类比其他同类型危险废物集中收集、贮存项目废气治理及排放情况，具体见下表。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表4.2.1-4 同类型项目废气治理措施及污染物排放情况</w:t>
            </w: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6"/>
              <w:gridCol w:w="1276"/>
              <w:gridCol w:w="1701"/>
              <w:gridCol w:w="2426"/>
              <w:gridCol w:w="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9"/>
                    <w:spacing w:line="360" w:lineRule="exact"/>
                    <w:rPr>
                      <w:color w:val="000000" w:themeColor="text1"/>
                      <w:szCs w:val="21"/>
                    </w:rPr>
                  </w:pPr>
                  <w:r>
                    <w:rPr>
                      <w:color w:val="000000" w:themeColor="text1"/>
                      <w:szCs w:val="21"/>
                    </w:rPr>
                    <w:t>项目名称</w:t>
                  </w:r>
                </w:p>
              </w:tc>
              <w:tc>
                <w:tcPr>
                  <w:tcW w:w="1276" w:type="dxa"/>
                  <w:vAlign w:val="center"/>
                </w:tcPr>
                <w:p>
                  <w:pPr>
                    <w:pStyle w:val="29"/>
                    <w:spacing w:line="360" w:lineRule="exact"/>
                    <w:rPr>
                      <w:color w:val="000000" w:themeColor="text1"/>
                      <w:szCs w:val="21"/>
                    </w:rPr>
                  </w:pPr>
                  <w:r>
                    <w:rPr>
                      <w:color w:val="000000" w:themeColor="text1"/>
                      <w:szCs w:val="21"/>
                    </w:rPr>
                    <w:t>危险废物暂存规模（t/a）</w:t>
                  </w:r>
                </w:p>
              </w:tc>
              <w:tc>
                <w:tcPr>
                  <w:tcW w:w="1701" w:type="dxa"/>
                  <w:vAlign w:val="center"/>
                </w:tcPr>
                <w:p>
                  <w:pPr>
                    <w:pStyle w:val="29"/>
                    <w:spacing w:line="360" w:lineRule="exact"/>
                    <w:rPr>
                      <w:color w:val="000000" w:themeColor="text1"/>
                      <w:szCs w:val="21"/>
                    </w:rPr>
                  </w:pPr>
                  <w:r>
                    <w:rPr>
                      <w:color w:val="000000" w:themeColor="text1"/>
                      <w:szCs w:val="21"/>
                    </w:rPr>
                    <w:t>处理工艺</w:t>
                  </w:r>
                </w:p>
              </w:tc>
              <w:tc>
                <w:tcPr>
                  <w:tcW w:w="2426" w:type="dxa"/>
                  <w:vAlign w:val="center"/>
                </w:tcPr>
                <w:p>
                  <w:pPr>
                    <w:pStyle w:val="29"/>
                    <w:spacing w:line="360" w:lineRule="exact"/>
                    <w:rPr>
                      <w:color w:val="000000" w:themeColor="text1"/>
                      <w:szCs w:val="21"/>
                    </w:rPr>
                  </w:pPr>
                  <w:r>
                    <w:rPr>
                      <w:color w:val="000000" w:themeColor="text1"/>
                      <w:szCs w:val="21"/>
                    </w:rPr>
                    <w:t>污染物排放情况</w:t>
                  </w:r>
                </w:p>
              </w:tc>
              <w:tc>
                <w:tcPr>
                  <w:tcW w:w="746" w:type="dxa"/>
                  <w:vAlign w:val="center"/>
                </w:tcPr>
                <w:p>
                  <w:pPr>
                    <w:pStyle w:val="29"/>
                    <w:spacing w:line="360" w:lineRule="exact"/>
                    <w:rPr>
                      <w:color w:val="000000" w:themeColor="text1"/>
                      <w:szCs w:val="21"/>
                    </w:rPr>
                  </w:pPr>
                  <w:r>
                    <w:rPr>
                      <w:color w:val="000000" w:themeColor="text1"/>
                      <w:szCs w:val="21"/>
                    </w:rPr>
                    <w:t>资料来源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9"/>
                    <w:spacing w:line="360" w:lineRule="exact"/>
                    <w:rPr>
                      <w:color w:val="000000" w:themeColor="text1"/>
                      <w:szCs w:val="21"/>
                    </w:rPr>
                  </w:pPr>
                  <w:r>
                    <w:rPr>
                      <w:color w:val="000000" w:themeColor="text1"/>
                      <w:szCs w:val="21"/>
                    </w:rPr>
                    <w:t>云禾环境科技（常州）股份有限公司危险废物集中收集贮存项目</w:t>
                  </w:r>
                </w:p>
              </w:tc>
              <w:tc>
                <w:tcPr>
                  <w:tcW w:w="1276" w:type="dxa"/>
                  <w:vAlign w:val="center"/>
                </w:tcPr>
                <w:p>
                  <w:pPr>
                    <w:pStyle w:val="29"/>
                    <w:spacing w:line="360" w:lineRule="exact"/>
                    <w:rPr>
                      <w:color w:val="000000" w:themeColor="text1"/>
                      <w:szCs w:val="21"/>
                    </w:rPr>
                  </w:pPr>
                  <w:r>
                    <w:rPr>
                      <w:color w:val="000000" w:themeColor="text1"/>
                      <w:szCs w:val="21"/>
                    </w:rPr>
                    <w:t>5000</w:t>
                  </w:r>
                </w:p>
              </w:tc>
              <w:tc>
                <w:tcPr>
                  <w:tcW w:w="1701" w:type="dxa"/>
                  <w:vAlign w:val="center"/>
                </w:tcPr>
                <w:p>
                  <w:pPr>
                    <w:pStyle w:val="29"/>
                    <w:spacing w:line="360" w:lineRule="exact"/>
                    <w:rPr>
                      <w:color w:val="000000" w:themeColor="text1"/>
                      <w:szCs w:val="21"/>
                    </w:rPr>
                  </w:pPr>
                  <w:r>
                    <w:rPr>
                      <w:color w:val="000000" w:themeColor="text1"/>
                      <w:szCs w:val="21"/>
                    </w:rPr>
                    <w:t>碱液喷淋+除雾器+两级活性炭吸附</w:t>
                  </w:r>
                </w:p>
              </w:tc>
              <w:tc>
                <w:tcPr>
                  <w:tcW w:w="2426" w:type="dxa"/>
                  <w:vAlign w:val="center"/>
                </w:tcPr>
                <w:p>
                  <w:pPr>
                    <w:pStyle w:val="29"/>
                    <w:spacing w:line="360" w:lineRule="exact"/>
                    <w:rPr>
                      <w:color w:val="000000" w:themeColor="text1"/>
                      <w:szCs w:val="21"/>
                    </w:rPr>
                  </w:pPr>
                  <w:r>
                    <w:rPr>
                      <w:color w:val="000000" w:themeColor="text1"/>
                      <w:szCs w:val="21"/>
                    </w:rPr>
                    <w:t>HCl：未检出</w:t>
                  </w:r>
                </w:p>
                <w:p>
                  <w:pPr>
                    <w:pStyle w:val="29"/>
                    <w:spacing w:line="360" w:lineRule="exact"/>
                    <w:rPr>
                      <w:color w:val="000000" w:themeColor="text1"/>
                      <w:szCs w:val="21"/>
                    </w:rPr>
                  </w:pPr>
                  <w:r>
                    <w:rPr>
                      <w:color w:val="000000" w:themeColor="text1"/>
                      <w:szCs w:val="21"/>
                    </w:rPr>
                    <w:t>非甲烷总烃：0.024kg/h</w:t>
                  </w:r>
                </w:p>
                <w:p>
                  <w:pPr>
                    <w:pStyle w:val="29"/>
                    <w:spacing w:line="360" w:lineRule="exact"/>
                    <w:rPr>
                      <w:color w:val="000000" w:themeColor="text1"/>
                      <w:szCs w:val="21"/>
                    </w:rPr>
                  </w:pPr>
                  <w:r>
                    <w:rPr>
                      <w:color w:val="000000" w:themeColor="text1"/>
                      <w:szCs w:val="21"/>
                    </w:rPr>
                    <w:t>臭气浓度：229（无量纲）</w:t>
                  </w:r>
                </w:p>
              </w:tc>
              <w:tc>
                <w:tcPr>
                  <w:tcW w:w="746" w:type="dxa"/>
                  <w:vMerge w:val="restart"/>
                  <w:vAlign w:val="center"/>
                </w:tcPr>
                <w:p>
                  <w:pPr>
                    <w:pStyle w:val="29"/>
                    <w:spacing w:line="360" w:lineRule="exact"/>
                    <w:rPr>
                      <w:color w:val="000000" w:themeColor="text1"/>
                      <w:szCs w:val="21"/>
                    </w:rPr>
                  </w:pPr>
                  <w:r>
                    <w:rPr>
                      <w:color w:val="000000" w:themeColor="text1"/>
                      <w:szCs w:val="21"/>
                    </w:rPr>
                    <w:t>竣工环境保护验收监测报告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9"/>
                    <w:spacing w:line="360" w:lineRule="exact"/>
                    <w:rPr>
                      <w:color w:val="000000" w:themeColor="text1"/>
                      <w:szCs w:val="21"/>
                    </w:rPr>
                  </w:pPr>
                  <w:r>
                    <w:rPr>
                      <w:color w:val="000000" w:themeColor="text1"/>
                      <w:szCs w:val="21"/>
                    </w:rPr>
                    <w:t>山东泉景环保科技有限公司危险废物集中收集、集中收集贮存项目</w:t>
                  </w:r>
                </w:p>
              </w:tc>
              <w:tc>
                <w:tcPr>
                  <w:tcW w:w="1276" w:type="dxa"/>
                  <w:vAlign w:val="center"/>
                </w:tcPr>
                <w:p>
                  <w:pPr>
                    <w:pStyle w:val="29"/>
                    <w:spacing w:line="360" w:lineRule="exact"/>
                    <w:rPr>
                      <w:color w:val="000000" w:themeColor="text1"/>
                      <w:szCs w:val="21"/>
                    </w:rPr>
                  </w:pPr>
                  <w:r>
                    <w:rPr>
                      <w:color w:val="000000" w:themeColor="text1"/>
                      <w:szCs w:val="21"/>
                    </w:rPr>
                    <w:t>10000</w:t>
                  </w:r>
                </w:p>
              </w:tc>
              <w:tc>
                <w:tcPr>
                  <w:tcW w:w="1701" w:type="dxa"/>
                  <w:vAlign w:val="center"/>
                </w:tcPr>
                <w:p>
                  <w:pPr>
                    <w:pStyle w:val="29"/>
                    <w:spacing w:line="360" w:lineRule="exact"/>
                    <w:rPr>
                      <w:color w:val="000000" w:themeColor="text1"/>
                      <w:szCs w:val="21"/>
                    </w:rPr>
                  </w:pPr>
                  <w:r>
                    <w:rPr>
                      <w:color w:val="000000" w:themeColor="text1"/>
                      <w:szCs w:val="21"/>
                    </w:rPr>
                    <w:t>活性炭吸附</w:t>
                  </w:r>
                </w:p>
              </w:tc>
              <w:tc>
                <w:tcPr>
                  <w:tcW w:w="2426" w:type="dxa"/>
                  <w:vAlign w:val="center"/>
                </w:tcPr>
                <w:p>
                  <w:pPr>
                    <w:pStyle w:val="29"/>
                    <w:spacing w:line="360" w:lineRule="exact"/>
                    <w:rPr>
                      <w:color w:val="000000" w:themeColor="text1"/>
                      <w:szCs w:val="21"/>
                    </w:rPr>
                  </w:pPr>
                  <w:r>
                    <w:rPr>
                      <w:color w:val="000000" w:themeColor="text1"/>
                      <w:szCs w:val="21"/>
                    </w:rPr>
                    <w:t>VOCs：0.01kg/h</w:t>
                  </w:r>
                </w:p>
              </w:tc>
              <w:tc>
                <w:tcPr>
                  <w:tcW w:w="746" w:type="dxa"/>
                  <w:vMerge w:val="continue"/>
                  <w:vAlign w:val="center"/>
                </w:tcPr>
                <w:p>
                  <w:pPr>
                    <w:pStyle w:val="29"/>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9"/>
                    <w:spacing w:line="360" w:lineRule="exact"/>
                    <w:rPr>
                      <w:color w:val="000000" w:themeColor="text1"/>
                      <w:szCs w:val="21"/>
                    </w:rPr>
                  </w:pPr>
                  <w:r>
                    <w:rPr>
                      <w:color w:val="000000" w:themeColor="text1"/>
                      <w:szCs w:val="21"/>
                    </w:rPr>
                    <w:t>温岭市小微企业危险废物集中收集中转项目</w:t>
                  </w:r>
                </w:p>
              </w:tc>
              <w:tc>
                <w:tcPr>
                  <w:tcW w:w="1276" w:type="dxa"/>
                  <w:vAlign w:val="center"/>
                </w:tcPr>
                <w:p>
                  <w:pPr>
                    <w:pStyle w:val="29"/>
                    <w:spacing w:line="360" w:lineRule="exact"/>
                    <w:rPr>
                      <w:color w:val="000000" w:themeColor="text1"/>
                      <w:szCs w:val="21"/>
                    </w:rPr>
                  </w:pPr>
                  <w:r>
                    <w:rPr>
                      <w:color w:val="000000" w:themeColor="text1"/>
                      <w:szCs w:val="21"/>
                    </w:rPr>
                    <w:t>10000</w:t>
                  </w:r>
                </w:p>
              </w:tc>
              <w:tc>
                <w:tcPr>
                  <w:tcW w:w="1701" w:type="dxa"/>
                  <w:vAlign w:val="center"/>
                </w:tcPr>
                <w:p>
                  <w:pPr>
                    <w:pStyle w:val="29"/>
                    <w:spacing w:line="360" w:lineRule="exact"/>
                    <w:rPr>
                      <w:color w:val="000000" w:themeColor="text1"/>
                      <w:szCs w:val="21"/>
                    </w:rPr>
                  </w:pPr>
                  <w:r>
                    <w:rPr>
                      <w:color w:val="000000" w:themeColor="text1"/>
                      <w:szCs w:val="21"/>
                    </w:rPr>
                    <w:t>活性炭吸附</w:t>
                  </w:r>
                </w:p>
              </w:tc>
              <w:tc>
                <w:tcPr>
                  <w:tcW w:w="2426" w:type="dxa"/>
                  <w:vAlign w:val="center"/>
                </w:tcPr>
                <w:p>
                  <w:pPr>
                    <w:pStyle w:val="29"/>
                    <w:spacing w:line="360" w:lineRule="exact"/>
                    <w:rPr>
                      <w:color w:val="000000" w:themeColor="text1"/>
                      <w:szCs w:val="21"/>
                    </w:rPr>
                  </w:pPr>
                  <w:r>
                    <w:rPr>
                      <w:color w:val="000000" w:themeColor="text1"/>
                      <w:szCs w:val="21"/>
                    </w:rPr>
                    <w:t>非甲烷总烃：0.013kg/h</w:t>
                  </w:r>
                </w:p>
                <w:p>
                  <w:pPr>
                    <w:pStyle w:val="29"/>
                    <w:spacing w:line="360" w:lineRule="exact"/>
                    <w:rPr>
                      <w:color w:val="000000" w:themeColor="text1"/>
                      <w:szCs w:val="21"/>
                    </w:rPr>
                  </w:pPr>
                  <w:r>
                    <w:rPr>
                      <w:color w:val="000000" w:themeColor="text1"/>
                      <w:szCs w:val="21"/>
                    </w:rPr>
                    <w:t>臭气浓度：417（无量纲）</w:t>
                  </w:r>
                </w:p>
              </w:tc>
              <w:tc>
                <w:tcPr>
                  <w:tcW w:w="746" w:type="dxa"/>
                  <w:vMerge w:val="continue"/>
                  <w:vAlign w:val="center"/>
                </w:tcPr>
                <w:p>
                  <w:pPr>
                    <w:pStyle w:val="29"/>
                    <w:spacing w:line="360" w:lineRule="exact"/>
                    <w:rPr>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根据与上表同类型项目对比情况，项目拟采取的活性炭吸附+碱喷淋工艺，类比项目各污染物均可达标排放。因此，项目拟采取的废气治理措施可行。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（4）废气监测要求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①竣工验收监测要求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根据《建设项目竣工环境保护验收技术指南 污染影响类》的要求，项目竣工验收废气污染物监测计划如下表所示。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表4.2.1-6  项目废气污染物竣工验收监测计划一览表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35"/>
              <w:gridCol w:w="2126"/>
              <w:gridCol w:w="1134"/>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对象</w:t>
                  </w:r>
                </w:p>
              </w:tc>
              <w:tc>
                <w:tcPr>
                  <w:tcW w:w="15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监测点位</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监测因子</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监测频率</w:t>
                  </w:r>
                </w:p>
              </w:tc>
              <w:tc>
                <w:tcPr>
                  <w:tcW w:w="305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5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废气</w:t>
                  </w:r>
                </w:p>
              </w:tc>
              <w:tc>
                <w:tcPr>
                  <w:tcW w:w="153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DA001</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非甲烷总烃、HCl</w:t>
                  </w:r>
                </w:p>
              </w:tc>
              <w:tc>
                <w:tcPr>
                  <w:tcW w:w="1134"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监测2天、每天3次</w:t>
                  </w: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Merge w:val="continue"/>
                  <w:vAlign w:val="center"/>
                </w:tcPr>
                <w:p>
                  <w:pPr>
                    <w:pStyle w:val="29"/>
                    <w:spacing w:line="360" w:lineRule="exact"/>
                    <w:rPr>
                      <w:rFonts w:eastAsiaTheme="minorEastAsia"/>
                      <w:color w:val="000000" w:themeColor="text1"/>
                      <w:szCs w:val="21"/>
                    </w:rPr>
                  </w:pP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氨、硫化氢、臭气浓度</w:t>
                  </w:r>
                </w:p>
              </w:tc>
              <w:tc>
                <w:tcPr>
                  <w:tcW w:w="1134" w:type="dxa"/>
                  <w:vMerge w:val="continue"/>
                  <w:vAlign w:val="center"/>
                </w:tcPr>
                <w:p>
                  <w:pPr>
                    <w:pStyle w:val="29"/>
                    <w:spacing w:line="360" w:lineRule="exact"/>
                    <w:rPr>
                      <w:rFonts w:eastAsiaTheme="minorEastAsia"/>
                      <w:color w:val="000000" w:themeColor="text1"/>
                      <w:szCs w:val="21"/>
                    </w:rPr>
                  </w:pP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《恶臭污染物排放标准》（GB</w:t>
                  </w:r>
                  <w:r>
                    <w:rPr>
                      <w:rFonts w:hint="eastAsia" w:eastAsiaTheme="minorEastAsia"/>
                      <w:color w:val="000000" w:themeColor="text1"/>
                      <w:szCs w:val="21"/>
                      <w:lang w:eastAsia="zh-CN"/>
                    </w:rPr>
                    <w:t>*****</w:t>
                  </w:r>
                  <w:r>
                    <w:rPr>
                      <w:rFonts w:eastAsiaTheme="minorEastAsia"/>
                      <w:color w:val="000000" w:themeColor="text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厂界上风向1参照点和下风向3个监控点</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非甲烷总烃、HCl、颗粒物</w:t>
                  </w:r>
                </w:p>
              </w:tc>
              <w:tc>
                <w:tcPr>
                  <w:tcW w:w="1134" w:type="dxa"/>
                  <w:vMerge w:val="continue"/>
                  <w:vAlign w:val="center"/>
                </w:tcPr>
                <w:p>
                  <w:pPr>
                    <w:pStyle w:val="29"/>
                    <w:spacing w:line="360" w:lineRule="exact"/>
                    <w:rPr>
                      <w:rFonts w:eastAsiaTheme="minorEastAsia"/>
                      <w:color w:val="000000" w:themeColor="text1"/>
                      <w:szCs w:val="21"/>
                    </w:rPr>
                  </w:pP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Merge w:val="continue"/>
                  <w:vAlign w:val="center"/>
                </w:tcPr>
                <w:p>
                  <w:pPr>
                    <w:pStyle w:val="29"/>
                    <w:spacing w:line="360" w:lineRule="exact"/>
                    <w:rPr>
                      <w:rFonts w:eastAsiaTheme="minorEastAsia"/>
                      <w:color w:val="000000" w:themeColor="text1"/>
                      <w:szCs w:val="21"/>
                    </w:rPr>
                  </w:pP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氨、硫化氢、臭气浓度</w:t>
                  </w:r>
                </w:p>
              </w:tc>
              <w:tc>
                <w:tcPr>
                  <w:tcW w:w="1134" w:type="dxa"/>
                  <w:vMerge w:val="continue"/>
                  <w:vAlign w:val="center"/>
                </w:tcPr>
                <w:p>
                  <w:pPr>
                    <w:pStyle w:val="29"/>
                    <w:spacing w:line="360" w:lineRule="exact"/>
                    <w:rPr>
                      <w:rFonts w:eastAsiaTheme="minorEastAsia"/>
                      <w:color w:val="000000" w:themeColor="text1"/>
                      <w:szCs w:val="21"/>
                    </w:rPr>
                  </w:pP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《恶臭污染物排放标准》（GB</w:t>
                  </w:r>
                  <w:r>
                    <w:rPr>
                      <w:rFonts w:hint="eastAsia" w:eastAsiaTheme="minorEastAsia"/>
                      <w:color w:val="000000" w:themeColor="text1"/>
                      <w:szCs w:val="21"/>
                      <w:lang w:eastAsia="zh-CN"/>
                    </w:rPr>
                    <w:t>*****</w:t>
                  </w:r>
                  <w:r>
                    <w:rPr>
                      <w:rFonts w:eastAsiaTheme="minorEastAsia"/>
                      <w:color w:val="000000" w:themeColor="text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厂区内车间外任意1个点</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非甲烷总烃</w:t>
                  </w:r>
                </w:p>
              </w:tc>
              <w:tc>
                <w:tcPr>
                  <w:tcW w:w="1134" w:type="dxa"/>
                  <w:vMerge w:val="continue"/>
                  <w:vAlign w:val="center"/>
                </w:tcPr>
                <w:p>
                  <w:pPr>
                    <w:pStyle w:val="29"/>
                    <w:spacing w:line="360" w:lineRule="exact"/>
                    <w:rPr>
                      <w:rFonts w:eastAsiaTheme="minorEastAsia"/>
                      <w:color w:val="000000" w:themeColor="text1"/>
                      <w:szCs w:val="21"/>
                    </w:rPr>
                  </w:pP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《挥发性有机物无组织排放控制标准》（GB</w:t>
                  </w:r>
                  <w:r>
                    <w:rPr>
                      <w:rFonts w:hint="eastAsia" w:eastAsiaTheme="minorEastAsia"/>
                      <w:color w:val="000000" w:themeColor="text1"/>
                      <w:szCs w:val="21"/>
                      <w:lang w:eastAsia="zh-CN"/>
                    </w:rPr>
                    <w:t>*****</w:t>
                  </w:r>
                  <w:r>
                    <w:rPr>
                      <w:rFonts w:eastAsiaTheme="minorEastAsia"/>
                      <w:color w:val="000000" w:themeColor="text1"/>
                      <w:szCs w:val="21"/>
                    </w:rPr>
                    <w:t>-2019）</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总则》（HJ819-2017）及《排污单位自行监测技术指南 工业固体废物和危险废物治理》（HJ1250-2022）的要求，项目废气自行监测要求如下表所示。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表4.2.1-7  项目运营期废气自行监测计划一览表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35"/>
              <w:gridCol w:w="2126"/>
              <w:gridCol w:w="1134"/>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对象</w:t>
                  </w:r>
                </w:p>
              </w:tc>
              <w:tc>
                <w:tcPr>
                  <w:tcW w:w="15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监测点位</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监测因子</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监测频率</w:t>
                  </w:r>
                </w:p>
              </w:tc>
              <w:tc>
                <w:tcPr>
                  <w:tcW w:w="305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5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废气</w:t>
                  </w:r>
                </w:p>
              </w:tc>
              <w:tc>
                <w:tcPr>
                  <w:tcW w:w="153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DA001</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非甲烷总烃、HCl</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1次/半年</w:t>
                  </w: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Merge w:val="continue"/>
                  <w:vAlign w:val="center"/>
                </w:tcPr>
                <w:p>
                  <w:pPr>
                    <w:pStyle w:val="29"/>
                    <w:spacing w:line="360" w:lineRule="exact"/>
                    <w:rPr>
                      <w:rFonts w:eastAsiaTheme="minorEastAsia"/>
                      <w:color w:val="000000" w:themeColor="text1"/>
                      <w:szCs w:val="21"/>
                    </w:rPr>
                  </w:pP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氨、硫化氢、臭气浓度</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1次/半年</w:t>
                  </w: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《恶臭污染物排放标准》（GB</w:t>
                  </w:r>
                  <w:r>
                    <w:rPr>
                      <w:rFonts w:hint="eastAsia" w:eastAsiaTheme="minorEastAsia"/>
                      <w:color w:val="000000" w:themeColor="text1"/>
                      <w:szCs w:val="21"/>
                      <w:lang w:eastAsia="zh-CN"/>
                    </w:rPr>
                    <w:t>*****</w:t>
                  </w:r>
                  <w:r>
                    <w:rPr>
                      <w:rFonts w:eastAsiaTheme="minorEastAsia"/>
                      <w:color w:val="000000" w:themeColor="text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厂界上风向1参照点和下风向3个监控点</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非甲烷总烃、HCl、颗粒物</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1次/半年</w:t>
                  </w: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Merge w:val="continue"/>
                  <w:vAlign w:val="center"/>
                </w:tcPr>
                <w:p>
                  <w:pPr>
                    <w:pStyle w:val="29"/>
                    <w:spacing w:line="360" w:lineRule="exact"/>
                    <w:rPr>
                      <w:rFonts w:eastAsiaTheme="minorEastAsia"/>
                      <w:color w:val="000000" w:themeColor="text1"/>
                      <w:szCs w:val="21"/>
                    </w:rPr>
                  </w:pP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氨、硫化氢、臭气浓度</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1次/半年</w:t>
                  </w: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《恶臭污染物排放标准》（GB</w:t>
                  </w:r>
                  <w:r>
                    <w:rPr>
                      <w:rFonts w:hint="eastAsia" w:eastAsiaTheme="minorEastAsia"/>
                      <w:color w:val="000000" w:themeColor="text1"/>
                      <w:szCs w:val="21"/>
                      <w:lang w:eastAsia="zh-CN"/>
                    </w:rPr>
                    <w:t>*****</w:t>
                  </w:r>
                  <w:r>
                    <w:rPr>
                      <w:rFonts w:eastAsiaTheme="minorEastAsia"/>
                      <w:color w:val="000000" w:themeColor="text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9" w:type="dxa"/>
                  <w:vMerge w:val="continue"/>
                  <w:vAlign w:val="center"/>
                </w:tcPr>
                <w:p>
                  <w:pPr>
                    <w:pStyle w:val="29"/>
                    <w:spacing w:line="360" w:lineRule="exact"/>
                    <w:rPr>
                      <w:rFonts w:eastAsiaTheme="minorEastAsia"/>
                      <w:color w:val="000000" w:themeColor="text1"/>
                      <w:szCs w:val="21"/>
                    </w:rPr>
                  </w:pPr>
                </w:p>
              </w:tc>
              <w:tc>
                <w:tcPr>
                  <w:tcW w:w="15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厂区内车间外任意1个点</w:t>
                  </w:r>
                </w:p>
              </w:tc>
              <w:tc>
                <w:tcPr>
                  <w:tcW w:w="21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非甲烷总烃</w:t>
                  </w:r>
                </w:p>
              </w:tc>
              <w:tc>
                <w:tcPr>
                  <w:tcW w:w="113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1次/半年</w:t>
                  </w:r>
                </w:p>
              </w:tc>
              <w:tc>
                <w:tcPr>
                  <w:tcW w:w="305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《挥发性有机物无组织排放控制标准》（GB</w:t>
                  </w:r>
                  <w:r>
                    <w:rPr>
                      <w:rFonts w:hint="eastAsia" w:eastAsiaTheme="minorEastAsia"/>
                      <w:color w:val="000000" w:themeColor="text1"/>
                      <w:szCs w:val="21"/>
                      <w:lang w:eastAsia="zh-CN"/>
                    </w:rPr>
                    <w:t>*****</w:t>
                  </w:r>
                  <w:r>
                    <w:rPr>
                      <w:rFonts w:eastAsiaTheme="minorEastAsia"/>
                      <w:color w:val="000000" w:themeColor="text1"/>
                      <w:szCs w:val="21"/>
                    </w:rPr>
                    <w:t>-2019）</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根据项目特点，该项目非正常排放情形主要废气处理装置失效，项目产生的废气全部外排。非正常情形下废气污染物排放源产排量如下表所示。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表4.2.1-5 非正常情形下废气污染物排放源产排情况一览表</w:t>
            </w:r>
          </w:p>
          <w:tbl>
            <w:tblPr>
              <w:tblStyle w:val="18"/>
              <w:tblW w:w="5000" w:type="pct"/>
              <w:tblInd w:w="0" w:type="dxa"/>
              <w:tblLayout w:type="fixed"/>
              <w:tblCellMar>
                <w:top w:w="0" w:type="dxa"/>
                <w:left w:w="108" w:type="dxa"/>
                <w:bottom w:w="0" w:type="dxa"/>
                <w:right w:w="108" w:type="dxa"/>
              </w:tblCellMar>
            </w:tblPr>
            <w:tblGrid>
              <w:gridCol w:w="732"/>
              <w:gridCol w:w="711"/>
              <w:gridCol w:w="1563"/>
              <w:gridCol w:w="994"/>
              <w:gridCol w:w="142"/>
              <w:gridCol w:w="1137"/>
              <w:gridCol w:w="852"/>
              <w:gridCol w:w="995"/>
              <w:gridCol w:w="1489"/>
            </w:tblGrid>
            <w:tr>
              <w:tblPrEx>
                <w:tblCellMar>
                  <w:top w:w="0" w:type="dxa"/>
                  <w:left w:w="108" w:type="dxa"/>
                  <w:bottom w:w="0" w:type="dxa"/>
                  <w:right w:w="108" w:type="dxa"/>
                </w:tblCellMar>
              </w:tblPrEx>
              <w:trPr>
                <w:trHeight w:val="121" w:hRule="atLeast"/>
              </w:trPr>
              <w:tc>
                <w:tcPr>
                  <w:tcW w:w="1439"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产排污环节</w:t>
                  </w:r>
                </w:p>
              </w:tc>
              <w:tc>
                <w:tcPr>
                  <w:tcW w:w="15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污染物种类</w:t>
                  </w:r>
                </w:p>
              </w:tc>
              <w:tc>
                <w:tcPr>
                  <w:tcW w:w="2268" w:type="dxa"/>
                  <w:gridSpan w:val="3"/>
                  <w:tcBorders>
                    <w:top w:val="single" w:color="000000" w:sz="8"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污染物排放量和浓度</w:t>
                  </w:r>
                </w:p>
              </w:tc>
              <w:tc>
                <w:tcPr>
                  <w:tcW w:w="85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频次</w:t>
                  </w:r>
                </w:p>
              </w:tc>
              <w:tc>
                <w:tcPr>
                  <w:tcW w:w="993"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持续时间</w:t>
                  </w:r>
                </w:p>
              </w:tc>
              <w:tc>
                <w:tcPr>
                  <w:tcW w:w="14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措施</w:t>
                  </w:r>
                </w:p>
              </w:tc>
            </w:tr>
            <w:tr>
              <w:tblPrEx>
                <w:tblCellMar>
                  <w:top w:w="0" w:type="dxa"/>
                  <w:left w:w="108" w:type="dxa"/>
                  <w:bottom w:w="0" w:type="dxa"/>
                  <w:right w:w="108" w:type="dxa"/>
                </w:tblCellMar>
              </w:tblPrEx>
              <w:trPr>
                <w:trHeight w:val="588" w:hRule="atLeast"/>
              </w:trPr>
              <w:tc>
                <w:tcPr>
                  <w:tcW w:w="1439" w:type="dxa"/>
                  <w:gridSpan w:val="2"/>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559" w:type="dxa"/>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134" w:type="dxa"/>
                  <w:gridSpan w:val="2"/>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排放浓度mg/m³</w:t>
                  </w:r>
                </w:p>
              </w:tc>
              <w:tc>
                <w:tcPr>
                  <w:tcW w:w="1134"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排放量kg/次</w:t>
                  </w:r>
                </w:p>
              </w:tc>
              <w:tc>
                <w:tcPr>
                  <w:tcW w:w="850" w:type="dxa"/>
                  <w:vMerge w:val="continue"/>
                  <w:tcBorders>
                    <w:top w:val="single" w:color="000000" w:sz="8" w:space="0"/>
                    <w:left w:val="single" w:color="000000" w:sz="8" w:space="0"/>
                    <w:bottom w:val="single" w:color="000000" w:sz="8" w:space="0"/>
                    <w:right w:val="single" w:color="auto" w:sz="4" w:space="0"/>
                  </w:tcBorders>
                  <w:vAlign w:val="center"/>
                </w:tcPr>
                <w:p>
                  <w:pPr>
                    <w:pStyle w:val="29"/>
                    <w:spacing w:line="360" w:lineRule="exact"/>
                    <w:rPr>
                      <w:rFonts w:eastAsiaTheme="minorEastAsia"/>
                      <w:color w:val="000000" w:themeColor="text1"/>
                      <w:szCs w:val="21"/>
                    </w:rPr>
                  </w:pPr>
                </w:p>
              </w:tc>
              <w:tc>
                <w:tcPr>
                  <w:tcW w:w="993" w:type="dxa"/>
                  <w:vMerge w:val="continue"/>
                  <w:tcBorders>
                    <w:top w:val="single" w:color="000000" w:sz="8" w:space="0"/>
                    <w:left w:val="single" w:color="auto" w:sz="4" w:space="0"/>
                    <w:bottom w:val="single" w:color="000000" w:sz="8" w:space="0"/>
                    <w:right w:val="single" w:color="000000" w:sz="8" w:space="0"/>
                  </w:tcBorders>
                  <w:vAlign w:val="center"/>
                </w:tcPr>
                <w:p>
                  <w:pPr>
                    <w:pStyle w:val="29"/>
                    <w:spacing w:line="360" w:lineRule="exact"/>
                    <w:rPr>
                      <w:rFonts w:eastAsiaTheme="minorEastAsia"/>
                      <w:color w:val="000000" w:themeColor="text1"/>
                      <w:szCs w:val="21"/>
                    </w:rPr>
                  </w:pPr>
                </w:p>
              </w:tc>
              <w:tc>
                <w:tcPr>
                  <w:tcW w:w="1486" w:type="dxa"/>
                  <w:vMerge w:val="continue"/>
                  <w:tcBorders>
                    <w:top w:val="single" w:color="000000" w:sz="8" w:space="0"/>
                    <w:left w:val="single" w:color="000000" w:sz="8" w:space="0"/>
                    <w:bottom w:val="single" w:color="000000" w:sz="8" w:space="0"/>
                    <w:right w:val="single" w:color="000000" w:sz="8" w:space="0"/>
                  </w:tcBorders>
                  <w:vAlign w:val="center"/>
                </w:tcPr>
                <w:p>
                  <w:pPr>
                    <w:pStyle w:val="29"/>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300" w:hRule="atLeast"/>
              </w:trPr>
              <w:tc>
                <w:tcPr>
                  <w:tcW w:w="730" w:type="dxa"/>
                  <w:vMerge w:val="restart"/>
                  <w:tcBorders>
                    <w:top w:val="nil"/>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危险废物贮存</w:t>
                  </w: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贮存、转运</w:t>
                  </w:r>
                </w:p>
              </w:tc>
              <w:tc>
                <w:tcPr>
                  <w:tcW w:w="1559"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烟气量</w:t>
                  </w:r>
                </w:p>
              </w:tc>
              <w:tc>
                <w:tcPr>
                  <w:tcW w:w="2268" w:type="dxa"/>
                  <w:gridSpan w:val="3"/>
                  <w:tcBorders>
                    <w:top w:val="single" w:color="000000" w:sz="8" w:space="0"/>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16000m³</w:t>
                  </w:r>
                </w:p>
              </w:tc>
              <w:tc>
                <w:tcPr>
                  <w:tcW w:w="850" w:type="dxa"/>
                  <w:vMerge w:val="restart"/>
                  <w:tcBorders>
                    <w:top w:val="nil"/>
                    <w:left w:val="nil"/>
                    <w:right w:val="single" w:color="auto" w:sz="4"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1次/a</w:t>
                  </w:r>
                </w:p>
              </w:tc>
              <w:tc>
                <w:tcPr>
                  <w:tcW w:w="993" w:type="dxa"/>
                  <w:vMerge w:val="restart"/>
                  <w:tcBorders>
                    <w:top w:val="nil"/>
                    <w:left w:val="single" w:color="auto" w:sz="4"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1h/次</w:t>
                  </w:r>
                </w:p>
              </w:tc>
              <w:tc>
                <w:tcPr>
                  <w:tcW w:w="1486" w:type="dxa"/>
                  <w:vMerge w:val="restart"/>
                  <w:tcBorders>
                    <w:top w:val="nil"/>
                    <w:left w:val="nil"/>
                    <w:right w:val="single" w:color="000000" w:sz="8" w:space="0"/>
                  </w:tcBorders>
                  <w:shd w:val="clear" w:color="auto" w:fill="auto"/>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废气处理设施失效，立即进行检修</w:t>
                  </w:r>
                </w:p>
              </w:tc>
            </w:tr>
            <w:tr>
              <w:tblPrEx>
                <w:tblCellMar>
                  <w:top w:w="0" w:type="dxa"/>
                  <w:left w:w="108" w:type="dxa"/>
                  <w:bottom w:w="0" w:type="dxa"/>
                  <w:right w:w="108" w:type="dxa"/>
                </w:tblCellMar>
              </w:tblPrEx>
              <w:trPr>
                <w:trHeight w:val="300"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非甲烷总烃</w:t>
                  </w:r>
                </w:p>
              </w:tc>
              <w:tc>
                <w:tcPr>
                  <w:tcW w:w="992" w:type="dxa"/>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118.5</w:t>
                  </w:r>
                </w:p>
              </w:tc>
              <w:tc>
                <w:tcPr>
                  <w:tcW w:w="1276" w:type="dxa"/>
                  <w:gridSpan w:val="2"/>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2.37</w:t>
                  </w:r>
                </w:p>
              </w:tc>
              <w:tc>
                <w:tcPr>
                  <w:tcW w:w="850" w:type="dxa"/>
                  <w:vMerge w:val="continue"/>
                  <w:tcBorders>
                    <w:left w:val="nil"/>
                    <w:right w:val="single" w:color="auto" w:sz="4" w:space="0"/>
                  </w:tcBorders>
                  <w:shd w:val="clear" w:color="auto" w:fill="auto"/>
                  <w:vAlign w:val="center"/>
                </w:tcPr>
                <w:p>
                  <w:pPr>
                    <w:pStyle w:val="29"/>
                    <w:spacing w:line="360" w:lineRule="exact"/>
                    <w:rPr>
                      <w:rFonts w:eastAsiaTheme="minorEastAsia"/>
                      <w:color w:val="000000" w:themeColor="text1"/>
                      <w:szCs w:val="21"/>
                    </w:rPr>
                  </w:pPr>
                </w:p>
              </w:tc>
              <w:tc>
                <w:tcPr>
                  <w:tcW w:w="993" w:type="dxa"/>
                  <w:vMerge w:val="continue"/>
                  <w:tcBorders>
                    <w:left w:val="single" w:color="auto" w:sz="4"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c>
                <w:tcPr>
                  <w:tcW w:w="1486" w:type="dxa"/>
                  <w:vMerge w:val="continue"/>
                  <w:tcBorders>
                    <w:left w:val="nil"/>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336"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HCl</w:t>
                  </w:r>
                </w:p>
              </w:tc>
              <w:tc>
                <w:tcPr>
                  <w:tcW w:w="992" w:type="dxa"/>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48.61</w:t>
                  </w:r>
                </w:p>
              </w:tc>
              <w:tc>
                <w:tcPr>
                  <w:tcW w:w="1276" w:type="dxa"/>
                  <w:gridSpan w:val="2"/>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0.97</w:t>
                  </w:r>
                </w:p>
              </w:tc>
              <w:tc>
                <w:tcPr>
                  <w:tcW w:w="850" w:type="dxa"/>
                  <w:vMerge w:val="continue"/>
                  <w:tcBorders>
                    <w:left w:val="nil"/>
                    <w:right w:val="single" w:color="auto" w:sz="4" w:space="0"/>
                  </w:tcBorders>
                  <w:shd w:val="clear" w:color="auto" w:fill="auto"/>
                  <w:vAlign w:val="center"/>
                </w:tcPr>
                <w:p>
                  <w:pPr>
                    <w:pStyle w:val="29"/>
                    <w:spacing w:line="360" w:lineRule="exact"/>
                    <w:rPr>
                      <w:rFonts w:eastAsiaTheme="minorEastAsia"/>
                      <w:color w:val="000000" w:themeColor="text1"/>
                      <w:szCs w:val="21"/>
                    </w:rPr>
                  </w:pPr>
                </w:p>
              </w:tc>
              <w:tc>
                <w:tcPr>
                  <w:tcW w:w="993" w:type="dxa"/>
                  <w:vMerge w:val="continue"/>
                  <w:tcBorders>
                    <w:left w:val="single" w:color="auto" w:sz="4"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c>
                <w:tcPr>
                  <w:tcW w:w="1486" w:type="dxa"/>
                  <w:vMerge w:val="continue"/>
                  <w:tcBorders>
                    <w:left w:val="nil"/>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300"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氨</w:t>
                  </w:r>
                </w:p>
              </w:tc>
              <w:tc>
                <w:tcPr>
                  <w:tcW w:w="992" w:type="dxa"/>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1.35</w:t>
                  </w:r>
                </w:p>
              </w:tc>
              <w:tc>
                <w:tcPr>
                  <w:tcW w:w="1276" w:type="dxa"/>
                  <w:gridSpan w:val="2"/>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0.027</w:t>
                  </w:r>
                </w:p>
              </w:tc>
              <w:tc>
                <w:tcPr>
                  <w:tcW w:w="850" w:type="dxa"/>
                  <w:vMerge w:val="continue"/>
                  <w:tcBorders>
                    <w:left w:val="nil"/>
                    <w:right w:val="single" w:color="auto" w:sz="4" w:space="0"/>
                  </w:tcBorders>
                  <w:shd w:val="clear" w:color="auto" w:fill="auto"/>
                  <w:vAlign w:val="center"/>
                </w:tcPr>
                <w:p>
                  <w:pPr>
                    <w:pStyle w:val="29"/>
                    <w:spacing w:line="360" w:lineRule="exact"/>
                    <w:rPr>
                      <w:rFonts w:eastAsiaTheme="minorEastAsia"/>
                      <w:color w:val="000000" w:themeColor="text1"/>
                      <w:szCs w:val="21"/>
                    </w:rPr>
                  </w:pPr>
                </w:p>
              </w:tc>
              <w:tc>
                <w:tcPr>
                  <w:tcW w:w="993" w:type="dxa"/>
                  <w:vMerge w:val="continue"/>
                  <w:tcBorders>
                    <w:left w:val="single" w:color="auto" w:sz="4"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c>
                <w:tcPr>
                  <w:tcW w:w="1486" w:type="dxa"/>
                  <w:vMerge w:val="continue"/>
                  <w:tcBorders>
                    <w:left w:val="nil"/>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300"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9"/>
                    <w:spacing w:line="360" w:lineRule="exact"/>
                    <w:rPr>
                      <w:color w:val="000000" w:themeColor="text1"/>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硫化氢</w:t>
                  </w:r>
                </w:p>
              </w:tc>
              <w:tc>
                <w:tcPr>
                  <w:tcW w:w="992" w:type="dxa"/>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0.01</w:t>
                  </w:r>
                </w:p>
              </w:tc>
              <w:tc>
                <w:tcPr>
                  <w:tcW w:w="1276" w:type="dxa"/>
                  <w:gridSpan w:val="2"/>
                  <w:tcBorders>
                    <w:top w:val="nil"/>
                    <w:left w:val="nil"/>
                    <w:bottom w:val="single" w:color="auto" w:sz="8" w:space="0"/>
                    <w:right w:val="single" w:color="000000" w:sz="8" w:space="0"/>
                  </w:tcBorders>
                  <w:shd w:val="clear" w:color="auto" w:fill="auto"/>
                  <w:vAlign w:val="center"/>
                </w:tcPr>
                <w:p>
                  <w:pPr>
                    <w:pStyle w:val="29"/>
                    <w:spacing w:line="360" w:lineRule="exact"/>
                    <w:rPr>
                      <w:color w:val="000000" w:themeColor="text1"/>
                      <w:szCs w:val="21"/>
                    </w:rPr>
                  </w:pPr>
                  <w:r>
                    <w:rPr>
                      <w:color w:val="000000" w:themeColor="text1"/>
                      <w:szCs w:val="21"/>
                    </w:rPr>
                    <w:t>0.0002</w:t>
                  </w:r>
                </w:p>
              </w:tc>
              <w:tc>
                <w:tcPr>
                  <w:tcW w:w="850" w:type="dxa"/>
                  <w:vMerge w:val="continue"/>
                  <w:tcBorders>
                    <w:left w:val="nil"/>
                    <w:bottom w:val="single" w:color="000000" w:sz="8" w:space="0"/>
                    <w:right w:val="single" w:color="auto" w:sz="4" w:space="0"/>
                  </w:tcBorders>
                  <w:shd w:val="clear" w:color="auto" w:fill="auto"/>
                  <w:vAlign w:val="center"/>
                </w:tcPr>
                <w:p>
                  <w:pPr>
                    <w:pStyle w:val="29"/>
                    <w:spacing w:line="360" w:lineRule="exact"/>
                    <w:rPr>
                      <w:rFonts w:eastAsiaTheme="minorEastAsia"/>
                      <w:color w:val="000000" w:themeColor="text1"/>
                      <w:szCs w:val="21"/>
                    </w:rPr>
                  </w:pPr>
                </w:p>
              </w:tc>
              <w:tc>
                <w:tcPr>
                  <w:tcW w:w="993" w:type="dxa"/>
                  <w:vMerge w:val="continue"/>
                  <w:tcBorders>
                    <w:left w:val="single" w:color="auto" w:sz="4" w:space="0"/>
                    <w:bottom w:val="single" w:color="000000" w:sz="8"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c>
                <w:tcPr>
                  <w:tcW w:w="1486" w:type="dxa"/>
                  <w:vMerge w:val="continue"/>
                  <w:tcBorders>
                    <w:left w:val="nil"/>
                    <w:bottom w:val="single" w:color="000000" w:sz="8" w:space="0"/>
                    <w:right w:val="single" w:color="000000" w:sz="8" w:space="0"/>
                  </w:tcBorders>
                  <w:shd w:val="clear" w:color="auto" w:fill="auto"/>
                  <w:vAlign w:val="center"/>
                </w:tcPr>
                <w:p>
                  <w:pPr>
                    <w:pStyle w:val="29"/>
                    <w:spacing w:line="360" w:lineRule="exact"/>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根据上述分析可知，项目各污染物均可达标排放，且项目位于环境空气质量达标区，项目所在区域基本污染因子环境质量现状均可达到《环境空气质量标准》（GB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-2012）二级标准；项目环境空气保护目标东南侧278m的凉水井位于项目区上风向，因此项目废气对环境保护目标影响较小。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①生产用水分析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该项目属于危险废物贮存项目，不属于生产性项目，该项目项目运营期间地面清洁及收集桶清洁主要采取抹布擦拭的方式，不采用水清洗，项目主要用水环节为废气处理装置中的碱喷淋工艺，根据设计碱喷淋工艺需水量为1m³，该用水在碱喷淋塔内不断调整pH值循环使用，每季度更换1次，而更换后的碱喷淋废液，应属于更换后的碱喷淋废液属于含有或沾染毒性、感染性危险废物的过滤介质，按危险废物处理，不按废水进行管理，因此项目无生产废水外排。</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②生活用水分析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建设单位为解决全厂员工的办公食宿问题，建设单位已在厂区外单独建设办公生活区，该项目依托使用。针对该办公生活区的生活污水设置了1个0.5m³的隔油池，1个10m³的化粪池，厨房废水先经1个0.5m³的隔油池预处理后和其他生活污水一起进入1个10m³的化粪池处理，处理达到《污水排入城镇下水道水质标准》（GB/T31962-2015）的B等级标准，通过园区污水管网进入四方地与碧谷园区污水处理厂处理。而该办公生活区目前使用员工人数约56人，据统计生活污水产生量约4.5m³/d，其处理余量约5.5m³/d，而本次建设项目员工只有10人，如厕产生的冲厕废水量不超过0.8m³/d，则依托可行，本项目无生活污水产生。</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③初期雨水分析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根据实施方案，该项目所有区域均在已建成的危险废物贮存库内，无建筑外设施，因此不会因为项目的建设而新增初期雨水。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（3）废水监测要求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①竣工验收监测要求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该项目无生产废水及生活污水产生，因此项目竣工验收期间可不对废水进行监测。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总则》（HJ819-2017）及《排污单位自行监测技术指南 工业固体废物和危险废物治理》（HJ1250-2022）的要求，项目废水自行监测要求如下表所示。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表4.2.2-3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42"/>
              <w:gridCol w:w="2127"/>
              <w:gridCol w:w="1559"/>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对象</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监测点位</w:t>
                  </w:r>
                </w:p>
              </w:tc>
              <w:tc>
                <w:tcPr>
                  <w:tcW w:w="212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监测因子</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20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雨水</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雨水排放口</w:t>
                  </w:r>
                </w:p>
              </w:tc>
              <w:tc>
                <w:tcPr>
                  <w:tcW w:w="212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CODcr、SS</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月</w:t>
                  </w:r>
                </w:p>
              </w:tc>
              <w:tc>
                <w:tcPr>
                  <w:tcW w:w="2200" w:type="dxa"/>
                  <w:vAlign w:val="center"/>
                </w:tcPr>
                <w:p>
                  <w:pPr>
                    <w:pStyle w:val="29"/>
                    <w:spacing w:line="360" w:lineRule="exact"/>
                    <w:rPr>
                      <w:color w:val="000000" w:themeColor="text1"/>
                      <w:lang w:val="en-US"/>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5" w:type="dxa"/>
                  <w:gridSpan w:val="5"/>
                  <w:vAlign w:val="center"/>
                </w:tcPr>
                <w:p>
                  <w:pPr>
                    <w:pStyle w:val="29"/>
                    <w:spacing w:line="360" w:lineRule="exact"/>
                    <w:ind w:firstLine="210" w:firstLineChars="100"/>
                    <w:jc w:val="left"/>
                    <w:rPr>
                      <w:color w:val="000000" w:themeColor="text1"/>
                    </w:rPr>
                  </w:pPr>
                  <w:r>
                    <w:rPr>
                      <w:color w:val="000000" w:themeColor="text1"/>
                    </w:rPr>
                    <w:t>备注：雨水排放口有流动水排放时按月监测。若监测一年无异常情况，可放宽至每季度开展一次监测。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根据工程分析可知，该项目无生产废水和生活污水产生，对环境影响较小。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表4.2.3-1项目噪声源强调查清单</w:t>
            </w:r>
          </w:p>
          <w:tbl>
            <w:tblPr>
              <w:tblStyle w:val="1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6"/>
              <w:gridCol w:w="809"/>
              <w:gridCol w:w="517"/>
              <w:gridCol w:w="617"/>
              <w:gridCol w:w="687"/>
              <w:gridCol w:w="567"/>
              <w:gridCol w:w="567"/>
              <w:gridCol w:w="567"/>
              <w:gridCol w:w="708"/>
              <w:gridCol w:w="709"/>
              <w:gridCol w:w="567"/>
              <w:gridCol w:w="709"/>
              <w:gridCol w:w="567"/>
              <w:gridCol w:w="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6"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建筑物名称</w:t>
                  </w:r>
                </w:p>
              </w:tc>
              <w:tc>
                <w:tcPr>
                  <w:tcW w:w="809"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污染源名称</w:t>
                  </w:r>
                </w:p>
              </w:tc>
              <w:tc>
                <w:tcPr>
                  <w:tcW w:w="517"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型号</w:t>
                  </w:r>
                </w:p>
              </w:tc>
              <w:tc>
                <w:tcPr>
                  <w:tcW w:w="617"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声级/功率/dB（A）</w:t>
                  </w:r>
                </w:p>
              </w:tc>
              <w:tc>
                <w:tcPr>
                  <w:tcW w:w="687"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声源控制措施</w:t>
                  </w:r>
                </w:p>
              </w:tc>
              <w:tc>
                <w:tcPr>
                  <w:tcW w:w="1701" w:type="dxa"/>
                  <w:gridSpan w:val="3"/>
                  <w:tcBorders>
                    <w:tl2br w:val="nil"/>
                    <w:tr2bl w:val="nil"/>
                  </w:tcBorders>
                  <w:noWrap/>
                  <w:vAlign w:val="center"/>
                </w:tcPr>
                <w:p>
                  <w:pPr>
                    <w:pStyle w:val="29"/>
                    <w:spacing w:line="360" w:lineRule="exact"/>
                    <w:rPr>
                      <w:color w:val="000000" w:themeColor="text1"/>
                      <w:szCs w:val="21"/>
                    </w:rPr>
                  </w:pPr>
                  <w:r>
                    <w:rPr>
                      <w:color w:val="000000" w:themeColor="text1"/>
                      <w:szCs w:val="21"/>
                    </w:rPr>
                    <w:t>空间相对位置</w:t>
                  </w:r>
                </w:p>
              </w:tc>
              <w:tc>
                <w:tcPr>
                  <w:tcW w:w="708"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距室内边界距离距离m</w:t>
                  </w:r>
                </w:p>
              </w:tc>
              <w:tc>
                <w:tcPr>
                  <w:tcW w:w="709"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室内边界声级/dB（A）</w:t>
                  </w:r>
                </w:p>
              </w:tc>
              <w:tc>
                <w:tcPr>
                  <w:tcW w:w="567"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运行时段</w:t>
                  </w:r>
                </w:p>
              </w:tc>
              <w:tc>
                <w:tcPr>
                  <w:tcW w:w="709" w:type="dxa"/>
                  <w:vMerge w:val="restart"/>
                  <w:tcBorders>
                    <w:tl2br w:val="nil"/>
                    <w:tr2bl w:val="nil"/>
                  </w:tcBorders>
                  <w:noWrap/>
                  <w:vAlign w:val="center"/>
                </w:tcPr>
                <w:p>
                  <w:pPr>
                    <w:pStyle w:val="29"/>
                    <w:spacing w:line="360" w:lineRule="exact"/>
                    <w:rPr>
                      <w:color w:val="000000" w:themeColor="text1"/>
                      <w:szCs w:val="21"/>
                    </w:rPr>
                  </w:pPr>
                  <w:r>
                    <w:rPr>
                      <w:color w:val="000000" w:themeColor="text1"/>
                      <w:szCs w:val="21"/>
                    </w:rPr>
                    <w:t>建筑物插入损失/dB（A）</w:t>
                  </w:r>
                </w:p>
              </w:tc>
              <w:tc>
                <w:tcPr>
                  <w:tcW w:w="1069" w:type="dxa"/>
                  <w:gridSpan w:val="2"/>
                  <w:tcBorders>
                    <w:tl2br w:val="nil"/>
                    <w:tr2bl w:val="nil"/>
                  </w:tcBorders>
                  <w:noWrap/>
                  <w:vAlign w:val="center"/>
                </w:tcPr>
                <w:p>
                  <w:pPr>
                    <w:pStyle w:val="29"/>
                    <w:spacing w:line="360" w:lineRule="exact"/>
                    <w:rPr>
                      <w:color w:val="000000" w:themeColor="text1"/>
                      <w:szCs w:val="21"/>
                    </w:rPr>
                  </w:pPr>
                  <w:r>
                    <w:rPr>
                      <w:color w:val="000000" w:themeColor="text1"/>
                      <w:szCs w:val="21"/>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continue"/>
                  <w:tcBorders>
                    <w:tl2br w:val="nil"/>
                    <w:tr2bl w:val="nil"/>
                  </w:tcBorders>
                  <w:noWrap/>
                  <w:vAlign w:val="center"/>
                </w:tcPr>
                <w:p>
                  <w:pPr>
                    <w:pStyle w:val="29"/>
                    <w:spacing w:line="360" w:lineRule="exact"/>
                    <w:rPr>
                      <w:color w:val="000000" w:themeColor="text1"/>
                      <w:szCs w:val="21"/>
                    </w:rPr>
                  </w:pPr>
                </w:p>
              </w:tc>
              <w:tc>
                <w:tcPr>
                  <w:tcW w:w="809" w:type="dxa"/>
                  <w:vMerge w:val="continue"/>
                  <w:tcBorders>
                    <w:tl2br w:val="nil"/>
                    <w:tr2bl w:val="nil"/>
                  </w:tcBorders>
                  <w:noWrap/>
                  <w:vAlign w:val="center"/>
                </w:tcPr>
                <w:p>
                  <w:pPr>
                    <w:pStyle w:val="29"/>
                    <w:spacing w:line="360" w:lineRule="exact"/>
                    <w:rPr>
                      <w:color w:val="000000" w:themeColor="text1"/>
                      <w:szCs w:val="21"/>
                    </w:rPr>
                  </w:pPr>
                </w:p>
              </w:tc>
              <w:tc>
                <w:tcPr>
                  <w:tcW w:w="517" w:type="dxa"/>
                  <w:vMerge w:val="continue"/>
                  <w:tcBorders>
                    <w:tl2br w:val="nil"/>
                    <w:tr2bl w:val="nil"/>
                  </w:tcBorders>
                  <w:noWrap/>
                  <w:vAlign w:val="center"/>
                </w:tcPr>
                <w:p>
                  <w:pPr>
                    <w:pStyle w:val="29"/>
                    <w:spacing w:line="360" w:lineRule="exact"/>
                    <w:rPr>
                      <w:color w:val="000000" w:themeColor="text1"/>
                      <w:szCs w:val="21"/>
                    </w:rPr>
                  </w:pPr>
                </w:p>
              </w:tc>
              <w:tc>
                <w:tcPr>
                  <w:tcW w:w="617" w:type="dxa"/>
                  <w:vMerge w:val="continue"/>
                  <w:tcBorders>
                    <w:tl2br w:val="nil"/>
                    <w:tr2bl w:val="nil"/>
                  </w:tcBorders>
                  <w:noWrap/>
                  <w:vAlign w:val="center"/>
                </w:tcPr>
                <w:p>
                  <w:pPr>
                    <w:pStyle w:val="29"/>
                    <w:spacing w:line="360" w:lineRule="exact"/>
                    <w:rPr>
                      <w:color w:val="000000" w:themeColor="text1"/>
                      <w:szCs w:val="21"/>
                    </w:rPr>
                  </w:pPr>
                </w:p>
              </w:tc>
              <w:tc>
                <w:tcPr>
                  <w:tcW w:w="687" w:type="dxa"/>
                  <w:vMerge w:val="continue"/>
                  <w:tcBorders>
                    <w:tl2br w:val="nil"/>
                    <w:tr2bl w:val="nil"/>
                  </w:tcBorders>
                  <w:noWrap/>
                  <w:vAlign w:val="center"/>
                </w:tcPr>
                <w:p>
                  <w:pPr>
                    <w:pStyle w:val="29"/>
                    <w:spacing w:line="360" w:lineRule="exact"/>
                    <w:rPr>
                      <w:color w:val="000000" w:themeColor="text1"/>
                      <w:szCs w:val="21"/>
                    </w:rPr>
                  </w:pPr>
                </w:p>
              </w:tc>
              <w:tc>
                <w:tcPr>
                  <w:tcW w:w="567" w:type="dxa"/>
                  <w:tcBorders>
                    <w:tl2br w:val="nil"/>
                    <w:tr2bl w:val="nil"/>
                  </w:tcBorders>
                  <w:noWrap/>
                  <w:vAlign w:val="center"/>
                </w:tcPr>
                <w:p>
                  <w:pPr>
                    <w:pStyle w:val="29"/>
                    <w:spacing w:line="360" w:lineRule="exact"/>
                    <w:rPr>
                      <w:color w:val="000000" w:themeColor="text1"/>
                      <w:szCs w:val="21"/>
                    </w:rPr>
                  </w:pPr>
                  <w:r>
                    <w:rPr>
                      <w:color w:val="000000" w:themeColor="text1"/>
                      <w:szCs w:val="21"/>
                    </w:rPr>
                    <w:t>坐标X</w:t>
                  </w:r>
                </w:p>
              </w:tc>
              <w:tc>
                <w:tcPr>
                  <w:tcW w:w="567" w:type="dxa"/>
                  <w:tcBorders>
                    <w:tl2br w:val="nil"/>
                    <w:tr2bl w:val="nil"/>
                  </w:tcBorders>
                  <w:noWrap/>
                  <w:vAlign w:val="center"/>
                </w:tcPr>
                <w:p>
                  <w:pPr>
                    <w:pStyle w:val="29"/>
                    <w:spacing w:line="360" w:lineRule="exact"/>
                    <w:rPr>
                      <w:color w:val="000000" w:themeColor="text1"/>
                      <w:szCs w:val="21"/>
                    </w:rPr>
                  </w:pPr>
                  <w:r>
                    <w:rPr>
                      <w:color w:val="000000" w:themeColor="text1"/>
                      <w:szCs w:val="21"/>
                    </w:rPr>
                    <w:t>坐标Y</w:t>
                  </w:r>
                </w:p>
              </w:tc>
              <w:tc>
                <w:tcPr>
                  <w:tcW w:w="567" w:type="dxa"/>
                  <w:tcBorders>
                    <w:tl2br w:val="nil"/>
                    <w:tr2bl w:val="nil"/>
                  </w:tcBorders>
                  <w:noWrap/>
                  <w:vAlign w:val="center"/>
                </w:tcPr>
                <w:p>
                  <w:pPr>
                    <w:pStyle w:val="29"/>
                    <w:spacing w:line="360" w:lineRule="exact"/>
                    <w:rPr>
                      <w:color w:val="000000" w:themeColor="text1"/>
                      <w:szCs w:val="21"/>
                    </w:rPr>
                  </w:pPr>
                  <w:r>
                    <w:rPr>
                      <w:color w:val="000000" w:themeColor="text1"/>
                      <w:szCs w:val="21"/>
                    </w:rPr>
                    <w:t>离地高H</w:t>
                  </w:r>
                </w:p>
              </w:tc>
              <w:tc>
                <w:tcPr>
                  <w:tcW w:w="708" w:type="dxa"/>
                  <w:vMerge w:val="continue"/>
                  <w:tcBorders>
                    <w:tl2br w:val="nil"/>
                    <w:tr2bl w:val="nil"/>
                  </w:tcBorders>
                  <w:noWrap/>
                  <w:vAlign w:val="center"/>
                </w:tcPr>
                <w:p>
                  <w:pPr>
                    <w:pStyle w:val="29"/>
                    <w:spacing w:line="360" w:lineRule="exact"/>
                    <w:rPr>
                      <w:color w:val="000000" w:themeColor="text1"/>
                      <w:szCs w:val="21"/>
                    </w:rPr>
                  </w:pPr>
                </w:p>
              </w:tc>
              <w:tc>
                <w:tcPr>
                  <w:tcW w:w="709" w:type="dxa"/>
                  <w:vMerge w:val="continue"/>
                  <w:tcBorders>
                    <w:tl2br w:val="nil"/>
                    <w:tr2bl w:val="nil"/>
                  </w:tcBorders>
                  <w:noWrap/>
                  <w:vAlign w:val="center"/>
                </w:tcPr>
                <w:p>
                  <w:pPr>
                    <w:pStyle w:val="29"/>
                    <w:spacing w:line="360" w:lineRule="exact"/>
                    <w:rPr>
                      <w:color w:val="000000" w:themeColor="text1"/>
                      <w:szCs w:val="21"/>
                    </w:rPr>
                  </w:pPr>
                </w:p>
              </w:tc>
              <w:tc>
                <w:tcPr>
                  <w:tcW w:w="567" w:type="dxa"/>
                  <w:vMerge w:val="continue"/>
                  <w:tcBorders>
                    <w:tl2br w:val="nil"/>
                    <w:tr2bl w:val="nil"/>
                  </w:tcBorders>
                  <w:noWrap/>
                  <w:vAlign w:val="center"/>
                </w:tcPr>
                <w:p>
                  <w:pPr>
                    <w:pStyle w:val="29"/>
                    <w:spacing w:line="360" w:lineRule="exact"/>
                    <w:rPr>
                      <w:color w:val="000000" w:themeColor="text1"/>
                      <w:szCs w:val="21"/>
                    </w:rPr>
                  </w:pPr>
                </w:p>
              </w:tc>
              <w:tc>
                <w:tcPr>
                  <w:tcW w:w="709" w:type="dxa"/>
                  <w:vMerge w:val="continue"/>
                  <w:tcBorders>
                    <w:tl2br w:val="nil"/>
                    <w:tr2bl w:val="nil"/>
                  </w:tcBorders>
                  <w:noWrap/>
                  <w:vAlign w:val="center"/>
                </w:tcPr>
                <w:p>
                  <w:pPr>
                    <w:pStyle w:val="29"/>
                    <w:spacing w:line="360" w:lineRule="exact"/>
                    <w:rPr>
                      <w:color w:val="000000" w:themeColor="text1"/>
                      <w:szCs w:val="21"/>
                    </w:rPr>
                  </w:pPr>
                </w:p>
              </w:tc>
              <w:tc>
                <w:tcPr>
                  <w:tcW w:w="567" w:type="dxa"/>
                  <w:tcBorders>
                    <w:tl2br w:val="nil"/>
                    <w:tr2bl w:val="nil"/>
                  </w:tcBorders>
                  <w:noWrap/>
                  <w:vAlign w:val="center"/>
                </w:tcPr>
                <w:p>
                  <w:pPr>
                    <w:pStyle w:val="29"/>
                    <w:spacing w:line="360" w:lineRule="exact"/>
                    <w:rPr>
                      <w:color w:val="000000" w:themeColor="text1"/>
                      <w:szCs w:val="21"/>
                    </w:rPr>
                  </w:pPr>
                  <w:r>
                    <w:rPr>
                      <w:color w:val="000000" w:themeColor="text1"/>
                      <w:szCs w:val="21"/>
                    </w:rPr>
                    <w:t>声压级/dB（A）</w:t>
                  </w:r>
                </w:p>
              </w:tc>
              <w:tc>
                <w:tcPr>
                  <w:tcW w:w="502" w:type="dxa"/>
                  <w:tcBorders>
                    <w:tl2br w:val="nil"/>
                    <w:tr2bl w:val="nil"/>
                  </w:tcBorders>
                  <w:noWrap/>
                  <w:vAlign w:val="center"/>
                </w:tcPr>
                <w:p>
                  <w:pPr>
                    <w:pStyle w:val="29"/>
                    <w:spacing w:line="360" w:lineRule="exact"/>
                    <w:rPr>
                      <w:color w:val="000000" w:themeColor="text1"/>
                      <w:szCs w:val="21"/>
                    </w:rPr>
                  </w:pPr>
                  <w:r>
                    <w:rPr>
                      <w:color w:val="000000" w:themeColor="text1"/>
                      <w:szCs w:val="21"/>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tcBorders>
                    <w:tl2br w:val="nil"/>
                    <w:tr2bl w:val="nil"/>
                  </w:tcBorders>
                  <w:noWrap/>
                  <w:vAlign w:val="center"/>
                </w:tcPr>
                <w:p>
                  <w:pPr>
                    <w:pStyle w:val="29"/>
                    <w:spacing w:line="360" w:lineRule="exact"/>
                    <w:rPr>
                      <w:color w:val="000000" w:themeColor="text1"/>
                      <w:szCs w:val="21"/>
                    </w:rPr>
                  </w:pPr>
                  <w:r>
                    <w:rPr>
                      <w:color w:val="000000" w:themeColor="text1"/>
                      <w:szCs w:val="21"/>
                    </w:rPr>
                    <w:t>危险废物贮存库</w:t>
                  </w:r>
                </w:p>
              </w:tc>
              <w:tc>
                <w:tcPr>
                  <w:tcW w:w="809" w:type="dxa"/>
                  <w:tcBorders>
                    <w:tl2br w:val="nil"/>
                    <w:tr2bl w:val="nil"/>
                  </w:tcBorders>
                  <w:noWrap/>
                  <w:vAlign w:val="center"/>
                </w:tcPr>
                <w:p>
                  <w:pPr>
                    <w:pStyle w:val="29"/>
                    <w:spacing w:line="360" w:lineRule="exact"/>
                    <w:rPr>
                      <w:color w:val="000000" w:themeColor="text1"/>
                      <w:szCs w:val="21"/>
                    </w:rPr>
                  </w:pPr>
                  <w:r>
                    <w:rPr>
                      <w:color w:val="000000" w:themeColor="text1"/>
                      <w:szCs w:val="21"/>
                    </w:rPr>
                    <w:t>自吸泵</w:t>
                  </w:r>
                </w:p>
              </w:tc>
              <w:tc>
                <w:tcPr>
                  <w:tcW w:w="517" w:type="dxa"/>
                  <w:tcBorders>
                    <w:tl2br w:val="nil"/>
                    <w:tr2bl w:val="nil"/>
                  </w:tcBorders>
                  <w:noWrap/>
                  <w:vAlign w:val="center"/>
                </w:tcPr>
                <w:p>
                  <w:pPr>
                    <w:pStyle w:val="29"/>
                    <w:spacing w:line="360" w:lineRule="exact"/>
                    <w:rPr>
                      <w:color w:val="000000" w:themeColor="text1"/>
                      <w:szCs w:val="21"/>
                    </w:rPr>
                  </w:pPr>
                  <w:r>
                    <w:rPr>
                      <w:color w:val="000000" w:themeColor="text1"/>
                      <w:szCs w:val="21"/>
                    </w:rPr>
                    <w:t>--</w:t>
                  </w:r>
                </w:p>
              </w:tc>
              <w:tc>
                <w:tcPr>
                  <w:tcW w:w="617" w:type="dxa"/>
                  <w:tcBorders>
                    <w:tl2br w:val="nil"/>
                    <w:tr2bl w:val="nil"/>
                  </w:tcBorders>
                  <w:noWrap/>
                  <w:vAlign w:val="center"/>
                </w:tcPr>
                <w:p>
                  <w:pPr>
                    <w:pStyle w:val="29"/>
                    <w:spacing w:line="360" w:lineRule="exact"/>
                    <w:rPr>
                      <w:color w:val="000000" w:themeColor="text1"/>
                      <w:szCs w:val="21"/>
                    </w:rPr>
                  </w:pPr>
                  <w:r>
                    <w:rPr>
                      <w:color w:val="000000" w:themeColor="text1"/>
                      <w:szCs w:val="21"/>
                    </w:rPr>
                    <w:t>85</w:t>
                  </w:r>
                </w:p>
              </w:tc>
              <w:tc>
                <w:tcPr>
                  <w:tcW w:w="687" w:type="dxa"/>
                  <w:vMerge w:val="restart"/>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28.9</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16.7</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0.5</w:t>
                  </w:r>
                </w:p>
              </w:tc>
              <w:tc>
                <w:tcPr>
                  <w:tcW w:w="708"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昼间、夜间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tcBorders>
                    <w:tl2br w:val="nil"/>
                    <w:tr2bl w:val="nil"/>
                  </w:tcBorders>
                  <w:noWrap/>
                  <w:vAlign w:val="center"/>
                </w:tcPr>
                <w:p>
                  <w:pPr>
                    <w:pStyle w:val="29"/>
                    <w:spacing w:line="360" w:lineRule="exact"/>
                    <w:rPr>
                      <w:color w:val="000000" w:themeColor="text1"/>
                      <w:szCs w:val="21"/>
                    </w:rPr>
                  </w:pPr>
                  <w:r>
                    <w:rPr>
                      <w:color w:val="000000" w:themeColor="text1"/>
                      <w:szCs w:val="21"/>
                    </w:rPr>
                    <w:t>运输</w:t>
                  </w:r>
                </w:p>
              </w:tc>
              <w:tc>
                <w:tcPr>
                  <w:tcW w:w="809" w:type="dxa"/>
                  <w:tcBorders>
                    <w:tl2br w:val="nil"/>
                    <w:tr2bl w:val="nil"/>
                  </w:tcBorders>
                  <w:noWrap/>
                  <w:vAlign w:val="center"/>
                </w:tcPr>
                <w:p>
                  <w:pPr>
                    <w:pStyle w:val="29"/>
                    <w:spacing w:line="360" w:lineRule="exact"/>
                    <w:rPr>
                      <w:color w:val="000000" w:themeColor="text1"/>
                      <w:szCs w:val="21"/>
                    </w:rPr>
                  </w:pPr>
                  <w:r>
                    <w:rPr>
                      <w:color w:val="000000" w:themeColor="text1"/>
                      <w:szCs w:val="21"/>
                    </w:rPr>
                    <w:t>叉车</w:t>
                  </w:r>
                </w:p>
              </w:tc>
              <w:tc>
                <w:tcPr>
                  <w:tcW w:w="517" w:type="dxa"/>
                  <w:tcBorders>
                    <w:tl2br w:val="nil"/>
                    <w:tr2bl w:val="nil"/>
                  </w:tcBorders>
                  <w:noWrap/>
                  <w:vAlign w:val="center"/>
                </w:tcPr>
                <w:p>
                  <w:pPr>
                    <w:pStyle w:val="29"/>
                    <w:spacing w:line="360" w:lineRule="exact"/>
                    <w:ind w:firstLine="105" w:firstLineChars="50"/>
                    <w:jc w:val="both"/>
                    <w:rPr>
                      <w:color w:val="000000" w:themeColor="text1"/>
                      <w:szCs w:val="21"/>
                    </w:rPr>
                  </w:pPr>
                  <w:r>
                    <w:rPr>
                      <w:color w:val="000000" w:themeColor="text1"/>
                      <w:szCs w:val="21"/>
                    </w:rPr>
                    <w:t>2.5t</w:t>
                  </w:r>
                </w:p>
              </w:tc>
              <w:tc>
                <w:tcPr>
                  <w:tcW w:w="617" w:type="dxa"/>
                  <w:tcBorders>
                    <w:tl2br w:val="nil"/>
                    <w:tr2bl w:val="nil"/>
                  </w:tcBorders>
                  <w:noWrap/>
                  <w:vAlign w:val="center"/>
                </w:tcPr>
                <w:p>
                  <w:pPr>
                    <w:pStyle w:val="29"/>
                    <w:spacing w:line="360" w:lineRule="exact"/>
                    <w:rPr>
                      <w:color w:val="000000" w:themeColor="text1"/>
                      <w:szCs w:val="21"/>
                    </w:rPr>
                  </w:pPr>
                  <w:r>
                    <w:rPr>
                      <w:color w:val="000000" w:themeColor="text1"/>
                      <w:szCs w:val="21"/>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p>
              </w:tc>
              <w:tc>
                <w:tcPr>
                  <w:tcW w:w="708"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昼间、夜间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tcBorders>
                    <w:tl2br w:val="nil"/>
                    <w:tr2bl w:val="nil"/>
                  </w:tcBorders>
                  <w:noWrap/>
                  <w:vAlign w:val="center"/>
                </w:tcPr>
                <w:p>
                  <w:pPr>
                    <w:pStyle w:val="29"/>
                    <w:spacing w:line="360" w:lineRule="exact"/>
                    <w:rPr>
                      <w:color w:val="000000" w:themeColor="text1"/>
                      <w:szCs w:val="21"/>
                    </w:rPr>
                  </w:pPr>
                  <w:r>
                    <w:rPr>
                      <w:color w:val="000000" w:themeColor="text1"/>
                      <w:szCs w:val="21"/>
                    </w:rPr>
                    <w:t>环保设施</w:t>
                  </w:r>
                </w:p>
              </w:tc>
              <w:tc>
                <w:tcPr>
                  <w:tcW w:w="809" w:type="dxa"/>
                  <w:tcBorders>
                    <w:tl2br w:val="nil"/>
                    <w:tr2bl w:val="nil"/>
                  </w:tcBorders>
                  <w:noWrap/>
                  <w:vAlign w:val="center"/>
                </w:tcPr>
                <w:p>
                  <w:pPr>
                    <w:pStyle w:val="29"/>
                    <w:spacing w:line="360" w:lineRule="exact"/>
                    <w:rPr>
                      <w:color w:val="000000" w:themeColor="text1"/>
                      <w:szCs w:val="21"/>
                    </w:rPr>
                  </w:pPr>
                  <w:r>
                    <w:rPr>
                      <w:color w:val="000000" w:themeColor="text1"/>
                      <w:szCs w:val="21"/>
                    </w:rPr>
                    <w:t>负压收集系统（风机）</w:t>
                  </w:r>
                </w:p>
              </w:tc>
              <w:tc>
                <w:tcPr>
                  <w:tcW w:w="517" w:type="dxa"/>
                  <w:tcBorders>
                    <w:tl2br w:val="nil"/>
                    <w:tr2bl w:val="nil"/>
                  </w:tcBorders>
                  <w:noWrap/>
                  <w:vAlign w:val="center"/>
                </w:tcPr>
                <w:p>
                  <w:pPr>
                    <w:pStyle w:val="29"/>
                    <w:spacing w:line="360" w:lineRule="exact"/>
                    <w:rPr>
                      <w:color w:val="000000" w:themeColor="text1"/>
                      <w:szCs w:val="21"/>
                    </w:rPr>
                  </w:pPr>
                  <w:r>
                    <w:rPr>
                      <w:color w:val="000000" w:themeColor="text1"/>
                      <w:szCs w:val="21"/>
                    </w:rPr>
                    <w:t>--</w:t>
                  </w:r>
                </w:p>
              </w:tc>
              <w:tc>
                <w:tcPr>
                  <w:tcW w:w="617" w:type="dxa"/>
                  <w:tcBorders>
                    <w:tl2br w:val="nil"/>
                    <w:tr2bl w:val="nil"/>
                  </w:tcBorders>
                  <w:noWrap/>
                  <w:vAlign w:val="center"/>
                </w:tcPr>
                <w:p>
                  <w:pPr>
                    <w:pStyle w:val="29"/>
                    <w:spacing w:line="360" w:lineRule="exact"/>
                    <w:rPr>
                      <w:color w:val="000000" w:themeColor="text1"/>
                      <w:szCs w:val="21"/>
                    </w:rPr>
                  </w:pPr>
                  <w:r>
                    <w:rPr>
                      <w:color w:val="000000" w:themeColor="text1"/>
                      <w:szCs w:val="21"/>
                    </w:rPr>
                    <w:t>85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32.8</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18.6</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2.3</w:t>
                  </w:r>
                </w:p>
              </w:tc>
              <w:tc>
                <w:tcPr>
                  <w:tcW w:w="708"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3.2</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85</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昼间、夜间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（2）厂界噪声达标性分析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声环境》（HJ2.4-2021），对项目设备厂界噪声进行预测。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声源位于室内，室内声源可采用等效室外声源声功率级法进行计算。设靠近开口处（或窗户）室内、室外某倍频带的声压级或A声级分别为L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和L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P1</m:t>
                  </m:r>
                  <m:ctrlPr>
                    <w:rPr>
                      <w:rFonts w:ascii="Cambria Math" w:hAnsi="Times New Roman" w:cs="Times New Roman"/>
                      <w:color w:val="000000" w:themeColor="text1"/>
                      <w:sz w:val="24"/>
                      <w:szCs w:val="24"/>
                    </w:rPr>
                  </m:ctrlPr>
                </m:sub>
              </m:sSub>
              <m:r>
                <m:rPr/>
                <w:rPr>
                  <w:rFonts w:ascii="Times New Roman" w:hAnsi="Times New Roman" w:cs="Times New Roman"/>
                  <w:color w:val="000000" w:themeColor="text1"/>
                  <w:sz w:val="24"/>
                  <w:szCs w:val="24"/>
                </w:rPr>
                <m:t>−</m:t>
              </m:r>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Times New Roman" w:hAnsi="Times New Roman" w:cs="Times New Roman"/>
                  <w:color w:val="000000" w:themeColor="text1"/>
                  <w:sz w:val="24"/>
                  <w:szCs w:val="24"/>
                </w:rPr>
                <m:t>）</m:t>
              </m:r>
            </m:oMath>
            <w:r>
              <w:rPr>
                <w:rFonts w:ascii="Times New Roman" w:hAnsi="Times New Roman" w:cs="Times New Roman"/>
                <w:color w:val="000000" w:themeColor="text1"/>
                <w:kern w:val="0"/>
                <w:sz w:val="24"/>
                <w:szCs w:val="24"/>
              </w:rPr>
              <w:t>（B.1）</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--靠近开口处（或窗户）室内某倍频带的声压级或A声级，dB；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--靠近开口处（或窗户）室外某倍频带的声压级或A声级，dB；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TL--隔墙（或窗户）倍频带或A声级的隔声量，dB。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可按下式计算某一室内声源靠近围护结构处产生的倍频带声压级或A声级：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P1</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Times New Roman"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Times New Roman"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4π</m:t>
                  </m:r>
                  <m:sSup>
                    <m:sSupPr>
                      <m:ctrlPr>
                        <w:rPr>
                          <w:rFonts w:ascii="Cambria Math" w:hAnsi="Times New Roman" w:cs="Times New Roman"/>
                          <w:color w:val="000000" w:themeColor="text1"/>
                          <w:sz w:val="24"/>
                          <w:szCs w:val="24"/>
                        </w:rPr>
                      </m:ctrlPr>
                    </m:sSupPr>
                    <m:e>
                      <m:r>
                        <m:rP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m:rP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Times New Roman" w:hAnsi="Times New Roman" w:cs="Times New Roman"/>
                  <w:color w:val="000000" w:themeColor="text1"/>
                  <w:sz w:val="24"/>
                  <w:szCs w:val="24"/>
                </w:rPr>
                <m:t>）</m:t>
              </m:r>
            </m:oMath>
            <w:r>
              <w:rPr>
                <w:rFonts w:ascii="Times New Roman" w:hAnsi="Times New Roman" w:cs="Times New Roman"/>
                <w:color w:val="000000" w:themeColor="text1"/>
                <w:kern w:val="0"/>
                <w:sz w:val="24"/>
                <w:szCs w:val="24"/>
              </w:rPr>
              <w:t>（B.2）</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式中：Lw--点声源声功率级（A计权或倍频带），dB；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Q--指向性因数；通常对无指向性声源，当声源放在房间中心时，Q=1；当放在一面墙的中心时，Q=2；当放在两面墙夹角处时，Q=4；当放在三面墙夹角处时，Q=8；</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R--房间常数；</w:t>
            </w:r>
            <m:oMath>
              <m:r>
                <m:rPr/>
                <w:rPr>
                  <w:rFonts w:ascii="Cambria Math" w:hAnsi="Times New Roman" w:cs="Times New Roman"/>
                  <w:color w:val="000000" w:themeColor="text1"/>
                  <w:sz w:val="24"/>
                  <w:szCs w:val="24"/>
                </w:rPr>
                <m:t>R=</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S</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Times New Roman" w:hAnsi="Times New Roman" w:cs="Times New Roman"/>
                  <w:color w:val="000000" w:themeColor="text1"/>
                  <w:sz w:val="24"/>
                  <w:szCs w:val="24"/>
                </w:rPr>
                <m:t>−</m:t>
              </m:r>
              <m:r>
                <m:rPr/>
                <w:rPr>
                  <w:rFonts w:ascii="Cambria Math" w:hAnsi="Times New Roman" w:cs="Times New Roman"/>
                  <w:color w:val="000000" w:themeColor="text1"/>
                  <w:sz w:val="24"/>
                  <w:szCs w:val="24"/>
                </w:rPr>
                <m:t>a</m:t>
              </m:r>
              <m:r>
                <m:rPr>
                  <m:sty m:val="p"/>
                </m:rPr>
                <w:rPr>
                  <w:rFonts w:ascii="Times New Roman" w:hAnsi="Times New Roman" w:cs="Times New Roman"/>
                  <w:color w:val="000000" w:themeColor="text1"/>
                  <w:sz w:val="24"/>
                  <w:szCs w:val="24"/>
                </w:rPr>
                <m:t>）</m:t>
              </m:r>
            </m:oMath>
            <w:r>
              <w:rPr>
                <w:rFonts w:ascii="Times New Roman" w:hAnsi="Times New Roman" w:cs="Times New Roman"/>
                <w:color w:val="000000" w:themeColor="text1"/>
                <w:sz w:val="24"/>
                <w:szCs w:val="24"/>
              </w:rPr>
              <w:t>，S为房间内表面面积，m2；α为平均吸声系数；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然后按式（B.3）计算出所有室内声源在围护结构处产生的i倍频带叠加声压级：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Times New Roman" w:hAnsi="Times New Roman" w:cs="Times New Roman"/>
                  <w:color w:val="000000" w:themeColor="text1"/>
                  <w:kern w:val="0"/>
                  <w:sz w:val="24"/>
                  <w:szCs w:val="24"/>
                </w:rPr>
                <m:t>（</m:t>
              </m:r>
              <m:r>
                <m:rPr/>
                <w:rPr>
                  <w:rFonts w:ascii="Cambria Math" w:hAnsi="Times New Roman" w:cs="Times New Roman"/>
                  <w:color w:val="000000" w:themeColor="text1"/>
                  <w:kern w:val="0"/>
                  <w:sz w:val="24"/>
                  <w:szCs w:val="24"/>
                </w:rPr>
                <m:t>T</m:t>
              </m:r>
              <m:r>
                <m:rPr>
                  <m:sty m:val="p"/>
                </m:rPr>
                <w:rPr>
                  <w:rFonts w:ascii="Times New Roman" w:hAnsi="Times New Roman" w:cs="Times New Roman"/>
                  <w:color w:val="000000" w:themeColor="text1"/>
                  <w:kern w:val="0"/>
                  <w:sz w:val="24"/>
                  <w:szCs w:val="24"/>
                </w:rPr>
                <m:t>）</m:t>
              </m:r>
              <m:r>
                <m:rP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Times New Roman" w:hAnsi="Times New Roman"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Times New Roman"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Times New Roman"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hAnsi="Times New Roman" w:cs="Times New Roman"/>
                <w:color w:val="000000" w:themeColor="text1"/>
                <w:kern w:val="0"/>
                <w:sz w:val="24"/>
                <w:szCs w:val="24"/>
              </w:rPr>
              <w:t>（B.3）</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w:t>
            </w:r>
            <w:r>
              <w:rPr>
                <w:rFonts w:ascii="Times New Roman" w:hAnsi="Times New Roman" w:cs="Times New Roman"/>
                <w:color w:val="000000" w:themeColor="text1"/>
                <w:sz w:val="24"/>
                <w:szCs w:val="24"/>
                <w:vertAlign w:val="subscript"/>
              </w:rPr>
              <w:t>pli</w:t>
            </w:r>
            <w:r>
              <w:rPr>
                <w:rFonts w:ascii="Times New Roman" w:hAnsi="Times New Roman" w:cs="Times New Roman"/>
                <w:color w:val="000000" w:themeColor="text1"/>
                <w:sz w:val="24"/>
                <w:szCs w:val="24"/>
              </w:rPr>
              <w:t>（T）--靠近围护结构处室内N个声源i倍频带的叠加声压级，dB；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--室内j声源i倍频带的声压级，dB；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在室内近似为扩散声场时，按式（B.4）计算出靠近室外围护结构处的声压级：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Times New Roman"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Times New Roman"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Times New Roman"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Times New Roman" w:hAnsi="Times New Roman" w:cs="Times New Roman"/>
                  <w:color w:val="000000" w:themeColor="text1"/>
                  <w:kern w:val="0"/>
                  <w:sz w:val="24"/>
                  <w:szCs w:val="24"/>
                </w:rPr>
                <m:t>）</m:t>
              </m:r>
            </m:oMath>
            <w:r>
              <w:rPr>
                <w:rFonts w:ascii="Times New Roman" w:hAnsi="Times New Roman" w:cs="Times New Roman"/>
                <w:color w:val="000000" w:themeColor="text1"/>
                <w:sz w:val="24"/>
                <w:szCs w:val="24"/>
              </w:rPr>
              <w:t>（B.4）</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w:t>
            </w:r>
            <w:r>
              <w:rPr>
                <w:rFonts w:ascii="Times New Roman" w:hAnsi="Times New Roman" w:cs="Times New Roman"/>
                <w:color w:val="000000" w:themeColor="text1"/>
                <w:sz w:val="24"/>
                <w:szCs w:val="24"/>
                <w:vertAlign w:val="subscript"/>
              </w:rPr>
              <w:t>p2i</w:t>
            </w:r>
            <w:r>
              <w:rPr>
                <w:rFonts w:ascii="Times New Roman" w:hAnsi="Times New Roman" w:cs="Times New Roman"/>
                <w:color w:val="000000" w:themeColor="text1"/>
                <w:sz w:val="24"/>
                <w:szCs w:val="24"/>
              </w:rPr>
              <w:t>（T）--靠近围护结构处室外N个声源i倍频带的叠加声压级，dB；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hAnsi="Times New Roman" w:cs="Times New Roman"/>
                <w:color w:val="000000" w:themeColor="text1"/>
                <w:sz w:val="24"/>
                <w:szCs w:val="24"/>
              </w:rPr>
              <w:t>（T）--靠近围护结构处室内N个声源i倍频带的叠加声压级，dB；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--围护结构i倍频带的隔声量，dB。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然后按式（B.5）将室外声源的声压级和透过面积换算成等效的室外声源，计算出中心位置位于透声面积（S）处的等效声源的倍频带声功率级。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w</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Times New Roman"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Times New Roman" w:cs="Times New Roman"/>
                  <w:color w:val="000000" w:themeColor="text1"/>
                  <w:kern w:val="0"/>
                  <w:sz w:val="24"/>
                  <w:szCs w:val="24"/>
                </w:rPr>
                <m:t>+10lgS</m:t>
              </m:r>
            </m:oMath>
            <w:r>
              <w:rPr>
                <w:rFonts w:ascii="Times New Roman" w:hAnsi="Times New Roman" w:cs="Times New Roman"/>
                <w:color w:val="000000" w:themeColor="text1"/>
                <w:sz w:val="24"/>
                <w:szCs w:val="24"/>
              </w:rPr>
              <w:t>（B.5）</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式中：Lw--中心位置位于透声面积（S）处的等效声源的倍频带声功率级，dB；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(T)--靠近围护结构处室外声源的声压级，dB；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S--透声面积，m2。</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然后按室外声源预测方法计算预测点处的A声级。</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设第i个室外声源在预测点产生的A声级为L</w:t>
            </w:r>
            <w:r>
              <w:rPr>
                <w:rFonts w:ascii="Times New Roman" w:hAnsi="Times New Roman" w:cs="Times New Roman"/>
                <w:color w:val="000000" w:themeColor="text1"/>
                <w:sz w:val="24"/>
                <w:szCs w:val="24"/>
                <w:vertAlign w:val="subscript"/>
              </w:rPr>
              <w:t>Ai</w:t>
            </w:r>
            <w:r>
              <w:rPr>
                <w:rFonts w:ascii="Times New Roman" w:hAnsi="Times New Roman" w:cs="Times New Roman"/>
                <w:color w:val="000000" w:themeColor="text1"/>
                <w:sz w:val="24"/>
                <w:szCs w:val="24"/>
              </w:rPr>
              <w:t>，在T时间内该声源工作时间为t</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；第j个等效室外声源在预测点产生的A声级为L</w:t>
            </w:r>
            <w:r>
              <w:rPr>
                <w:rFonts w:ascii="Times New Roman" w:hAnsi="Times New Roman" w:cs="Times New Roman"/>
                <w:color w:val="000000" w:themeColor="text1"/>
                <w:sz w:val="24"/>
                <w:szCs w:val="24"/>
                <w:vertAlign w:val="subscript"/>
              </w:rPr>
              <w:t>Aj</w:t>
            </w:r>
            <w:r>
              <w:rPr>
                <w:rFonts w:ascii="Times New Roman" w:hAnsi="Times New Roman" w:cs="Times New Roman"/>
                <w:color w:val="000000" w:themeColor="text1"/>
                <w:sz w:val="24"/>
                <w:szCs w:val="24"/>
              </w:rPr>
              <w:t>，在T时间内该声源工作时间为t</w:t>
            </w:r>
            <w:r>
              <w:rPr>
                <w:rFonts w:ascii="Times New Roman" w:hAnsi="Times New Roman" w:cs="Times New Roman"/>
                <w:color w:val="000000" w:themeColor="text1"/>
                <w:sz w:val="24"/>
                <w:szCs w:val="24"/>
                <w:vertAlign w:val="subscript"/>
              </w:rPr>
              <w:t>j</w:t>
            </w:r>
            <w:r>
              <w:rPr>
                <w:rFonts w:ascii="Times New Roman" w:hAnsi="Times New Roman" w:cs="Times New Roman"/>
                <w:color w:val="000000" w:themeColor="text1"/>
                <w:sz w:val="24"/>
                <w:szCs w:val="24"/>
              </w:rPr>
              <w:t>，则拟建工程声源对预测点产生的贡献值（Leqg）为：</w:t>
            </w:r>
          </w:p>
          <w:p>
            <w:pPr>
              <w:spacing w:line="360" w:lineRule="auto"/>
              <w:ind w:firstLine="480" w:firstLineChars="200"/>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eqg</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func>
                <m:funcPr>
                  <m:ctrlPr>
                    <w:rPr>
                      <w:rFonts w:ascii="Cambria Math" w:hAnsi="Times New Roman"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Times New Roman"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T</m:t>
                          </m:r>
                          <m:ctrlPr>
                            <w:rPr>
                              <w:rFonts w:ascii="Cambria Math" w:hAnsi="Times New Roman" w:cs="Times New Roman"/>
                              <w:color w:val="000000" w:themeColor="text1"/>
                              <w:sz w:val="24"/>
                              <w:szCs w:val="24"/>
                            </w:rPr>
                          </m:ctrlPr>
                        </m:den>
                      </m:f>
                      <m:d>
                        <m:dPr>
                          <m:begChr m:val="（"/>
                          <m:endChr m:val="）"/>
                          <m:ctrlPr>
                            <w:rPr>
                              <w:rFonts w:ascii="Cambria Math" w:hAnsi="Times New Roman"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m:rPr/>
                                <w:rPr>
                                  <w:rFonts w:ascii="Cambria Math" w:hAnsi="Times New Roman"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Times New Roman"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1L</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Times New Roman" w:cs="Times New Roman"/>
                              <w:color w:val="000000" w:themeColor="text1"/>
                              <w:kern w:val="0"/>
                              <w:sz w:val="24"/>
                              <w:szCs w:val="24"/>
                            </w:rPr>
                          </m:ctrlPr>
                        </m:e>
                      </m:d>
                      <m:ctrlPr>
                        <w:rPr>
                          <w:rFonts w:ascii="Cambria Math" w:hAnsi="Times New Roman" w:cs="Times New Roman"/>
                          <w:i/>
                          <w:color w:val="000000" w:themeColor="text1"/>
                          <w:sz w:val="24"/>
                          <w:szCs w:val="24"/>
                        </w:rPr>
                      </m:ctrlPr>
                    </m:e>
                  </m:func>
                  <m:ctrlPr>
                    <w:rPr>
                      <w:rFonts w:ascii="Cambria Math" w:hAnsi="Times New Roman" w:cs="Times New Roman"/>
                      <w:i/>
                      <w:color w:val="000000" w:themeColor="text1"/>
                      <w:sz w:val="24"/>
                      <w:szCs w:val="24"/>
                    </w:rPr>
                  </m:ctrlPr>
                </m:e>
              </m:func>
              <m:r>
                <m:rPr>
                  <m:sty m:val="p"/>
                </m:rPr>
                <w:rPr>
                  <w:rFonts w:ascii="Cambria Math" w:hAnsi="Times New Roman" w:cs="Times New Roman"/>
                  <w:color w:val="000000" w:themeColor="text1"/>
                  <w:kern w:val="0"/>
                  <w:sz w:val="24"/>
                  <w:szCs w:val="24"/>
                </w:rPr>
                <m:t>]</m:t>
              </m:r>
            </m:oMath>
            <w:r>
              <w:rPr>
                <w:rFonts w:ascii="Times New Roman" w:hAnsi="Times New Roman" w:cs="Times New Roman"/>
                <w:color w:val="000000" w:themeColor="text1"/>
                <w:sz w:val="24"/>
                <w:szCs w:val="24"/>
              </w:rPr>
              <w:t>（B.6）</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式中：Leqg--建设项目声源在预测点产生的噪声贡献值，dB；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T--用于计算等效声级的时间，s；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N--室外声源个数；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ti--在T时间内i声源工作时间，s；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M--等效室外声源个数；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tj--在T时间内j声源工作时间，s。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③预测值计算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预测点的贡献值和背景值按能量叠加方法计算得到的声级。噪声预测值（Leq）计算公式为：</w:t>
            </w:r>
          </w:p>
          <w:p>
            <w:pPr>
              <w:spacing w:line="360" w:lineRule="auto"/>
              <w:jc w:val="center"/>
              <w:rPr>
                <w:rFonts w:ascii="Times New Roman" w:hAnsi="Times New Roman" w:eastAsia="宋体" w:cs="Times New Roman"/>
                <w:color w:val="000000" w:themeColor="text1"/>
                <w:kern w:val="0"/>
              </w:rPr>
            </w:pPr>
            <w:r>
              <w:rPr>
                <w:rFonts w:ascii="Times New Roman" w:hAnsi="Times New Roman" w:cs="Times New Roman"/>
                <w:color w:val="000000" w:themeColor="text1"/>
                <w:sz w:val="24"/>
                <w:szCs w:val="24"/>
              </w:rPr>
              <w:object>
                <v:shape id="_x0000_i1026" o:spt="75" type="#_x0000_t75" style="height:20.45pt;width:141.9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式中：Leq--预测点的噪声预测值，dB；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L--建设项目声源在预测点产生的噪声贡献值，dB；</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Leqb--预测点的背景噪声值，dB。</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④</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⑤</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经过预测，项目厂界（厂房）东、南、西、北预测点的噪声噪声贡献值预测结果如下表所示。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项目建成后预测点的噪声贡献值  单位：dB（A）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903"/>
              <w:gridCol w:w="1806"/>
              <w:gridCol w:w="1826"/>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3" w:type="dxa"/>
                  <w:vAlign w:val="center"/>
                </w:tcPr>
                <w:p>
                  <w:pPr>
                    <w:pStyle w:val="29"/>
                    <w:spacing w:line="360" w:lineRule="exact"/>
                    <w:rPr>
                      <w:color w:val="000000" w:themeColor="text1"/>
                      <w:szCs w:val="21"/>
                    </w:rPr>
                  </w:pPr>
                  <w:r>
                    <w:rPr>
                      <w:color w:val="000000" w:themeColor="text1"/>
                      <w:szCs w:val="21"/>
                    </w:rPr>
                    <w:t>预测值</w:t>
                  </w:r>
                </w:p>
              </w:tc>
              <w:tc>
                <w:tcPr>
                  <w:tcW w:w="1903" w:type="dxa"/>
                  <w:vAlign w:val="center"/>
                </w:tcPr>
                <w:p>
                  <w:pPr>
                    <w:pStyle w:val="29"/>
                    <w:spacing w:line="360" w:lineRule="exact"/>
                    <w:rPr>
                      <w:color w:val="000000" w:themeColor="text1"/>
                      <w:szCs w:val="21"/>
                    </w:rPr>
                  </w:pPr>
                  <w:r>
                    <w:rPr>
                      <w:color w:val="000000" w:themeColor="text1"/>
                      <w:szCs w:val="21"/>
                    </w:rPr>
                    <w:t>厂界东</w:t>
                  </w:r>
                </w:p>
              </w:tc>
              <w:tc>
                <w:tcPr>
                  <w:tcW w:w="1806" w:type="dxa"/>
                  <w:vAlign w:val="center"/>
                </w:tcPr>
                <w:p>
                  <w:pPr>
                    <w:pStyle w:val="29"/>
                    <w:spacing w:line="360" w:lineRule="exact"/>
                    <w:rPr>
                      <w:color w:val="000000" w:themeColor="text1"/>
                      <w:szCs w:val="21"/>
                    </w:rPr>
                  </w:pPr>
                  <w:r>
                    <w:rPr>
                      <w:color w:val="000000" w:themeColor="text1"/>
                      <w:szCs w:val="21"/>
                    </w:rPr>
                    <w:t>厂界南</w:t>
                  </w:r>
                </w:p>
              </w:tc>
              <w:tc>
                <w:tcPr>
                  <w:tcW w:w="1826" w:type="dxa"/>
                  <w:vAlign w:val="center"/>
                </w:tcPr>
                <w:p>
                  <w:pPr>
                    <w:pStyle w:val="29"/>
                    <w:spacing w:line="360" w:lineRule="exact"/>
                    <w:rPr>
                      <w:color w:val="000000" w:themeColor="text1"/>
                      <w:szCs w:val="21"/>
                    </w:rPr>
                  </w:pPr>
                  <w:r>
                    <w:rPr>
                      <w:color w:val="000000" w:themeColor="text1"/>
                      <w:szCs w:val="21"/>
                    </w:rPr>
                    <w:t>厂界西</w:t>
                  </w:r>
                </w:p>
              </w:tc>
              <w:tc>
                <w:tcPr>
                  <w:tcW w:w="1767" w:type="dxa"/>
                  <w:vAlign w:val="center"/>
                </w:tcPr>
                <w:p>
                  <w:pPr>
                    <w:pStyle w:val="29"/>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pPr>
                    <w:pStyle w:val="29"/>
                    <w:spacing w:line="360" w:lineRule="exact"/>
                    <w:rPr>
                      <w:color w:val="000000" w:themeColor="text1"/>
                      <w:szCs w:val="21"/>
                    </w:rPr>
                  </w:pPr>
                  <w:r>
                    <w:rPr>
                      <w:color w:val="000000" w:themeColor="text1"/>
                      <w:szCs w:val="21"/>
                    </w:rPr>
                    <w:t>昼</w:t>
                  </w:r>
                </w:p>
              </w:tc>
              <w:tc>
                <w:tcPr>
                  <w:tcW w:w="1903"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36.5</w:t>
                  </w:r>
                </w:p>
              </w:tc>
              <w:tc>
                <w:tcPr>
                  <w:tcW w:w="180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48.1</w:t>
                  </w:r>
                </w:p>
              </w:tc>
              <w:tc>
                <w:tcPr>
                  <w:tcW w:w="18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51.3</w:t>
                  </w:r>
                </w:p>
              </w:tc>
              <w:tc>
                <w:tcPr>
                  <w:tcW w:w="176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pPr>
                    <w:pStyle w:val="29"/>
                    <w:spacing w:line="360" w:lineRule="exact"/>
                    <w:rPr>
                      <w:color w:val="000000" w:themeColor="text1"/>
                      <w:szCs w:val="21"/>
                    </w:rPr>
                  </w:pPr>
                  <w:r>
                    <w:rPr>
                      <w:color w:val="000000" w:themeColor="text1"/>
                      <w:szCs w:val="21"/>
                    </w:rPr>
                    <w:t>夜</w:t>
                  </w:r>
                </w:p>
              </w:tc>
              <w:tc>
                <w:tcPr>
                  <w:tcW w:w="1903"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36.5</w:t>
                  </w:r>
                </w:p>
              </w:tc>
              <w:tc>
                <w:tcPr>
                  <w:tcW w:w="180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48.1</w:t>
                  </w:r>
                </w:p>
              </w:tc>
              <w:tc>
                <w:tcPr>
                  <w:tcW w:w="18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51.3</w:t>
                  </w:r>
                </w:p>
              </w:tc>
              <w:tc>
                <w:tcPr>
                  <w:tcW w:w="176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53.2</w:t>
                  </w:r>
                </w:p>
              </w:tc>
            </w:tr>
          </w:tbl>
          <w:p>
            <w:pPr>
              <w:spacing w:beforeLines="50" w:line="360" w:lineRule="auto"/>
              <w:ind w:firstLine="360" w:firstLineChars="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7"/>
              <w:ind w:firstLine="480"/>
              <w:rPr>
                <w:rFonts w:eastAsiaTheme="minorEastAsia"/>
                <w:color w:val="000000" w:themeColor="text1"/>
                <w:szCs w:val="24"/>
              </w:rPr>
            </w:pPr>
            <w:r>
              <w:rPr>
                <w:rFonts w:eastAsiaTheme="minorEastAsia"/>
                <w:color w:val="000000" w:themeColor="text1"/>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①竣工验收监测要求</w:t>
            </w:r>
          </w:p>
          <w:p>
            <w:pPr>
              <w:pStyle w:val="37"/>
              <w:ind w:firstLine="480"/>
              <w:rPr>
                <w:rFonts w:eastAsiaTheme="minorEastAsia"/>
                <w:color w:val="000000" w:themeColor="text1"/>
                <w:szCs w:val="24"/>
              </w:rPr>
            </w:pPr>
            <w:r>
              <w:rPr>
                <w:rFonts w:eastAsiaTheme="minorEastAsia"/>
                <w:color w:val="000000" w:themeColor="text1"/>
                <w:szCs w:val="24"/>
              </w:rPr>
              <w:t>根据《建设项目竣工环境保护验收技术指南 污染影响类》的要求，项目竣工验收噪声监测计划如下表所示。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表4.2.3-4  厂界噪声竣工验收监测计划一览表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监测频率</w:t>
                  </w:r>
                </w:p>
              </w:tc>
              <w:tc>
                <w:tcPr>
                  <w:tcW w:w="3476" w:type="dxa"/>
                  <w:vAlign w:val="center"/>
                </w:tcPr>
                <w:p>
                  <w:pPr>
                    <w:pStyle w:val="29"/>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29"/>
                    <w:widowControl w:val="0"/>
                    <w:spacing w:line="360" w:lineRule="exact"/>
                    <w:rPr>
                      <w:rFonts w:eastAsiaTheme="minorEastAsia"/>
                      <w:color w:val="000000" w:themeColor="text1"/>
                    </w:rPr>
                  </w:pPr>
                  <w:r>
                    <w:rPr>
                      <w:rFonts w:eastAsiaTheme="minorEastAsia"/>
                      <w:color w:val="000000" w:themeColor="text1"/>
                      <w:szCs w:val="21"/>
                    </w:rPr>
                    <w:t>监测2天、每天昼夜各1次</w:t>
                  </w:r>
                </w:p>
              </w:tc>
              <w:tc>
                <w:tcPr>
                  <w:tcW w:w="3476" w:type="dxa"/>
                  <w:vAlign w:val="center"/>
                </w:tcPr>
                <w:p>
                  <w:pPr>
                    <w:pStyle w:val="29"/>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②自行监测要求</w:t>
            </w:r>
          </w:p>
          <w:p>
            <w:pPr>
              <w:pStyle w:val="37"/>
              <w:ind w:firstLine="480"/>
              <w:rPr>
                <w:color w:val="000000" w:themeColor="text1"/>
                <w:szCs w:val="24"/>
              </w:rPr>
            </w:pPr>
            <w:r>
              <w:rPr>
                <w:color w:val="000000" w:themeColor="text1"/>
                <w:szCs w:val="24"/>
              </w:rPr>
              <w:t>根据《排污单位自行监测技术指南 总则》（HJ819-2017）及《排污单位自行监测技术指南 工业固体废物和危险废物治理》（HJ1250-2022）的要求，项目噪声自行监测要求如下表所示。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表4.2.3-3厂界噪声自行监测计划一览表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275"/>
              <w:gridCol w:w="156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监测点位</w:t>
                  </w:r>
                </w:p>
              </w:tc>
              <w:tc>
                <w:tcPr>
                  <w:tcW w:w="1275"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监测因子</w:t>
                  </w:r>
                </w:p>
              </w:tc>
              <w:tc>
                <w:tcPr>
                  <w:tcW w:w="1560"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最低监测频率</w:t>
                  </w:r>
                </w:p>
              </w:tc>
              <w:tc>
                <w:tcPr>
                  <w:tcW w:w="3759" w:type="dxa"/>
                  <w:vAlign w:val="center"/>
                </w:tcPr>
                <w:p>
                  <w:pPr>
                    <w:pStyle w:val="29"/>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厂界四周</w:t>
                  </w:r>
                </w:p>
              </w:tc>
              <w:tc>
                <w:tcPr>
                  <w:tcW w:w="1275"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等效连续A声级</w:t>
                  </w:r>
                </w:p>
              </w:tc>
              <w:tc>
                <w:tcPr>
                  <w:tcW w:w="1560"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1次/季度</w:t>
                  </w:r>
                </w:p>
              </w:tc>
              <w:tc>
                <w:tcPr>
                  <w:tcW w:w="3759" w:type="dxa"/>
                  <w:vAlign w:val="center"/>
                </w:tcPr>
                <w:p>
                  <w:pPr>
                    <w:pStyle w:val="29"/>
                    <w:widowControl w:val="0"/>
                    <w:spacing w:line="360" w:lineRule="exact"/>
                    <w:ind w:firstLine="210" w:firstLineChars="100"/>
                    <w:jc w:val="both"/>
                    <w:rPr>
                      <w:rFonts w:eastAsiaTheme="minorEastAsia"/>
                      <w:color w:val="000000" w:themeColor="text1"/>
                    </w:rPr>
                  </w:pPr>
                  <w:r>
                    <w:rPr>
                      <w:color w:val="000000" w:themeColor="text1"/>
                      <w:szCs w:val="21"/>
                    </w:rPr>
                    <w:t>厂界《工业企业厂界环境噪声排放标准》（GB</w:t>
                  </w:r>
                  <w:r>
                    <w:rPr>
                      <w:rFonts w:hint="eastAsia"/>
                      <w:color w:val="000000" w:themeColor="text1"/>
                      <w:szCs w:val="21"/>
                      <w:lang w:eastAsia="zh-CN"/>
                    </w:rPr>
                    <w:t>*****</w:t>
                  </w:r>
                  <w:r>
                    <w:rPr>
                      <w:color w:val="000000" w:themeColor="text1"/>
                      <w:szCs w:val="21"/>
                    </w:rPr>
                    <w:t>-2008）中3类标准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根据项目工程内容及生产工艺，该项目无生活设施，因此无生活固废产生，项目产生的固体废物包括：渗滤液、废劳保用品、废包装物、废活性炭和碱喷淋废液。具体如下：</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渗滤液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各贮存分区贮存的危险废物均密闭贮存，且严格在规定时间内转运，因此一般情况下不会产生渗滤液，但若出现包装破损等情况产生的渗滤液，项目每个分区均配套设置1个1m³渗滤液收集池对非正常情况可能产生的渗滤液进行收集，渗滤液的属性属于危险废物，其类别和产生渗滤液源的危险废物类别一致，其产生量按总贮存量的0.3‰计，则产生量为1.5t/a，收集后和产生渗滤液源的危险废物一同委托有资质的单位处置。处置率为100%。</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②废劳保用品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根据项目特点，该项目员工在进行危险废物装卸、转运产生的沾染危险废物的废手套、废抹布、地面清洁废拖布等废劳保用品，年产生量约为0.6t/a。根据《国家危险废物名录》（2021版），其属性见下表。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表4.2.4-1  国家危险废物名录（2021年）（摘抄）</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950"/>
              <w:gridCol w:w="1287"/>
              <w:gridCol w:w="277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9"/>
                    <w:spacing w:line="360" w:lineRule="exact"/>
                    <w:rPr>
                      <w:color w:val="000000" w:themeColor="text1"/>
                      <w:szCs w:val="21"/>
                    </w:rPr>
                  </w:pPr>
                  <w:r>
                    <w:rPr>
                      <w:color w:val="000000" w:themeColor="text1"/>
                      <w:szCs w:val="21"/>
                    </w:rPr>
                    <w:t>项目危废</w:t>
                  </w:r>
                </w:p>
              </w:tc>
              <w:tc>
                <w:tcPr>
                  <w:tcW w:w="830" w:type="pct"/>
                  <w:vAlign w:val="center"/>
                </w:tcPr>
                <w:p>
                  <w:pPr>
                    <w:pStyle w:val="29"/>
                    <w:spacing w:line="360" w:lineRule="exact"/>
                    <w:rPr>
                      <w:color w:val="000000" w:themeColor="text1"/>
                      <w:szCs w:val="21"/>
                    </w:rPr>
                  </w:pPr>
                  <w:r>
                    <w:rPr>
                      <w:color w:val="000000" w:themeColor="text1"/>
                      <w:szCs w:val="21"/>
                    </w:rPr>
                    <w:t>废物类别</w:t>
                  </w:r>
                </w:p>
              </w:tc>
              <w:tc>
                <w:tcPr>
                  <w:tcW w:w="552" w:type="pct"/>
                  <w:vAlign w:val="center"/>
                </w:tcPr>
                <w:p>
                  <w:pPr>
                    <w:pStyle w:val="29"/>
                    <w:spacing w:line="360" w:lineRule="exact"/>
                    <w:rPr>
                      <w:color w:val="000000" w:themeColor="text1"/>
                      <w:szCs w:val="21"/>
                    </w:rPr>
                  </w:pPr>
                  <w:r>
                    <w:rPr>
                      <w:color w:val="000000" w:themeColor="text1"/>
                      <w:szCs w:val="21"/>
                    </w:rPr>
                    <w:t>行业来源</w:t>
                  </w:r>
                </w:p>
              </w:tc>
              <w:tc>
                <w:tcPr>
                  <w:tcW w:w="748" w:type="pct"/>
                  <w:vAlign w:val="center"/>
                </w:tcPr>
                <w:p>
                  <w:pPr>
                    <w:pStyle w:val="29"/>
                    <w:spacing w:line="360" w:lineRule="exact"/>
                    <w:rPr>
                      <w:color w:val="000000" w:themeColor="text1"/>
                      <w:szCs w:val="21"/>
                    </w:rPr>
                  </w:pPr>
                  <w:r>
                    <w:rPr>
                      <w:color w:val="000000" w:themeColor="text1"/>
                      <w:szCs w:val="21"/>
                    </w:rPr>
                    <w:t>废物代码</w:t>
                  </w:r>
                </w:p>
              </w:tc>
              <w:tc>
                <w:tcPr>
                  <w:tcW w:w="1611" w:type="pct"/>
                  <w:vAlign w:val="center"/>
                </w:tcPr>
                <w:p>
                  <w:pPr>
                    <w:pStyle w:val="29"/>
                    <w:spacing w:line="360" w:lineRule="exact"/>
                    <w:rPr>
                      <w:color w:val="000000" w:themeColor="text1"/>
                      <w:szCs w:val="21"/>
                    </w:rPr>
                  </w:pPr>
                  <w:r>
                    <w:rPr>
                      <w:color w:val="000000" w:themeColor="text1"/>
                      <w:szCs w:val="21"/>
                    </w:rPr>
                    <w:t>危险废物</w:t>
                  </w:r>
                </w:p>
              </w:tc>
              <w:tc>
                <w:tcPr>
                  <w:tcW w:w="583" w:type="pct"/>
                  <w:vAlign w:val="center"/>
                </w:tcPr>
                <w:p>
                  <w:pPr>
                    <w:pStyle w:val="29"/>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9"/>
                    <w:spacing w:line="360" w:lineRule="exact"/>
                    <w:rPr>
                      <w:color w:val="000000" w:themeColor="text1"/>
                      <w:szCs w:val="21"/>
                    </w:rPr>
                  </w:pPr>
                  <w:r>
                    <w:rPr>
                      <w:color w:val="000000" w:themeColor="text1"/>
                      <w:sz w:val="20"/>
                      <w:szCs w:val="21"/>
                    </w:rPr>
                    <w:t>废劳保用品</w:t>
                  </w:r>
                </w:p>
              </w:tc>
              <w:tc>
                <w:tcPr>
                  <w:tcW w:w="830" w:type="pct"/>
                  <w:vAlign w:val="center"/>
                </w:tcPr>
                <w:p>
                  <w:pPr>
                    <w:pStyle w:val="29"/>
                    <w:spacing w:line="360" w:lineRule="exact"/>
                    <w:rPr>
                      <w:color w:val="000000" w:themeColor="text1"/>
                      <w:szCs w:val="21"/>
                    </w:rPr>
                  </w:pPr>
                  <w:r>
                    <w:rPr>
                      <w:color w:val="000000" w:themeColor="text1"/>
                      <w:sz w:val="20"/>
                      <w:szCs w:val="21"/>
                    </w:rPr>
                    <w:t>HW49其他废物</w:t>
                  </w:r>
                </w:p>
              </w:tc>
              <w:tc>
                <w:tcPr>
                  <w:tcW w:w="552" w:type="pct"/>
                  <w:vAlign w:val="center"/>
                </w:tcPr>
                <w:p>
                  <w:pPr>
                    <w:pStyle w:val="29"/>
                    <w:spacing w:line="360" w:lineRule="exact"/>
                    <w:rPr>
                      <w:color w:val="000000" w:themeColor="text1"/>
                      <w:szCs w:val="21"/>
                    </w:rPr>
                  </w:pPr>
                  <w:r>
                    <w:rPr>
                      <w:color w:val="000000" w:themeColor="text1"/>
                      <w:sz w:val="20"/>
                      <w:szCs w:val="21"/>
                    </w:rPr>
                    <w:t>非特定行业</w:t>
                  </w:r>
                </w:p>
              </w:tc>
              <w:tc>
                <w:tcPr>
                  <w:tcW w:w="748" w:type="pct"/>
                  <w:vAlign w:val="center"/>
                </w:tcPr>
                <w:p>
                  <w:pPr>
                    <w:pStyle w:val="29"/>
                    <w:spacing w:line="360" w:lineRule="exact"/>
                    <w:rPr>
                      <w:color w:val="000000" w:themeColor="text1"/>
                      <w:szCs w:val="21"/>
                    </w:rPr>
                  </w:pPr>
                  <w:r>
                    <w:rPr>
                      <w:color w:val="000000" w:themeColor="text1"/>
                      <w:sz w:val="20"/>
                      <w:szCs w:val="21"/>
                    </w:rPr>
                    <w:t>900-041-49</w:t>
                  </w:r>
                </w:p>
              </w:tc>
              <w:tc>
                <w:tcPr>
                  <w:tcW w:w="1611" w:type="pct"/>
                  <w:vAlign w:val="center"/>
                </w:tcPr>
                <w:p>
                  <w:pPr>
                    <w:pStyle w:val="29"/>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29"/>
                    <w:spacing w:line="360" w:lineRule="exact"/>
                    <w:rPr>
                      <w:color w:val="000000" w:themeColor="text1"/>
                      <w:szCs w:val="21"/>
                    </w:rPr>
                  </w:pPr>
                  <w:r>
                    <w:rPr>
                      <w:color w:val="000000" w:themeColor="text1"/>
                      <w:szCs w:val="21"/>
                    </w:rPr>
                    <w:t>T/In</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由上表可知，该项目产生的废劳保用品属于危险废物，也是属于该项目收集的危险废物类别之一，统一收集后，贮存于5#贮存区对应区域，定期委托有资质的单位处置。</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③废包装物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主要采用储罐、铁桶、塑料桶、吨袋等，再贮存、运输过程可能会产生包装物损坏情况，主要为废塑料桶、废吨袋等，产生量约0.8t/a。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表4.2.4-2  国家危险废物名录（2021年）（摘抄）</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950"/>
              <w:gridCol w:w="1287"/>
              <w:gridCol w:w="277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9"/>
                    <w:spacing w:line="360" w:lineRule="exact"/>
                    <w:rPr>
                      <w:color w:val="000000" w:themeColor="text1"/>
                      <w:sz w:val="20"/>
                      <w:szCs w:val="21"/>
                    </w:rPr>
                  </w:pPr>
                  <w:r>
                    <w:rPr>
                      <w:color w:val="000000" w:themeColor="text1"/>
                      <w:sz w:val="20"/>
                      <w:szCs w:val="21"/>
                    </w:rPr>
                    <w:t>项目危废</w:t>
                  </w:r>
                </w:p>
              </w:tc>
              <w:tc>
                <w:tcPr>
                  <w:tcW w:w="830" w:type="pct"/>
                  <w:vAlign w:val="center"/>
                </w:tcPr>
                <w:p>
                  <w:pPr>
                    <w:pStyle w:val="29"/>
                    <w:spacing w:line="360" w:lineRule="exact"/>
                    <w:rPr>
                      <w:color w:val="000000" w:themeColor="text1"/>
                      <w:sz w:val="20"/>
                      <w:szCs w:val="21"/>
                    </w:rPr>
                  </w:pPr>
                  <w:r>
                    <w:rPr>
                      <w:color w:val="000000" w:themeColor="text1"/>
                      <w:sz w:val="20"/>
                      <w:szCs w:val="21"/>
                    </w:rPr>
                    <w:t>废物类别</w:t>
                  </w:r>
                </w:p>
              </w:tc>
              <w:tc>
                <w:tcPr>
                  <w:tcW w:w="552" w:type="pct"/>
                  <w:vAlign w:val="center"/>
                </w:tcPr>
                <w:p>
                  <w:pPr>
                    <w:pStyle w:val="29"/>
                    <w:spacing w:line="360" w:lineRule="exact"/>
                    <w:rPr>
                      <w:color w:val="000000" w:themeColor="text1"/>
                      <w:sz w:val="20"/>
                      <w:szCs w:val="21"/>
                    </w:rPr>
                  </w:pPr>
                  <w:r>
                    <w:rPr>
                      <w:color w:val="000000" w:themeColor="text1"/>
                      <w:sz w:val="20"/>
                      <w:szCs w:val="21"/>
                    </w:rPr>
                    <w:t>行业来源</w:t>
                  </w:r>
                </w:p>
              </w:tc>
              <w:tc>
                <w:tcPr>
                  <w:tcW w:w="748" w:type="pct"/>
                  <w:vAlign w:val="center"/>
                </w:tcPr>
                <w:p>
                  <w:pPr>
                    <w:pStyle w:val="29"/>
                    <w:spacing w:line="360" w:lineRule="exact"/>
                    <w:rPr>
                      <w:color w:val="000000" w:themeColor="text1"/>
                      <w:sz w:val="20"/>
                      <w:szCs w:val="21"/>
                    </w:rPr>
                  </w:pPr>
                  <w:r>
                    <w:rPr>
                      <w:color w:val="000000" w:themeColor="text1"/>
                      <w:sz w:val="20"/>
                      <w:szCs w:val="21"/>
                    </w:rPr>
                    <w:t>废物代码</w:t>
                  </w:r>
                </w:p>
              </w:tc>
              <w:tc>
                <w:tcPr>
                  <w:tcW w:w="1611" w:type="pct"/>
                  <w:vAlign w:val="center"/>
                </w:tcPr>
                <w:p>
                  <w:pPr>
                    <w:pStyle w:val="29"/>
                    <w:spacing w:line="360" w:lineRule="exact"/>
                    <w:rPr>
                      <w:color w:val="000000" w:themeColor="text1"/>
                      <w:szCs w:val="21"/>
                    </w:rPr>
                  </w:pPr>
                  <w:r>
                    <w:rPr>
                      <w:color w:val="000000" w:themeColor="text1"/>
                      <w:szCs w:val="21"/>
                    </w:rPr>
                    <w:t>危险废物</w:t>
                  </w:r>
                </w:p>
              </w:tc>
              <w:tc>
                <w:tcPr>
                  <w:tcW w:w="583" w:type="pct"/>
                  <w:vAlign w:val="center"/>
                </w:tcPr>
                <w:p>
                  <w:pPr>
                    <w:pStyle w:val="29"/>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9"/>
                    <w:spacing w:line="360" w:lineRule="exact"/>
                    <w:rPr>
                      <w:color w:val="000000" w:themeColor="text1"/>
                      <w:sz w:val="20"/>
                      <w:szCs w:val="21"/>
                    </w:rPr>
                  </w:pPr>
                  <w:r>
                    <w:rPr>
                      <w:color w:val="000000" w:themeColor="text1"/>
                      <w:sz w:val="20"/>
                      <w:szCs w:val="21"/>
                    </w:rPr>
                    <w:t>废包装物</w:t>
                  </w:r>
                </w:p>
              </w:tc>
              <w:tc>
                <w:tcPr>
                  <w:tcW w:w="830" w:type="pct"/>
                  <w:vAlign w:val="center"/>
                </w:tcPr>
                <w:p>
                  <w:pPr>
                    <w:pStyle w:val="29"/>
                    <w:spacing w:line="360" w:lineRule="exact"/>
                    <w:rPr>
                      <w:color w:val="000000" w:themeColor="text1"/>
                      <w:sz w:val="20"/>
                      <w:szCs w:val="21"/>
                    </w:rPr>
                  </w:pPr>
                  <w:r>
                    <w:rPr>
                      <w:color w:val="000000" w:themeColor="text1"/>
                      <w:sz w:val="20"/>
                      <w:szCs w:val="21"/>
                    </w:rPr>
                    <w:t>HW49其他废物</w:t>
                  </w:r>
                </w:p>
              </w:tc>
              <w:tc>
                <w:tcPr>
                  <w:tcW w:w="552" w:type="pct"/>
                  <w:vAlign w:val="center"/>
                </w:tcPr>
                <w:p>
                  <w:pPr>
                    <w:pStyle w:val="29"/>
                    <w:spacing w:line="360" w:lineRule="exact"/>
                    <w:rPr>
                      <w:color w:val="000000" w:themeColor="text1"/>
                      <w:sz w:val="20"/>
                      <w:szCs w:val="21"/>
                    </w:rPr>
                  </w:pPr>
                  <w:r>
                    <w:rPr>
                      <w:color w:val="000000" w:themeColor="text1"/>
                      <w:sz w:val="20"/>
                      <w:szCs w:val="21"/>
                    </w:rPr>
                    <w:t>非特定行业</w:t>
                  </w:r>
                </w:p>
              </w:tc>
              <w:tc>
                <w:tcPr>
                  <w:tcW w:w="748" w:type="pct"/>
                  <w:vAlign w:val="center"/>
                </w:tcPr>
                <w:p>
                  <w:pPr>
                    <w:pStyle w:val="29"/>
                    <w:spacing w:line="360" w:lineRule="exact"/>
                    <w:rPr>
                      <w:color w:val="000000" w:themeColor="text1"/>
                      <w:sz w:val="20"/>
                      <w:szCs w:val="21"/>
                    </w:rPr>
                  </w:pPr>
                  <w:r>
                    <w:rPr>
                      <w:color w:val="000000" w:themeColor="text1"/>
                      <w:sz w:val="20"/>
                      <w:szCs w:val="21"/>
                    </w:rPr>
                    <w:t>900-041-49</w:t>
                  </w:r>
                </w:p>
              </w:tc>
              <w:tc>
                <w:tcPr>
                  <w:tcW w:w="1611" w:type="pct"/>
                  <w:vAlign w:val="center"/>
                </w:tcPr>
                <w:p>
                  <w:pPr>
                    <w:pStyle w:val="29"/>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29"/>
                    <w:spacing w:line="360" w:lineRule="exact"/>
                    <w:rPr>
                      <w:color w:val="000000" w:themeColor="text1"/>
                      <w:szCs w:val="21"/>
                    </w:rPr>
                  </w:pPr>
                  <w:r>
                    <w:rPr>
                      <w:color w:val="000000" w:themeColor="text1"/>
                      <w:szCs w:val="21"/>
                    </w:rPr>
                    <w:t>T/In</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由上表可知，该项目产生的废包装物属于危险废物，也是属于该项目收集的危险废物类别之一，统一收集后，贮存于5#贮存区对应区域，定期委托有资质的单位处置。</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④废活性炭</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实施方案，针对小微企业危险废物贮存库区，项目拟设置1套废气处理装置对其进行处理，该项目废气处理装置由活性炭吸附+碱喷淋工艺组成，活性炭吸附会产生废活性炭，吸附1kg废气产生废活性炭6kg，根据废气去除效率可知，该项目非甲烷总烃吸附量为0.38t/a，氨吸附量为0.08kg/a，硫化氢吸附量为0.001kg/a，则废活性炭产生量为1.44t/a。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表4.2.4-3  国家危险废物名录（2021年）（摘抄）</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34"/>
              <w:gridCol w:w="1134"/>
              <w:gridCol w:w="1134"/>
              <w:gridCol w:w="354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pStyle w:val="29"/>
                    <w:spacing w:line="360" w:lineRule="exact"/>
                    <w:rPr>
                      <w:color w:val="000000" w:themeColor="text1"/>
                      <w:sz w:val="20"/>
                      <w:szCs w:val="21"/>
                    </w:rPr>
                  </w:pPr>
                  <w:r>
                    <w:rPr>
                      <w:color w:val="000000" w:themeColor="text1"/>
                      <w:sz w:val="20"/>
                      <w:szCs w:val="21"/>
                    </w:rPr>
                    <w:t>项目危废</w:t>
                  </w:r>
                </w:p>
              </w:tc>
              <w:tc>
                <w:tcPr>
                  <w:tcW w:w="659" w:type="pct"/>
                  <w:vAlign w:val="center"/>
                </w:tcPr>
                <w:p>
                  <w:pPr>
                    <w:pStyle w:val="29"/>
                    <w:spacing w:line="360" w:lineRule="exact"/>
                    <w:rPr>
                      <w:color w:val="000000" w:themeColor="text1"/>
                      <w:sz w:val="20"/>
                      <w:szCs w:val="21"/>
                    </w:rPr>
                  </w:pPr>
                  <w:r>
                    <w:rPr>
                      <w:color w:val="000000" w:themeColor="text1"/>
                      <w:sz w:val="20"/>
                      <w:szCs w:val="21"/>
                    </w:rPr>
                    <w:t>废物类别</w:t>
                  </w:r>
                </w:p>
              </w:tc>
              <w:tc>
                <w:tcPr>
                  <w:tcW w:w="659" w:type="pct"/>
                  <w:vAlign w:val="center"/>
                </w:tcPr>
                <w:p>
                  <w:pPr>
                    <w:pStyle w:val="29"/>
                    <w:spacing w:line="360" w:lineRule="exact"/>
                    <w:rPr>
                      <w:color w:val="000000" w:themeColor="text1"/>
                      <w:sz w:val="20"/>
                      <w:szCs w:val="21"/>
                    </w:rPr>
                  </w:pPr>
                  <w:r>
                    <w:rPr>
                      <w:color w:val="000000" w:themeColor="text1"/>
                      <w:sz w:val="20"/>
                      <w:szCs w:val="21"/>
                    </w:rPr>
                    <w:t>行业来源</w:t>
                  </w:r>
                </w:p>
              </w:tc>
              <w:tc>
                <w:tcPr>
                  <w:tcW w:w="659" w:type="pct"/>
                  <w:vAlign w:val="center"/>
                </w:tcPr>
                <w:p>
                  <w:pPr>
                    <w:pStyle w:val="29"/>
                    <w:spacing w:line="360" w:lineRule="exact"/>
                    <w:rPr>
                      <w:color w:val="000000" w:themeColor="text1"/>
                      <w:sz w:val="20"/>
                      <w:szCs w:val="21"/>
                    </w:rPr>
                  </w:pPr>
                  <w:r>
                    <w:rPr>
                      <w:color w:val="000000" w:themeColor="text1"/>
                      <w:sz w:val="20"/>
                      <w:szCs w:val="21"/>
                    </w:rPr>
                    <w:t>废物代码</w:t>
                  </w:r>
                </w:p>
              </w:tc>
              <w:tc>
                <w:tcPr>
                  <w:tcW w:w="2058" w:type="pct"/>
                  <w:vAlign w:val="center"/>
                </w:tcPr>
                <w:p>
                  <w:pPr>
                    <w:pStyle w:val="29"/>
                    <w:spacing w:line="360" w:lineRule="exact"/>
                    <w:rPr>
                      <w:color w:val="000000" w:themeColor="text1"/>
                      <w:szCs w:val="21"/>
                    </w:rPr>
                  </w:pPr>
                  <w:r>
                    <w:rPr>
                      <w:color w:val="000000" w:themeColor="text1"/>
                      <w:szCs w:val="21"/>
                    </w:rPr>
                    <w:t>危险废物</w:t>
                  </w:r>
                </w:p>
              </w:tc>
              <w:tc>
                <w:tcPr>
                  <w:tcW w:w="455" w:type="pct"/>
                  <w:vAlign w:val="center"/>
                </w:tcPr>
                <w:p>
                  <w:pPr>
                    <w:pStyle w:val="29"/>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pStyle w:val="29"/>
                    <w:spacing w:line="360" w:lineRule="exact"/>
                    <w:rPr>
                      <w:color w:val="000000" w:themeColor="text1"/>
                      <w:sz w:val="20"/>
                      <w:szCs w:val="21"/>
                    </w:rPr>
                  </w:pPr>
                  <w:r>
                    <w:rPr>
                      <w:color w:val="000000" w:themeColor="text1"/>
                      <w:sz w:val="20"/>
                      <w:szCs w:val="21"/>
                    </w:rPr>
                    <w:t>废活性炭</w:t>
                  </w:r>
                </w:p>
              </w:tc>
              <w:tc>
                <w:tcPr>
                  <w:tcW w:w="659" w:type="pct"/>
                  <w:vAlign w:val="center"/>
                </w:tcPr>
                <w:p>
                  <w:pPr>
                    <w:pStyle w:val="29"/>
                    <w:spacing w:line="360" w:lineRule="exact"/>
                    <w:rPr>
                      <w:color w:val="000000" w:themeColor="text1"/>
                      <w:sz w:val="20"/>
                      <w:szCs w:val="21"/>
                    </w:rPr>
                  </w:pPr>
                  <w:r>
                    <w:rPr>
                      <w:color w:val="000000" w:themeColor="text1"/>
                      <w:sz w:val="20"/>
                      <w:szCs w:val="21"/>
                    </w:rPr>
                    <w:t>HW49其他废物</w:t>
                  </w:r>
                </w:p>
              </w:tc>
              <w:tc>
                <w:tcPr>
                  <w:tcW w:w="659" w:type="pct"/>
                  <w:vAlign w:val="center"/>
                </w:tcPr>
                <w:p>
                  <w:pPr>
                    <w:pStyle w:val="29"/>
                    <w:spacing w:line="360" w:lineRule="exact"/>
                    <w:rPr>
                      <w:color w:val="000000" w:themeColor="text1"/>
                      <w:sz w:val="20"/>
                      <w:szCs w:val="21"/>
                    </w:rPr>
                  </w:pPr>
                  <w:r>
                    <w:rPr>
                      <w:color w:val="000000" w:themeColor="text1"/>
                      <w:sz w:val="20"/>
                      <w:szCs w:val="21"/>
                    </w:rPr>
                    <w:t>非特定行业</w:t>
                  </w:r>
                </w:p>
              </w:tc>
              <w:tc>
                <w:tcPr>
                  <w:tcW w:w="659" w:type="pct"/>
                  <w:vAlign w:val="center"/>
                </w:tcPr>
                <w:p>
                  <w:pPr>
                    <w:pStyle w:val="29"/>
                    <w:spacing w:line="360" w:lineRule="exact"/>
                    <w:rPr>
                      <w:color w:val="000000" w:themeColor="text1"/>
                      <w:sz w:val="20"/>
                      <w:szCs w:val="21"/>
                    </w:rPr>
                  </w:pPr>
                  <w:r>
                    <w:rPr>
                      <w:color w:val="000000" w:themeColor="text1"/>
                      <w:sz w:val="20"/>
                      <w:szCs w:val="21"/>
                    </w:rPr>
                    <w:t>900-039-49</w:t>
                  </w:r>
                </w:p>
              </w:tc>
              <w:tc>
                <w:tcPr>
                  <w:tcW w:w="2058" w:type="pct"/>
                  <w:vAlign w:val="center"/>
                </w:tcPr>
                <w:p>
                  <w:pPr>
                    <w:pStyle w:val="29"/>
                    <w:spacing w:line="360" w:lineRule="exact"/>
                    <w:ind w:firstLine="105" w:firstLineChars="50"/>
                    <w:jc w:val="both"/>
                    <w:rPr>
                      <w:color w:val="000000" w:themeColor="text1"/>
                      <w:szCs w:val="21"/>
                    </w:rPr>
                  </w:pPr>
                  <w:r>
                    <w:rPr>
                      <w:color w:val="000000" w:themeColor="text1"/>
                      <w:szCs w:val="21"/>
                    </w:rPr>
                    <w:t>烟气、VOCs治理过程（不包括餐饮行业油烟治理过程）产生的废活性炭，化学原料和化学制品脱色（不包括有机合成食品添加剂脱色）、除杂、净化过程产生的废活性炭（不包括772-005-18、261-053-29、900-405-06、265-002-29、384-003-29、387-001-29类废物）</w:t>
                  </w:r>
                </w:p>
              </w:tc>
              <w:tc>
                <w:tcPr>
                  <w:tcW w:w="455" w:type="pct"/>
                  <w:vAlign w:val="center"/>
                </w:tcPr>
                <w:p>
                  <w:pPr>
                    <w:pStyle w:val="29"/>
                    <w:spacing w:line="360" w:lineRule="exact"/>
                    <w:rPr>
                      <w:color w:val="000000" w:themeColor="text1"/>
                      <w:szCs w:val="21"/>
                    </w:rPr>
                  </w:pPr>
                  <w:r>
                    <w:rPr>
                      <w:color w:val="000000" w:themeColor="text1"/>
                      <w:szCs w:val="21"/>
                    </w:rPr>
                    <w:t>T</w:t>
                  </w:r>
                </w:p>
              </w:tc>
            </w:tr>
          </w:tbl>
          <w:p>
            <w:pPr>
              <w:pStyle w:val="37"/>
              <w:spacing w:beforeLines="50"/>
              <w:ind w:firstLine="480"/>
              <w:rPr>
                <w:color w:val="000000" w:themeColor="text1"/>
                <w:szCs w:val="24"/>
              </w:rPr>
            </w:pPr>
            <w:r>
              <w:rPr>
                <w:color w:val="000000" w:themeColor="text1"/>
                <w:szCs w:val="24"/>
              </w:rPr>
              <w:t>由上表可知，该项目产生的废活性炭属于危险废物，也是属于该项目收集的危险废物类别之一，统一收集后，贮存于5#贮存区对应区域，定期委托有资质的单位处置。</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⑤碱喷淋废液</w:t>
            </w:r>
          </w:p>
          <w:p>
            <w:pPr>
              <w:pStyle w:val="37"/>
              <w:ind w:firstLine="480"/>
              <w:rPr>
                <w:color w:val="000000" w:themeColor="text1"/>
                <w:szCs w:val="24"/>
              </w:rPr>
            </w:pPr>
            <w:r>
              <w:rPr>
                <w:color w:val="000000" w:themeColor="text1"/>
                <w:szCs w:val="24"/>
              </w:rPr>
              <w:t>根据实施方案，该项目废气处理装置中的碱喷淋工艺，碱喷淋塔用水量为1m³，每季度更换1次，而更换后产生的碱喷淋废液产生量为1m³/次（4m³/a）。根据《国家危险废物名录》（2021版），其属性见下表。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表4.2.4-4  国家危险废物名录（2021年）（摘抄）</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950"/>
              <w:gridCol w:w="1287"/>
              <w:gridCol w:w="277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9"/>
                    <w:spacing w:line="360" w:lineRule="exact"/>
                    <w:rPr>
                      <w:color w:val="000000" w:themeColor="text1"/>
                      <w:sz w:val="20"/>
                      <w:szCs w:val="21"/>
                    </w:rPr>
                  </w:pPr>
                  <w:r>
                    <w:rPr>
                      <w:color w:val="000000" w:themeColor="text1"/>
                      <w:sz w:val="20"/>
                      <w:szCs w:val="21"/>
                    </w:rPr>
                    <w:t>项目危废</w:t>
                  </w:r>
                </w:p>
              </w:tc>
              <w:tc>
                <w:tcPr>
                  <w:tcW w:w="830" w:type="pct"/>
                  <w:vAlign w:val="center"/>
                </w:tcPr>
                <w:p>
                  <w:pPr>
                    <w:pStyle w:val="29"/>
                    <w:spacing w:line="360" w:lineRule="exact"/>
                    <w:rPr>
                      <w:color w:val="000000" w:themeColor="text1"/>
                      <w:sz w:val="20"/>
                      <w:szCs w:val="21"/>
                    </w:rPr>
                  </w:pPr>
                  <w:r>
                    <w:rPr>
                      <w:color w:val="000000" w:themeColor="text1"/>
                      <w:sz w:val="20"/>
                      <w:szCs w:val="21"/>
                    </w:rPr>
                    <w:t>废物类别</w:t>
                  </w:r>
                </w:p>
              </w:tc>
              <w:tc>
                <w:tcPr>
                  <w:tcW w:w="552" w:type="pct"/>
                  <w:vAlign w:val="center"/>
                </w:tcPr>
                <w:p>
                  <w:pPr>
                    <w:pStyle w:val="29"/>
                    <w:spacing w:line="360" w:lineRule="exact"/>
                    <w:rPr>
                      <w:color w:val="000000" w:themeColor="text1"/>
                      <w:sz w:val="20"/>
                      <w:szCs w:val="21"/>
                    </w:rPr>
                  </w:pPr>
                  <w:r>
                    <w:rPr>
                      <w:color w:val="000000" w:themeColor="text1"/>
                      <w:sz w:val="20"/>
                      <w:szCs w:val="21"/>
                    </w:rPr>
                    <w:t>行业来源</w:t>
                  </w:r>
                </w:p>
              </w:tc>
              <w:tc>
                <w:tcPr>
                  <w:tcW w:w="748" w:type="pct"/>
                  <w:vAlign w:val="center"/>
                </w:tcPr>
                <w:p>
                  <w:pPr>
                    <w:pStyle w:val="29"/>
                    <w:spacing w:line="360" w:lineRule="exact"/>
                    <w:rPr>
                      <w:color w:val="000000" w:themeColor="text1"/>
                      <w:sz w:val="20"/>
                      <w:szCs w:val="21"/>
                    </w:rPr>
                  </w:pPr>
                  <w:r>
                    <w:rPr>
                      <w:color w:val="000000" w:themeColor="text1"/>
                      <w:sz w:val="20"/>
                      <w:szCs w:val="21"/>
                    </w:rPr>
                    <w:t>废物代码</w:t>
                  </w:r>
                </w:p>
              </w:tc>
              <w:tc>
                <w:tcPr>
                  <w:tcW w:w="1611" w:type="pct"/>
                  <w:vAlign w:val="center"/>
                </w:tcPr>
                <w:p>
                  <w:pPr>
                    <w:pStyle w:val="29"/>
                    <w:spacing w:line="360" w:lineRule="exact"/>
                    <w:rPr>
                      <w:color w:val="000000" w:themeColor="text1"/>
                      <w:szCs w:val="21"/>
                    </w:rPr>
                  </w:pPr>
                  <w:r>
                    <w:rPr>
                      <w:color w:val="000000" w:themeColor="text1"/>
                      <w:szCs w:val="21"/>
                    </w:rPr>
                    <w:t>危险废物</w:t>
                  </w:r>
                </w:p>
              </w:tc>
              <w:tc>
                <w:tcPr>
                  <w:tcW w:w="583" w:type="pct"/>
                  <w:vAlign w:val="center"/>
                </w:tcPr>
                <w:p>
                  <w:pPr>
                    <w:pStyle w:val="29"/>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9"/>
                    <w:spacing w:line="360" w:lineRule="exact"/>
                    <w:rPr>
                      <w:color w:val="000000" w:themeColor="text1"/>
                      <w:sz w:val="20"/>
                      <w:szCs w:val="21"/>
                    </w:rPr>
                  </w:pPr>
                  <w:r>
                    <w:rPr>
                      <w:color w:val="000000" w:themeColor="text1"/>
                      <w:sz w:val="20"/>
                      <w:szCs w:val="21"/>
                    </w:rPr>
                    <w:t>碱喷淋废液</w:t>
                  </w:r>
                </w:p>
              </w:tc>
              <w:tc>
                <w:tcPr>
                  <w:tcW w:w="830" w:type="pct"/>
                  <w:vAlign w:val="center"/>
                </w:tcPr>
                <w:p>
                  <w:pPr>
                    <w:pStyle w:val="29"/>
                    <w:spacing w:line="360" w:lineRule="exact"/>
                    <w:rPr>
                      <w:color w:val="000000" w:themeColor="text1"/>
                      <w:sz w:val="20"/>
                      <w:szCs w:val="21"/>
                    </w:rPr>
                  </w:pPr>
                  <w:r>
                    <w:rPr>
                      <w:color w:val="000000" w:themeColor="text1"/>
                      <w:sz w:val="20"/>
                      <w:szCs w:val="21"/>
                    </w:rPr>
                    <w:t>HW49其他废物</w:t>
                  </w:r>
                </w:p>
              </w:tc>
              <w:tc>
                <w:tcPr>
                  <w:tcW w:w="552" w:type="pct"/>
                  <w:vAlign w:val="center"/>
                </w:tcPr>
                <w:p>
                  <w:pPr>
                    <w:pStyle w:val="29"/>
                    <w:spacing w:line="360" w:lineRule="exact"/>
                    <w:rPr>
                      <w:color w:val="000000" w:themeColor="text1"/>
                      <w:sz w:val="20"/>
                      <w:szCs w:val="21"/>
                    </w:rPr>
                  </w:pPr>
                  <w:r>
                    <w:rPr>
                      <w:color w:val="000000" w:themeColor="text1"/>
                      <w:sz w:val="20"/>
                      <w:szCs w:val="21"/>
                    </w:rPr>
                    <w:t>非特定行业</w:t>
                  </w:r>
                </w:p>
              </w:tc>
              <w:tc>
                <w:tcPr>
                  <w:tcW w:w="748" w:type="pct"/>
                  <w:vAlign w:val="center"/>
                </w:tcPr>
                <w:p>
                  <w:pPr>
                    <w:pStyle w:val="29"/>
                    <w:spacing w:line="360" w:lineRule="exact"/>
                    <w:rPr>
                      <w:color w:val="000000" w:themeColor="text1"/>
                      <w:sz w:val="20"/>
                      <w:szCs w:val="21"/>
                    </w:rPr>
                  </w:pPr>
                  <w:r>
                    <w:rPr>
                      <w:color w:val="000000" w:themeColor="text1"/>
                      <w:sz w:val="20"/>
                      <w:szCs w:val="21"/>
                    </w:rPr>
                    <w:t>900-041-49</w:t>
                  </w:r>
                </w:p>
              </w:tc>
              <w:tc>
                <w:tcPr>
                  <w:tcW w:w="1611" w:type="pct"/>
                  <w:vAlign w:val="center"/>
                </w:tcPr>
                <w:p>
                  <w:pPr>
                    <w:pStyle w:val="29"/>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29"/>
                    <w:spacing w:line="360" w:lineRule="exact"/>
                    <w:rPr>
                      <w:color w:val="000000" w:themeColor="text1"/>
                      <w:szCs w:val="21"/>
                    </w:rPr>
                  </w:pPr>
                  <w:r>
                    <w:rPr>
                      <w:color w:val="000000" w:themeColor="text1"/>
                      <w:szCs w:val="21"/>
                    </w:rPr>
                    <w:t>T/In</w:t>
                  </w:r>
                </w:p>
              </w:tc>
            </w:tr>
          </w:tbl>
          <w:p>
            <w:pPr>
              <w:pStyle w:val="37"/>
              <w:spacing w:beforeLines="50"/>
              <w:ind w:firstLine="480"/>
              <w:rPr>
                <w:color w:val="000000" w:themeColor="text1"/>
                <w:szCs w:val="24"/>
              </w:rPr>
            </w:pPr>
            <w:r>
              <w:rPr>
                <w:color w:val="000000" w:themeColor="text1"/>
                <w:szCs w:val="24"/>
              </w:rPr>
              <w:t>由上表可知，该项目产生的碱喷淋废液属于危险废物，也是属于该项目收集的危险废物类别之一，统一收集后，贮存于5#贮存区对应区域，定期委托有资质的单位处置。</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7"/>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表4.2.4-5 固体废物环境影响和保护措施分析一览表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851"/>
              <w:gridCol w:w="850"/>
              <w:gridCol w:w="709"/>
              <w:gridCol w:w="850"/>
              <w:gridCol w:w="1701"/>
              <w:gridCol w:w="2127"/>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序号</w:t>
                  </w:r>
                </w:p>
              </w:tc>
              <w:tc>
                <w:tcPr>
                  <w:tcW w:w="85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产生环节</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名称</w:t>
                  </w:r>
                </w:p>
              </w:tc>
              <w:tc>
                <w:tcPr>
                  <w:tcW w:w="70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属性</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产生量</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贮存方式</w:t>
                  </w:r>
                </w:p>
              </w:tc>
              <w:tc>
                <w:tcPr>
                  <w:tcW w:w="212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w:t>
                  </w:r>
                </w:p>
              </w:tc>
              <w:tc>
                <w:tcPr>
                  <w:tcW w:w="85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贮存</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渗滤液</w:t>
                  </w:r>
                </w:p>
              </w:tc>
              <w:tc>
                <w:tcPr>
                  <w:tcW w:w="70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1.5t/a</w:t>
                  </w:r>
                </w:p>
              </w:tc>
              <w:tc>
                <w:tcPr>
                  <w:tcW w:w="170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渗滤液收集池</w:t>
                  </w:r>
                </w:p>
              </w:tc>
              <w:tc>
                <w:tcPr>
                  <w:tcW w:w="2127"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收集后和产生渗滤液源的危险废物一同委托有资质的单位处置。</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85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员工防护</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废劳保用品</w:t>
                  </w:r>
                </w:p>
              </w:tc>
              <w:tc>
                <w:tcPr>
                  <w:tcW w:w="70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0.6t/a</w:t>
                  </w:r>
                </w:p>
              </w:tc>
              <w:tc>
                <w:tcPr>
                  <w:tcW w:w="170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w:t>
                  </w:r>
                </w:p>
              </w:tc>
              <w:tc>
                <w:tcPr>
                  <w:tcW w:w="2127"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定期委托有资质的单位处置。</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w:t>
                  </w:r>
                </w:p>
              </w:tc>
              <w:tc>
                <w:tcPr>
                  <w:tcW w:w="85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贮存、运输</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废包装物</w:t>
                  </w:r>
                </w:p>
              </w:tc>
              <w:tc>
                <w:tcPr>
                  <w:tcW w:w="70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0.8t/a</w:t>
                  </w:r>
                </w:p>
              </w:tc>
              <w:tc>
                <w:tcPr>
                  <w:tcW w:w="170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w:t>
                  </w:r>
                </w:p>
              </w:tc>
              <w:tc>
                <w:tcPr>
                  <w:tcW w:w="2127"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定期委托有资质的单位处置。</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w:t>
                  </w:r>
                </w:p>
              </w:tc>
              <w:tc>
                <w:tcPr>
                  <w:tcW w:w="851"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废气处理</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废活性炭</w:t>
                  </w:r>
                </w:p>
              </w:tc>
              <w:tc>
                <w:tcPr>
                  <w:tcW w:w="70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1.44t/a</w:t>
                  </w:r>
                </w:p>
              </w:tc>
              <w:tc>
                <w:tcPr>
                  <w:tcW w:w="170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w:t>
                  </w:r>
                </w:p>
              </w:tc>
              <w:tc>
                <w:tcPr>
                  <w:tcW w:w="2127"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定期委托有资质的单位处置。</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1.44t/a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5</w:t>
                  </w:r>
                </w:p>
              </w:tc>
              <w:tc>
                <w:tcPr>
                  <w:tcW w:w="851" w:type="dxa"/>
                  <w:vMerge w:val="continue"/>
                  <w:vAlign w:val="center"/>
                </w:tcPr>
                <w:p>
                  <w:pPr>
                    <w:pStyle w:val="29"/>
                    <w:spacing w:line="360" w:lineRule="exact"/>
                    <w:rPr>
                      <w:rFonts w:eastAsiaTheme="minorEastAsia"/>
                      <w:color w:val="000000" w:themeColor="text1"/>
                      <w:szCs w:val="21"/>
                    </w:rPr>
                  </w:pP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碱喷淋废液</w:t>
                  </w:r>
                </w:p>
              </w:tc>
              <w:tc>
                <w:tcPr>
                  <w:tcW w:w="70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4m³/a</w:t>
                  </w:r>
                </w:p>
              </w:tc>
              <w:tc>
                <w:tcPr>
                  <w:tcW w:w="1701"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w:t>
                  </w:r>
                </w:p>
              </w:tc>
              <w:tc>
                <w:tcPr>
                  <w:tcW w:w="2127"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定期委托有资质的单位处置。</w:t>
                  </w:r>
                </w:p>
              </w:tc>
              <w:tc>
                <w:tcPr>
                  <w:tcW w:w="9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4m³/a</w:t>
                  </w:r>
                </w:p>
              </w:tc>
            </w:tr>
          </w:tbl>
          <w:p>
            <w:pPr>
              <w:pStyle w:val="37"/>
              <w:spacing w:beforeLines="50"/>
              <w:ind w:firstLine="480"/>
              <w:rPr>
                <w:rFonts w:eastAsiaTheme="minorEastAsia"/>
                <w:color w:val="000000" w:themeColor="text1"/>
                <w:szCs w:val="24"/>
              </w:rPr>
            </w:pPr>
            <w:r>
              <w:rPr>
                <w:rFonts w:eastAsiaTheme="minorEastAsia"/>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（3）环境管理要求</w:t>
            </w:r>
          </w:p>
          <w:p>
            <w:pPr>
              <w:pStyle w:val="37"/>
              <w:ind w:firstLine="480"/>
              <w:rPr>
                <w:color w:val="000000" w:themeColor="text1"/>
                <w:szCs w:val="24"/>
              </w:rPr>
            </w:pPr>
            <w:r>
              <w:rPr>
                <w:color w:val="000000" w:themeColor="text1"/>
                <w:szCs w:val="24"/>
              </w:rPr>
              <w:t>针对项目产生的危险废物，项目在日常管理过程中，必须严格按照《危险废物贮存污染控制标准》（GB</w:t>
            </w:r>
            <w:r>
              <w:rPr>
                <w:rFonts w:hint="eastAsia"/>
                <w:color w:val="000000" w:themeColor="text1"/>
                <w:szCs w:val="24"/>
                <w:lang w:eastAsia="zh-CN"/>
              </w:rPr>
              <w:t>*****</w:t>
            </w:r>
            <w:r>
              <w:rPr>
                <w:color w:val="000000" w:themeColor="text1"/>
                <w:szCs w:val="24"/>
              </w:rPr>
              <w:t>-2023）的要求，做到下表提出的要求。</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表4.2.4-6  项目危险废物管理要求一览表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color w:val="000000" w:themeColor="text1"/>
                      <w:szCs w:val="18"/>
                    </w:rPr>
                  </w:pPr>
                  <w:r>
                    <w:rPr>
                      <w:rFonts w:ascii="Times New Roman" w:hAnsi="Times New Roman" w:cs="Times New Roman"/>
                      <w:color w:val="000000" w:themeColor="text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szCs w:val="18"/>
                    </w:rPr>
                    <w:t>总体要求</w:t>
                  </w:r>
                </w:p>
              </w:tc>
              <w:tc>
                <w:tcPr>
                  <w:tcW w:w="7728" w:type="dxa"/>
                  <w:tcBorders>
                    <w:top w:val="single" w:color="auto" w:sz="4" w:space="0"/>
                    <w:left w:val="single" w:color="auto" w:sz="4" w:space="0"/>
                    <w:right w:val="single" w:color="auto" w:sz="4" w:space="0"/>
                  </w:tcBorders>
                  <w:noWrap/>
                  <w:vAlign w:val="center"/>
                </w:tcPr>
                <w:p>
                  <w:pPr>
                    <w:pStyle w:val="48"/>
                    <w:spacing w:line="360" w:lineRule="exact"/>
                    <w:ind w:firstLine="210" w:firstLineChars="100"/>
                    <w:rPr>
                      <w:color w:val="000000" w:themeColor="text1"/>
                    </w:rPr>
                  </w:pPr>
                  <w:r>
                    <w:rPr>
                      <w:color w:val="000000" w:themeColor="text1"/>
                    </w:rPr>
                    <w:t>①贮存危险废物应根据危险废物的类别、形态、物理化学性质和污染防治要求进行分类贮存，且应避免危险废物与不相容的物质或材料接触；</w:t>
                  </w:r>
                </w:p>
                <w:p>
                  <w:pPr>
                    <w:pStyle w:val="48"/>
                    <w:spacing w:line="360" w:lineRule="exact"/>
                    <w:ind w:firstLine="210" w:firstLineChars="100"/>
                    <w:rPr>
                      <w:color w:val="000000" w:themeColor="text1"/>
                    </w:rPr>
                  </w:pPr>
                  <w:r>
                    <w:rPr>
                      <w:color w:val="000000" w:themeColor="text1"/>
                      <w:szCs w:val="24"/>
                    </w:rPr>
                    <w:t>②危险废物贮存过程产生的液态废物和固态废物应分类收集，按其环境管理要求妥善处理；</w:t>
                  </w:r>
                </w:p>
                <w:p>
                  <w:pPr>
                    <w:pStyle w:val="48"/>
                    <w:spacing w:line="360" w:lineRule="exact"/>
                    <w:ind w:firstLine="210" w:firstLineChars="100"/>
                    <w:rPr>
                      <w:color w:val="000000" w:themeColor="text1"/>
                    </w:rPr>
                  </w:pPr>
                  <w:r>
                    <w:rPr>
                      <w:color w:val="000000" w:themeColor="text1"/>
                      <w:szCs w:val="24"/>
                    </w:rPr>
                    <w:t>③贮存设施或场所、容器和包装物应按 HJ 1276 要求设置危险废物贮存设施或场所标志、危险废物贮存分区标志和危险废物标签等危险废物识别标志。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贮存设施污染控制要求一般规定</w:t>
                  </w:r>
                </w:p>
              </w:tc>
              <w:tc>
                <w:tcPr>
                  <w:tcW w:w="7728" w:type="dxa"/>
                  <w:tcBorders>
                    <w:top w:val="single" w:color="auto" w:sz="4" w:space="0"/>
                    <w:left w:val="single" w:color="auto" w:sz="4" w:space="0"/>
                    <w:right w:val="single" w:color="auto" w:sz="4" w:space="0"/>
                  </w:tcBorders>
                  <w:noWrap/>
                  <w:vAlign w:val="center"/>
                </w:tcPr>
                <w:p>
                  <w:pPr>
                    <w:pStyle w:val="48"/>
                    <w:spacing w:line="360" w:lineRule="exact"/>
                    <w:ind w:firstLine="210" w:firstLineChars="100"/>
                    <w:rPr>
                      <w:color w:val="000000" w:themeColor="text1"/>
                      <w:szCs w:val="24"/>
                    </w:rPr>
                  </w:pPr>
                  <w:r>
                    <w:rPr>
                      <w:color w:val="000000" w:themeColor="text1"/>
                      <w:szCs w:val="24"/>
                    </w:rPr>
                    <w:t>①贮存设施应根据危险废物的形态、物理化学性质、包装形式和污染物迁移途径，采取必要的防风、防晒、防雨、防漏、防渗、防腐以及其他环境污染防治措施，不应露天堆放危险废物；</w:t>
                  </w:r>
                </w:p>
                <w:p>
                  <w:pPr>
                    <w:pStyle w:val="48"/>
                    <w:spacing w:line="360" w:lineRule="exact"/>
                    <w:ind w:firstLine="210" w:firstLineChars="100"/>
                    <w:rPr>
                      <w:color w:val="000000" w:themeColor="text1"/>
                      <w:szCs w:val="24"/>
                    </w:rPr>
                  </w:pPr>
                  <w:r>
                    <w:rPr>
                      <w:color w:val="000000" w:themeColor="text1"/>
                      <w:szCs w:val="24"/>
                    </w:rPr>
                    <w:t>②贮存设施应根据危险废物的类别、数量、形态、物理化学性质和污染防治等要求设置必要的贮存分区，避免不相容的危险废物接触、混合；</w:t>
                  </w:r>
                </w:p>
                <w:p>
                  <w:pPr>
                    <w:pStyle w:val="48"/>
                    <w:spacing w:line="360" w:lineRule="exact"/>
                    <w:ind w:firstLine="210" w:firstLineChars="100"/>
                    <w:rPr>
                      <w:color w:val="000000" w:themeColor="text1"/>
                      <w:szCs w:val="24"/>
                    </w:rPr>
                  </w:pPr>
                  <w:r>
                    <w:rPr>
                      <w:color w:val="000000" w:themeColor="text1"/>
                      <w:szCs w:val="24"/>
                    </w:rPr>
                    <w:t>③贮存设施或贮存分区内地面、墙面裙脚、堵截泄漏的围堰、接触危险废物的隔板和墙体等应采用坚固的材料建造，表面无裂缝；</w:t>
                  </w:r>
                </w:p>
                <w:p>
                  <w:pPr>
                    <w:pStyle w:val="48"/>
                    <w:spacing w:line="360" w:lineRule="exact"/>
                    <w:ind w:firstLine="210" w:firstLineChars="100"/>
                    <w:rPr>
                      <w:color w:val="000000" w:themeColor="text1"/>
                      <w:szCs w:val="24"/>
                    </w:rPr>
                  </w:pPr>
                  <w:r>
                    <w:rPr>
                      <w:color w:val="000000" w:themeColor="text1"/>
                      <w:szCs w:val="24"/>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w:t>
                  </w:r>
                  <w:r>
                    <w:rPr>
                      <w:color w:val="000000" w:themeColor="text1"/>
                      <w:szCs w:val="24"/>
                      <w:vertAlign w:val="superscript"/>
                    </w:rPr>
                    <w:t>-7</w:t>
                  </w:r>
                  <w:r>
                    <w:rPr>
                      <w:color w:val="000000" w:themeColor="text1"/>
                      <w:szCs w:val="24"/>
                    </w:rPr>
                    <w:t>cm/s），或至少2 mm 厚高密度聚乙烯膜等人工防渗材料（渗透系数不大于 10</w:t>
                  </w:r>
                  <w:r>
                    <w:rPr>
                      <w:color w:val="000000" w:themeColor="text1"/>
                      <w:szCs w:val="24"/>
                      <w:vertAlign w:val="superscript"/>
                    </w:rPr>
                    <w:t>-10</w:t>
                  </w:r>
                  <w:r>
                    <w:rPr>
                      <w:color w:val="000000" w:themeColor="text1"/>
                      <w:szCs w:val="24"/>
                    </w:rPr>
                    <w:t>cm/s），或其他防渗性能等效的材料；</w:t>
                  </w:r>
                </w:p>
                <w:p>
                  <w:pPr>
                    <w:pStyle w:val="48"/>
                    <w:spacing w:line="360" w:lineRule="exact"/>
                    <w:ind w:firstLine="210" w:firstLineChars="100"/>
                    <w:rPr>
                      <w:color w:val="000000" w:themeColor="text1"/>
                      <w:szCs w:val="24"/>
                    </w:rPr>
                  </w:pPr>
                  <w:r>
                    <w:rPr>
                      <w:color w:val="000000" w:themeColor="text1"/>
                      <w:szCs w:val="24"/>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48"/>
                    <w:spacing w:line="360" w:lineRule="exact"/>
                    <w:ind w:firstLine="210" w:firstLineChars="100"/>
                    <w:rPr>
                      <w:color w:val="000000" w:themeColor="text1"/>
                    </w:rPr>
                  </w:pPr>
                  <w:r>
                    <w:rPr>
                      <w:color w:val="000000" w:themeColor="text1"/>
                      <w:szCs w:val="24"/>
                    </w:rPr>
                    <w:t>⑥贮存设施应采取技术和管理措施防止无关人员进入。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color w:val="000000" w:themeColor="text1"/>
                      <w:szCs w:val="18"/>
                    </w:rPr>
                  </w:pPr>
                  <w:r>
                    <w:rPr>
                      <w:rFonts w:ascii="Times New Roman" w:hAnsi="Times New Roman" w:cs="Times New Roman"/>
                      <w:color w:val="000000" w:themeColor="text1"/>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48"/>
                    <w:spacing w:line="360" w:lineRule="exact"/>
                    <w:ind w:firstLine="210" w:firstLineChars="100"/>
                    <w:rPr>
                      <w:color w:val="000000" w:themeColor="text1"/>
                      <w:szCs w:val="24"/>
                    </w:rPr>
                  </w:pPr>
                  <w:r>
                    <w:rPr>
                      <w:color w:val="000000" w:themeColor="text1"/>
                      <w:szCs w:val="24"/>
                    </w:rPr>
                    <w:t>①危险废物存入贮存设施前应对危险废物类别和特性与危险废物标签等危险废物识别标志的一致性进行核验，不一致的或类别、特性不明的不应存入；应定期检查危险废物的贮存状况，及时清理贮存设施地面，更换破损泄漏的危险废物贮存容器和包装物，保证堆存危险废物的防雨、防风、防扬尘等设施功能完好；作业设备及车辆等结束作业离开贮存设施时，应对其残留的危险废物进行清理，清理的废物或清洗废水应收集处理；贮存设施运行期间，应按国家有关标准和规定建立危险废物管理台账并保存；贮存设施所有者或运营者应建立贮存设施环境管理制度、管理人员岗位职责制度、设施运行操作制度、人员岗位培训制度等；贮存设施所有者或运营者应依据国家土壤和地下水污染防治的有关规定，结合贮存设施特点建立土壤和地下水污染隐患排查制度，并定期开展隐患排查；发现隐患应及时采取措施消除隐患，并建立档案；贮存设施所有者或运营者应建立贮存设施全部档案，包括设计、施工、验收、运行、监测和环境应急等，应按国家有关档案管理的法律法规进行整理和归档；</w:t>
                  </w:r>
                </w:p>
                <w:p>
                  <w:pPr>
                    <w:pStyle w:val="48"/>
                    <w:spacing w:line="360" w:lineRule="exact"/>
                    <w:ind w:firstLine="210" w:firstLineChars="100"/>
                    <w:rPr>
                      <w:color w:val="000000" w:themeColor="text1"/>
                    </w:rPr>
                  </w:pPr>
                  <w:r>
                    <w:rPr>
                      <w:color w:val="000000" w:themeColor="text1"/>
                      <w:szCs w:val="24"/>
                    </w:rPr>
                    <w:t>②贮存点应具有固定的区域边界，并应采取与其他区域进行隔离的措施；贮存点应采取防风、防雨、防晒和防止危险废物流失、扬散等措施；贮存点贮存的危险废物应置于容器或包装物中，不应直接散堆；贮存点应根据危险废物的形态、物理化学性质、包装形式等，采取防渗、防漏等污染防治措施或采用具有相应功能的装置；贮存点应及时清运贮存的危险废物，实时贮存量不应超过 3 吨。</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7"/>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7"/>
              <w:ind w:firstLine="480"/>
              <w:rPr>
                <w:color w:val="000000" w:themeColor="text1"/>
                <w:szCs w:val="24"/>
              </w:rPr>
            </w:pPr>
            <w:r>
              <w:rPr>
                <w:color w:val="000000" w:themeColor="text1"/>
                <w:szCs w:val="24"/>
              </w:rPr>
              <w:t>根据项目的特点，该项目主要将各类危险废物收集贮存后统一交由有处置资质的单位进行处置，不涉及各类危险废物的利用及后续处置再生环节。可能造成地下水及土壤污染的污染源为暂存仓库，该项目地下水、土壤主要污染物为废矿物油、废酸、废碱、有机液体等。</w:t>
            </w:r>
          </w:p>
          <w:p>
            <w:pPr>
              <w:pStyle w:val="37"/>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7"/>
              <w:ind w:firstLine="480"/>
              <w:rPr>
                <w:color w:val="000000" w:themeColor="text1"/>
                <w:szCs w:val="24"/>
              </w:rPr>
            </w:pPr>
            <w:r>
              <w:rPr>
                <w:color w:val="000000" w:themeColor="text1"/>
                <w:szCs w:val="24"/>
              </w:rPr>
              <w:t>该项目对地下水、土壤影响的途径主要为项目废矿物油各类有机液体、酸、碱等储存期间出现“跑、冒、滴、漏”或泄露，污染物可能进入土壤，最终会渗入地下水渗透到含水层，并通过扩散和渗透作用对周边区域的地下水环境、土壤造成影响。</w:t>
            </w:r>
          </w:p>
          <w:p>
            <w:pPr>
              <w:pStyle w:val="37"/>
              <w:ind w:firstLine="361" w:firstLineChars="150"/>
              <w:rPr>
                <w:rFonts w:eastAsiaTheme="minorEastAsia"/>
                <w:b/>
                <w:color w:val="000000" w:themeColor="text1"/>
                <w:szCs w:val="24"/>
              </w:rPr>
            </w:pPr>
            <w:r>
              <w:rPr>
                <w:rFonts w:eastAsiaTheme="minorEastAsia"/>
                <w:b/>
                <w:color w:val="000000" w:themeColor="text1"/>
                <w:szCs w:val="24"/>
              </w:rPr>
              <w:t>（3）防控措施</w:t>
            </w:r>
          </w:p>
          <w:p>
            <w:pPr>
              <w:pStyle w:val="37"/>
              <w:ind w:firstLine="480"/>
              <w:rPr>
                <w:color w:val="000000" w:themeColor="text1"/>
                <w:szCs w:val="24"/>
              </w:rPr>
            </w:pPr>
            <w:r>
              <w:rPr>
                <w:color w:val="000000" w:themeColor="text1"/>
                <w:szCs w:val="24"/>
              </w:rPr>
              <w:t>该项目地下水、土壤污染防治措施按照“源头控制、分区防治、应急响应”相结合的原则，从污染物的产生、入渗、扩散、应急响应进行控制。</w:t>
            </w:r>
          </w:p>
          <w:p>
            <w:pPr>
              <w:pStyle w:val="37"/>
              <w:ind w:firstLine="482"/>
              <w:rPr>
                <w:b/>
                <w:color w:val="000000" w:themeColor="text1"/>
                <w:szCs w:val="24"/>
              </w:rPr>
            </w:pPr>
            <w:r>
              <w:rPr>
                <w:b/>
                <w:color w:val="000000" w:themeColor="text1"/>
                <w:szCs w:val="24"/>
              </w:rPr>
              <w:t>①源头控制措施</w:t>
            </w:r>
          </w:p>
          <w:p>
            <w:pPr>
              <w:pStyle w:val="37"/>
              <w:ind w:firstLine="480"/>
              <w:rPr>
                <w:color w:val="000000" w:themeColor="text1"/>
                <w:szCs w:val="24"/>
              </w:rPr>
            </w:pPr>
            <w:r>
              <w:rPr>
                <w:color w:val="000000" w:themeColor="text1"/>
                <w:szCs w:val="24"/>
              </w:rPr>
              <w:t>项目应尽可能从源头上减少污染物的产生和排放。严格按照国家相关规范要求，对暂存设施、渗滤液收集池</w:t>
            </w:r>
            <w:r>
              <w:rPr>
                <w:rFonts w:hint="eastAsia"/>
                <w:color w:val="000000" w:themeColor="text1"/>
                <w:szCs w:val="24"/>
              </w:rPr>
              <w:t>、事故池</w:t>
            </w:r>
            <w:r>
              <w:rPr>
                <w:color w:val="000000" w:themeColor="text1"/>
                <w:szCs w:val="24"/>
              </w:rPr>
              <w:t>等构筑物采取相应措施，防止和降低污染物的跑、冒、滴、漏，将污染物泄漏的环境风险降到最低程度。物料装、卸过程中应严格按规范操作，防止装卸过程的跑、冒、滴、漏。危险废物临时存放场所要按照国家相关规范要求，采取严格的防泄漏、防溢流、防腐蚀等措施，严格危险化学品和危险废物的管理。</w:t>
            </w:r>
          </w:p>
          <w:p>
            <w:pPr>
              <w:pStyle w:val="37"/>
              <w:ind w:firstLine="482"/>
              <w:rPr>
                <w:b/>
                <w:color w:val="000000" w:themeColor="text1"/>
                <w:szCs w:val="24"/>
              </w:rPr>
            </w:pPr>
            <w:r>
              <w:rPr>
                <w:b/>
                <w:color w:val="000000" w:themeColor="text1"/>
                <w:szCs w:val="24"/>
              </w:rPr>
              <w:t>②分区控制措施</w:t>
            </w:r>
          </w:p>
          <w:p>
            <w:pPr>
              <w:pStyle w:val="37"/>
              <w:ind w:firstLine="480"/>
              <w:rPr>
                <w:color w:val="000000" w:themeColor="text1"/>
                <w:szCs w:val="24"/>
              </w:rPr>
            </w:pPr>
            <w:r>
              <w:rPr>
                <w:color w:val="000000" w:themeColor="text1"/>
                <w:szCs w:val="24"/>
              </w:rPr>
              <w:t>根据《危险废物贮存污染控制标准》（GB</w:t>
            </w:r>
            <w:r>
              <w:rPr>
                <w:rFonts w:hint="eastAsia"/>
                <w:color w:val="000000" w:themeColor="text1"/>
                <w:szCs w:val="24"/>
                <w:lang w:eastAsia="zh-CN"/>
              </w:rPr>
              <w:t>*****</w:t>
            </w:r>
            <w:r>
              <w:rPr>
                <w:color w:val="000000" w:themeColor="text1"/>
                <w:szCs w:val="24"/>
              </w:rPr>
              <w:t>-2023）等相关技术规范对危险废物贮存区域防渗要求，项目</w:t>
            </w:r>
            <w:r>
              <w:rPr>
                <w:rFonts w:hint="eastAsia"/>
                <w:color w:val="000000" w:themeColor="text1"/>
                <w:szCs w:val="24"/>
              </w:rPr>
              <w:t>贮存区、导流渠、</w:t>
            </w:r>
            <w:r>
              <w:rPr>
                <w:color w:val="000000" w:themeColor="text1"/>
                <w:szCs w:val="24"/>
              </w:rPr>
              <w:t>渗滤液收集池</w:t>
            </w:r>
            <w:r>
              <w:rPr>
                <w:rFonts w:hint="eastAsia"/>
                <w:color w:val="000000" w:themeColor="text1"/>
                <w:szCs w:val="24"/>
              </w:rPr>
              <w:t>、事故池等所有区域</w:t>
            </w:r>
            <w:r>
              <w:rPr>
                <w:color w:val="000000" w:themeColor="text1"/>
                <w:szCs w:val="24"/>
              </w:rPr>
              <w:t>均属于重点防渗区，具体控制措施如下：</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color w:val="000000" w:themeColor="text1"/>
                <w:szCs w:val="24"/>
              </w:rPr>
              <w:t>⑴</w:t>
            </w:r>
            <w:r>
              <w:rPr>
                <w:color w:val="000000" w:themeColor="text1"/>
                <w:szCs w:val="24"/>
              </w:rPr>
              <w:fldChar w:fldCharType="end"/>
            </w:r>
            <w:r>
              <w:rPr>
                <w:color w:val="000000" w:themeColor="text1"/>
                <w:szCs w:val="24"/>
              </w:rPr>
              <w:t>地面防渗：根据调查，项目全部区域均采用复合土工膜防渗后，再浇筑混凝土；该复合土工膜防渗云南睿利能工程材料制造有限公司生产的土工膜，根据其检测报告，其防渗系数达到渗透系数≤2.3×10</w:t>
            </w:r>
            <w:r>
              <w:rPr>
                <w:color w:val="000000" w:themeColor="text1"/>
                <w:szCs w:val="24"/>
                <w:vertAlign w:val="superscript"/>
              </w:rPr>
              <w:t>-12</w:t>
            </w:r>
            <w:r>
              <w:rPr>
                <w:color w:val="000000" w:themeColor="text1"/>
                <w:szCs w:val="24"/>
              </w:rPr>
              <w:t>cm/s，满足渗透系数≤10</w:t>
            </w:r>
            <w:r>
              <w:rPr>
                <w:color w:val="000000" w:themeColor="text1"/>
                <w:szCs w:val="24"/>
                <w:vertAlign w:val="superscript"/>
              </w:rPr>
              <w:t>-10</w:t>
            </w:r>
            <w:r>
              <w:rPr>
                <w:color w:val="000000" w:themeColor="text1"/>
                <w:szCs w:val="24"/>
              </w:rPr>
              <w:t>cm/s的要求</w:t>
            </w:r>
            <w:r>
              <w:rPr>
                <w:rFonts w:hint="eastAsia"/>
                <w:color w:val="000000" w:themeColor="text1"/>
                <w:szCs w:val="24"/>
              </w:rPr>
              <w:t>；但在导流渠、</w:t>
            </w:r>
            <w:r>
              <w:rPr>
                <w:color w:val="000000" w:themeColor="text1"/>
                <w:szCs w:val="24"/>
              </w:rPr>
              <w:t>渗滤液收集池</w:t>
            </w:r>
            <w:r>
              <w:rPr>
                <w:rFonts w:hint="eastAsia"/>
                <w:color w:val="000000" w:themeColor="text1"/>
                <w:szCs w:val="24"/>
              </w:rPr>
              <w:t>的施工过程中，会对原有防渗层造成进行局部破坏，因此项目拟对导流渠、</w:t>
            </w:r>
            <w:r>
              <w:rPr>
                <w:color w:val="000000" w:themeColor="text1"/>
                <w:szCs w:val="24"/>
              </w:rPr>
              <w:t>渗滤液收集池</w:t>
            </w:r>
            <w:r>
              <w:rPr>
                <w:rFonts w:hint="eastAsia"/>
                <w:color w:val="000000" w:themeColor="text1"/>
                <w:szCs w:val="24"/>
              </w:rPr>
              <w:t>重新铺设</w:t>
            </w:r>
            <w:r>
              <w:rPr>
                <w:color w:val="000000" w:themeColor="text1"/>
                <w:szCs w:val="24"/>
              </w:rPr>
              <w:t>土工防渗膜</w:t>
            </w:r>
            <w:r>
              <w:rPr>
                <w:rFonts w:hint="eastAsia"/>
                <w:color w:val="000000" w:themeColor="text1"/>
                <w:szCs w:val="24"/>
              </w:rPr>
              <w:t>，同时对事故池铺设</w:t>
            </w:r>
            <w:r>
              <w:rPr>
                <w:color w:val="000000" w:themeColor="text1"/>
                <w:szCs w:val="24"/>
              </w:rPr>
              <w:t>土工防渗膜</w:t>
            </w:r>
            <w:r>
              <w:rPr>
                <w:rFonts w:hint="eastAsia"/>
                <w:color w:val="000000" w:themeColor="text1"/>
                <w:szCs w:val="24"/>
              </w:rPr>
              <w:t>，另外</w:t>
            </w:r>
            <w:r>
              <w:rPr>
                <w:color w:val="000000" w:themeColor="text1"/>
                <w:szCs w:val="24"/>
              </w:rPr>
              <w:t>项目拟对含油类及腐蚀性类液态类贮存区再次铺设土工防渗膜，确保危险废物在贮存及储运过程不对现有厂区地面进行污染。</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2 \* GB2 </w:instrText>
            </w:r>
            <w:r>
              <w:rPr>
                <w:color w:val="000000" w:themeColor="text1"/>
                <w:szCs w:val="24"/>
              </w:rPr>
              <w:fldChar w:fldCharType="separate"/>
            </w:r>
            <w:r>
              <w:rPr>
                <w:color w:val="000000" w:themeColor="text1"/>
                <w:szCs w:val="24"/>
              </w:rPr>
              <w:t>⑵</w:t>
            </w:r>
            <w:r>
              <w:rPr>
                <w:color w:val="000000" w:themeColor="text1"/>
                <w:szCs w:val="24"/>
              </w:rPr>
              <w:fldChar w:fldCharType="end"/>
            </w:r>
            <w:r>
              <w:rPr>
                <w:color w:val="000000" w:themeColor="text1"/>
                <w:szCs w:val="24"/>
              </w:rPr>
              <w:t>裙脚防渗：根据实施方案，项目危险废物贮存库内裙脚拟采用不低于2mm后的HDPE膜或其他人工防渗材料进行防渗，使其渗透系数≤10</w:t>
            </w:r>
            <w:r>
              <w:rPr>
                <w:color w:val="000000" w:themeColor="text1"/>
                <w:szCs w:val="24"/>
                <w:vertAlign w:val="superscript"/>
              </w:rPr>
              <w:t>-10</w:t>
            </w:r>
            <w:r>
              <w:rPr>
                <w:color w:val="000000" w:themeColor="text1"/>
                <w:szCs w:val="24"/>
              </w:rPr>
              <w:t>cm/s，防渗高度不低于库内原料总堆高的1/5。</w:t>
            </w:r>
          </w:p>
          <w:p>
            <w:pPr>
              <w:pStyle w:val="37"/>
              <w:ind w:firstLine="361" w:firstLineChars="150"/>
              <w:rPr>
                <w:rFonts w:eastAsiaTheme="minorEastAsia"/>
                <w:b/>
                <w:color w:val="000000" w:themeColor="text1"/>
                <w:szCs w:val="24"/>
              </w:rPr>
            </w:pPr>
            <w:r>
              <w:rPr>
                <w:rFonts w:eastAsiaTheme="minorEastAsia"/>
                <w:b/>
                <w:color w:val="000000" w:themeColor="text1"/>
                <w:szCs w:val="24"/>
              </w:rPr>
              <w:t>（4）自行监测计划</w:t>
            </w:r>
          </w:p>
          <w:p>
            <w:pPr>
              <w:pStyle w:val="37"/>
              <w:ind w:firstLine="480"/>
              <w:rPr>
                <w:color w:val="000000" w:themeColor="text1"/>
                <w:szCs w:val="24"/>
              </w:rPr>
            </w:pPr>
            <w:r>
              <w:rPr>
                <w:color w:val="000000" w:themeColor="text1"/>
                <w:szCs w:val="24"/>
              </w:rPr>
              <w:t>为了及时准确掌握建设项目区域土壤环境质量状况和土壤中污染物的动态变化，企业应建立土壤和地下水环境监测管理体系，包括制定土壤和地下水环境影响跟踪监测计划建立土壤环境影响跟踪监测制度，</w:t>
            </w:r>
            <w:bookmarkStart w:id="32" w:name="_Hlk137330816"/>
            <w:r>
              <w:rPr>
                <w:color w:val="000000" w:themeColor="text1"/>
                <w:szCs w:val="24"/>
              </w:rPr>
              <w:t>以便及时发现问题并采取措施</w:t>
            </w:r>
            <w:bookmarkEnd w:id="32"/>
            <w:r>
              <w:rPr>
                <w:color w:val="000000" w:themeColor="text1"/>
                <w:szCs w:val="24"/>
              </w:rPr>
              <w:t>。</w:t>
            </w:r>
          </w:p>
          <w:p>
            <w:pPr>
              <w:pStyle w:val="37"/>
              <w:ind w:firstLine="482"/>
              <w:rPr>
                <w:b/>
                <w:color w:val="000000" w:themeColor="text1"/>
                <w:szCs w:val="24"/>
              </w:rPr>
            </w:pPr>
            <w:r>
              <w:rPr>
                <w:b/>
                <w:color w:val="000000" w:themeColor="text1"/>
                <w:szCs w:val="24"/>
              </w:rPr>
              <w:t>①土壤跟踪监测设置情况</w:t>
            </w:r>
          </w:p>
          <w:p>
            <w:pPr>
              <w:pStyle w:val="37"/>
              <w:ind w:firstLine="480"/>
              <w:rPr>
                <w:color w:val="000000" w:themeColor="text1"/>
                <w:szCs w:val="24"/>
              </w:rPr>
            </w:pPr>
            <w:r>
              <w:rPr>
                <w:color w:val="000000" w:themeColor="text1"/>
                <w:szCs w:val="24"/>
              </w:rPr>
              <w:t>根据《工业企业土壤和地下水自行监测技术指南（试行）》（HJ1209-2021）对土壤跟踪监测的设置要求，项目在条件允许下应设置1个表层土壤监测点和1个深层土壤监测点，但由于项目区及周围20m范围内已全部硬化无裸露土壤，因此可不设置表层监测点，而项目区下游50m范围内拟设置地下水监测井并按照标准要求开展地下水监测的，可不布设深层土壤监测点；综上项目可不进行土壤跟踪监测。</w:t>
            </w:r>
          </w:p>
          <w:p>
            <w:pPr>
              <w:pStyle w:val="37"/>
              <w:ind w:firstLine="482"/>
              <w:rPr>
                <w:b/>
                <w:color w:val="000000" w:themeColor="text1"/>
                <w:szCs w:val="24"/>
              </w:rPr>
            </w:pPr>
            <w:r>
              <w:rPr>
                <w:b/>
                <w:color w:val="000000" w:themeColor="text1"/>
                <w:szCs w:val="24"/>
              </w:rPr>
              <w:t>②地下水跟踪监测设置情况</w:t>
            </w:r>
          </w:p>
          <w:p>
            <w:pPr>
              <w:pStyle w:val="37"/>
              <w:ind w:firstLine="480"/>
              <w:rPr>
                <w:color w:val="000000" w:themeColor="text1"/>
                <w:szCs w:val="24"/>
              </w:rPr>
            </w:pPr>
            <w:r>
              <w:rPr>
                <w:color w:val="000000" w:themeColor="text1"/>
                <w:szCs w:val="24"/>
              </w:rPr>
              <w:t>根据《工业企业土壤和地下水自行监测技术指南（试行）》（HJ1209-2021）对地下水跟踪监测的设置要求，项目拟在厂区下游50m范围内设置1个地下水跟踪监测井对地下水进行跟踪监测，具体如下表所示。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表4.2.5-1 地下水跟踪监测计划一览表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93"/>
              <w:gridCol w:w="4394"/>
              <w:gridCol w:w="85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76" w:type="dxa"/>
                  <w:vAlign w:val="center"/>
                </w:tcPr>
                <w:p>
                  <w:pPr>
                    <w:pStyle w:val="64"/>
                    <w:spacing w:line="240" w:lineRule="auto"/>
                    <w:rPr>
                      <w:color w:val="000000" w:themeColor="text1"/>
                    </w:rPr>
                  </w:pPr>
                  <w:r>
                    <w:rPr>
                      <w:color w:val="000000" w:themeColor="text1"/>
                    </w:rPr>
                    <w:t>监测对象</w:t>
                  </w:r>
                </w:p>
              </w:tc>
              <w:tc>
                <w:tcPr>
                  <w:tcW w:w="1093" w:type="dxa"/>
                  <w:vAlign w:val="center"/>
                </w:tcPr>
                <w:p>
                  <w:pPr>
                    <w:pStyle w:val="64"/>
                    <w:spacing w:line="240" w:lineRule="auto"/>
                    <w:rPr>
                      <w:color w:val="000000" w:themeColor="text1"/>
                    </w:rPr>
                  </w:pPr>
                  <w:r>
                    <w:rPr>
                      <w:color w:val="000000" w:themeColor="text1"/>
                    </w:rPr>
                    <w:t>监测点</w:t>
                  </w:r>
                </w:p>
              </w:tc>
              <w:tc>
                <w:tcPr>
                  <w:tcW w:w="4394" w:type="dxa"/>
                  <w:vAlign w:val="center"/>
                </w:tcPr>
                <w:p>
                  <w:pPr>
                    <w:pStyle w:val="64"/>
                    <w:spacing w:line="240" w:lineRule="auto"/>
                    <w:rPr>
                      <w:color w:val="000000" w:themeColor="text1"/>
                    </w:rPr>
                  </w:pPr>
                  <w:r>
                    <w:rPr>
                      <w:color w:val="000000" w:themeColor="text1"/>
                    </w:rPr>
                    <w:t>监测因子</w:t>
                  </w:r>
                </w:p>
              </w:tc>
              <w:tc>
                <w:tcPr>
                  <w:tcW w:w="851" w:type="dxa"/>
                  <w:vAlign w:val="center"/>
                </w:tcPr>
                <w:p>
                  <w:pPr>
                    <w:pStyle w:val="64"/>
                    <w:spacing w:line="240" w:lineRule="auto"/>
                    <w:rPr>
                      <w:color w:val="000000" w:themeColor="text1"/>
                    </w:rPr>
                  </w:pPr>
                  <w:r>
                    <w:rPr>
                      <w:color w:val="000000" w:themeColor="text1"/>
                    </w:rPr>
                    <w:t>监测频次</w:t>
                  </w:r>
                </w:p>
              </w:tc>
              <w:tc>
                <w:tcPr>
                  <w:tcW w:w="1491" w:type="dxa"/>
                  <w:vAlign w:val="center"/>
                </w:tcPr>
                <w:p>
                  <w:pPr>
                    <w:pStyle w:val="64"/>
                    <w:spacing w:line="240" w:lineRule="auto"/>
                    <w:rPr>
                      <w:color w:val="000000" w:themeColor="text1"/>
                    </w:rPr>
                  </w:pPr>
                  <w:r>
                    <w:rPr>
                      <w:color w:val="000000" w:themeColor="text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76" w:type="dxa"/>
                  <w:vAlign w:val="center"/>
                </w:tcPr>
                <w:p>
                  <w:pPr>
                    <w:pStyle w:val="64"/>
                    <w:spacing w:line="240" w:lineRule="auto"/>
                    <w:rPr>
                      <w:color w:val="000000" w:themeColor="text1"/>
                    </w:rPr>
                  </w:pPr>
                  <w:r>
                    <w:rPr>
                      <w:color w:val="000000" w:themeColor="text1"/>
                    </w:rPr>
                    <w:t>地下水</w:t>
                  </w:r>
                </w:p>
              </w:tc>
              <w:tc>
                <w:tcPr>
                  <w:tcW w:w="1093" w:type="dxa"/>
                  <w:vAlign w:val="center"/>
                </w:tcPr>
                <w:p>
                  <w:pPr>
                    <w:pStyle w:val="64"/>
                    <w:spacing w:line="240" w:lineRule="auto"/>
                    <w:rPr>
                      <w:color w:val="000000" w:themeColor="text1"/>
                    </w:rPr>
                  </w:pPr>
                  <w:bookmarkStart w:id="33" w:name="_Hlk136597788"/>
                  <w:r>
                    <w:rPr>
                      <w:color w:val="000000" w:themeColor="text1"/>
                    </w:rPr>
                    <w:t>厂区下游50m范围内设置1个地下水跟踪监测井</w:t>
                  </w:r>
                  <w:bookmarkEnd w:id="33"/>
                </w:p>
              </w:tc>
              <w:tc>
                <w:tcPr>
                  <w:tcW w:w="4394" w:type="dxa"/>
                  <w:vAlign w:val="center"/>
                </w:tcPr>
                <w:p>
                  <w:pPr>
                    <w:pStyle w:val="48"/>
                    <w:spacing w:line="360" w:lineRule="exact"/>
                    <w:ind w:firstLine="210" w:firstLineChars="100"/>
                    <w:rPr>
                      <w:color w:val="000000" w:themeColor="text1"/>
                    </w:rPr>
                  </w:pPr>
                  <w:r>
                    <w:rPr>
                      <w:color w:val="000000" w:themeColor="text1"/>
                      <w:szCs w:val="24"/>
                    </w:rPr>
                    <w:t>pH、总硬度、溶解性总固体、硫酸盐、氯化物、铁、锰、铜、锌、铝、挥发性酚类、石油类、阴离子表面活性剂、耗氧量、氨氮、硫化物、钠、总大肠菌群、菌落总数、亚硝酸盐、硝酸盐、氰化物、氟化物、碘化物、汞、砷、硒、镉、六价铬、铅、三氯甲烷、四氯化碳、苯、甲苯、镍、二氯甲烷、1，2-氯乙烷、1，1，1-氯乙烷、1，1，2-三氯乙烷、三氯乙烯</w:t>
                  </w:r>
                </w:p>
              </w:tc>
              <w:tc>
                <w:tcPr>
                  <w:tcW w:w="851" w:type="dxa"/>
                  <w:vAlign w:val="center"/>
                </w:tcPr>
                <w:p>
                  <w:pPr>
                    <w:pStyle w:val="64"/>
                    <w:spacing w:line="240" w:lineRule="auto"/>
                    <w:rPr>
                      <w:color w:val="000000" w:themeColor="text1"/>
                    </w:rPr>
                  </w:pPr>
                  <w:r>
                    <w:rPr>
                      <w:color w:val="000000" w:themeColor="text1"/>
                    </w:rPr>
                    <w:t>1次/年</w:t>
                  </w:r>
                </w:p>
              </w:tc>
              <w:tc>
                <w:tcPr>
                  <w:tcW w:w="1491" w:type="dxa"/>
                  <w:vAlign w:val="center"/>
                </w:tcPr>
                <w:p>
                  <w:pPr>
                    <w:pStyle w:val="64"/>
                    <w:spacing w:line="240" w:lineRule="auto"/>
                    <w:rPr>
                      <w:color w:val="000000" w:themeColor="text1"/>
                    </w:rPr>
                  </w:pPr>
                  <w:r>
                    <w:rPr>
                      <w:color w:val="000000" w:themeColor="text1"/>
                    </w:rPr>
                    <w:t>《地下水质量标准》（GB/T</w:t>
                  </w:r>
                  <w:r>
                    <w:rPr>
                      <w:rFonts w:hint="eastAsia"/>
                      <w:color w:val="000000" w:themeColor="text1"/>
                      <w:lang w:eastAsia="zh-CN"/>
                    </w:rPr>
                    <w:t>*****</w:t>
                  </w:r>
                  <w:r>
                    <w:rPr>
                      <w:color w:val="000000" w:themeColor="text1"/>
                    </w:rPr>
                    <w:t>-2017）中</w:t>
                  </w:r>
                  <w:r>
                    <w:rPr>
                      <w:rFonts w:ascii="宋体"/>
                      <w:color w:val="000000" w:themeColor="text1"/>
                    </w:rPr>
                    <w:t>Ⅲ</w:t>
                  </w:r>
                  <w:r>
                    <w:rPr>
                      <w:color w:val="000000" w:themeColor="text1"/>
                    </w:rPr>
                    <w:t>类标准值</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东川产业园区四方地片区昆明旭鑫环保科技有限公司厂区，该项目利用昆明旭鑫环保科技有限公司原料暂存库项目中1000m²区域进行建设，根据调查，项目所在区域受人类活动的影响，已基本无原生植被及大型野生哺乳动物分布，常见动物有老鼠，麻雀等，生物多样性较简单。项目及周边200m范围内无国家和省级珍稀、濒危生物物种、无珍稀植物资源和需保护的古树。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该项目涉及的18大类65小类危险废物，其中废矿物油类危险废物的临界量为2500t，而其他危险废物属于《建设项目环境风险评价技术导则》（HJ169-2018）附录B中“健康危险急性毒性物质（类别 2，类别3）”，临界量是50t，废矿物油类危险废物的堆存量为98.33t，其他危险废物堆存大堆存量为</w:t>
            </w:r>
            <w:r>
              <w:rPr>
                <w:rFonts w:hint="eastAsia" w:ascii="Times New Roman" w:hAnsi="Times New Roman" w:cs="Times New Roman"/>
                <w:color w:val="000000" w:themeColor="text1"/>
                <w:sz w:val="24"/>
                <w:szCs w:val="24"/>
              </w:rPr>
              <w:t>276.66</w:t>
            </w:r>
            <w:r>
              <w:rPr>
                <w:rFonts w:ascii="Times New Roman" w:hAnsi="Times New Roman" w:cs="Times New Roman"/>
                <w:color w:val="000000" w:themeColor="text1"/>
                <w:sz w:val="24"/>
                <w:szCs w:val="24"/>
              </w:rPr>
              <w:t>t，已超过临界量，因此设置环境风险专项评价。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风险专项评价，其结论为：该项目涉及到的危险物质主要风险为该项目危险物质在存储及运输过程中泄露对地下水和土壤造成影响。在采取严格的防护措施后，事故发生概率较小，环境风险可接受。项目环境风险影响和防治措施详见</w:t>
            </w:r>
            <w:bookmarkStart w:id="34" w:name="_Toc128648286"/>
            <w:r>
              <w:rPr>
                <w:rFonts w:ascii="Times New Roman" w:hAnsi="Times New Roman" w:cs="Times New Roman"/>
                <w:color w:val="000000" w:themeColor="text1"/>
                <w:sz w:val="24"/>
                <w:szCs w:val="24"/>
              </w:rPr>
              <w:t>环境风险专项评价</w:t>
            </w:r>
            <w:bookmarkEnd w:id="34"/>
            <w:r>
              <w:rPr>
                <w:rFonts w:ascii="Times New Roman" w:hAnsi="Times New Roman" w:cs="Times New Roman"/>
                <w:color w:val="000000" w:themeColor="text1"/>
                <w:sz w:val="24"/>
                <w:szCs w:val="24"/>
              </w:rPr>
              <w:t>章节。</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4.3“三本账”及“以新带老”措施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4.3.1 “三本账”核算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项目“三本账”核算情况如下表所示。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表4.3.1-1 “三本账”核算一览表</w:t>
            </w:r>
          </w:p>
          <w:tbl>
            <w:tblPr>
              <w:tblStyle w:val="18"/>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467"/>
              <w:gridCol w:w="585"/>
              <w:gridCol w:w="1312"/>
              <w:gridCol w:w="1314"/>
              <w:gridCol w:w="1167"/>
              <w:gridCol w:w="1460"/>
              <w:gridCol w:w="1021"/>
              <w:gridCol w:w="128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611" w:type="pct"/>
                  <w:gridSpan w:val="2"/>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w:t>
                  </w:r>
                </w:p>
              </w:tc>
              <w:tc>
                <w:tcPr>
                  <w:tcW w:w="762" w:type="pct"/>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主要污染物</w:t>
                  </w:r>
                </w:p>
              </w:tc>
              <w:tc>
                <w:tcPr>
                  <w:tcW w:w="763" w:type="pct"/>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现有工程排放量（t/a）</w:t>
                  </w:r>
                </w:p>
              </w:tc>
              <w:tc>
                <w:tcPr>
                  <w:tcW w:w="678" w:type="pct"/>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该项目排放量（t/a）</w:t>
                  </w:r>
                </w:p>
              </w:tc>
              <w:tc>
                <w:tcPr>
                  <w:tcW w:w="848"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“以新带老”削减量（t/a）</w:t>
                  </w:r>
                </w:p>
              </w:tc>
              <w:tc>
                <w:tcPr>
                  <w:tcW w:w="593" w:type="pct"/>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排放增减量（t/a）</w:t>
                  </w:r>
                </w:p>
              </w:tc>
              <w:tc>
                <w:tcPr>
                  <w:tcW w:w="745"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该项目建成后全厂排放量（t/a）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废气</w:t>
                  </w:r>
                </w:p>
              </w:tc>
              <w:tc>
                <w:tcPr>
                  <w:tcW w:w="340" w:type="pct"/>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有组织废气</w:t>
                  </w: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非甲烷总烃</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0.38</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0.38</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0.38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HCl</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0.01</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0.01</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氨</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0.08</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0.08</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硫化氢</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0.0006</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0.0006</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0.0006</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无组织废气</w:t>
                  </w: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少量</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少量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硫酸雾</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少量</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少量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非甲烷总烃</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HCl</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0.056</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0.056</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0.056</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氨</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271"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340" w:type="pct"/>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硫化氢</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0.0004</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0.0004</w:t>
                  </w:r>
                </w:p>
              </w:tc>
              <w:tc>
                <w:tcPr>
                  <w:tcW w:w="745" w:type="pct"/>
                  <w:tcBorders>
                    <w:left w:val="single" w:color="auto" w:sz="4" w:space="0"/>
                  </w:tcBorders>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0.0004</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废水</w:t>
                  </w: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生产废水</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初期雨水</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51.2m³/次</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51.2m³/次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生活污水</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固体废物</w:t>
                  </w: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废包装物</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生活垃圾</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渗滤液</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废劳保用品</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废活性炭</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611" w:type="pct"/>
                  <w:gridSpan w:val="2"/>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762" w:type="pct"/>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碱喷淋废液</w:t>
                  </w:r>
                </w:p>
              </w:tc>
              <w:tc>
                <w:tcPr>
                  <w:tcW w:w="763" w:type="pct"/>
                  <w:tcBorders>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678" w:type="pct"/>
                  <w:tcBorders>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848" w:type="pc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593" w:type="pct"/>
                  <w:tcBorders>
                    <w:left w:val="single" w:color="auto" w:sz="4" w:space="0"/>
                  </w:tcBorders>
                  <w:shd w:val="clear" w:color="auto" w:fill="auto"/>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c>
                <w:tcPr>
                  <w:tcW w:w="745" w:type="pct"/>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4.3.2 “以新带老”措施</w:t>
            </w:r>
          </w:p>
          <w:p>
            <w:pPr>
              <w:pStyle w:val="37"/>
              <w:ind w:firstLine="480"/>
              <w:rPr>
                <w:rFonts w:eastAsiaTheme="minorEastAsia"/>
                <w:color w:val="000000" w:themeColor="text1"/>
                <w:szCs w:val="24"/>
              </w:rPr>
            </w:pPr>
            <w:r>
              <w:rPr>
                <w:rFonts w:eastAsiaTheme="minorEastAsia"/>
                <w:color w:val="000000" w:themeColor="text1"/>
                <w:szCs w:val="24"/>
              </w:rPr>
              <w:t>根据项目的特点，现有项目各环保手续齐全，污染物达标排放。且现有工程运营过程严格按照环保要求进行管理，调查期间无与该项目有关的原有环境污染问题。因此本环评不再提出“以新带老”措施。</w:t>
            </w:r>
          </w:p>
          <w:p>
            <w:pPr>
              <w:spacing w:line="360" w:lineRule="auto"/>
              <w:ind w:firstLine="482" w:firstLineChars="200"/>
              <w:rPr>
                <w:rFonts w:ascii="Times New Roman" w:hAnsi="Times New Roman" w:cs="Times New Roman"/>
                <w:b/>
                <w:color w:val="000000" w:themeColor="text1"/>
                <w:sz w:val="24"/>
                <w:szCs w:val="24"/>
              </w:rPr>
            </w:pPr>
            <w:bookmarkStart w:id="35" w:name="_Toc72228649"/>
            <w:r>
              <w:rPr>
                <w:rFonts w:ascii="Times New Roman" w:hAnsi="Times New Roman" w:cs="Times New Roman"/>
                <w:b/>
                <w:color w:val="000000" w:themeColor="text1"/>
                <w:sz w:val="24"/>
                <w:szCs w:val="24"/>
              </w:rPr>
              <w:t>4.4 环保投资估算</w:t>
            </w:r>
            <w:bookmarkEnd w:id="35"/>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项目总投资152.3万元，其中基建环保投资为31.4万元，占总投资的20.617%。项目拟采取措施的具体内容、责任主体、实施时段及环境保护投入资金如下表所示。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项目环保投资一览表单位：万元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19"/>
              <w:gridCol w:w="790"/>
              <w:gridCol w:w="1335"/>
              <w:gridCol w:w="3690"/>
              <w:gridCol w:w="70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 w:type="pct"/>
                  <w:vMerge w:val="restart"/>
                  <w:vAlign w:val="center"/>
                </w:tcPr>
                <w:p>
                  <w:pPr>
                    <w:pStyle w:val="29"/>
                    <w:spacing w:line="360" w:lineRule="exact"/>
                    <w:rPr>
                      <w:color w:val="000000" w:themeColor="text1"/>
                      <w:szCs w:val="21"/>
                    </w:rPr>
                  </w:pPr>
                  <w:r>
                    <w:rPr>
                      <w:color w:val="000000" w:themeColor="text1"/>
                      <w:szCs w:val="21"/>
                    </w:rPr>
                    <w:t>时期</w:t>
                  </w:r>
                </w:p>
              </w:tc>
              <w:tc>
                <w:tcPr>
                  <w:tcW w:w="869" w:type="pct"/>
                  <w:gridSpan w:val="3"/>
                  <w:vMerge w:val="restart"/>
                  <w:vAlign w:val="center"/>
                </w:tcPr>
                <w:p>
                  <w:pPr>
                    <w:pStyle w:val="29"/>
                    <w:spacing w:line="360" w:lineRule="exact"/>
                    <w:rPr>
                      <w:color w:val="000000" w:themeColor="text1"/>
                      <w:szCs w:val="21"/>
                    </w:rPr>
                  </w:pPr>
                  <w:r>
                    <w:rPr>
                      <w:color w:val="000000" w:themeColor="text1"/>
                      <w:szCs w:val="21"/>
                    </w:rPr>
                    <w:t>类型</w:t>
                  </w:r>
                </w:p>
              </w:tc>
              <w:tc>
                <w:tcPr>
                  <w:tcW w:w="2920" w:type="pct"/>
                  <w:gridSpan w:val="2"/>
                  <w:vAlign w:val="center"/>
                </w:tcPr>
                <w:p>
                  <w:pPr>
                    <w:pStyle w:val="29"/>
                    <w:spacing w:line="360" w:lineRule="exact"/>
                    <w:rPr>
                      <w:color w:val="000000" w:themeColor="text1"/>
                      <w:szCs w:val="21"/>
                    </w:rPr>
                  </w:pPr>
                  <w:r>
                    <w:rPr>
                      <w:color w:val="000000" w:themeColor="text1"/>
                      <w:szCs w:val="21"/>
                    </w:rPr>
                    <w:t>环保措施</w:t>
                  </w:r>
                </w:p>
              </w:tc>
              <w:tc>
                <w:tcPr>
                  <w:tcW w:w="865" w:type="pct"/>
                  <w:gridSpan w:val="2"/>
                  <w:vAlign w:val="center"/>
                </w:tcPr>
                <w:p>
                  <w:pPr>
                    <w:pStyle w:val="29"/>
                    <w:spacing w:line="360" w:lineRule="exact"/>
                    <w:rPr>
                      <w:color w:val="000000" w:themeColor="text1"/>
                      <w:szCs w:val="21"/>
                    </w:rPr>
                  </w:pPr>
                  <w:r>
                    <w:rPr>
                      <w:color w:val="000000" w:themeColor="text1"/>
                      <w:szCs w:val="21"/>
                    </w:rPr>
                    <w:t>建设期资金投入（万元）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869" w:type="pct"/>
                  <w:gridSpan w:val="3"/>
                  <w:vMerge w:val="continue"/>
                  <w:vAlign w:val="center"/>
                </w:tcPr>
                <w:p>
                  <w:pPr>
                    <w:pStyle w:val="29"/>
                    <w:spacing w:line="360" w:lineRule="exact"/>
                    <w:rPr>
                      <w:color w:val="000000" w:themeColor="text1"/>
                      <w:szCs w:val="21"/>
                    </w:rPr>
                  </w:pPr>
                </w:p>
              </w:tc>
              <w:tc>
                <w:tcPr>
                  <w:tcW w:w="776" w:type="pct"/>
                  <w:vAlign w:val="center"/>
                </w:tcPr>
                <w:p>
                  <w:pPr>
                    <w:pStyle w:val="29"/>
                    <w:spacing w:line="360" w:lineRule="exact"/>
                    <w:rPr>
                      <w:color w:val="000000" w:themeColor="text1"/>
                      <w:szCs w:val="21"/>
                    </w:rPr>
                  </w:pPr>
                  <w:r>
                    <w:rPr>
                      <w:color w:val="000000" w:themeColor="text1"/>
                      <w:szCs w:val="21"/>
                    </w:rPr>
                    <w:t>环保项目</w:t>
                  </w:r>
                </w:p>
              </w:tc>
              <w:tc>
                <w:tcPr>
                  <w:tcW w:w="2144" w:type="pct"/>
                  <w:vAlign w:val="center"/>
                </w:tcPr>
                <w:p>
                  <w:pPr>
                    <w:pStyle w:val="29"/>
                    <w:spacing w:line="360" w:lineRule="exact"/>
                    <w:rPr>
                      <w:color w:val="000000" w:themeColor="text1"/>
                      <w:szCs w:val="21"/>
                    </w:rPr>
                  </w:pPr>
                  <w:r>
                    <w:rPr>
                      <w:color w:val="000000" w:themeColor="text1"/>
                      <w:szCs w:val="21"/>
                    </w:rPr>
                    <w:t>数量</w:t>
                  </w:r>
                </w:p>
              </w:tc>
              <w:tc>
                <w:tcPr>
                  <w:tcW w:w="411" w:type="pct"/>
                  <w:vAlign w:val="center"/>
                </w:tcPr>
                <w:p>
                  <w:pPr>
                    <w:pStyle w:val="29"/>
                    <w:spacing w:line="360" w:lineRule="exact"/>
                    <w:rPr>
                      <w:color w:val="000000" w:themeColor="text1"/>
                      <w:szCs w:val="21"/>
                    </w:rPr>
                  </w:pPr>
                  <w:r>
                    <w:rPr>
                      <w:color w:val="000000" w:themeColor="text1"/>
                      <w:szCs w:val="21"/>
                    </w:rPr>
                    <w:t>建设费用</w:t>
                  </w:r>
                </w:p>
              </w:tc>
              <w:tc>
                <w:tcPr>
                  <w:tcW w:w="454" w:type="pct"/>
                  <w:vAlign w:val="center"/>
                </w:tcPr>
                <w:p>
                  <w:pPr>
                    <w:pStyle w:val="29"/>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restart"/>
                  <w:vAlign w:val="center"/>
                </w:tcPr>
                <w:p>
                  <w:pPr>
                    <w:pStyle w:val="29"/>
                    <w:spacing w:line="360" w:lineRule="exact"/>
                    <w:rPr>
                      <w:color w:val="000000" w:themeColor="text1"/>
                      <w:szCs w:val="21"/>
                    </w:rPr>
                  </w:pPr>
                  <w:r>
                    <w:rPr>
                      <w:color w:val="000000" w:themeColor="text1"/>
                      <w:szCs w:val="21"/>
                    </w:rPr>
                    <w:t>运营期污染源</w:t>
                  </w:r>
                </w:p>
              </w:tc>
              <w:tc>
                <w:tcPr>
                  <w:tcW w:w="410" w:type="pct"/>
                  <w:gridSpan w:val="2"/>
                  <w:vMerge w:val="restart"/>
                  <w:vAlign w:val="center"/>
                </w:tcPr>
                <w:p>
                  <w:pPr>
                    <w:pStyle w:val="29"/>
                    <w:spacing w:line="360" w:lineRule="exact"/>
                    <w:rPr>
                      <w:color w:val="000000" w:themeColor="text1"/>
                      <w:szCs w:val="21"/>
                    </w:rPr>
                  </w:pPr>
                  <w:r>
                    <w:rPr>
                      <w:color w:val="000000" w:themeColor="text1"/>
                      <w:szCs w:val="21"/>
                    </w:rPr>
                    <w:t>废气</w:t>
                  </w:r>
                </w:p>
              </w:tc>
              <w:tc>
                <w:tcPr>
                  <w:tcW w:w="459" w:type="pct"/>
                  <w:vAlign w:val="center"/>
                </w:tcPr>
                <w:p>
                  <w:pPr>
                    <w:pStyle w:val="29"/>
                    <w:spacing w:line="360" w:lineRule="exact"/>
                    <w:rPr>
                      <w:color w:val="000000" w:themeColor="text1"/>
                      <w:szCs w:val="21"/>
                    </w:rPr>
                  </w:pPr>
                  <w:r>
                    <w:rPr>
                      <w:color w:val="000000" w:themeColor="text1"/>
                      <w:szCs w:val="21"/>
                    </w:rPr>
                    <w:t>--</w:t>
                  </w:r>
                </w:p>
              </w:tc>
              <w:tc>
                <w:tcPr>
                  <w:tcW w:w="776" w:type="pct"/>
                  <w:vAlign w:val="center"/>
                </w:tcPr>
                <w:p>
                  <w:pPr>
                    <w:pStyle w:val="29"/>
                    <w:spacing w:line="360" w:lineRule="exact"/>
                    <w:rPr>
                      <w:color w:val="000000" w:themeColor="text1"/>
                      <w:szCs w:val="21"/>
                    </w:rPr>
                  </w:pPr>
                  <w:r>
                    <w:rPr>
                      <w:color w:val="000000" w:themeColor="text1"/>
                      <w:szCs w:val="21"/>
                    </w:rPr>
                    <w:t>原料暂存库全封闭</w:t>
                  </w:r>
                </w:p>
              </w:tc>
              <w:tc>
                <w:tcPr>
                  <w:tcW w:w="2144" w:type="pct"/>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现有原料暂存库为钢结构彩钢瓦型，并已进行了全封闭</w:t>
                  </w:r>
                </w:p>
              </w:tc>
              <w:tc>
                <w:tcPr>
                  <w:tcW w:w="411" w:type="pct"/>
                  <w:vAlign w:val="center"/>
                </w:tcPr>
                <w:p>
                  <w:pPr>
                    <w:pStyle w:val="29"/>
                    <w:spacing w:line="360" w:lineRule="exact"/>
                    <w:rPr>
                      <w:color w:val="000000" w:themeColor="text1"/>
                      <w:szCs w:val="21"/>
                    </w:rPr>
                  </w:pPr>
                  <w:r>
                    <w:rPr>
                      <w:color w:val="000000" w:themeColor="text1"/>
                      <w:szCs w:val="21"/>
                    </w:rPr>
                    <w:t>“52.6”</w:t>
                  </w:r>
                </w:p>
              </w:tc>
              <w:tc>
                <w:tcPr>
                  <w:tcW w:w="454" w:type="pct"/>
                  <w:vMerge w:val="restart"/>
                  <w:vAlign w:val="center"/>
                </w:tcPr>
                <w:p>
                  <w:pPr>
                    <w:pStyle w:val="29"/>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410" w:type="pct"/>
                  <w:gridSpan w:val="2"/>
                  <w:vMerge w:val="continue"/>
                  <w:vAlign w:val="center"/>
                </w:tcPr>
                <w:p>
                  <w:pPr>
                    <w:pStyle w:val="29"/>
                    <w:spacing w:line="360" w:lineRule="exact"/>
                    <w:rPr>
                      <w:color w:val="000000" w:themeColor="text1"/>
                      <w:szCs w:val="21"/>
                    </w:rPr>
                  </w:pPr>
                </w:p>
              </w:tc>
              <w:tc>
                <w:tcPr>
                  <w:tcW w:w="459" w:type="pct"/>
                  <w:vMerge w:val="restart"/>
                  <w:vAlign w:val="center"/>
                </w:tcPr>
                <w:p>
                  <w:pPr>
                    <w:pStyle w:val="29"/>
                    <w:spacing w:line="360" w:lineRule="exact"/>
                    <w:jc w:val="both"/>
                    <w:rPr>
                      <w:color w:val="000000" w:themeColor="text1"/>
                      <w:szCs w:val="21"/>
                    </w:rPr>
                  </w:pPr>
                  <w:r>
                    <w:rPr>
                      <w:color w:val="000000" w:themeColor="text1"/>
                      <w:szCs w:val="21"/>
                    </w:rPr>
                    <w:t>非甲烷总烃、酸性HCl、氨、硫化氢和臭气浓度</w:t>
                  </w:r>
                </w:p>
              </w:tc>
              <w:tc>
                <w:tcPr>
                  <w:tcW w:w="776" w:type="pct"/>
                  <w:vAlign w:val="center"/>
                </w:tcPr>
                <w:p>
                  <w:pPr>
                    <w:pStyle w:val="29"/>
                    <w:spacing w:line="360" w:lineRule="exact"/>
                    <w:rPr>
                      <w:color w:val="000000" w:themeColor="text1"/>
                      <w:szCs w:val="21"/>
                    </w:rPr>
                  </w:pPr>
                  <w:r>
                    <w:rPr>
                      <w:color w:val="000000" w:themeColor="text1"/>
                      <w:szCs w:val="21"/>
                    </w:rPr>
                    <w:t>负压收集系统</w:t>
                  </w:r>
                </w:p>
              </w:tc>
              <w:tc>
                <w:tcPr>
                  <w:tcW w:w="2144" w:type="pct"/>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1套，负压收集系统由集气罩和输送管道组成，每个贮存单元内设置1个集气罩，合计风量为16000m³/h，集气效率约为80%。</w:t>
                  </w:r>
                </w:p>
              </w:tc>
              <w:tc>
                <w:tcPr>
                  <w:tcW w:w="411" w:type="pct"/>
                  <w:vAlign w:val="center"/>
                </w:tcPr>
                <w:p>
                  <w:pPr>
                    <w:pStyle w:val="29"/>
                    <w:spacing w:line="360" w:lineRule="exact"/>
                    <w:rPr>
                      <w:color w:val="000000" w:themeColor="text1"/>
                      <w:szCs w:val="21"/>
                    </w:rPr>
                  </w:pPr>
                  <w:r>
                    <w:rPr>
                      <w:color w:val="000000" w:themeColor="text1"/>
                      <w:szCs w:val="21"/>
                    </w:rPr>
                    <w:t>1</w:t>
                  </w:r>
                  <w:r>
                    <w:rPr>
                      <w:rFonts w:hint="eastAsia"/>
                      <w:color w:val="000000" w:themeColor="text1"/>
                      <w:szCs w:val="21"/>
                    </w:rPr>
                    <w:t>4</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410" w:type="pct"/>
                  <w:gridSpan w:val="2"/>
                  <w:vMerge w:val="continue"/>
                  <w:vAlign w:val="center"/>
                </w:tcPr>
                <w:p>
                  <w:pPr>
                    <w:pStyle w:val="29"/>
                    <w:spacing w:line="360" w:lineRule="exact"/>
                    <w:rPr>
                      <w:color w:val="000000" w:themeColor="text1"/>
                      <w:szCs w:val="21"/>
                    </w:rPr>
                  </w:pPr>
                </w:p>
              </w:tc>
              <w:tc>
                <w:tcPr>
                  <w:tcW w:w="459" w:type="pct"/>
                  <w:vMerge w:val="continue"/>
                  <w:vAlign w:val="center"/>
                </w:tcPr>
                <w:p>
                  <w:pPr>
                    <w:pStyle w:val="29"/>
                    <w:spacing w:line="360" w:lineRule="exact"/>
                    <w:rPr>
                      <w:color w:val="000000" w:themeColor="text1"/>
                      <w:szCs w:val="21"/>
                    </w:rPr>
                  </w:pPr>
                </w:p>
              </w:tc>
              <w:tc>
                <w:tcPr>
                  <w:tcW w:w="776" w:type="pct"/>
                  <w:vAlign w:val="center"/>
                </w:tcPr>
                <w:p>
                  <w:pPr>
                    <w:pStyle w:val="29"/>
                    <w:spacing w:line="360" w:lineRule="exact"/>
                    <w:rPr>
                      <w:color w:val="000000" w:themeColor="text1"/>
                      <w:szCs w:val="21"/>
                    </w:rPr>
                  </w:pPr>
                  <w:r>
                    <w:rPr>
                      <w:color w:val="000000" w:themeColor="text1"/>
                      <w:szCs w:val="21"/>
                    </w:rPr>
                    <w:t>废气处理装置</w:t>
                  </w:r>
                </w:p>
              </w:tc>
              <w:tc>
                <w:tcPr>
                  <w:tcW w:w="2144" w:type="pct"/>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1套，由活性炭吸附+碱喷淋工艺组成，有机废气（非甲烷总烃）的处理效率约为30%，酸性废气（HCl）处理效率约为95%，恶臭废气（氨、硫化氢和臭气浓度）处理效率约为60%。</w:t>
                  </w:r>
                </w:p>
              </w:tc>
              <w:tc>
                <w:tcPr>
                  <w:tcW w:w="411" w:type="pct"/>
                  <w:vAlign w:val="center"/>
                </w:tcPr>
                <w:p>
                  <w:pPr>
                    <w:pStyle w:val="29"/>
                    <w:spacing w:line="360" w:lineRule="exact"/>
                    <w:rPr>
                      <w:color w:val="000000" w:themeColor="text1"/>
                      <w:szCs w:val="21"/>
                    </w:rPr>
                  </w:pPr>
                  <w:r>
                    <w:rPr>
                      <w:color w:val="000000" w:themeColor="text1"/>
                      <w:szCs w:val="21"/>
                    </w:rPr>
                    <w:t>6.9</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410" w:type="pct"/>
                  <w:gridSpan w:val="2"/>
                  <w:vMerge w:val="continue"/>
                  <w:vAlign w:val="center"/>
                </w:tcPr>
                <w:p>
                  <w:pPr>
                    <w:pStyle w:val="29"/>
                    <w:spacing w:line="360" w:lineRule="exact"/>
                    <w:rPr>
                      <w:color w:val="000000" w:themeColor="text1"/>
                      <w:szCs w:val="21"/>
                    </w:rPr>
                  </w:pPr>
                </w:p>
              </w:tc>
              <w:tc>
                <w:tcPr>
                  <w:tcW w:w="459" w:type="pct"/>
                  <w:vMerge w:val="continue"/>
                  <w:vAlign w:val="center"/>
                </w:tcPr>
                <w:p>
                  <w:pPr>
                    <w:pStyle w:val="29"/>
                    <w:spacing w:line="360" w:lineRule="exact"/>
                    <w:rPr>
                      <w:color w:val="000000" w:themeColor="text1"/>
                      <w:szCs w:val="21"/>
                    </w:rPr>
                  </w:pPr>
                </w:p>
              </w:tc>
              <w:tc>
                <w:tcPr>
                  <w:tcW w:w="776" w:type="pct"/>
                  <w:vAlign w:val="center"/>
                </w:tcPr>
                <w:p>
                  <w:pPr>
                    <w:pStyle w:val="29"/>
                    <w:spacing w:line="360" w:lineRule="exact"/>
                    <w:rPr>
                      <w:color w:val="000000" w:themeColor="text1"/>
                      <w:szCs w:val="21"/>
                    </w:rPr>
                  </w:pPr>
                  <w:r>
                    <w:rPr>
                      <w:color w:val="000000" w:themeColor="text1"/>
                      <w:szCs w:val="21"/>
                    </w:rPr>
                    <w:t>排气筒</w:t>
                  </w:r>
                </w:p>
              </w:tc>
              <w:tc>
                <w:tcPr>
                  <w:tcW w:w="2144" w:type="pct"/>
                  <w:vAlign w:val="center"/>
                </w:tcPr>
                <w:p>
                  <w:pPr>
                    <w:pStyle w:val="29"/>
                    <w:spacing w:line="360" w:lineRule="exact"/>
                    <w:ind w:firstLine="210" w:firstLineChars="100"/>
                    <w:jc w:val="both"/>
                    <w:rPr>
                      <w:color w:val="000000" w:themeColor="text1"/>
                      <w:szCs w:val="24"/>
                      <w:lang w:val="en-US"/>
                    </w:rPr>
                  </w:pPr>
                  <w:r>
                    <w:rPr>
                      <w:color w:val="000000" w:themeColor="text1"/>
                      <w:szCs w:val="24"/>
                      <w:lang w:val="en-US"/>
                    </w:rPr>
                    <w:t>1根Φ0.68、高15m的排气筒（DA001）。</w:t>
                  </w:r>
                </w:p>
              </w:tc>
              <w:tc>
                <w:tcPr>
                  <w:tcW w:w="411" w:type="pct"/>
                  <w:vAlign w:val="center"/>
                </w:tcPr>
                <w:p>
                  <w:pPr>
                    <w:pStyle w:val="29"/>
                    <w:spacing w:line="360" w:lineRule="exact"/>
                    <w:rPr>
                      <w:color w:val="000000" w:themeColor="text1"/>
                      <w:szCs w:val="21"/>
                    </w:rPr>
                  </w:pPr>
                  <w:r>
                    <w:rPr>
                      <w:color w:val="000000" w:themeColor="text1"/>
                      <w:szCs w:val="21"/>
                    </w:rPr>
                    <w:t>0.4</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410" w:type="pct"/>
                  <w:gridSpan w:val="2"/>
                  <w:vAlign w:val="center"/>
                </w:tcPr>
                <w:p>
                  <w:pPr>
                    <w:pStyle w:val="29"/>
                    <w:spacing w:line="360" w:lineRule="exact"/>
                    <w:rPr>
                      <w:color w:val="000000" w:themeColor="text1"/>
                      <w:szCs w:val="21"/>
                    </w:rPr>
                  </w:pPr>
                  <w:r>
                    <w:rPr>
                      <w:color w:val="000000" w:themeColor="text1"/>
                      <w:szCs w:val="21"/>
                    </w:rPr>
                    <w:t>废水</w:t>
                  </w:r>
                </w:p>
              </w:tc>
              <w:tc>
                <w:tcPr>
                  <w:tcW w:w="1235" w:type="pct"/>
                  <w:gridSpan w:val="2"/>
                  <w:vAlign w:val="center"/>
                </w:tcPr>
                <w:p>
                  <w:pPr>
                    <w:pStyle w:val="29"/>
                    <w:spacing w:line="360" w:lineRule="exact"/>
                    <w:rPr>
                      <w:color w:val="000000" w:themeColor="text1"/>
                      <w:szCs w:val="21"/>
                    </w:rPr>
                  </w:pPr>
                  <w:r>
                    <w:rPr>
                      <w:color w:val="000000" w:themeColor="text1"/>
                      <w:szCs w:val="21"/>
                    </w:rPr>
                    <w:t>雨污分流</w:t>
                  </w:r>
                </w:p>
              </w:tc>
              <w:tc>
                <w:tcPr>
                  <w:tcW w:w="2144" w:type="pct"/>
                  <w:vAlign w:val="center"/>
                </w:tcPr>
                <w:p>
                  <w:pPr>
                    <w:pStyle w:val="29"/>
                    <w:spacing w:line="360" w:lineRule="exact"/>
                    <w:ind w:firstLine="210" w:firstLineChars="100"/>
                    <w:jc w:val="both"/>
                    <w:rPr>
                      <w:color w:val="000000" w:themeColor="text1"/>
                      <w:szCs w:val="21"/>
                    </w:rPr>
                  </w:pPr>
                  <w:r>
                    <w:rPr>
                      <w:color w:val="000000" w:themeColor="text1"/>
                      <w:szCs w:val="24"/>
                      <w:lang w:val="en-US"/>
                    </w:rPr>
                    <w:t>厂区内已设置雨水沟，和1座容积为680m³初期雨水收集池</w:t>
                  </w:r>
                </w:p>
              </w:tc>
              <w:tc>
                <w:tcPr>
                  <w:tcW w:w="411" w:type="pct"/>
                  <w:vAlign w:val="center"/>
                </w:tcPr>
                <w:p>
                  <w:pPr>
                    <w:pStyle w:val="29"/>
                    <w:spacing w:line="360" w:lineRule="exact"/>
                    <w:rPr>
                      <w:color w:val="000000" w:themeColor="text1"/>
                      <w:szCs w:val="21"/>
                    </w:rPr>
                  </w:pPr>
                  <w:r>
                    <w:rPr>
                      <w:color w:val="000000" w:themeColor="text1"/>
                      <w:szCs w:val="21"/>
                    </w:rPr>
                    <w:t>“26”</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869" w:type="pct"/>
                  <w:gridSpan w:val="3"/>
                  <w:vAlign w:val="center"/>
                </w:tcPr>
                <w:p>
                  <w:pPr>
                    <w:pStyle w:val="29"/>
                    <w:spacing w:line="360" w:lineRule="exact"/>
                    <w:rPr>
                      <w:color w:val="000000" w:themeColor="text1"/>
                      <w:szCs w:val="21"/>
                    </w:rPr>
                  </w:pPr>
                  <w:r>
                    <w:rPr>
                      <w:color w:val="000000" w:themeColor="text1"/>
                      <w:szCs w:val="21"/>
                    </w:rPr>
                    <w:t>地下水防渗</w:t>
                  </w:r>
                </w:p>
              </w:tc>
              <w:tc>
                <w:tcPr>
                  <w:tcW w:w="776" w:type="pct"/>
                  <w:vAlign w:val="center"/>
                </w:tcPr>
                <w:p>
                  <w:pPr>
                    <w:pStyle w:val="29"/>
                    <w:spacing w:line="360" w:lineRule="exact"/>
                    <w:rPr>
                      <w:color w:val="000000" w:themeColor="text1"/>
                      <w:szCs w:val="21"/>
                    </w:rPr>
                  </w:pPr>
                  <w:r>
                    <w:rPr>
                      <w:color w:val="000000" w:themeColor="text1"/>
                      <w:szCs w:val="21"/>
                    </w:rPr>
                    <w:t>重点防渗区</w:t>
                  </w:r>
                </w:p>
              </w:tc>
              <w:tc>
                <w:tcPr>
                  <w:tcW w:w="2144" w:type="pc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①地面防渗：项目</w:t>
                  </w:r>
                  <w:r>
                    <w:rPr>
                      <w:rFonts w:hint="eastAsia" w:eastAsiaTheme="minorEastAsia"/>
                      <w:color w:val="000000" w:themeColor="text1"/>
                      <w:szCs w:val="21"/>
                    </w:rPr>
                    <w:t>贮存</w:t>
                  </w:r>
                  <w:r>
                    <w:rPr>
                      <w:rFonts w:eastAsiaTheme="minorEastAsia"/>
                      <w:color w:val="000000" w:themeColor="text1"/>
                      <w:szCs w:val="21"/>
                    </w:rPr>
                    <w:t>区域均采用复合土工膜防渗后，再浇筑混凝土；满足渗透系数≤10</w:t>
                  </w:r>
                  <w:r>
                    <w:rPr>
                      <w:rFonts w:eastAsiaTheme="minorEastAsia"/>
                      <w:color w:val="000000" w:themeColor="text1"/>
                      <w:szCs w:val="21"/>
                      <w:vertAlign w:val="superscript"/>
                    </w:rPr>
                    <w:t>-10</w:t>
                  </w:r>
                  <w:r>
                    <w:rPr>
                      <w:rFonts w:eastAsiaTheme="minorEastAsia"/>
                      <w:color w:val="000000" w:themeColor="text1"/>
                      <w:szCs w:val="21"/>
                    </w:rPr>
                    <w:t>cm/s的要求。</w:t>
                  </w:r>
                  <w:r>
                    <w:rPr>
                      <w:rFonts w:hint="eastAsia" w:eastAsiaTheme="minorEastAsia"/>
                      <w:color w:val="000000" w:themeColor="text1"/>
                      <w:szCs w:val="21"/>
                    </w:rPr>
                    <w:t>再</w:t>
                  </w:r>
                  <w:r>
                    <w:rPr>
                      <w:rFonts w:hint="eastAsia"/>
                      <w:color w:val="000000" w:themeColor="text1"/>
                      <w:szCs w:val="24"/>
                    </w:rPr>
                    <w:t>对导流渠、</w:t>
                  </w:r>
                  <w:r>
                    <w:rPr>
                      <w:color w:val="000000" w:themeColor="text1"/>
                      <w:szCs w:val="24"/>
                    </w:rPr>
                    <w:t>渗滤液收集池</w:t>
                  </w:r>
                  <w:r>
                    <w:rPr>
                      <w:rFonts w:hint="eastAsia"/>
                      <w:color w:val="000000" w:themeColor="text1"/>
                      <w:szCs w:val="24"/>
                    </w:rPr>
                    <w:t>、事故池、</w:t>
                  </w:r>
                  <w:r>
                    <w:rPr>
                      <w:color w:val="000000" w:themeColor="text1"/>
                      <w:szCs w:val="24"/>
                    </w:rPr>
                    <w:t>含油类及腐蚀性类液态类贮存区铺设土工防渗膜</w:t>
                  </w:r>
                  <w:r>
                    <w:rPr>
                      <w:rFonts w:hint="eastAsia"/>
                      <w:color w:val="000000" w:themeColor="text1"/>
                      <w:szCs w:val="24"/>
                    </w:rPr>
                    <w:t>。</w:t>
                  </w:r>
                </w:p>
                <w:p>
                  <w:pPr>
                    <w:pStyle w:val="29"/>
                    <w:spacing w:line="360" w:lineRule="exact"/>
                    <w:ind w:firstLine="210" w:firstLineChars="100"/>
                    <w:jc w:val="both"/>
                    <w:rPr>
                      <w:color w:val="000000" w:themeColor="text1"/>
                      <w:szCs w:val="21"/>
                    </w:rPr>
                  </w:pPr>
                  <w:r>
                    <w:rPr>
                      <w:color w:val="000000" w:themeColor="text1"/>
                      <w:szCs w:val="21"/>
                    </w:rPr>
                    <w:t>②裙脚防渗：项目危险废物贮存库内裙脚拟采用不低于2mm后的HDPE膜或其他人工防渗材料进行防渗，使其渗透系数≤10</w:t>
                  </w:r>
                  <w:r>
                    <w:rPr>
                      <w:color w:val="000000" w:themeColor="text1"/>
                      <w:szCs w:val="21"/>
                      <w:vertAlign w:val="superscript"/>
                    </w:rPr>
                    <w:t>-10</w:t>
                  </w:r>
                  <w:r>
                    <w:rPr>
                      <w:color w:val="000000" w:themeColor="text1"/>
                      <w:szCs w:val="21"/>
                    </w:rPr>
                    <w:t>cm/s，防渗高度不低于库内原料总堆高的1/5。</w:t>
                  </w:r>
                </w:p>
              </w:tc>
              <w:tc>
                <w:tcPr>
                  <w:tcW w:w="411" w:type="pct"/>
                  <w:vAlign w:val="center"/>
                </w:tcPr>
                <w:p>
                  <w:pPr>
                    <w:pStyle w:val="29"/>
                    <w:spacing w:line="360" w:lineRule="exact"/>
                    <w:rPr>
                      <w:color w:val="000000" w:themeColor="text1"/>
                      <w:szCs w:val="21"/>
                    </w:rPr>
                  </w:pPr>
                  <w:r>
                    <w:rPr>
                      <w:color w:val="000000" w:themeColor="text1"/>
                      <w:szCs w:val="21"/>
                    </w:rPr>
                    <w:t>“46”</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869" w:type="pct"/>
                  <w:gridSpan w:val="3"/>
                  <w:vMerge w:val="restart"/>
                  <w:vAlign w:val="center"/>
                </w:tcPr>
                <w:p>
                  <w:pPr>
                    <w:pStyle w:val="29"/>
                    <w:spacing w:line="360" w:lineRule="exact"/>
                    <w:rPr>
                      <w:color w:val="000000" w:themeColor="text1"/>
                      <w:szCs w:val="21"/>
                    </w:rPr>
                  </w:pPr>
                  <w:r>
                    <w:rPr>
                      <w:color w:val="000000" w:themeColor="text1"/>
                      <w:szCs w:val="21"/>
                    </w:rPr>
                    <w:t>环境风险</w:t>
                  </w:r>
                </w:p>
              </w:tc>
              <w:tc>
                <w:tcPr>
                  <w:tcW w:w="776" w:type="pct"/>
                  <w:vAlign w:val="center"/>
                </w:tcPr>
                <w:p>
                  <w:pPr>
                    <w:pStyle w:val="29"/>
                    <w:spacing w:line="360" w:lineRule="exact"/>
                    <w:rPr>
                      <w:color w:val="000000" w:themeColor="text1"/>
                      <w:szCs w:val="21"/>
                    </w:rPr>
                  </w:pPr>
                  <w:r>
                    <w:rPr>
                      <w:color w:val="000000" w:themeColor="text1"/>
                      <w:szCs w:val="21"/>
                    </w:rPr>
                    <w:t>导流渠</w:t>
                  </w:r>
                </w:p>
              </w:tc>
              <w:tc>
                <w:tcPr>
                  <w:tcW w:w="2144" w:type="pct"/>
                  <w:vAlign w:val="center"/>
                </w:tcPr>
                <w:p>
                  <w:pPr>
                    <w:pStyle w:val="29"/>
                    <w:spacing w:line="360" w:lineRule="exact"/>
                    <w:ind w:firstLine="210" w:firstLineChars="100"/>
                    <w:jc w:val="both"/>
                    <w:rPr>
                      <w:color w:val="000000" w:themeColor="text1"/>
                      <w:szCs w:val="21"/>
                    </w:rPr>
                  </w:pPr>
                  <w:r>
                    <w:rPr>
                      <w:color w:val="000000" w:themeColor="text1"/>
                      <w:szCs w:val="21"/>
                    </w:rPr>
                    <w:t>每个贮存分区均配套设置导流渠</w:t>
                  </w:r>
                  <w:r>
                    <w:rPr>
                      <w:rFonts w:hint="eastAsia"/>
                      <w:color w:val="000000" w:themeColor="text1"/>
                      <w:szCs w:val="21"/>
                    </w:rPr>
                    <w:t>，导流渠深10cm、宽20cm，合计长度约62m。</w:t>
                  </w:r>
                </w:p>
              </w:tc>
              <w:tc>
                <w:tcPr>
                  <w:tcW w:w="411" w:type="pct"/>
                  <w:vAlign w:val="center"/>
                </w:tcPr>
                <w:p>
                  <w:pPr>
                    <w:pStyle w:val="29"/>
                    <w:spacing w:line="360" w:lineRule="exact"/>
                    <w:rPr>
                      <w:color w:val="000000" w:themeColor="text1"/>
                      <w:szCs w:val="21"/>
                    </w:rPr>
                  </w:pPr>
                  <w:r>
                    <w:rPr>
                      <w:rFonts w:hint="eastAsia"/>
                      <w:color w:val="000000" w:themeColor="text1"/>
                      <w:szCs w:val="21"/>
                    </w:rPr>
                    <w:t>2</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869" w:type="pct"/>
                  <w:gridSpan w:val="3"/>
                  <w:vMerge w:val="continue"/>
                  <w:vAlign w:val="center"/>
                </w:tcPr>
                <w:p>
                  <w:pPr>
                    <w:pStyle w:val="29"/>
                    <w:spacing w:line="360" w:lineRule="exact"/>
                    <w:rPr>
                      <w:color w:val="000000" w:themeColor="text1"/>
                      <w:szCs w:val="21"/>
                    </w:rPr>
                  </w:pPr>
                </w:p>
              </w:tc>
              <w:tc>
                <w:tcPr>
                  <w:tcW w:w="776" w:type="pct"/>
                  <w:vAlign w:val="center"/>
                </w:tcPr>
                <w:p>
                  <w:pPr>
                    <w:pStyle w:val="29"/>
                    <w:spacing w:line="360" w:lineRule="exact"/>
                    <w:rPr>
                      <w:color w:val="000000" w:themeColor="text1"/>
                      <w:szCs w:val="21"/>
                    </w:rPr>
                  </w:pPr>
                  <w:r>
                    <w:rPr>
                      <w:color w:val="000000" w:themeColor="text1"/>
                      <w:szCs w:val="21"/>
                    </w:rPr>
                    <w:t>渗滤液收集池</w:t>
                  </w:r>
                </w:p>
              </w:tc>
              <w:tc>
                <w:tcPr>
                  <w:tcW w:w="2144" w:type="pct"/>
                  <w:vAlign w:val="center"/>
                </w:tcPr>
                <w:p>
                  <w:pPr>
                    <w:pStyle w:val="29"/>
                    <w:spacing w:line="360" w:lineRule="exact"/>
                    <w:ind w:firstLine="210" w:firstLineChars="100"/>
                    <w:jc w:val="both"/>
                    <w:rPr>
                      <w:color w:val="000000" w:themeColor="text1"/>
                      <w:szCs w:val="21"/>
                    </w:rPr>
                  </w:pPr>
                  <w:r>
                    <w:rPr>
                      <w:color w:val="000000" w:themeColor="text1"/>
                      <w:szCs w:val="21"/>
                    </w:rPr>
                    <w:t>每个分区均配套设置1个1m³渗滤液收集池。</w:t>
                  </w:r>
                </w:p>
              </w:tc>
              <w:tc>
                <w:tcPr>
                  <w:tcW w:w="411" w:type="pct"/>
                  <w:vAlign w:val="center"/>
                </w:tcPr>
                <w:p>
                  <w:pPr>
                    <w:pStyle w:val="29"/>
                    <w:spacing w:line="360" w:lineRule="exact"/>
                    <w:rPr>
                      <w:color w:val="000000" w:themeColor="text1"/>
                      <w:szCs w:val="21"/>
                    </w:rPr>
                  </w:pPr>
                  <w:r>
                    <w:rPr>
                      <w:color w:val="000000" w:themeColor="text1"/>
                      <w:szCs w:val="21"/>
                    </w:rPr>
                    <w:t>8</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869" w:type="pct"/>
                  <w:gridSpan w:val="3"/>
                  <w:vMerge w:val="continue"/>
                  <w:vAlign w:val="center"/>
                </w:tcPr>
                <w:p>
                  <w:pPr>
                    <w:pStyle w:val="29"/>
                    <w:spacing w:line="360" w:lineRule="exact"/>
                    <w:rPr>
                      <w:color w:val="000000" w:themeColor="text1"/>
                      <w:szCs w:val="21"/>
                    </w:rPr>
                  </w:pPr>
                </w:p>
              </w:tc>
              <w:tc>
                <w:tcPr>
                  <w:tcW w:w="776" w:type="pct"/>
                  <w:vAlign w:val="center"/>
                </w:tcPr>
                <w:p>
                  <w:pPr>
                    <w:pStyle w:val="29"/>
                    <w:spacing w:line="360" w:lineRule="exact"/>
                    <w:rPr>
                      <w:color w:val="000000" w:themeColor="text1"/>
                      <w:szCs w:val="21"/>
                    </w:rPr>
                  </w:pPr>
                  <w:r>
                    <w:rPr>
                      <w:rFonts w:hint="eastAsia"/>
                      <w:color w:val="000000" w:themeColor="text1"/>
                      <w:szCs w:val="21"/>
                    </w:rPr>
                    <w:t>事故池</w:t>
                  </w:r>
                </w:p>
              </w:tc>
              <w:tc>
                <w:tcPr>
                  <w:tcW w:w="2144" w:type="pct"/>
                  <w:vAlign w:val="center"/>
                </w:tcPr>
                <w:p>
                  <w:pPr>
                    <w:pStyle w:val="29"/>
                    <w:spacing w:line="360" w:lineRule="exact"/>
                    <w:ind w:firstLine="210" w:firstLineChars="100"/>
                    <w:jc w:val="both"/>
                    <w:rPr>
                      <w:color w:val="000000" w:themeColor="text1"/>
                      <w:szCs w:val="21"/>
                    </w:rPr>
                  </w:pPr>
                  <w:r>
                    <w:rPr>
                      <w:color w:val="000000" w:themeColor="text1"/>
                      <w:szCs w:val="24"/>
                      <w:lang w:val="en-US"/>
                    </w:rPr>
                    <w:t>1个</w:t>
                  </w:r>
                  <w:r>
                    <w:rPr>
                      <w:color w:val="000000" w:themeColor="text1"/>
                      <w:szCs w:val="21"/>
                    </w:rPr>
                    <w:t>有效容积为20m³。</w:t>
                  </w:r>
                </w:p>
              </w:tc>
              <w:tc>
                <w:tcPr>
                  <w:tcW w:w="411" w:type="pct"/>
                  <w:vAlign w:val="center"/>
                </w:tcPr>
                <w:p>
                  <w:pPr>
                    <w:pStyle w:val="29"/>
                    <w:spacing w:line="360" w:lineRule="exact"/>
                    <w:rPr>
                      <w:color w:val="000000" w:themeColor="text1"/>
                      <w:szCs w:val="21"/>
                    </w:rPr>
                  </w:pPr>
                  <w:r>
                    <w:rPr>
                      <w:color w:val="000000" w:themeColor="text1"/>
                      <w:szCs w:val="21"/>
                    </w:rPr>
                    <w:t>“</w:t>
                  </w:r>
                  <w:r>
                    <w:rPr>
                      <w:rFonts w:hint="eastAsia"/>
                      <w:color w:val="000000" w:themeColor="text1"/>
                      <w:szCs w:val="21"/>
                    </w:rPr>
                    <w:t>4</w:t>
                  </w:r>
                  <w:r>
                    <w:rPr>
                      <w:color w:val="000000" w:themeColor="text1"/>
                      <w:szCs w:val="21"/>
                    </w:rPr>
                    <w:t>”</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869" w:type="pct"/>
                  <w:gridSpan w:val="3"/>
                  <w:vMerge w:val="continue"/>
                  <w:vAlign w:val="center"/>
                </w:tcPr>
                <w:p>
                  <w:pPr>
                    <w:pStyle w:val="29"/>
                    <w:spacing w:line="360" w:lineRule="exact"/>
                    <w:rPr>
                      <w:color w:val="000000" w:themeColor="text1"/>
                      <w:szCs w:val="21"/>
                    </w:rPr>
                  </w:pPr>
                </w:p>
              </w:tc>
              <w:tc>
                <w:tcPr>
                  <w:tcW w:w="776" w:type="pct"/>
                  <w:vAlign w:val="center"/>
                </w:tcPr>
                <w:p>
                  <w:pPr>
                    <w:pStyle w:val="29"/>
                    <w:spacing w:line="360" w:lineRule="exact"/>
                    <w:rPr>
                      <w:color w:val="000000" w:themeColor="text1"/>
                      <w:szCs w:val="21"/>
                    </w:rPr>
                  </w:pPr>
                  <w:r>
                    <w:rPr>
                      <w:color w:val="000000" w:themeColor="text1"/>
                      <w:szCs w:val="21"/>
                    </w:rPr>
                    <w:t>通风系统</w:t>
                  </w:r>
                </w:p>
              </w:tc>
              <w:tc>
                <w:tcPr>
                  <w:tcW w:w="2144" w:type="pct"/>
                  <w:vAlign w:val="center"/>
                </w:tcPr>
                <w:p>
                  <w:pPr>
                    <w:pStyle w:val="29"/>
                    <w:spacing w:line="360" w:lineRule="exact"/>
                    <w:ind w:firstLine="210" w:firstLineChars="100"/>
                    <w:jc w:val="both"/>
                    <w:rPr>
                      <w:color w:val="000000" w:themeColor="text1"/>
                      <w:szCs w:val="21"/>
                    </w:rPr>
                  </w:pPr>
                  <w:r>
                    <w:rPr>
                      <w:color w:val="000000" w:themeColor="text1"/>
                      <w:szCs w:val="21"/>
                    </w:rPr>
                    <w:t>项目在满足全封闭厂房 “防风、防雨、防晒”要求的条件下，设置了通风系统。</w:t>
                  </w:r>
                </w:p>
              </w:tc>
              <w:tc>
                <w:tcPr>
                  <w:tcW w:w="411" w:type="pct"/>
                  <w:vAlign w:val="center"/>
                </w:tcPr>
                <w:p>
                  <w:pPr>
                    <w:pStyle w:val="29"/>
                    <w:spacing w:line="360" w:lineRule="exact"/>
                    <w:rPr>
                      <w:color w:val="000000" w:themeColor="text1"/>
                      <w:szCs w:val="21"/>
                    </w:rPr>
                  </w:pPr>
                  <w:r>
                    <w:rPr>
                      <w:color w:val="000000" w:themeColor="text1"/>
                      <w:szCs w:val="21"/>
                    </w:rPr>
                    <w:t>“12”</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9"/>
                    <w:spacing w:line="360" w:lineRule="exact"/>
                    <w:rPr>
                      <w:color w:val="000000" w:themeColor="text1"/>
                      <w:szCs w:val="21"/>
                    </w:rPr>
                  </w:pPr>
                </w:p>
              </w:tc>
              <w:tc>
                <w:tcPr>
                  <w:tcW w:w="399" w:type="pct"/>
                  <w:vAlign w:val="center"/>
                </w:tcPr>
                <w:p>
                  <w:pPr>
                    <w:pStyle w:val="29"/>
                    <w:spacing w:line="360" w:lineRule="exact"/>
                    <w:rPr>
                      <w:color w:val="000000" w:themeColor="text1"/>
                      <w:szCs w:val="21"/>
                    </w:rPr>
                  </w:pPr>
                  <w:r>
                    <w:rPr>
                      <w:color w:val="000000" w:themeColor="text1"/>
                      <w:szCs w:val="21"/>
                    </w:rPr>
                    <w:t>其他</w:t>
                  </w:r>
                </w:p>
              </w:tc>
              <w:tc>
                <w:tcPr>
                  <w:tcW w:w="1246" w:type="pct"/>
                  <w:gridSpan w:val="3"/>
                  <w:vAlign w:val="center"/>
                </w:tcPr>
                <w:p>
                  <w:pPr>
                    <w:pStyle w:val="29"/>
                    <w:spacing w:line="360" w:lineRule="exact"/>
                    <w:rPr>
                      <w:color w:val="000000" w:themeColor="text1"/>
                      <w:szCs w:val="21"/>
                    </w:rPr>
                  </w:pPr>
                  <w:r>
                    <w:rPr>
                      <w:color w:val="000000" w:themeColor="text1"/>
                      <w:szCs w:val="21"/>
                    </w:rPr>
                    <w:t>标识牌</w:t>
                  </w:r>
                </w:p>
              </w:tc>
              <w:tc>
                <w:tcPr>
                  <w:tcW w:w="2144" w:type="pct"/>
                  <w:vAlign w:val="center"/>
                </w:tcPr>
                <w:p>
                  <w:pPr>
                    <w:pStyle w:val="29"/>
                    <w:spacing w:line="360" w:lineRule="exact"/>
                    <w:ind w:firstLine="210" w:firstLineChars="100"/>
                    <w:jc w:val="left"/>
                    <w:rPr>
                      <w:color w:val="000000" w:themeColor="text1"/>
                      <w:szCs w:val="21"/>
                    </w:rPr>
                  </w:pPr>
                  <w:r>
                    <w:rPr>
                      <w:color w:val="000000" w:themeColor="text1"/>
                      <w:szCs w:val="21"/>
                    </w:rPr>
                    <w:t>--</w:t>
                  </w:r>
                </w:p>
              </w:tc>
              <w:tc>
                <w:tcPr>
                  <w:tcW w:w="411" w:type="pct"/>
                  <w:vAlign w:val="center"/>
                </w:tcPr>
                <w:p>
                  <w:pPr>
                    <w:pStyle w:val="29"/>
                    <w:spacing w:line="360" w:lineRule="exact"/>
                    <w:rPr>
                      <w:color w:val="000000" w:themeColor="text1"/>
                      <w:szCs w:val="21"/>
                    </w:rPr>
                  </w:pPr>
                  <w:r>
                    <w:rPr>
                      <w:color w:val="000000" w:themeColor="text1"/>
                      <w:szCs w:val="21"/>
                    </w:rPr>
                    <w:t>0.1</w:t>
                  </w:r>
                </w:p>
              </w:tc>
              <w:tc>
                <w:tcPr>
                  <w:tcW w:w="454" w:type="pct"/>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pct"/>
                  <w:gridSpan w:val="6"/>
                  <w:vAlign w:val="center"/>
                </w:tcPr>
                <w:p>
                  <w:pPr>
                    <w:pStyle w:val="29"/>
                    <w:spacing w:line="360" w:lineRule="exact"/>
                    <w:rPr>
                      <w:color w:val="000000" w:themeColor="text1"/>
                      <w:szCs w:val="21"/>
                    </w:rPr>
                  </w:pPr>
                  <w:r>
                    <w:rPr>
                      <w:color w:val="000000" w:themeColor="text1"/>
                      <w:szCs w:val="21"/>
                    </w:rPr>
                    <w:t>合计</w:t>
                  </w:r>
                </w:p>
              </w:tc>
              <w:tc>
                <w:tcPr>
                  <w:tcW w:w="411" w:type="pct"/>
                  <w:vAlign w:val="center"/>
                </w:tcPr>
                <w:p>
                  <w:pPr>
                    <w:pStyle w:val="29"/>
                    <w:spacing w:line="360" w:lineRule="exact"/>
                    <w:rPr>
                      <w:color w:val="000000" w:themeColor="text1"/>
                      <w:szCs w:val="21"/>
                    </w:rPr>
                  </w:pPr>
                  <w:r>
                    <w:rPr>
                      <w:color w:val="000000" w:themeColor="text1"/>
                      <w:szCs w:val="21"/>
                    </w:rPr>
                    <w:t>31.4</w:t>
                  </w:r>
                </w:p>
              </w:tc>
              <w:tc>
                <w:tcPr>
                  <w:tcW w:w="454" w:type="pct"/>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pStyle w:val="29"/>
                    <w:spacing w:line="360" w:lineRule="exact"/>
                    <w:jc w:val="left"/>
                    <w:rPr>
                      <w:color w:val="000000" w:themeColor="text1"/>
                      <w:szCs w:val="21"/>
                    </w:rPr>
                  </w:pPr>
                  <w:r>
                    <w:rPr>
                      <w:color w:val="000000" w:themeColor="text1"/>
                      <w:szCs w:val="21"/>
                    </w:rPr>
                    <w:t>备注：“”表示已投资，不再重复计算</w:t>
                  </w:r>
                </w:p>
              </w:tc>
            </w:tr>
          </w:tbl>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bookmarkStart w:id="36" w:name="_Toc146789447"/>
      <w:r>
        <w:rPr>
          <w:rFonts w:ascii="Times New Roman" w:hAnsi="Times New Roman" w:cs="Times New Roman"/>
          <w:b/>
          <w:color w:val="000000" w:themeColor="text1"/>
          <w:sz w:val="28"/>
          <w:szCs w:val="20"/>
        </w:rPr>
        <w:t>五、环境保护措施监督检查清单</w:t>
      </w:r>
      <w:bookmarkEnd w:id="36"/>
    </w:p>
    <w:tbl>
      <w:tblPr>
        <w:tblStyle w:val="19"/>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7"/>
        <w:gridCol w:w="708"/>
        <w:gridCol w:w="851"/>
        <w:gridCol w:w="1010"/>
        <w:gridCol w:w="6"/>
        <w:gridCol w:w="1115"/>
        <w:gridCol w:w="2974"/>
        <w:gridCol w:w="1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47"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69"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21"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7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4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708" w:type="dxa"/>
            <w:vMerge w:val="restart"/>
            <w:vAlign w:val="center"/>
          </w:tcPr>
          <w:p>
            <w:pPr>
              <w:pStyle w:val="29"/>
              <w:spacing w:line="360" w:lineRule="exact"/>
              <w:rPr>
                <w:color w:val="000000" w:themeColor="text1"/>
                <w:szCs w:val="21"/>
              </w:rPr>
            </w:pPr>
            <w:r>
              <w:rPr>
                <w:color w:val="000000" w:themeColor="text1"/>
                <w:szCs w:val="21"/>
              </w:rPr>
              <w:t>该项目危险废物贮存</w:t>
            </w:r>
          </w:p>
        </w:tc>
        <w:tc>
          <w:tcPr>
            <w:tcW w:w="851"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收集、贮存、转运</w:t>
            </w:r>
          </w:p>
        </w:tc>
        <w:tc>
          <w:tcPr>
            <w:tcW w:w="1010" w:type="dxa"/>
            <w:vMerge w:val="restart"/>
            <w:tcBorders>
              <w:left w:val="single" w:color="auto" w:sz="4" w:space="0"/>
            </w:tcBorders>
            <w:vAlign w:val="center"/>
          </w:tcPr>
          <w:p>
            <w:pPr>
              <w:pStyle w:val="29"/>
              <w:spacing w:line="360" w:lineRule="exact"/>
              <w:rPr>
                <w:color w:val="000000" w:themeColor="text1"/>
                <w:szCs w:val="21"/>
              </w:rPr>
            </w:pPr>
            <w:r>
              <w:rPr>
                <w:color w:val="000000" w:themeColor="text1"/>
                <w:szCs w:val="21"/>
              </w:rPr>
              <w:t>有组织</w:t>
            </w:r>
          </w:p>
        </w:tc>
        <w:tc>
          <w:tcPr>
            <w:tcW w:w="1121" w:type="dxa"/>
            <w:gridSpan w:val="2"/>
            <w:vAlign w:val="center"/>
          </w:tcPr>
          <w:p>
            <w:pPr>
              <w:pStyle w:val="29"/>
              <w:spacing w:line="360" w:lineRule="exact"/>
              <w:rPr>
                <w:color w:val="000000" w:themeColor="text1"/>
                <w:szCs w:val="21"/>
              </w:rPr>
            </w:pPr>
            <w:r>
              <w:rPr>
                <w:color w:val="000000" w:themeColor="text1"/>
                <w:szCs w:val="21"/>
              </w:rPr>
              <w:t>非甲烷总烃</w:t>
            </w:r>
          </w:p>
        </w:tc>
        <w:tc>
          <w:tcPr>
            <w:tcW w:w="2974" w:type="dxa"/>
            <w:vMerge w:val="restart"/>
            <w:vAlign w:val="center"/>
          </w:tcPr>
          <w:p>
            <w:pPr>
              <w:pStyle w:val="29"/>
              <w:spacing w:line="360" w:lineRule="exact"/>
              <w:ind w:firstLine="210" w:firstLineChars="100"/>
              <w:jc w:val="both"/>
              <w:rPr>
                <w:color w:val="000000" w:themeColor="text1"/>
                <w:szCs w:val="21"/>
              </w:rPr>
            </w:pPr>
            <w:r>
              <w:rPr>
                <w:color w:val="000000" w:themeColor="text1"/>
                <w:szCs w:val="21"/>
              </w:rPr>
              <w:t>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有机废气（非甲烷总烃）的处理效率约为30%，酸性废气（HCl）处理效率约为95%，恶臭废气（氨、硫化氢和臭气浓度）处理效率约为60%。</w:t>
            </w:r>
          </w:p>
        </w:tc>
        <w:tc>
          <w:tcPr>
            <w:tcW w:w="1745" w:type="dxa"/>
            <w:vMerge w:val="restart"/>
            <w:vAlign w:val="center"/>
          </w:tcPr>
          <w:p>
            <w:pPr>
              <w:pStyle w:val="29"/>
              <w:spacing w:line="360" w:lineRule="exact"/>
              <w:ind w:firstLine="210" w:firstLineChars="100"/>
              <w:jc w:val="both"/>
              <w:rPr>
                <w:color w:val="000000" w:themeColor="text1"/>
                <w:szCs w:val="21"/>
              </w:rPr>
            </w:pPr>
            <w:r>
              <w:rPr>
                <w:color w:val="000000" w:themeColor="text1"/>
                <w:szCs w:val="21"/>
              </w:rPr>
              <w:t>非甲烷总烃、HCl达到《大气污染物综合排放标准》（GB</w:t>
            </w:r>
            <w:r>
              <w:rPr>
                <w:rFonts w:hint="eastAsia"/>
                <w:color w:val="000000" w:themeColor="text1"/>
                <w:szCs w:val="21"/>
                <w:lang w:eastAsia="zh-CN"/>
              </w:rPr>
              <w:t>*****</w:t>
            </w:r>
            <w:r>
              <w:rPr>
                <w:color w:val="000000" w:themeColor="text1"/>
                <w:szCs w:val="21"/>
              </w:rPr>
              <w:t>-1996）表2 标准；氨、硫化氢和臭气浓度达到《恶臭污染物排放标准》（GB</w:t>
            </w:r>
            <w:r>
              <w:rPr>
                <w:rFonts w:hint="eastAsia"/>
                <w:color w:val="000000" w:themeColor="text1"/>
                <w:szCs w:val="21"/>
                <w:lang w:eastAsia="zh-CN"/>
              </w:rPr>
              <w:t>*****</w:t>
            </w:r>
            <w:r>
              <w:rPr>
                <w:color w:val="000000" w:themeColor="text1"/>
                <w:szCs w:val="21"/>
              </w:rPr>
              <w:t>-93）标准限值；非甲烷总烃厂界达到《挥发性有机物无组织排放控制标准》（GB</w:t>
            </w:r>
            <w:r>
              <w:rPr>
                <w:rFonts w:hint="eastAsia"/>
                <w:color w:val="000000" w:themeColor="text1"/>
                <w:szCs w:val="21"/>
                <w:lang w:eastAsia="zh-CN"/>
              </w:rPr>
              <w:t>*****</w:t>
            </w:r>
            <w:r>
              <w:rPr>
                <w:color w:val="000000" w:themeColor="text1"/>
                <w:szCs w:val="21"/>
              </w:rPr>
              <w:t>-2019）中附录A限值。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vAlign w:val="center"/>
          </w:tcPr>
          <w:p>
            <w:pPr>
              <w:pStyle w:val="29"/>
              <w:spacing w:line="360" w:lineRule="exact"/>
              <w:rPr>
                <w:color w:val="000000" w:themeColor="text1"/>
                <w:szCs w:val="21"/>
              </w:rPr>
            </w:pPr>
          </w:p>
        </w:tc>
        <w:tc>
          <w:tcPr>
            <w:tcW w:w="851" w:type="dxa"/>
            <w:vMerge w:val="continue"/>
            <w:tcBorders>
              <w:right w:val="single" w:color="auto" w:sz="4" w:space="0"/>
            </w:tcBorders>
            <w:vAlign w:val="center"/>
          </w:tcPr>
          <w:p>
            <w:pPr>
              <w:pStyle w:val="29"/>
              <w:spacing w:line="360" w:lineRule="exact"/>
              <w:rPr>
                <w:color w:val="000000" w:themeColor="text1"/>
                <w:szCs w:val="21"/>
              </w:rPr>
            </w:pPr>
          </w:p>
        </w:tc>
        <w:tc>
          <w:tcPr>
            <w:tcW w:w="1010" w:type="dxa"/>
            <w:vMerge w:val="continue"/>
            <w:tcBorders>
              <w:left w:val="single" w:color="auto" w:sz="4" w:space="0"/>
            </w:tcBorders>
            <w:vAlign w:val="center"/>
          </w:tcPr>
          <w:p>
            <w:pPr>
              <w:pStyle w:val="29"/>
              <w:spacing w:line="360" w:lineRule="exact"/>
              <w:rPr>
                <w:color w:val="000000" w:themeColor="text1"/>
                <w:szCs w:val="21"/>
              </w:rPr>
            </w:pPr>
          </w:p>
        </w:tc>
        <w:tc>
          <w:tcPr>
            <w:tcW w:w="1121" w:type="dxa"/>
            <w:gridSpan w:val="2"/>
            <w:vAlign w:val="center"/>
          </w:tcPr>
          <w:p>
            <w:pPr>
              <w:pStyle w:val="29"/>
              <w:spacing w:line="360" w:lineRule="exact"/>
              <w:rPr>
                <w:color w:val="000000" w:themeColor="text1"/>
                <w:szCs w:val="21"/>
              </w:rPr>
            </w:pPr>
            <w:r>
              <w:rPr>
                <w:color w:val="000000" w:themeColor="text1"/>
                <w:szCs w:val="21"/>
              </w:rPr>
              <w:t>HCl</w:t>
            </w:r>
          </w:p>
        </w:tc>
        <w:tc>
          <w:tcPr>
            <w:tcW w:w="2974" w:type="dxa"/>
            <w:vMerge w:val="continue"/>
            <w:vAlign w:val="center"/>
          </w:tcPr>
          <w:p>
            <w:pPr>
              <w:pStyle w:val="29"/>
              <w:spacing w:line="360" w:lineRule="exact"/>
              <w:ind w:firstLine="210" w:firstLineChars="100"/>
              <w:jc w:val="both"/>
              <w:rPr>
                <w:color w:val="000000" w:themeColor="text1"/>
                <w:szCs w:val="21"/>
              </w:rPr>
            </w:pPr>
          </w:p>
        </w:tc>
        <w:tc>
          <w:tcPr>
            <w:tcW w:w="1745" w:type="dxa"/>
            <w:vMerge w:val="continue"/>
            <w:vAlign w:val="center"/>
          </w:tcPr>
          <w:p>
            <w:pPr>
              <w:pStyle w:val="29"/>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vAlign w:val="center"/>
          </w:tcPr>
          <w:p>
            <w:pPr>
              <w:pStyle w:val="29"/>
              <w:spacing w:line="360" w:lineRule="exact"/>
              <w:rPr>
                <w:color w:val="000000" w:themeColor="text1"/>
                <w:szCs w:val="21"/>
              </w:rPr>
            </w:pPr>
          </w:p>
        </w:tc>
        <w:tc>
          <w:tcPr>
            <w:tcW w:w="851" w:type="dxa"/>
            <w:vMerge w:val="continue"/>
            <w:tcBorders>
              <w:right w:val="single" w:color="auto" w:sz="4" w:space="0"/>
            </w:tcBorders>
            <w:vAlign w:val="center"/>
          </w:tcPr>
          <w:p>
            <w:pPr>
              <w:pStyle w:val="29"/>
              <w:spacing w:line="360" w:lineRule="exact"/>
              <w:rPr>
                <w:color w:val="000000" w:themeColor="text1"/>
                <w:szCs w:val="21"/>
              </w:rPr>
            </w:pPr>
          </w:p>
        </w:tc>
        <w:tc>
          <w:tcPr>
            <w:tcW w:w="1010" w:type="dxa"/>
            <w:vMerge w:val="continue"/>
            <w:tcBorders>
              <w:left w:val="single" w:color="auto" w:sz="4" w:space="0"/>
            </w:tcBorders>
            <w:vAlign w:val="center"/>
          </w:tcPr>
          <w:p>
            <w:pPr>
              <w:pStyle w:val="29"/>
              <w:spacing w:line="360" w:lineRule="exact"/>
              <w:rPr>
                <w:color w:val="000000" w:themeColor="text1"/>
                <w:szCs w:val="21"/>
              </w:rPr>
            </w:pPr>
          </w:p>
        </w:tc>
        <w:tc>
          <w:tcPr>
            <w:tcW w:w="1121" w:type="dxa"/>
            <w:gridSpan w:val="2"/>
            <w:vAlign w:val="center"/>
          </w:tcPr>
          <w:p>
            <w:pPr>
              <w:pStyle w:val="29"/>
              <w:spacing w:line="360" w:lineRule="exact"/>
              <w:rPr>
                <w:color w:val="000000" w:themeColor="text1"/>
                <w:szCs w:val="21"/>
              </w:rPr>
            </w:pPr>
            <w:r>
              <w:rPr>
                <w:color w:val="000000" w:themeColor="text1"/>
                <w:szCs w:val="21"/>
              </w:rPr>
              <w:t>氨</w:t>
            </w:r>
          </w:p>
        </w:tc>
        <w:tc>
          <w:tcPr>
            <w:tcW w:w="2974" w:type="dxa"/>
            <w:vMerge w:val="continue"/>
            <w:vAlign w:val="center"/>
          </w:tcPr>
          <w:p>
            <w:pPr>
              <w:pStyle w:val="29"/>
              <w:spacing w:line="360" w:lineRule="exact"/>
              <w:ind w:firstLine="210" w:firstLineChars="100"/>
              <w:jc w:val="both"/>
              <w:rPr>
                <w:color w:val="000000" w:themeColor="text1"/>
                <w:szCs w:val="21"/>
              </w:rPr>
            </w:pPr>
          </w:p>
        </w:tc>
        <w:tc>
          <w:tcPr>
            <w:tcW w:w="1745" w:type="dxa"/>
            <w:vMerge w:val="continue"/>
            <w:vAlign w:val="center"/>
          </w:tcPr>
          <w:p>
            <w:pPr>
              <w:pStyle w:val="29"/>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vAlign w:val="center"/>
          </w:tcPr>
          <w:p>
            <w:pPr>
              <w:pStyle w:val="29"/>
              <w:spacing w:line="360" w:lineRule="exact"/>
              <w:rPr>
                <w:color w:val="000000" w:themeColor="text1"/>
                <w:szCs w:val="21"/>
              </w:rPr>
            </w:pPr>
          </w:p>
        </w:tc>
        <w:tc>
          <w:tcPr>
            <w:tcW w:w="851" w:type="dxa"/>
            <w:vMerge w:val="continue"/>
            <w:tcBorders>
              <w:right w:val="single" w:color="auto" w:sz="4" w:space="0"/>
            </w:tcBorders>
            <w:vAlign w:val="center"/>
          </w:tcPr>
          <w:p>
            <w:pPr>
              <w:pStyle w:val="29"/>
              <w:spacing w:line="360" w:lineRule="exact"/>
              <w:rPr>
                <w:color w:val="000000" w:themeColor="text1"/>
                <w:szCs w:val="30"/>
                <w:lang w:val="en-US"/>
              </w:rPr>
            </w:pPr>
          </w:p>
        </w:tc>
        <w:tc>
          <w:tcPr>
            <w:tcW w:w="1010" w:type="dxa"/>
            <w:vMerge w:val="continue"/>
            <w:tcBorders>
              <w:left w:val="single" w:color="auto" w:sz="4" w:space="0"/>
              <w:bottom w:val="single" w:color="auto" w:sz="4" w:space="0"/>
            </w:tcBorders>
            <w:vAlign w:val="center"/>
          </w:tcPr>
          <w:p>
            <w:pPr>
              <w:pStyle w:val="29"/>
              <w:spacing w:line="360" w:lineRule="exact"/>
              <w:rPr>
                <w:color w:val="000000" w:themeColor="text1"/>
                <w:szCs w:val="30"/>
                <w:lang w:val="en-US"/>
              </w:rPr>
            </w:pPr>
          </w:p>
        </w:tc>
        <w:tc>
          <w:tcPr>
            <w:tcW w:w="1121" w:type="dxa"/>
            <w:gridSpan w:val="2"/>
            <w:vAlign w:val="center"/>
          </w:tcPr>
          <w:p>
            <w:pPr>
              <w:pStyle w:val="29"/>
              <w:spacing w:line="360" w:lineRule="exact"/>
              <w:rPr>
                <w:color w:val="000000" w:themeColor="text1"/>
                <w:szCs w:val="21"/>
              </w:rPr>
            </w:pPr>
            <w:r>
              <w:rPr>
                <w:color w:val="000000" w:themeColor="text1"/>
                <w:szCs w:val="21"/>
              </w:rPr>
              <w:t>硫化氢</w:t>
            </w:r>
          </w:p>
        </w:tc>
        <w:tc>
          <w:tcPr>
            <w:tcW w:w="2974" w:type="dxa"/>
            <w:vMerge w:val="continue"/>
            <w:vAlign w:val="center"/>
          </w:tcPr>
          <w:p>
            <w:pPr>
              <w:pStyle w:val="29"/>
              <w:spacing w:line="360" w:lineRule="exact"/>
              <w:ind w:firstLine="210" w:firstLineChars="100"/>
              <w:jc w:val="both"/>
              <w:rPr>
                <w:color w:val="000000" w:themeColor="text1"/>
                <w:szCs w:val="21"/>
              </w:rPr>
            </w:pPr>
          </w:p>
        </w:tc>
        <w:tc>
          <w:tcPr>
            <w:tcW w:w="1745" w:type="dxa"/>
            <w:vMerge w:val="continue"/>
            <w:vAlign w:val="center"/>
          </w:tcPr>
          <w:p>
            <w:pPr>
              <w:pStyle w:val="29"/>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bottom w:val="single" w:color="auto" w:sz="4" w:space="0"/>
            </w:tcBorders>
            <w:vAlign w:val="center"/>
          </w:tcPr>
          <w:p>
            <w:pPr>
              <w:pStyle w:val="29"/>
              <w:spacing w:line="360" w:lineRule="exact"/>
              <w:rPr>
                <w:color w:val="000000" w:themeColor="text1"/>
                <w:szCs w:val="21"/>
              </w:rPr>
            </w:pPr>
          </w:p>
        </w:tc>
        <w:tc>
          <w:tcPr>
            <w:tcW w:w="851" w:type="dxa"/>
            <w:vMerge w:val="continue"/>
            <w:tcBorders>
              <w:right w:val="single" w:color="auto" w:sz="4" w:space="0"/>
            </w:tcBorders>
            <w:vAlign w:val="center"/>
          </w:tcPr>
          <w:p>
            <w:pPr>
              <w:pStyle w:val="29"/>
              <w:spacing w:line="360" w:lineRule="exact"/>
              <w:rPr>
                <w:color w:val="000000" w:themeColor="text1"/>
                <w:szCs w:val="30"/>
                <w:lang w:val="en-US"/>
              </w:rPr>
            </w:pPr>
          </w:p>
        </w:tc>
        <w:tc>
          <w:tcPr>
            <w:tcW w:w="5105" w:type="dxa"/>
            <w:gridSpan w:val="4"/>
            <w:tcBorders>
              <w:top w:val="single" w:color="auto" w:sz="4" w:space="0"/>
              <w:left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未收集部分无组织排放。</w:t>
            </w:r>
          </w:p>
        </w:tc>
        <w:tc>
          <w:tcPr>
            <w:tcW w:w="1745" w:type="dxa"/>
            <w:vMerge w:val="continue"/>
            <w:vAlign w:val="center"/>
          </w:tcPr>
          <w:p>
            <w:pPr>
              <w:pStyle w:val="29"/>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restart"/>
            <w:vAlign w:val="center"/>
          </w:tcPr>
          <w:p>
            <w:pPr>
              <w:pStyle w:val="29"/>
              <w:spacing w:line="360" w:lineRule="exact"/>
              <w:rPr>
                <w:color w:val="000000" w:themeColor="text1"/>
                <w:szCs w:val="21"/>
              </w:rPr>
            </w:pPr>
            <w:r>
              <w:rPr>
                <w:color w:val="000000" w:themeColor="text1"/>
                <w:szCs w:val="21"/>
              </w:rPr>
              <w:t>现有工程危险废物贮存</w:t>
            </w:r>
          </w:p>
        </w:tc>
        <w:tc>
          <w:tcPr>
            <w:tcW w:w="851" w:type="dxa"/>
            <w:vMerge w:val="restart"/>
            <w:tcBorders>
              <w:right w:val="single" w:color="auto" w:sz="4" w:space="0"/>
            </w:tcBorders>
            <w:vAlign w:val="center"/>
          </w:tcPr>
          <w:p>
            <w:pPr>
              <w:pStyle w:val="29"/>
              <w:spacing w:line="360" w:lineRule="exact"/>
              <w:rPr>
                <w:color w:val="000000" w:themeColor="text1"/>
                <w:szCs w:val="30"/>
                <w:lang w:val="en-US"/>
              </w:rPr>
            </w:pPr>
            <w:r>
              <w:rPr>
                <w:color w:val="000000" w:themeColor="text1"/>
                <w:szCs w:val="21"/>
              </w:rPr>
              <w:t>收集、贮存</w:t>
            </w:r>
          </w:p>
        </w:tc>
        <w:tc>
          <w:tcPr>
            <w:tcW w:w="1016" w:type="dxa"/>
            <w:gridSpan w:val="2"/>
            <w:vMerge w:val="restart"/>
            <w:tcBorders>
              <w:top w:val="single" w:color="auto" w:sz="4"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无组织</w:t>
            </w:r>
          </w:p>
        </w:tc>
        <w:tc>
          <w:tcPr>
            <w:tcW w:w="1115" w:type="dxa"/>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w:t>
            </w:r>
          </w:p>
        </w:tc>
        <w:tc>
          <w:tcPr>
            <w:tcW w:w="2974" w:type="dxa"/>
            <w:vMerge w:val="restart"/>
            <w:tcBorders>
              <w:top w:val="single" w:color="auto" w:sz="4" w:space="0"/>
              <w:left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rPr>
              <w:t>项目原料库已全部采用彩钢瓦进行了全封闭，可满足“防风、防雨、防晒”要求。同时顶棚采取了错位设计，满足一定的通风条件，保证其室内的空气环境。</w:t>
            </w:r>
          </w:p>
        </w:tc>
        <w:tc>
          <w:tcPr>
            <w:tcW w:w="1745" w:type="dxa"/>
            <w:vMerge w:val="restart"/>
            <w:vAlign w:val="center"/>
          </w:tcPr>
          <w:p>
            <w:pPr>
              <w:pStyle w:val="29"/>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-1996）中表2无组织标准。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bottom w:val="single" w:color="auto" w:sz="4" w:space="0"/>
            </w:tcBorders>
            <w:vAlign w:val="center"/>
          </w:tcPr>
          <w:p>
            <w:pPr>
              <w:pStyle w:val="29"/>
              <w:spacing w:line="360" w:lineRule="exact"/>
              <w:rPr>
                <w:color w:val="000000" w:themeColor="text1"/>
                <w:szCs w:val="21"/>
              </w:rPr>
            </w:pPr>
          </w:p>
        </w:tc>
        <w:tc>
          <w:tcPr>
            <w:tcW w:w="851" w:type="dxa"/>
            <w:vMerge w:val="continue"/>
            <w:tcBorders>
              <w:right w:val="single" w:color="auto" w:sz="4" w:space="0"/>
            </w:tcBorders>
            <w:vAlign w:val="center"/>
          </w:tcPr>
          <w:p>
            <w:pPr>
              <w:pStyle w:val="29"/>
              <w:spacing w:line="360" w:lineRule="exact"/>
              <w:rPr>
                <w:color w:val="000000" w:themeColor="text1"/>
                <w:szCs w:val="30"/>
                <w:lang w:val="en-US"/>
              </w:rPr>
            </w:pPr>
          </w:p>
        </w:tc>
        <w:tc>
          <w:tcPr>
            <w:tcW w:w="1016" w:type="dxa"/>
            <w:gridSpan w:val="2"/>
            <w:vMerge w:val="continue"/>
            <w:tcBorders>
              <w:left w:val="single" w:color="auto" w:sz="4" w:space="0"/>
              <w:right w:val="single" w:color="auto" w:sz="4" w:space="0"/>
            </w:tcBorders>
            <w:vAlign w:val="center"/>
          </w:tcPr>
          <w:p>
            <w:pPr>
              <w:pStyle w:val="29"/>
              <w:spacing w:line="360" w:lineRule="exact"/>
              <w:ind w:firstLine="210" w:firstLineChars="100"/>
              <w:jc w:val="both"/>
              <w:rPr>
                <w:color w:val="000000" w:themeColor="text1"/>
                <w:szCs w:val="21"/>
              </w:rPr>
            </w:pPr>
          </w:p>
        </w:tc>
        <w:tc>
          <w:tcPr>
            <w:tcW w:w="1115" w:type="dxa"/>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硫酸雾</w:t>
            </w:r>
          </w:p>
        </w:tc>
        <w:tc>
          <w:tcPr>
            <w:tcW w:w="2974" w:type="dxa"/>
            <w:vMerge w:val="continue"/>
            <w:tcBorders>
              <w:left w:val="single" w:color="auto" w:sz="4" w:space="0"/>
            </w:tcBorders>
            <w:vAlign w:val="center"/>
          </w:tcPr>
          <w:p>
            <w:pPr>
              <w:pStyle w:val="29"/>
              <w:spacing w:line="360" w:lineRule="exact"/>
              <w:ind w:firstLine="210" w:firstLineChars="100"/>
              <w:jc w:val="both"/>
              <w:rPr>
                <w:color w:val="000000" w:themeColor="text1"/>
                <w:szCs w:val="21"/>
              </w:rPr>
            </w:pPr>
          </w:p>
        </w:tc>
        <w:tc>
          <w:tcPr>
            <w:tcW w:w="1745" w:type="dxa"/>
            <w:vMerge w:val="continue"/>
            <w:vAlign w:val="center"/>
          </w:tcPr>
          <w:p>
            <w:pPr>
              <w:pStyle w:val="29"/>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559" w:type="dxa"/>
            <w:gridSpan w:val="2"/>
            <w:vMerge w:val="restart"/>
            <w:vAlign w:val="center"/>
          </w:tcPr>
          <w:p>
            <w:pPr>
              <w:pStyle w:val="29"/>
              <w:spacing w:line="360" w:lineRule="exact"/>
              <w:rPr>
                <w:color w:val="000000" w:themeColor="text1"/>
                <w:szCs w:val="21"/>
              </w:rPr>
            </w:pPr>
            <w:r>
              <w:rPr>
                <w:color w:val="000000" w:themeColor="text1"/>
                <w:szCs w:val="21"/>
              </w:rPr>
              <w:t>厂区范围</w:t>
            </w:r>
          </w:p>
        </w:tc>
        <w:tc>
          <w:tcPr>
            <w:tcW w:w="1010" w:type="dxa"/>
            <w:vAlign w:val="center"/>
          </w:tcPr>
          <w:p>
            <w:pPr>
              <w:pStyle w:val="29"/>
              <w:spacing w:line="360" w:lineRule="exact"/>
              <w:rPr>
                <w:color w:val="000000" w:themeColor="text1"/>
                <w:szCs w:val="21"/>
              </w:rPr>
            </w:pPr>
            <w:r>
              <w:rPr>
                <w:color w:val="000000" w:themeColor="text1"/>
                <w:szCs w:val="21"/>
              </w:rPr>
              <w:t>不外排</w:t>
            </w:r>
          </w:p>
        </w:tc>
        <w:tc>
          <w:tcPr>
            <w:tcW w:w="1121" w:type="dxa"/>
            <w:gridSpan w:val="2"/>
            <w:vAlign w:val="center"/>
          </w:tcPr>
          <w:p>
            <w:pPr>
              <w:pStyle w:val="29"/>
              <w:rPr>
                <w:color w:val="000000" w:themeColor="text1"/>
                <w:szCs w:val="21"/>
              </w:rPr>
            </w:pPr>
            <w:r>
              <w:rPr>
                <w:color w:val="000000" w:themeColor="text1"/>
                <w:szCs w:val="21"/>
              </w:rPr>
              <w:t>初期雨水（</w:t>
            </w:r>
            <w:r>
              <w:rPr>
                <w:rFonts w:eastAsiaTheme="minorEastAsia"/>
                <w:color w:val="000000" w:themeColor="text1"/>
                <w:szCs w:val="21"/>
              </w:rPr>
              <w:t>CODcr、SS</w:t>
            </w:r>
            <w:r>
              <w:rPr>
                <w:color w:val="000000" w:themeColor="text1"/>
                <w:szCs w:val="21"/>
              </w:rPr>
              <w:t>）</w:t>
            </w:r>
          </w:p>
        </w:tc>
        <w:tc>
          <w:tcPr>
            <w:tcW w:w="2974" w:type="dxa"/>
            <w:vAlign w:val="center"/>
          </w:tcPr>
          <w:p>
            <w:pPr>
              <w:pStyle w:val="29"/>
              <w:spacing w:line="360" w:lineRule="exact"/>
              <w:ind w:firstLine="210" w:firstLineChars="100"/>
              <w:jc w:val="both"/>
              <w:rPr>
                <w:color w:val="000000" w:themeColor="text1"/>
                <w:szCs w:val="21"/>
              </w:rPr>
            </w:pPr>
            <w:r>
              <w:rPr>
                <w:color w:val="000000" w:themeColor="text1"/>
                <w:szCs w:val="21"/>
              </w:rPr>
              <w:t>厂区内已设置了雨水沟和在厂区东北侧地势最低处建设了1座容积为680m³初期雨水收集池。初期雨水收集疏导后进入初期雨水收集池并处理后回用于厂区生产。</w:t>
            </w:r>
          </w:p>
        </w:tc>
        <w:tc>
          <w:tcPr>
            <w:tcW w:w="1745" w:type="dxa"/>
            <w:vAlign w:val="center"/>
          </w:tcPr>
          <w:p>
            <w:pPr>
              <w:pStyle w:val="29"/>
              <w:spacing w:line="360" w:lineRule="exact"/>
              <w:ind w:firstLine="210" w:firstLineChars="100"/>
              <w:jc w:val="both"/>
              <w:rPr>
                <w:color w:val="000000" w:themeColor="text1"/>
                <w:szCs w:val="21"/>
              </w:rPr>
            </w:pPr>
            <w:r>
              <w:rPr>
                <w:color w:val="000000" w:themeColor="text1"/>
                <w:szCs w:val="21"/>
              </w:rPr>
              <w:t>不外排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1559" w:type="dxa"/>
            <w:gridSpan w:val="2"/>
            <w:vMerge w:val="continue"/>
            <w:vAlign w:val="center"/>
          </w:tcPr>
          <w:p>
            <w:pPr>
              <w:pStyle w:val="29"/>
              <w:spacing w:line="360" w:lineRule="exact"/>
              <w:rPr>
                <w:color w:val="000000" w:themeColor="text1"/>
                <w:szCs w:val="21"/>
              </w:rPr>
            </w:pPr>
          </w:p>
        </w:tc>
        <w:tc>
          <w:tcPr>
            <w:tcW w:w="1010" w:type="dxa"/>
            <w:tcBorders>
              <w:bottom w:val="single" w:color="auto" w:sz="4" w:space="0"/>
            </w:tcBorders>
            <w:vAlign w:val="center"/>
          </w:tcPr>
          <w:p>
            <w:pPr>
              <w:pStyle w:val="29"/>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雨水口</w:t>
            </w:r>
          </w:p>
        </w:tc>
        <w:tc>
          <w:tcPr>
            <w:tcW w:w="1121" w:type="dxa"/>
            <w:gridSpan w:val="2"/>
            <w:vAlign w:val="center"/>
          </w:tcPr>
          <w:p>
            <w:pPr>
              <w:pStyle w:val="29"/>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w:t>
            </w:r>
          </w:p>
        </w:tc>
        <w:tc>
          <w:tcPr>
            <w:tcW w:w="2974"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雨水外排。</w:t>
            </w:r>
          </w:p>
        </w:tc>
        <w:tc>
          <w:tcPr>
            <w:tcW w:w="1745" w:type="dxa"/>
            <w:vAlign w:val="center"/>
          </w:tcPr>
          <w:p>
            <w:pPr>
              <w:pStyle w:val="29"/>
              <w:spacing w:line="360" w:lineRule="exact"/>
              <w:ind w:firstLine="210" w:firstLineChars="100"/>
              <w:jc w:val="both"/>
              <w:rPr>
                <w:color w:val="000000" w:themeColor="text1"/>
                <w:szCs w:val="21"/>
                <w:lang w:val="en-US"/>
              </w:rPr>
            </w:pP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708" w:type="dxa"/>
            <w:vAlign w:val="center"/>
          </w:tcPr>
          <w:p>
            <w:pPr>
              <w:pStyle w:val="29"/>
              <w:spacing w:line="360" w:lineRule="exact"/>
              <w:rPr>
                <w:color w:val="000000" w:themeColor="text1"/>
                <w:szCs w:val="21"/>
              </w:rPr>
            </w:pPr>
            <w:r>
              <w:rPr>
                <w:color w:val="000000" w:themeColor="text1"/>
                <w:szCs w:val="21"/>
              </w:rPr>
              <w:t>危险废物贮存库</w:t>
            </w:r>
          </w:p>
        </w:tc>
        <w:tc>
          <w:tcPr>
            <w:tcW w:w="1861" w:type="dxa"/>
            <w:gridSpan w:val="2"/>
            <w:vAlign w:val="center"/>
          </w:tcPr>
          <w:p>
            <w:pPr>
              <w:pStyle w:val="29"/>
              <w:spacing w:line="360" w:lineRule="exact"/>
              <w:rPr>
                <w:color w:val="000000" w:themeColor="text1"/>
                <w:szCs w:val="21"/>
              </w:rPr>
            </w:pPr>
            <w:r>
              <w:rPr>
                <w:color w:val="000000" w:themeColor="text1"/>
                <w:szCs w:val="21"/>
              </w:rPr>
              <w:t>自吸泵</w:t>
            </w:r>
          </w:p>
        </w:tc>
        <w:tc>
          <w:tcPr>
            <w:tcW w:w="1121" w:type="dxa"/>
            <w:gridSpan w:val="2"/>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74" w:type="dxa"/>
            <w:vMerge w:val="restart"/>
            <w:vAlign w:val="center"/>
          </w:tcPr>
          <w:p>
            <w:pPr>
              <w:pStyle w:val="29"/>
              <w:spacing w:line="360" w:lineRule="exact"/>
              <w:ind w:firstLine="210" w:firstLineChars="100"/>
              <w:jc w:val="both"/>
              <w:rPr>
                <w:rFonts w:eastAsiaTheme="minorEastAsia"/>
                <w:color w:val="000000" w:themeColor="text1"/>
                <w:szCs w:val="21"/>
              </w:rPr>
            </w:pPr>
            <w:r>
              <w:rPr>
                <w:color w:val="000000" w:themeColor="text1"/>
                <w:szCs w:val="21"/>
              </w:rPr>
              <w:t>隔音房、减震垫、消声器、墙体阻隔等</w:t>
            </w:r>
          </w:p>
        </w:tc>
        <w:tc>
          <w:tcPr>
            <w:tcW w:w="1745"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w:t>
            </w:r>
            <w:r>
              <w:rPr>
                <w:rFonts w:hint="eastAsia" w:eastAsiaTheme="minorEastAsia"/>
                <w:color w:val="000000" w:themeColor="text1"/>
                <w:szCs w:val="21"/>
                <w:lang w:eastAsia="zh-CN"/>
              </w:rPr>
              <w:t>*****</w:t>
            </w:r>
            <w:r>
              <w:rPr>
                <w:rFonts w:eastAsiaTheme="minorEastAsia"/>
                <w:color w:val="000000" w:themeColor="text1"/>
                <w:szCs w:val="21"/>
              </w:rPr>
              <w:t>-2008）3类标准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Align w:val="center"/>
          </w:tcPr>
          <w:p>
            <w:pPr>
              <w:pStyle w:val="29"/>
              <w:spacing w:line="360" w:lineRule="exact"/>
              <w:rPr>
                <w:color w:val="000000" w:themeColor="text1"/>
                <w:szCs w:val="21"/>
              </w:rPr>
            </w:pPr>
            <w:r>
              <w:rPr>
                <w:color w:val="000000" w:themeColor="text1"/>
                <w:szCs w:val="21"/>
              </w:rPr>
              <w:t>运输</w:t>
            </w:r>
          </w:p>
        </w:tc>
        <w:tc>
          <w:tcPr>
            <w:tcW w:w="1861" w:type="dxa"/>
            <w:gridSpan w:val="2"/>
            <w:vAlign w:val="center"/>
          </w:tcPr>
          <w:p>
            <w:pPr>
              <w:pStyle w:val="29"/>
              <w:spacing w:line="360" w:lineRule="exact"/>
              <w:rPr>
                <w:color w:val="000000" w:themeColor="text1"/>
                <w:szCs w:val="21"/>
              </w:rPr>
            </w:pPr>
            <w:r>
              <w:rPr>
                <w:color w:val="000000" w:themeColor="text1"/>
                <w:szCs w:val="21"/>
              </w:rPr>
              <w:t>叉车</w:t>
            </w:r>
          </w:p>
        </w:tc>
        <w:tc>
          <w:tcPr>
            <w:tcW w:w="1121" w:type="dxa"/>
            <w:gridSpan w:val="2"/>
            <w:vMerge w:val="continue"/>
            <w:vAlign w:val="center"/>
          </w:tcPr>
          <w:p>
            <w:pPr>
              <w:spacing w:line="360" w:lineRule="exact"/>
              <w:jc w:val="center"/>
              <w:rPr>
                <w:rFonts w:ascii="Times New Roman" w:hAnsi="Times New Roman" w:cs="Times New Roman"/>
                <w:color w:val="000000" w:themeColor="text1"/>
                <w:kern w:val="0"/>
              </w:rPr>
            </w:pPr>
          </w:p>
        </w:tc>
        <w:tc>
          <w:tcPr>
            <w:tcW w:w="2974" w:type="dxa"/>
            <w:vMerge w:val="continue"/>
            <w:vAlign w:val="center"/>
          </w:tcPr>
          <w:p>
            <w:pPr>
              <w:pStyle w:val="29"/>
              <w:spacing w:line="360" w:lineRule="exact"/>
              <w:rPr>
                <w:rFonts w:eastAsiaTheme="minorEastAsia"/>
                <w:color w:val="000000" w:themeColor="text1"/>
                <w:szCs w:val="21"/>
              </w:rPr>
            </w:pP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Align w:val="center"/>
          </w:tcPr>
          <w:p>
            <w:pPr>
              <w:pStyle w:val="29"/>
              <w:spacing w:line="360" w:lineRule="exact"/>
              <w:rPr>
                <w:color w:val="000000" w:themeColor="text1"/>
                <w:szCs w:val="21"/>
              </w:rPr>
            </w:pPr>
            <w:r>
              <w:rPr>
                <w:color w:val="000000" w:themeColor="text1"/>
                <w:szCs w:val="21"/>
              </w:rPr>
              <w:t>环保设施</w:t>
            </w:r>
          </w:p>
        </w:tc>
        <w:tc>
          <w:tcPr>
            <w:tcW w:w="1861" w:type="dxa"/>
            <w:gridSpan w:val="2"/>
            <w:vAlign w:val="center"/>
          </w:tcPr>
          <w:p>
            <w:pPr>
              <w:pStyle w:val="29"/>
              <w:spacing w:line="360" w:lineRule="exact"/>
              <w:rPr>
                <w:color w:val="000000" w:themeColor="text1"/>
                <w:szCs w:val="21"/>
              </w:rPr>
            </w:pPr>
            <w:r>
              <w:rPr>
                <w:color w:val="000000" w:themeColor="text1"/>
                <w:szCs w:val="21"/>
              </w:rPr>
              <w:t>负压收集系统（风机）</w:t>
            </w:r>
          </w:p>
        </w:tc>
        <w:tc>
          <w:tcPr>
            <w:tcW w:w="1121" w:type="dxa"/>
            <w:gridSpan w:val="2"/>
            <w:vMerge w:val="continue"/>
            <w:vAlign w:val="center"/>
          </w:tcPr>
          <w:p>
            <w:pPr>
              <w:spacing w:line="360" w:lineRule="exact"/>
              <w:jc w:val="center"/>
              <w:rPr>
                <w:rFonts w:ascii="Times New Roman" w:hAnsi="Times New Roman" w:cs="Times New Roman"/>
                <w:color w:val="000000" w:themeColor="text1"/>
                <w:kern w:val="0"/>
              </w:rPr>
            </w:pPr>
          </w:p>
        </w:tc>
        <w:tc>
          <w:tcPr>
            <w:tcW w:w="2974" w:type="dxa"/>
            <w:vMerge w:val="continue"/>
            <w:vAlign w:val="center"/>
          </w:tcPr>
          <w:p>
            <w:pPr>
              <w:pStyle w:val="29"/>
              <w:spacing w:line="360" w:lineRule="exact"/>
              <w:rPr>
                <w:rFonts w:eastAsiaTheme="minorEastAsia"/>
                <w:color w:val="000000" w:themeColor="text1"/>
                <w:szCs w:val="21"/>
              </w:rPr>
            </w:pP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该项目危险废物贮存</w:t>
            </w:r>
          </w:p>
        </w:tc>
        <w:tc>
          <w:tcPr>
            <w:tcW w:w="1861"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贮存</w:t>
            </w:r>
          </w:p>
        </w:tc>
        <w:tc>
          <w:tcPr>
            <w:tcW w:w="1121" w:type="dxa"/>
            <w:gridSpan w:val="2"/>
            <w:tcBorders>
              <w:bottom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1"/>
              </w:rPr>
              <w:t>渗滤液</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渗滤液收集池收集后和产生渗滤液源的危险废物一同委托有资质的单位处置。</w:t>
            </w:r>
          </w:p>
        </w:tc>
        <w:tc>
          <w:tcPr>
            <w:tcW w:w="1745"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61"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员工防护</w:t>
            </w:r>
          </w:p>
        </w:tc>
        <w:tc>
          <w:tcPr>
            <w:tcW w:w="1121" w:type="dxa"/>
            <w:gridSpan w:val="2"/>
            <w:tcBorders>
              <w:bottom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1"/>
              </w:rPr>
              <w:t>废劳保用品</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贮存于5#贮存区对应区域，定期委托有资质的单位处置。</w:t>
            </w: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61"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贮存、运输</w:t>
            </w:r>
          </w:p>
        </w:tc>
        <w:tc>
          <w:tcPr>
            <w:tcW w:w="1121" w:type="dxa"/>
            <w:gridSpan w:val="2"/>
            <w:tcBorders>
              <w:bottom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1"/>
              </w:rPr>
              <w:t>废包装物</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贮存于5#贮存区对应区域，定期委托有资质的单位处置。</w:t>
            </w: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61" w:type="dxa"/>
            <w:gridSpan w:val="2"/>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废气处理</w:t>
            </w:r>
          </w:p>
        </w:tc>
        <w:tc>
          <w:tcPr>
            <w:tcW w:w="1121" w:type="dxa"/>
            <w:gridSpan w:val="2"/>
            <w:tcBorders>
              <w:bottom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1"/>
              </w:rPr>
              <w:t>废活性炭</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贮存于5#贮存区对应区域，定期委托有资质的单位处置。</w:t>
            </w: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61"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21" w:type="dxa"/>
            <w:gridSpan w:val="2"/>
            <w:tcBorders>
              <w:bottom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1"/>
              </w:rPr>
              <w:t>碱喷淋废液</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贮存于5#贮存区对应区域，定期委托有资质的单位处置。</w:t>
            </w: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现有工程危险废物贮存</w:t>
            </w:r>
          </w:p>
        </w:tc>
        <w:tc>
          <w:tcPr>
            <w:tcW w:w="1861"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贮存</w:t>
            </w:r>
          </w:p>
        </w:tc>
        <w:tc>
          <w:tcPr>
            <w:tcW w:w="1121" w:type="dxa"/>
            <w:gridSpan w:val="2"/>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废包装物</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贮存于5#贮存区对应区域，定期委托有资质的单位处置。</w:t>
            </w: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Merge w:val="continue"/>
            <w:vAlign w:val="center"/>
          </w:tcPr>
          <w:p>
            <w:pPr>
              <w:spacing w:line="360" w:lineRule="exact"/>
              <w:jc w:val="center"/>
              <w:rPr>
                <w:rFonts w:ascii="Times New Roman" w:hAnsi="Times New Roman" w:cs="Times New Roman"/>
                <w:color w:val="000000" w:themeColor="text1"/>
              </w:rPr>
            </w:pPr>
          </w:p>
        </w:tc>
        <w:tc>
          <w:tcPr>
            <w:tcW w:w="70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1861" w:type="dxa"/>
            <w:gridSpan w:val="2"/>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员工生活</w:t>
            </w:r>
          </w:p>
        </w:tc>
        <w:tc>
          <w:tcPr>
            <w:tcW w:w="1121" w:type="dxa"/>
            <w:gridSpan w:val="2"/>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生活固废</w:t>
            </w:r>
          </w:p>
        </w:tc>
        <w:tc>
          <w:tcPr>
            <w:tcW w:w="2974"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45"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409" w:type="dxa"/>
            <w:gridSpan w:val="7"/>
            <w:vAlign w:val="center"/>
          </w:tcPr>
          <w:p>
            <w:pPr>
              <w:pStyle w:val="37"/>
              <w:ind w:firstLine="480"/>
              <w:rPr>
                <w:color w:val="000000" w:themeColor="text1"/>
                <w:szCs w:val="24"/>
              </w:rPr>
            </w:pPr>
            <w:r>
              <w:rPr>
                <w:color w:val="000000" w:themeColor="text1"/>
                <w:szCs w:val="24"/>
              </w:rPr>
              <w:t>项目</w:t>
            </w:r>
            <w:r>
              <w:rPr>
                <w:rFonts w:hint="eastAsia"/>
                <w:color w:val="000000" w:themeColor="text1"/>
                <w:szCs w:val="24"/>
              </w:rPr>
              <w:t>贮存区、导流渠、</w:t>
            </w:r>
            <w:r>
              <w:rPr>
                <w:color w:val="000000" w:themeColor="text1"/>
                <w:szCs w:val="24"/>
              </w:rPr>
              <w:t>渗滤液收集池</w:t>
            </w:r>
            <w:r>
              <w:rPr>
                <w:rFonts w:hint="eastAsia"/>
                <w:color w:val="000000" w:themeColor="text1"/>
                <w:szCs w:val="24"/>
              </w:rPr>
              <w:t>、事故池等所有区域</w:t>
            </w:r>
            <w:r>
              <w:rPr>
                <w:color w:val="000000" w:themeColor="text1"/>
                <w:szCs w:val="24"/>
              </w:rPr>
              <w:t>均属于重点防渗区，具体控制措施如下：</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rFonts w:hint="eastAsia" w:ascii="宋体" w:hAnsi="宋体" w:cs="宋体"/>
                <w:color w:val="000000" w:themeColor="text1"/>
                <w:szCs w:val="24"/>
              </w:rPr>
              <w:t>⑴</w:t>
            </w:r>
            <w:r>
              <w:rPr>
                <w:color w:val="000000" w:themeColor="text1"/>
                <w:szCs w:val="24"/>
              </w:rPr>
              <w:fldChar w:fldCharType="end"/>
            </w:r>
            <w:r>
              <w:rPr>
                <w:color w:val="000000" w:themeColor="text1"/>
                <w:szCs w:val="24"/>
              </w:rPr>
              <w:t>地面防渗：根据调查，项目全部区域均采用复合土工膜防渗后，再浇筑混凝土；该复合土工膜防渗云南睿利能工程材料制造有限公司生产的土工膜，根据其检测报告，其防渗系数达到渗透系数≤2.3×10</w:t>
            </w:r>
            <w:r>
              <w:rPr>
                <w:color w:val="000000" w:themeColor="text1"/>
                <w:szCs w:val="24"/>
                <w:vertAlign w:val="superscript"/>
              </w:rPr>
              <w:t>-12</w:t>
            </w:r>
            <w:r>
              <w:rPr>
                <w:color w:val="000000" w:themeColor="text1"/>
                <w:szCs w:val="24"/>
              </w:rPr>
              <w:t>cm/s，满足渗透系数≤10</w:t>
            </w:r>
            <w:r>
              <w:rPr>
                <w:color w:val="000000" w:themeColor="text1"/>
                <w:szCs w:val="24"/>
                <w:vertAlign w:val="superscript"/>
              </w:rPr>
              <w:t>-10</w:t>
            </w:r>
            <w:r>
              <w:rPr>
                <w:color w:val="000000" w:themeColor="text1"/>
                <w:szCs w:val="24"/>
              </w:rPr>
              <w:t>cm/s的要求</w:t>
            </w:r>
            <w:r>
              <w:rPr>
                <w:rFonts w:hint="eastAsia"/>
                <w:color w:val="000000" w:themeColor="text1"/>
                <w:szCs w:val="24"/>
              </w:rPr>
              <w:t>；但在导流渠、</w:t>
            </w:r>
            <w:r>
              <w:rPr>
                <w:color w:val="000000" w:themeColor="text1"/>
                <w:szCs w:val="24"/>
              </w:rPr>
              <w:t>渗滤液收集池</w:t>
            </w:r>
            <w:r>
              <w:rPr>
                <w:rFonts w:hint="eastAsia"/>
                <w:color w:val="000000" w:themeColor="text1"/>
                <w:szCs w:val="24"/>
              </w:rPr>
              <w:t>的施工过程中，会对原有防渗层造成进行局部破坏，因此项目拟对导流渠、</w:t>
            </w:r>
            <w:r>
              <w:rPr>
                <w:color w:val="000000" w:themeColor="text1"/>
                <w:szCs w:val="24"/>
              </w:rPr>
              <w:t>渗滤液收集池</w:t>
            </w:r>
            <w:r>
              <w:rPr>
                <w:rFonts w:hint="eastAsia"/>
                <w:color w:val="000000" w:themeColor="text1"/>
                <w:szCs w:val="24"/>
              </w:rPr>
              <w:t>重新铺设</w:t>
            </w:r>
            <w:r>
              <w:rPr>
                <w:color w:val="000000" w:themeColor="text1"/>
                <w:szCs w:val="24"/>
              </w:rPr>
              <w:t>土工防渗膜</w:t>
            </w:r>
            <w:r>
              <w:rPr>
                <w:rFonts w:hint="eastAsia"/>
                <w:color w:val="000000" w:themeColor="text1"/>
                <w:szCs w:val="24"/>
              </w:rPr>
              <w:t>，同时对事故池铺设</w:t>
            </w:r>
            <w:r>
              <w:rPr>
                <w:color w:val="000000" w:themeColor="text1"/>
                <w:szCs w:val="24"/>
              </w:rPr>
              <w:t>土工防渗膜</w:t>
            </w:r>
            <w:r>
              <w:rPr>
                <w:rFonts w:hint="eastAsia"/>
                <w:color w:val="000000" w:themeColor="text1"/>
                <w:szCs w:val="24"/>
              </w:rPr>
              <w:t>，另外</w:t>
            </w:r>
            <w:r>
              <w:rPr>
                <w:color w:val="000000" w:themeColor="text1"/>
                <w:szCs w:val="24"/>
              </w:rPr>
              <w:t>项目拟对含油类及腐蚀性类液态类贮存区再次铺设土工防渗膜，确保危险废物在贮存及储运过程不对现有厂区地面进行污染。</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2 \* GB2 </w:instrText>
            </w:r>
            <w:r>
              <w:rPr>
                <w:color w:val="000000" w:themeColor="text1"/>
                <w:szCs w:val="24"/>
              </w:rPr>
              <w:fldChar w:fldCharType="separate"/>
            </w:r>
            <w:r>
              <w:rPr>
                <w:color w:val="000000" w:themeColor="text1"/>
                <w:szCs w:val="24"/>
              </w:rPr>
              <w:t>⑵</w:t>
            </w:r>
            <w:r>
              <w:rPr>
                <w:color w:val="000000" w:themeColor="text1"/>
                <w:szCs w:val="24"/>
              </w:rPr>
              <w:fldChar w:fldCharType="end"/>
            </w:r>
            <w:r>
              <w:rPr>
                <w:color w:val="000000" w:themeColor="text1"/>
                <w:szCs w:val="24"/>
              </w:rPr>
              <w:t>裙脚防渗：根据实施方案，项目危险废物贮存库内裙脚拟采用不低于2mm后的HDPE膜或其他人工防渗材料进行防渗，使其渗透系数≤10</w:t>
            </w:r>
            <w:r>
              <w:rPr>
                <w:color w:val="000000" w:themeColor="text1"/>
                <w:szCs w:val="24"/>
                <w:vertAlign w:val="superscript"/>
              </w:rPr>
              <w:t>-10</w:t>
            </w:r>
            <w:r>
              <w:rPr>
                <w:color w:val="000000" w:themeColor="text1"/>
                <w:szCs w:val="24"/>
              </w:rPr>
              <w:t>cm/s，防渗高度不低于库内原料总堆高的1/5。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409" w:type="dxa"/>
            <w:gridSpan w:val="7"/>
            <w:vAlign w:val="center"/>
          </w:tcPr>
          <w:p>
            <w:pPr>
              <w:pStyle w:val="37"/>
              <w:ind w:firstLine="480"/>
              <w:rPr>
                <w:rFonts w:eastAsiaTheme="minorEastAsia"/>
                <w:color w:val="000000" w:themeColor="text1"/>
                <w:szCs w:val="21"/>
              </w:rPr>
            </w:pPr>
            <w:r>
              <w:rPr>
                <w:color w:val="000000" w:themeColor="text1"/>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409" w:type="dxa"/>
            <w:gridSpan w:val="7"/>
            <w:vAlign w:val="center"/>
          </w:tcPr>
          <w:p>
            <w:pPr>
              <w:pStyle w:val="37"/>
              <w:ind w:firstLine="480"/>
              <w:rPr>
                <w:color w:val="000000" w:themeColor="text1"/>
                <w:szCs w:val="24"/>
              </w:rPr>
            </w:pPr>
            <w:r>
              <w:rPr>
                <w:color w:val="000000" w:themeColor="text1"/>
                <w:szCs w:val="24"/>
              </w:rPr>
              <w:t>根据该项目环境影响途经，提出以下风险防范措施：</w:t>
            </w:r>
          </w:p>
          <w:p>
            <w:pPr>
              <w:pStyle w:val="37"/>
              <w:ind w:firstLine="482"/>
              <w:rPr>
                <w:b/>
                <w:color w:val="000000" w:themeColor="text1"/>
                <w:szCs w:val="24"/>
              </w:rPr>
            </w:pPr>
            <w:bookmarkStart w:id="37" w:name="_Toc146210233"/>
            <w:r>
              <w:rPr>
                <w:b/>
                <w:color w:val="000000" w:themeColor="text1"/>
                <w:szCs w:val="24"/>
              </w:rPr>
              <w:t>一、大气环境风险防范</w:t>
            </w:r>
            <w:bookmarkEnd w:id="37"/>
          </w:p>
          <w:p>
            <w:pPr>
              <w:pStyle w:val="37"/>
              <w:ind w:firstLine="480"/>
              <w:rPr>
                <w:color w:val="000000" w:themeColor="text1"/>
                <w:szCs w:val="24"/>
              </w:rPr>
            </w:pPr>
            <w:r>
              <w:rPr>
                <w:color w:val="000000" w:themeColor="text1"/>
                <w:szCs w:val="24"/>
              </w:rPr>
              <w:t>项目严格执行相关规范要求进行平面布置，所有建、构筑物之问或与其它场所之间留有足够的防火间距，防止在火灾或爆炸时相互影响；严格按工艺处理物料特性，对厂区进行危险区划分。</w:t>
            </w:r>
          </w:p>
          <w:p>
            <w:pPr>
              <w:pStyle w:val="37"/>
              <w:ind w:firstLine="480"/>
              <w:rPr>
                <w:color w:val="000000" w:themeColor="text1"/>
                <w:szCs w:val="24"/>
              </w:rPr>
            </w:pPr>
            <w:r>
              <w:rPr>
                <w:color w:val="000000" w:themeColor="text1"/>
                <w:szCs w:val="24"/>
              </w:rPr>
              <w:t>根据火灾危险性 等级和防火、防爆要求，建筑物的防火等级均采用国家现行规范要求的耐火等级设计，满足建筑防火要求。</w:t>
            </w:r>
          </w:p>
          <w:p>
            <w:pPr>
              <w:pStyle w:val="37"/>
              <w:ind w:firstLine="480"/>
              <w:rPr>
                <w:color w:val="000000" w:themeColor="text1"/>
                <w:szCs w:val="24"/>
              </w:rPr>
            </w:pPr>
            <w:r>
              <w:rPr>
                <w:color w:val="000000" w:themeColor="text1"/>
                <w:szCs w:val="24"/>
              </w:rPr>
              <w:t>为控制仓储区内有机废气、刺激性废气的质量浓度，防止其发生环境风险，项目在满足全封闭厂房 “防风、防雨、防晒”要求的条件下，设置了通风系统。</w:t>
            </w:r>
          </w:p>
          <w:p>
            <w:pPr>
              <w:pStyle w:val="37"/>
              <w:ind w:firstLine="482"/>
              <w:rPr>
                <w:b/>
                <w:color w:val="000000" w:themeColor="text1"/>
                <w:szCs w:val="24"/>
              </w:rPr>
            </w:pPr>
            <w:bookmarkStart w:id="38" w:name="_Toc146210234"/>
            <w:r>
              <w:rPr>
                <w:b/>
                <w:color w:val="000000" w:themeColor="text1"/>
                <w:szCs w:val="24"/>
              </w:rPr>
              <w:t>二、运输风险防范措施</w:t>
            </w:r>
            <w:bookmarkEnd w:id="38"/>
          </w:p>
          <w:p>
            <w:pPr>
              <w:pStyle w:val="37"/>
              <w:ind w:firstLine="480"/>
              <w:rPr>
                <w:color w:val="000000" w:themeColor="text1"/>
                <w:szCs w:val="24"/>
              </w:rPr>
            </w:pPr>
            <w:r>
              <w:rPr>
                <w:color w:val="000000" w:themeColor="text1"/>
                <w:szCs w:val="24"/>
              </w:rPr>
              <w:t>①危险废物运输单位必须具有相应道路运输经营许可证，运输过程严格遵守《中华人民共和国固体废物污染环境防治法》、参照《危险废物收集贮存运输技术规范》（HJ2025-2012）等相关规定。危险废物的运输严格按照《危险化学品安全管理条例》、《道路危险货物运输管理规定》、《汽车危险货物运输规则》和《危险废物收集贮存运输技术规范》等有关危险品运输管理规定执行。人员和运输工具均应满足相关要求，做到预防为主、防患于未然。</w:t>
            </w:r>
          </w:p>
          <w:p>
            <w:pPr>
              <w:pStyle w:val="37"/>
              <w:ind w:firstLine="480"/>
              <w:rPr>
                <w:color w:val="000000" w:themeColor="text1"/>
                <w:szCs w:val="24"/>
              </w:rPr>
            </w:pPr>
            <w:r>
              <w:rPr>
                <w:color w:val="000000" w:themeColor="text1"/>
                <w:szCs w:val="24"/>
              </w:rPr>
              <w:t>②危险废物运输车辆必须在车辆前部和后部、车厢两侧设置专用危险化学品警示标识。对运输危险废物的车辆使用密闭、结实的容器，并配有明显标志和灭火工具。</w:t>
            </w:r>
          </w:p>
          <w:p>
            <w:pPr>
              <w:pStyle w:val="37"/>
              <w:ind w:firstLine="480"/>
              <w:rPr>
                <w:color w:val="000000" w:themeColor="text1"/>
                <w:szCs w:val="24"/>
              </w:rPr>
            </w:pPr>
            <w:r>
              <w:rPr>
                <w:color w:val="000000" w:themeColor="text1"/>
                <w:szCs w:val="24"/>
              </w:rPr>
              <w:t>③配备专门的危险废物运输车辆，统一配备GPRS系统，由指挥中心即时监控每辆运输车辆的行驶路线，出现偏差时迅速与司机联系、及时纠正。</w:t>
            </w:r>
          </w:p>
          <w:p>
            <w:pPr>
              <w:pStyle w:val="37"/>
              <w:ind w:firstLine="480"/>
              <w:rPr>
                <w:color w:val="000000" w:themeColor="text1"/>
                <w:szCs w:val="24"/>
              </w:rPr>
            </w:pPr>
            <w:r>
              <w:rPr>
                <w:color w:val="000000" w:themeColor="text1"/>
                <w:szCs w:val="24"/>
              </w:rPr>
              <w:t>④指挥中心通过车载GPRS系统监控车辆行驶速度、连续行驶时间等，一旦超过限值，则迅速与当值司机取得联系、进行纠正，对车辆实行动态监测，以便在出现事故时迅速做出反应。</w:t>
            </w:r>
          </w:p>
          <w:p>
            <w:pPr>
              <w:pStyle w:val="37"/>
              <w:ind w:firstLine="480"/>
              <w:rPr>
                <w:color w:val="000000" w:themeColor="text1"/>
                <w:szCs w:val="24"/>
              </w:rPr>
            </w:pPr>
            <w:r>
              <w:rPr>
                <w:color w:val="000000" w:themeColor="text1"/>
                <w:szCs w:val="24"/>
              </w:rPr>
              <w:t>⑤在运输途中，由于各种意外原因，产生汽车翻车、装船或沉船等，危险货物有可能散落、拋出至大气、水体或陆域，造成重大环境灾害，对于这类风险事故，要求采取应急措施，包括工程应念措施和社会救援应急预案。运输车辆上配备应急器材，在出现事故等导致危险废物泄漏时，可以第一时间采取措施控制影响范围。</w:t>
            </w:r>
          </w:p>
          <w:p>
            <w:pPr>
              <w:pStyle w:val="37"/>
              <w:ind w:firstLine="480"/>
              <w:rPr>
                <w:color w:val="000000" w:themeColor="text1"/>
                <w:szCs w:val="24"/>
              </w:rPr>
            </w:pPr>
            <w:r>
              <w:rPr>
                <w:color w:val="000000" w:themeColor="text1"/>
                <w:szCs w:val="24"/>
              </w:rPr>
              <w:t>⑥定期组织培训，强化对司机的安全、风险防范与应急的教育，培训合格后才可以进行下一次的运输工作。</w:t>
            </w:r>
          </w:p>
          <w:p>
            <w:pPr>
              <w:pStyle w:val="37"/>
              <w:ind w:firstLine="480"/>
              <w:rPr>
                <w:color w:val="000000" w:themeColor="text1"/>
                <w:szCs w:val="24"/>
              </w:rPr>
            </w:pPr>
            <w:r>
              <w:rPr>
                <w:color w:val="000000" w:themeColor="text1"/>
                <w:szCs w:val="24"/>
              </w:rPr>
              <w:t>⑦运输前应事先作出周密的运输计划，安排好运输车辆经过各路段的时间，尽量避免运输车辆通过人口密集区域。危险货物运输中，由于经受多次搬运装卸，因温度、压力的变化：重装重卸，操作不当：容器多次回收利用，强度下降，桶盖垫圈失落没有拧紧，安全阀开启，阀门变形断裂等原因，均易造成气体扩散、液体滴漏、固体散落，出现不同程度的渗漏，甚至可能引起火灾、爆炸或污染环境等事故。对这类事故的应急，按照应急就近的原则，运输操作人员首先采取相应的应急措施，进行渗漏处理，防止危险物质扩散至环境。</w:t>
            </w:r>
          </w:p>
          <w:p>
            <w:pPr>
              <w:pStyle w:val="37"/>
              <w:ind w:firstLine="480"/>
              <w:rPr>
                <w:color w:val="000000" w:themeColor="text1"/>
                <w:szCs w:val="24"/>
              </w:rPr>
            </w:pPr>
            <w:r>
              <w:rPr>
                <w:color w:val="000000" w:themeColor="text1"/>
                <w:szCs w:val="24"/>
              </w:rPr>
              <w:t>⑧运输车辆在每次运输前都必须对车辆的车况进行检查，确保车况良好后方可出车，运输车辆负责人应对每辆运输车必须配备的辅助物品进行检查，确保完备，定期对运输车辆进行全面检查，减少和防止危险废物发生泄漏和交通事故的发生。</w:t>
            </w:r>
          </w:p>
          <w:p>
            <w:pPr>
              <w:pStyle w:val="37"/>
              <w:ind w:firstLine="480"/>
              <w:rPr>
                <w:color w:val="000000" w:themeColor="text1"/>
                <w:szCs w:val="24"/>
              </w:rPr>
            </w:pPr>
            <w:r>
              <w:rPr>
                <w:color w:val="000000" w:themeColor="text1"/>
                <w:szCs w:val="24"/>
              </w:rPr>
              <w:t>⑨合理安排运输频次，在气象条件不好的天气，如暴雨、台风等，不能运输危险废物；小雨天可运输，但应小心驾驶并加强安全措施。</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10 \* GB3 </w:instrText>
            </w:r>
            <w:r>
              <w:rPr>
                <w:color w:val="000000" w:themeColor="text1"/>
                <w:szCs w:val="24"/>
              </w:rPr>
              <w:fldChar w:fldCharType="separate"/>
            </w:r>
            <w:r>
              <w:rPr>
                <w:color w:val="000000" w:themeColor="text1"/>
                <w:szCs w:val="24"/>
              </w:rPr>
              <w:t>⑩</w:t>
            </w:r>
            <w:r>
              <w:rPr>
                <w:color w:val="000000" w:themeColor="text1"/>
                <w:szCs w:val="24"/>
              </w:rPr>
              <w:fldChar w:fldCharType="end"/>
            </w:r>
            <w:r>
              <w:rPr>
                <w:color w:val="000000" w:themeColor="text1"/>
                <w:szCs w:val="24"/>
              </w:rPr>
              <w:t>在跨越水体时减速慢行，确保安全通过。承运人员应接受过必要的业务培训。加强跨越地表水体的桥梁运营管理，设置限速标志、划分行车道等，做好日常检修和维护工作，确保桥面路况状态良好，防撞栏安装牢固。</w:t>
            </w:r>
          </w:p>
          <w:p>
            <w:pPr>
              <w:pStyle w:val="37"/>
              <w:ind w:firstLine="482"/>
              <w:rPr>
                <w:b/>
                <w:color w:val="000000" w:themeColor="text1"/>
                <w:szCs w:val="24"/>
              </w:rPr>
            </w:pPr>
            <w:bookmarkStart w:id="39" w:name="_Toc146210235"/>
            <w:r>
              <w:rPr>
                <w:b/>
                <w:color w:val="000000" w:themeColor="text1"/>
                <w:szCs w:val="24"/>
              </w:rPr>
              <w:t>三、贮存过程风险防范</w:t>
            </w:r>
            <w:bookmarkEnd w:id="39"/>
          </w:p>
          <w:p>
            <w:pPr>
              <w:pStyle w:val="37"/>
              <w:ind w:firstLine="480"/>
              <w:rPr>
                <w:color w:val="000000" w:themeColor="text1"/>
                <w:szCs w:val="24"/>
              </w:rPr>
            </w:pPr>
            <w:r>
              <w:rPr>
                <w:color w:val="000000" w:themeColor="text1"/>
                <w:szCs w:val="24"/>
              </w:rPr>
              <w:t>贮存过程事故风险主要是因设备泄漏而造成的火灾爆炸、毒气释放和水质污染等事故，是安全生产的重要方面。</w:t>
            </w:r>
          </w:p>
          <w:p>
            <w:pPr>
              <w:pStyle w:val="37"/>
              <w:ind w:firstLine="480"/>
              <w:rPr>
                <w:color w:val="000000" w:themeColor="text1"/>
                <w:szCs w:val="24"/>
              </w:rPr>
            </w:pPr>
            <w:r>
              <w:rPr>
                <w:color w:val="000000" w:themeColor="text1"/>
                <w:szCs w:val="24"/>
              </w:rPr>
              <w:t>①根据物料的易燃、易爆、易挥发性等性质进行储存。</w:t>
            </w:r>
          </w:p>
          <w:p>
            <w:pPr>
              <w:pStyle w:val="37"/>
              <w:ind w:firstLine="480"/>
              <w:rPr>
                <w:color w:val="000000" w:themeColor="text1"/>
                <w:szCs w:val="24"/>
              </w:rPr>
            </w:pPr>
            <w:r>
              <w:rPr>
                <w:color w:val="000000" w:themeColor="text1"/>
                <w:szCs w:val="24"/>
              </w:rPr>
              <w:t>②暂存库应按消防要求配置消防灭火系统。包括泡沫消防设施和水泡消防设施，制定严格的作业制度。</w:t>
            </w:r>
          </w:p>
          <w:p>
            <w:pPr>
              <w:pStyle w:val="37"/>
              <w:ind w:firstLine="480"/>
              <w:rPr>
                <w:color w:val="000000" w:themeColor="text1"/>
                <w:szCs w:val="24"/>
              </w:rPr>
            </w:pPr>
            <w:r>
              <w:rPr>
                <w:color w:val="000000" w:themeColor="text1"/>
                <w:szCs w:val="24"/>
              </w:rPr>
              <w:t>③暂存库管理人员，必须经过专业知识培训，熟悉贮存物品的特性、事故处理办法和防护知识，持证上岗，同时，必须配备有关的个人防护用品。</w:t>
            </w:r>
          </w:p>
          <w:p>
            <w:pPr>
              <w:pStyle w:val="37"/>
              <w:ind w:firstLine="480"/>
              <w:rPr>
                <w:color w:val="000000" w:themeColor="text1"/>
                <w:szCs w:val="24"/>
              </w:rPr>
            </w:pPr>
            <w:r>
              <w:rPr>
                <w:color w:val="000000" w:themeColor="text1"/>
                <w:szCs w:val="24"/>
              </w:rPr>
              <w:t>④贮存的危险废物必须设有明显的标志，并按国家规定标淮控制不同单位面积的最大贮存限量。</w:t>
            </w:r>
          </w:p>
          <w:p>
            <w:pPr>
              <w:pStyle w:val="37"/>
              <w:ind w:firstLine="480"/>
              <w:rPr>
                <w:color w:val="000000" w:themeColor="text1"/>
                <w:szCs w:val="24"/>
              </w:rPr>
            </w:pPr>
            <w:r>
              <w:rPr>
                <w:color w:val="000000" w:themeColor="text1"/>
                <w:szCs w:val="24"/>
              </w:rPr>
              <w:t>⑤暂存库的消防设施、用电设施、防雷防静电设施等必须符合国家规定的安全要求。</w:t>
            </w:r>
          </w:p>
          <w:p>
            <w:pPr>
              <w:pStyle w:val="37"/>
              <w:ind w:firstLine="480"/>
              <w:rPr>
                <w:color w:val="000000" w:themeColor="text1"/>
                <w:szCs w:val="24"/>
              </w:rPr>
            </w:pPr>
            <w:r>
              <w:rPr>
                <w:color w:val="000000" w:themeColor="text1"/>
                <w:szCs w:val="24"/>
              </w:rPr>
              <w:t>⑥危险皮物出入库必须检杳验收登记，贮存期问定期养护，控制好贮存场所的温度和湿度：装卸、搬运时应轻装轻卸，注意自我防护。</w:t>
            </w:r>
          </w:p>
          <w:p>
            <w:pPr>
              <w:pStyle w:val="37"/>
              <w:ind w:firstLine="480"/>
              <w:rPr>
                <w:color w:val="000000" w:themeColor="text1"/>
                <w:szCs w:val="24"/>
              </w:rPr>
            </w:pPr>
            <w:r>
              <w:rPr>
                <w:color w:val="000000" w:themeColor="text1"/>
                <w:szCs w:val="24"/>
              </w:rPr>
              <w:t>⑦要严格遵守有关贮-存的安全规定，具体包括《仓库防火安全管理规则》《建筑设计防火规范》、《易燃易爆化学物品消防安全监督管理办法》等。</w:t>
            </w:r>
          </w:p>
          <w:p>
            <w:pPr>
              <w:pStyle w:val="37"/>
              <w:ind w:firstLine="482"/>
              <w:rPr>
                <w:b/>
                <w:color w:val="000000" w:themeColor="text1"/>
                <w:szCs w:val="24"/>
              </w:rPr>
            </w:pPr>
            <w:bookmarkStart w:id="40" w:name="_Toc146210236"/>
            <w:r>
              <w:rPr>
                <w:b/>
                <w:color w:val="000000" w:themeColor="text1"/>
                <w:szCs w:val="24"/>
              </w:rPr>
              <w:t>四、设备维护及泄漏防范措施</w:t>
            </w:r>
            <w:bookmarkEnd w:id="40"/>
          </w:p>
          <w:p>
            <w:pPr>
              <w:pStyle w:val="37"/>
              <w:ind w:firstLine="480"/>
              <w:rPr>
                <w:color w:val="000000" w:themeColor="text1"/>
                <w:szCs w:val="24"/>
              </w:rPr>
            </w:pPr>
            <w:r>
              <w:rPr>
                <w:color w:val="000000" w:themeColor="text1"/>
                <w:szCs w:val="24"/>
              </w:rPr>
              <w:t>环境风险的防范重点是设备维护和泄漏防范，设备故障及设备泄漏既是火灾爆炸等重大事故的主要原因，同时也是大气污染的主要原因。</w:t>
            </w:r>
          </w:p>
          <w:p>
            <w:pPr>
              <w:pStyle w:val="37"/>
              <w:ind w:firstLine="361" w:firstLineChars="150"/>
              <w:rPr>
                <w:b/>
                <w:color w:val="000000" w:themeColor="text1"/>
                <w:szCs w:val="24"/>
              </w:rPr>
            </w:pPr>
            <w:r>
              <w:rPr>
                <w:b/>
                <w:color w:val="000000" w:themeColor="text1"/>
                <w:szCs w:val="24"/>
              </w:rPr>
              <w:t>（1）质量控制和维护</w:t>
            </w:r>
          </w:p>
          <w:p>
            <w:pPr>
              <w:pStyle w:val="37"/>
              <w:ind w:firstLine="480"/>
              <w:rPr>
                <w:color w:val="000000" w:themeColor="text1"/>
                <w:szCs w:val="24"/>
              </w:rPr>
            </w:pPr>
            <w:r>
              <w:rPr>
                <w:color w:val="000000" w:themeColor="text1"/>
                <w:szCs w:val="24"/>
              </w:rPr>
              <w:t>设备的质量控制过程就是要做好设备的管理，采取“五个相结合” 的指施，即设计、制造与使用相结合：维护与计划检修相结合：修理、改造与更新相结合；</w:t>
            </w:r>
          </w:p>
          <w:p>
            <w:pPr>
              <w:pStyle w:val="37"/>
              <w:ind w:firstLine="480"/>
              <w:rPr>
                <w:color w:val="000000" w:themeColor="text1"/>
                <w:szCs w:val="24"/>
              </w:rPr>
            </w:pPr>
            <w:r>
              <w:rPr>
                <w:color w:val="000000" w:themeColor="text1"/>
                <w:szCs w:val="24"/>
              </w:rPr>
              <w:t>专业管理与车间管理相结合；技术管理与经济管理相结合。</w:t>
            </w:r>
          </w:p>
          <w:p>
            <w:pPr>
              <w:pStyle w:val="37"/>
              <w:ind w:firstLine="480"/>
              <w:rPr>
                <w:color w:val="000000" w:themeColor="text1"/>
                <w:szCs w:val="24"/>
              </w:rPr>
            </w:pPr>
            <w:r>
              <w:rPr>
                <w:color w:val="000000" w:themeColor="text1"/>
                <w:szCs w:val="24"/>
              </w:rPr>
              <w:t>①设计、制造与使用相结合就是在本项目设备设计过程中，必须充分考虑全寿命周期内设备的可靠性、维修性、经济性冷指标，合理选林、方便维修，选择信誉好、售后服务好的供货企业，最大限度地满足本项目的需要。</w:t>
            </w:r>
          </w:p>
          <w:p>
            <w:pPr>
              <w:pStyle w:val="37"/>
              <w:ind w:firstLine="480"/>
              <w:rPr>
                <w:color w:val="000000" w:themeColor="text1"/>
                <w:szCs w:val="24"/>
              </w:rPr>
            </w:pPr>
            <w:r>
              <w:rPr>
                <w:color w:val="000000" w:themeColor="text1"/>
                <w:szCs w:val="24"/>
              </w:rPr>
              <w:t>②维护与计划维修相结合，是保证设各持续安全经济运行的重要措施。车间要对设备进行定期的维护保养，设各管理部门要计划安排设备的定期大中修，提高设备的使用寿命。</w:t>
            </w:r>
          </w:p>
          <w:p>
            <w:pPr>
              <w:pStyle w:val="37"/>
              <w:ind w:firstLine="480"/>
              <w:rPr>
                <w:color w:val="000000" w:themeColor="text1"/>
                <w:szCs w:val="24"/>
              </w:rPr>
            </w:pPr>
            <w:r>
              <w:rPr>
                <w:color w:val="000000" w:themeColor="text1"/>
                <w:szCs w:val="24"/>
              </w:rPr>
              <w:t>③修理、改造与更新相结合是提高企业技术装各素质的有效措施。要建立改造、白我发展的设备更新改造的运行机制，依靠技术进步，采用高新技术，至方筹集资金改造更新日设备。以技术经济分析为手段和依据，进行设备大修、更新改造的决策。</w:t>
            </w:r>
          </w:p>
          <w:p>
            <w:pPr>
              <w:pStyle w:val="37"/>
              <w:ind w:firstLine="361" w:firstLineChars="150"/>
              <w:rPr>
                <w:b/>
                <w:color w:val="000000" w:themeColor="text1"/>
                <w:szCs w:val="24"/>
              </w:rPr>
            </w:pPr>
            <w:r>
              <w:rPr>
                <w:b/>
                <w:color w:val="000000" w:themeColor="text1"/>
                <w:szCs w:val="24"/>
              </w:rPr>
              <w:t>（2）防泄漏措施</w:t>
            </w:r>
          </w:p>
          <w:p>
            <w:pPr>
              <w:pStyle w:val="37"/>
              <w:ind w:firstLine="480"/>
              <w:rPr>
                <w:color w:val="000000" w:themeColor="text1"/>
                <w:szCs w:val="24"/>
              </w:rPr>
            </w:pPr>
            <w:r>
              <w:rPr>
                <w:color w:val="000000" w:themeColor="text1"/>
                <w:szCs w:val="24"/>
              </w:rPr>
              <w:t>为加强密封管理，减少跑、冒、滴、漏现象，做好清洁生产工作，在日常生产中，采取如下措施：</w:t>
            </w:r>
          </w:p>
          <w:p>
            <w:pPr>
              <w:pStyle w:val="37"/>
              <w:ind w:firstLine="480"/>
              <w:rPr>
                <w:color w:val="000000" w:themeColor="text1"/>
                <w:szCs w:val="24"/>
              </w:rPr>
            </w:pPr>
            <w:r>
              <w:rPr>
                <w:color w:val="000000" w:themeColor="text1"/>
                <w:szCs w:val="24"/>
              </w:rPr>
              <w:t>①认真贯彻执行公司制定的设备密封管理制度，对操作工进行技术培训，掌握动静密封方面的知识，树立清洁生产的观念。开展创造和巩固无泄漏工厂活动，消漏、堵漏工作经常化、具体化、制度化。各车间静密封泄漏率常保持在0.5%以下，动密封点泄漏率在2%0以下。</w:t>
            </w:r>
          </w:p>
          <w:p>
            <w:pPr>
              <w:pStyle w:val="37"/>
              <w:ind w:firstLine="480"/>
              <w:rPr>
                <w:color w:val="000000" w:themeColor="text1"/>
                <w:szCs w:val="24"/>
              </w:rPr>
            </w:pPr>
            <w:r>
              <w:rPr>
                <w:color w:val="000000" w:themeColor="text1"/>
                <w:szCs w:val="24"/>
              </w:rPr>
              <w:t>②建立动静密封点管理责任制</w:t>
            </w:r>
          </w:p>
          <w:p>
            <w:pPr>
              <w:pStyle w:val="37"/>
              <w:ind w:firstLine="480"/>
              <w:rPr>
                <w:color w:val="000000" w:themeColor="text1"/>
                <w:szCs w:val="24"/>
              </w:rPr>
            </w:pPr>
            <w:r>
              <w:rPr>
                <w:color w:val="000000" w:themeColor="text1"/>
                <w:szCs w:val="24"/>
              </w:rPr>
              <w:t>要将动静密封点的管理分解到班组、岗位。机修人员每天定时进行巡检，发现泄漏点，及时进行消缺。对动静密封点进行统计，生产装置、设备、管路都必须建立静、动密封档案和台帐。</w:t>
            </w:r>
          </w:p>
          <w:p>
            <w:pPr>
              <w:pStyle w:val="37"/>
              <w:ind w:firstLine="480"/>
              <w:rPr>
                <w:color w:val="000000" w:themeColor="text1"/>
                <w:szCs w:val="24"/>
              </w:rPr>
            </w:pPr>
            <w:r>
              <w:rPr>
                <w:color w:val="000000" w:themeColor="text1"/>
                <w:szCs w:val="24"/>
              </w:rPr>
              <w:t>设备动力科每月组织对车问进漏情况进行检查、评比。对动静密封点进行统计，生产装置、设备、管路都必须建立静、动密封档案和台帐。做好密封技术研究，推广应用密封新技术、新材料。</w:t>
            </w:r>
          </w:p>
          <w:p>
            <w:pPr>
              <w:pStyle w:val="37"/>
              <w:ind w:firstLine="480"/>
              <w:rPr>
                <w:color w:val="000000" w:themeColor="text1"/>
                <w:szCs w:val="24"/>
              </w:rPr>
            </w:pPr>
            <w:r>
              <w:rPr>
                <w:color w:val="000000" w:themeColor="text1"/>
                <w:szCs w:val="24"/>
              </w:rPr>
              <w:t>③建设导流渠和渗滤液收集池</w:t>
            </w:r>
          </w:p>
          <w:p>
            <w:pPr>
              <w:pStyle w:val="37"/>
              <w:ind w:firstLine="480"/>
              <w:rPr>
                <w:color w:val="000000" w:themeColor="text1"/>
                <w:szCs w:val="24"/>
              </w:rPr>
            </w:pPr>
            <w:r>
              <w:rPr>
                <w:color w:val="000000" w:themeColor="text1"/>
                <w:szCs w:val="24"/>
              </w:rPr>
              <w:t>项目拟对每个贮存分区均配套设置导流渠对非正常情况下可能产生的废液进行导流</w:t>
            </w:r>
            <w:r>
              <w:rPr>
                <w:rFonts w:hint="eastAsia"/>
                <w:color w:val="000000" w:themeColor="text1"/>
                <w:szCs w:val="24"/>
              </w:rPr>
              <w:t>，</w:t>
            </w:r>
            <w:r>
              <w:rPr>
                <w:rFonts w:hint="eastAsia"/>
                <w:color w:val="000000" w:themeColor="text1"/>
                <w:szCs w:val="21"/>
              </w:rPr>
              <w:t>导流渠位于各个分区内侧，可完全收集各分区的渗滤液，并连接至</w:t>
            </w:r>
            <w:r>
              <w:rPr>
                <w:color w:val="000000" w:themeColor="text1"/>
                <w:szCs w:val="21"/>
              </w:rPr>
              <w:t>渗滤液收集池</w:t>
            </w:r>
            <w:r>
              <w:rPr>
                <w:rFonts w:hint="eastAsia"/>
                <w:color w:val="000000" w:themeColor="text1"/>
                <w:szCs w:val="21"/>
              </w:rPr>
              <w:t>，导流渠深10cm、宽20cm，合计长度约62m；</w:t>
            </w:r>
            <w:r>
              <w:rPr>
                <w:color w:val="000000" w:themeColor="text1"/>
                <w:szCs w:val="24"/>
              </w:rPr>
              <w:t>项目每个分区均配套设置1个1m³渗滤液收集池对非正常情况可能产生的渗滤液进行收集，共设置8个渗滤液收集池，防治泄漏。</w:t>
            </w:r>
          </w:p>
          <w:p>
            <w:pPr>
              <w:pStyle w:val="37"/>
              <w:ind w:firstLine="361" w:firstLineChars="150"/>
              <w:rPr>
                <w:b/>
                <w:color w:val="000000" w:themeColor="text1"/>
                <w:szCs w:val="24"/>
              </w:rPr>
            </w:pPr>
            <w:r>
              <w:rPr>
                <w:rFonts w:hint="eastAsia"/>
                <w:b/>
                <w:color w:val="000000" w:themeColor="text1"/>
                <w:szCs w:val="24"/>
              </w:rPr>
              <w:t>（3）事故废水收集措施</w:t>
            </w:r>
          </w:p>
          <w:p>
            <w:pPr>
              <w:pStyle w:val="37"/>
              <w:ind w:firstLine="480"/>
              <w:rPr>
                <w:color w:val="000000" w:themeColor="text1"/>
                <w:szCs w:val="21"/>
              </w:rPr>
            </w:pPr>
            <w:r>
              <w:rPr>
                <w:rFonts w:hint="eastAsia"/>
                <w:color w:val="000000" w:themeColor="text1"/>
                <w:szCs w:val="21"/>
              </w:rPr>
              <w:t>根据“</w:t>
            </w:r>
            <w:bookmarkStart w:id="41" w:name="_Toc146790969"/>
            <w:r>
              <w:rPr>
                <w:color w:val="000000" w:themeColor="text1"/>
                <w:szCs w:val="21"/>
              </w:rPr>
              <w:t>环境风险</w:t>
            </w:r>
            <w:r>
              <w:rPr>
                <w:rFonts w:hint="eastAsia"/>
                <w:color w:val="000000" w:themeColor="text1"/>
                <w:szCs w:val="21"/>
              </w:rPr>
              <w:t>专项</w:t>
            </w:r>
            <w:r>
              <w:rPr>
                <w:color w:val="000000" w:themeColor="text1"/>
                <w:szCs w:val="21"/>
              </w:rPr>
              <w:t>评价</w:t>
            </w:r>
            <w:bookmarkEnd w:id="41"/>
            <w:r>
              <w:rPr>
                <w:rFonts w:hint="eastAsia"/>
                <w:color w:val="000000" w:themeColor="text1"/>
                <w:szCs w:val="21"/>
              </w:rPr>
              <w:t>”的分析，项目事故废水V总为12</w:t>
            </w:r>
            <w:r>
              <w:rPr>
                <w:color w:val="000000" w:themeColor="text1"/>
                <w:szCs w:val="21"/>
              </w:rPr>
              <w:t>m³</w:t>
            </w:r>
            <w:r>
              <w:rPr>
                <w:rFonts w:hint="eastAsia"/>
                <w:color w:val="000000" w:themeColor="text1"/>
                <w:szCs w:val="21"/>
              </w:rPr>
              <w:t>，</w:t>
            </w:r>
            <w:r>
              <w:rPr>
                <w:color w:val="000000" w:themeColor="text1"/>
                <w:szCs w:val="21"/>
              </w:rPr>
              <w:t>昆明旭鑫环保科技有限公司原料暂存库内已设置了1个有效容积为20m³的闲置水池，拟</w:t>
            </w:r>
            <w:r>
              <w:rPr>
                <w:rFonts w:hint="eastAsia"/>
                <w:color w:val="000000" w:themeColor="text1"/>
                <w:szCs w:val="21"/>
              </w:rPr>
              <w:t>对其</w:t>
            </w:r>
            <w:r>
              <w:rPr>
                <w:rFonts w:hint="eastAsia"/>
                <w:color w:val="000000" w:themeColor="text1"/>
                <w:szCs w:val="24"/>
              </w:rPr>
              <w:t>铺设</w:t>
            </w:r>
            <w:r>
              <w:rPr>
                <w:color w:val="000000" w:themeColor="text1"/>
                <w:szCs w:val="24"/>
              </w:rPr>
              <w:t>土工防渗膜</w:t>
            </w:r>
            <w:r>
              <w:rPr>
                <w:rFonts w:hint="eastAsia"/>
                <w:color w:val="000000" w:themeColor="text1"/>
                <w:szCs w:val="24"/>
              </w:rPr>
              <w:t>后</w:t>
            </w:r>
            <w:r>
              <w:rPr>
                <w:color w:val="000000" w:themeColor="text1"/>
                <w:szCs w:val="21"/>
              </w:rPr>
              <w:t>作为事故池使用，对风险事故废水进行收集，以满足事故状态下收集泄漏物料、污染消防水的需要。</w:t>
            </w:r>
          </w:p>
          <w:p>
            <w:pPr>
              <w:pStyle w:val="37"/>
              <w:ind w:firstLine="482"/>
              <w:rPr>
                <w:b/>
                <w:color w:val="000000" w:themeColor="text1"/>
                <w:szCs w:val="24"/>
              </w:rPr>
            </w:pPr>
            <w:bookmarkStart w:id="42" w:name="_Toc146210237"/>
            <w:r>
              <w:rPr>
                <w:b/>
                <w:color w:val="000000" w:themeColor="text1"/>
                <w:szCs w:val="24"/>
              </w:rPr>
              <w:t>五、管理措施</w:t>
            </w:r>
            <w:bookmarkEnd w:id="42"/>
          </w:p>
          <w:p>
            <w:pPr>
              <w:pStyle w:val="37"/>
              <w:ind w:firstLine="480"/>
              <w:rPr>
                <w:color w:val="000000" w:themeColor="text1"/>
                <w:szCs w:val="24"/>
              </w:rPr>
            </w:pPr>
            <w:r>
              <w:rPr>
                <w:color w:val="000000" w:themeColor="text1"/>
                <w:szCs w:val="24"/>
              </w:rPr>
              <w:t>①项目配备有专业知识的技术人员，仓库及场所应设专人管理，管理人员必须配备可靠的个人安全防护用品。</w:t>
            </w:r>
          </w:p>
          <w:p>
            <w:pPr>
              <w:pStyle w:val="37"/>
              <w:ind w:firstLine="480"/>
              <w:rPr>
                <w:color w:val="000000" w:themeColor="text1"/>
                <w:szCs w:val="24"/>
              </w:rPr>
            </w:pPr>
            <w:r>
              <w:rPr>
                <w:color w:val="000000" w:themeColor="text1"/>
                <w:szCs w:val="24"/>
              </w:rPr>
              <w:t>②入库时，严格检验物品质量、数量、包装情况、有无泄漏。入库后应采取适当的养护措施，在贮存期内，定期检查，发现其品质变化、包装破损、渗漏等，应及时处理。</w:t>
            </w:r>
          </w:p>
          <w:p>
            <w:pPr>
              <w:pStyle w:val="37"/>
              <w:ind w:firstLine="480"/>
              <w:rPr>
                <w:color w:val="000000" w:themeColor="text1"/>
                <w:szCs w:val="24"/>
              </w:rPr>
            </w:pPr>
            <w:r>
              <w:rPr>
                <w:color w:val="000000" w:themeColor="text1"/>
                <w:szCs w:val="24"/>
              </w:rPr>
              <w:t>③严格按照安全、消防部门以及安全预评价的要求存储区出入口处设置消防设备。</w:t>
            </w:r>
          </w:p>
          <w:p>
            <w:pPr>
              <w:pStyle w:val="37"/>
              <w:ind w:firstLine="480"/>
              <w:rPr>
                <w:color w:val="000000" w:themeColor="text1"/>
                <w:szCs w:val="24"/>
              </w:rPr>
            </w:pPr>
            <w:r>
              <w:rPr>
                <w:color w:val="000000" w:themeColor="text1"/>
                <w:szCs w:val="24"/>
              </w:rPr>
              <w:t>④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409" w:type="dxa"/>
            <w:gridSpan w:val="7"/>
            <w:vAlign w:val="center"/>
          </w:tcPr>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①</w:t>
            </w:r>
            <w:r>
              <w:rPr>
                <w:rFonts w:eastAsiaTheme="minorEastAsia"/>
                <w:color w:val="000000" w:themeColor="text1"/>
                <w:sz w:val="24"/>
                <w:szCs w:val="21"/>
              </w:rPr>
              <w:t>建设单位按照规范要求，设置环境保护图形标志。</w:t>
            </w:r>
          </w:p>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bookmarkStart w:id="43" w:name="_Toc146789448"/>
      <w:r>
        <w:rPr>
          <w:rFonts w:ascii="Times New Roman" w:hAnsi="Times New Roman" w:cs="Times New Roman"/>
          <w:b/>
          <w:color w:val="000000" w:themeColor="text1"/>
          <w:sz w:val="28"/>
          <w:szCs w:val="20"/>
        </w:rPr>
        <w:t>六、结论</w:t>
      </w:r>
      <w:bookmarkEnd w:id="43"/>
    </w:p>
    <w:tbl>
      <w:tblPr>
        <w:tblStyle w:val="19"/>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开展小微企业危险废物收集试点东川网点项目符合国家产业政策，符合相关规划，选址合理，项目建设满足“三线一单”的管理要求，项目选址区域环境空气、地表水环境和声环境质量现状均可达到相应的质量标准要求，该项目采取环保措施后，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pgSz w:w="11906" w:h="16838"/>
          <w:pgMar w:top="1440" w:right="1797" w:bottom="1440" w:left="1797" w:header="851" w:footer="992" w:gutter="0"/>
          <w:pgNumType w:start="1"/>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bookmarkStart w:id="44" w:name="_Toc146789449"/>
      <w:r>
        <w:rPr>
          <w:rFonts w:ascii="Times New Roman" w:hAnsi="Times New Roman" w:cs="Times New Roman"/>
          <w:b/>
          <w:color w:val="000000" w:themeColor="text1"/>
          <w:sz w:val="28"/>
          <w:szCs w:val="20"/>
        </w:rPr>
        <w:t>附表</w:t>
      </w:r>
      <w:bookmarkEnd w:id="44"/>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以新带老削减量（已建项目不填）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9"/>
              <w:spacing w:line="360" w:lineRule="exact"/>
              <w:rPr>
                <w:color w:val="000000" w:themeColor="text1"/>
                <w:szCs w:val="21"/>
              </w:rPr>
            </w:pPr>
            <w:r>
              <w:rPr>
                <w:color w:val="000000" w:themeColor="text1"/>
                <w:szCs w:val="21"/>
              </w:rPr>
              <w:t>废气</w:t>
            </w:r>
          </w:p>
        </w:tc>
        <w:tc>
          <w:tcPr>
            <w:tcW w:w="2126" w:type="dxa"/>
            <w:vAlign w:val="center"/>
          </w:tcPr>
          <w:p>
            <w:pPr>
              <w:pStyle w:val="29"/>
              <w:spacing w:line="360" w:lineRule="exact"/>
              <w:rPr>
                <w:color w:val="000000" w:themeColor="text1"/>
                <w:szCs w:val="21"/>
              </w:rPr>
            </w:pPr>
            <w:r>
              <w:rPr>
                <w:color w:val="000000" w:themeColor="text1"/>
                <w:szCs w:val="21"/>
              </w:rPr>
              <w:t>非甲烷总烃（有组织）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0.38t/a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0.38 t/a</w:t>
            </w:r>
          </w:p>
        </w:tc>
        <w:tc>
          <w:tcPr>
            <w:tcW w:w="1308" w:type="dxa"/>
            <w:vAlign w:val="center"/>
          </w:tcPr>
          <w:p>
            <w:pPr>
              <w:pStyle w:val="29"/>
              <w:spacing w:line="360" w:lineRule="exact"/>
              <w:rPr>
                <w:color w:val="000000" w:themeColor="text1"/>
                <w:szCs w:val="21"/>
              </w:rPr>
            </w:pPr>
            <w:r>
              <w:rPr>
                <w:color w:val="000000" w:themeColor="text1"/>
                <w:szCs w:val="21"/>
              </w:rPr>
              <w:t>0.38t/a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非甲烷总烃（无组织）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0.14t/a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0.14t/a</w:t>
            </w:r>
          </w:p>
        </w:tc>
        <w:tc>
          <w:tcPr>
            <w:tcW w:w="1308" w:type="dxa"/>
            <w:vAlign w:val="center"/>
          </w:tcPr>
          <w:p>
            <w:pPr>
              <w:pStyle w:val="29"/>
              <w:spacing w:line="360" w:lineRule="exact"/>
              <w:rPr>
                <w:color w:val="000000" w:themeColor="text1"/>
                <w:szCs w:val="21"/>
              </w:rPr>
            </w:pPr>
            <w:r>
              <w:rPr>
                <w:color w:val="000000" w:themeColor="text1"/>
                <w:szCs w:val="21"/>
              </w:rPr>
              <w:t>0.14t/a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HCl（有组织）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0.01t/a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0.01t/a</w:t>
            </w:r>
          </w:p>
        </w:tc>
        <w:tc>
          <w:tcPr>
            <w:tcW w:w="1308" w:type="dxa"/>
            <w:vAlign w:val="center"/>
          </w:tcPr>
          <w:p>
            <w:pPr>
              <w:pStyle w:val="29"/>
              <w:spacing w:line="360" w:lineRule="exact"/>
              <w:rPr>
                <w:color w:val="000000" w:themeColor="text1"/>
                <w:szCs w:val="21"/>
              </w:rPr>
            </w:pPr>
            <w:r>
              <w:rPr>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HCl（无组织）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0.056t/a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0.056t/a</w:t>
            </w:r>
          </w:p>
        </w:tc>
        <w:tc>
          <w:tcPr>
            <w:tcW w:w="1308" w:type="dxa"/>
            <w:vAlign w:val="center"/>
          </w:tcPr>
          <w:p>
            <w:pPr>
              <w:pStyle w:val="29"/>
              <w:spacing w:line="360" w:lineRule="exact"/>
              <w:rPr>
                <w:color w:val="000000" w:themeColor="text1"/>
                <w:szCs w:val="21"/>
              </w:rPr>
            </w:pPr>
            <w:r>
              <w:rPr>
                <w:color w:val="000000" w:themeColor="text1"/>
                <w:szCs w:val="21"/>
              </w:rPr>
              <w:t>0.056t/a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氨（有组织）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0.08t/a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0.08t/a</w:t>
            </w:r>
          </w:p>
        </w:tc>
        <w:tc>
          <w:tcPr>
            <w:tcW w:w="1308" w:type="dxa"/>
            <w:vAlign w:val="center"/>
          </w:tcPr>
          <w:p>
            <w:pPr>
              <w:pStyle w:val="29"/>
              <w:spacing w:line="360" w:lineRule="exact"/>
              <w:rPr>
                <w:color w:val="000000" w:themeColor="text1"/>
                <w:szCs w:val="21"/>
              </w:rPr>
            </w:pPr>
            <w:r>
              <w:rPr>
                <w:color w:val="000000" w:themeColor="text1"/>
                <w:szCs w:val="21"/>
              </w:rPr>
              <w:t>0.08t/a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氨（无组织）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0.05t/a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0.05t/a</w:t>
            </w:r>
          </w:p>
        </w:tc>
        <w:tc>
          <w:tcPr>
            <w:tcW w:w="1308" w:type="dxa"/>
            <w:vAlign w:val="center"/>
          </w:tcPr>
          <w:p>
            <w:pPr>
              <w:pStyle w:val="29"/>
              <w:spacing w:line="360" w:lineRule="exact"/>
              <w:rPr>
                <w:color w:val="000000" w:themeColor="text1"/>
                <w:szCs w:val="21"/>
              </w:rPr>
            </w:pPr>
            <w:r>
              <w:rPr>
                <w:color w:val="000000" w:themeColor="text1"/>
                <w:szCs w:val="21"/>
              </w:rPr>
              <w:t>0.05t/a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硫化氢（有组织）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0.0006t/a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0.0006t/a</w:t>
            </w:r>
          </w:p>
        </w:tc>
        <w:tc>
          <w:tcPr>
            <w:tcW w:w="1308" w:type="dxa"/>
            <w:vAlign w:val="center"/>
          </w:tcPr>
          <w:p>
            <w:pPr>
              <w:pStyle w:val="29"/>
              <w:spacing w:line="360" w:lineRule="exact"/>
              <w:rPr>
                <w:color w:val="000000" w:themeColor="text1"/>
                <w:szCs w:val="21"/>
              </w:rPr>
            </w:pPr>
            <w:r>
              <w:rPr>
                <w:color w:val="000000" w:themeColor="text1"/>
                <w:szCs w:val="21"/>
              </w:rPr>
              <w:t>0.0006t/a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硫化氢（无组织）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0.0004t/a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0.0004t/a</w:t>
            </w:r>
          </w:p>
        </w:tc>
        <w:tc>
          <w:tcPr>
            <w:tcW w:w="1308" w:type="dxa"/>
            <w:vAlign w:val="center"/>
          </w:tcPr>
          <w:p>
            <w:pPr>
              <w:pStyle w:val="29"/>
              <w:spacing w:line="360" w:lineRule="exact"/>
              <w:rPr>
                <w:color w:val="000000" w:themeColor="text1"/>
                <w:szCs w:val="21"/>
              </w:rPr>
            </w:pPr>
            <w:r>
              <w:rPr>
                <w:color w:val="000000" w:themeColor="text1"/>
                <w:szCs w:val="21"/>
              </w:rPr>
              <w:t>0.0004t/a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颗粒物（无组织）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少量</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少量</w:t>
            </w:r>
          </w:p>
        </w:tc>
        <w:tc>
          <w:tcPr>
            <w:tcW w:w="1308" w:type="dxa"/>
            <w:vAlign w:val="center"/>
          </w:tcPr>
          <w:p>
            <w:pPr>
              <w:pStyle w:val="29"/>
              <w:spacing w:line="360" w:lineRule="exact"/>
              <w:rPr>
                <w:color w:val="000000" w:themeColor="text1"/>
                <w:szCs w:val="21"/>
              </w:rPr>
            </w:pPr>
            <w:r>
              <w:rPr>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硫酸雾（无组织）</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少量</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少量</w:t>
            </w:r>
          </w:p>
        </w:tc>
        <w:tc>
          <w:tcPr>
            <w:tcW w:w="1308" w:type="dxa"/>
            <w:vAlign w:val="center"/>
          </w:tcPr>
          <w:p>
            <w:pPr>
              <w:pStyle w:val="29"/>
              <w:spacing w:line="360" w:lineRule="exact"/>
              <w:rPr>
                <w:color w:val="000000" w:themeColor="text1"/>
                <w:szCs w:val="21"/>
              </w:rPr>
            </w:pPr>
            <w:r>
              <w:rPr>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9"/>
              <w:spacing w:line="360" w:lineRule="exact"/>
              <w:rPr>
                <w:color w:val="000000" w:themeColor="text1"/>
                <w:szCs w:val="21"/>
              </w:rPr>
            </w:pPr>
            <w:r>
              <w:rPr>
                <w:rFonts w:hint="eastAsia"/>
                <w:color w:val="000000" w:themeColor="text1"/>
                <w:szCs w:val="21"/>
              </w:rPr>
              <w:t>废水</w:t>
            </w:r>
          </w:p>
        </w:tc>
        <w:tc>
          <w:tcPr>
            <w:tcW w:w="2126" w:type="dxa"/>
            <w:vAlign w:val="center"/>
          </w:tcPr>
          <w:p>
            <w:pPr>
              <w:pStyle w:val="56"/>
              <w:spacing w:line="360" w:lineRule="atLeast"/>
              <w:jc w:val="center"/>
              <w:rPr>
                <w:rFonts w:eastAsia="宋体"/>
                <w:bCs/>
                <w:snapToGrid w:val="0"/>
                <w:color w:val="000000" w:themeColor="text1"/>
                <w:kern w:val="32"/>
                <w:sz w:val="21"/>
                <w:szCs w:val="21"/>
                <w:lang w:val="zh-CN"/>
              </w:rPr>
            </w:pPr>
            <w:r>
              <w:rPr>
                <w:rFonts w:hint="eastAsia" w:eastAsia="宋体"/>
                <w:bCs/>
                <w:snapToGrid w:val="0"/>
                <w:color w:val="000000" w:themeColor="text1"/>
                <w:kern w:val="32"/>
                <w:sz w:val="21"/>
                <w:szCs w:val="21"/>
                <w:lang w:val="zh-CN"/>
              </w:rPr>
              <w:t>CODcr</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29"/>
              <w:spacing w:line="360" w:lineRule="exact"/>
              <w:rPr>
                <w:color w:val="000000" w:themeColor="text1"/>
                <w:szCs w:val="21"/>
              </w:rPr>
            </w:pPr>
            <w:r>
              <w:rPr>
                <w:color w:val="000000" w:themeColor="text1"/>
                <w:szCs w:val="21"/>
              </w:rPr>
              <w:t>0</w:t>
            </w:r>
          </w:p>
        </w:tc>
        <w:tc>
          <w:tcPr>
            <w:tcW w:w="1828"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308"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56"/>
              <w:spacing w:line="360" w:lineRule="atLeast"/>
              <w:jc w:val="center"/>
              <w:rPr>
                <w:rFonts w:eastAsia="宋体"/>
                <w:bCs/>
                <w:snapToGrid w:val="0"/>
                <w:color w:val="000000" w:themeColor="text1"/>
                <w:kern w:val="32"/>
                <w:sz w:val="21"/>
                <w:szCs w:val="21"/>
                <w:lang w:val="zh-CN"/>
              </w:rPr>
            </w:pPr>
            <w:r>
              <w:rPr>
                <w:rFonts w:hint="eastAsia" w:eastAsia="宋体"/>
                <w:bCs/>
                <w:snapToGrid w:val="0"/>
                <w:color w:val="000000" w:themeColor="text1"/>
                <w:kern w:val="32"/>
                <w:sz w:val="21"/>
                <w:szCs w:val="21"/>
                <w:lang w:val="zh-CN"/>
              </w:rPr>
              <w:t>氨氮</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29"/>
              <w:spacing w:line="360" w:lineRule="exact"/>
              <w:rPr>
                <w:color w:val="000000" w:themeColor="text1"/>
                <w:szCs w:val="21"/>
              </w:rPr>
            </w:pPr>
            <w:r>
              <w:rPr>
                <w:color w:val="000000" w:themeColor="text1"/>
                <w:szCs w:val="21"/>
              </w:rPr>
              <w:t>0</w:t>
            </w:r>
          </w:p>
        </w:tc>
        <w:tc>
          <w:tcPr>
            <w:tcW w:w="1828"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308"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9"/>
              <w:spacing w:line="360" w:lineRule="exact"/>
              <w:rPr>
                <w:color w:val="000000" w:themeColor="text1"/>
                <w:szCs w:val="21"/>
              </w:rPr>
            </w:pPr>
            <w:r>
              <w:rPr>
                <w:color w:val="000000" w:themeColor="text1"/>
                <w:szCs w:val="21"/>
              </w:rPr>
              <w:t>危险废物</w:t>
            </w:r>
          </w:p>
        </w:tc>
        <w:tc>
          <w:tcPr>
            <w:tcW w:w="2126" w:type="dxa"/>
            <w:vAlign w:val="center"/>
          </w:tcPr>
          <w:p>
            <w:pPr>
              <w:pStyle w:val="29"/>
              <w:spacing w:line="360" w:lineRule="exact"/>
              <w:rPr>
                <w:color w:val="000000" w:themeColor="text1"/>
                <w:szCs w:val="21"/>
              </w:rPr>
            </w:pPr>
            <w:r>
              <w:rPr>
                <w:color w:val="000000" w:themeColor="text1"/>
                <w:szCs w:val="21"/>
              </w:rPr>
              <w:t>渗滤液</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1.5t/a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1.5t/a</w:t>
            </w:r>
          </w:p>
        </w:tc>
        <w:tc>
          <w:tcPr>
            <w:tcW w:w="1308" w:type="dxa"/>
            <w:vAlign w:val="center"/>
          </w:tcPr>
          <w:p>
            <w:pPr>
              <w:pStyle w:val="29"/>
              <w:spacing w:line="360" w:lineRule="exact"/>
              <w:rPr>
                <w:color w:val="000000" w:themeColor="text1"/>
                <w:szCs w:val="21"/>
              </w:rPr>
            </w:pPr>
            <w:r>
              <w:rPr>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废劳保用品</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0.6t/a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0.6t/a</w:t>
            </w:r>
          </w:p>
        </w:tc>
        <w:tc>
          <w:tcPr>
            <w:tcW w:w="1308" w:type="dxa"/>
            <w:vAlign w:val="center"/>
          </w:tcPr>
          <w:p>
            <w:pPr>
              <w:pStyle w:val="29"/>
              <w:spacing w:line="360" w:lineRule="exact"/>
              <w:rPr>
                <w:color w:val="000000" w:themeColor="text1"/>
                <w:szCs w:val="21"/>
              </w:rPr>
            </w:pPr>
            <w:r>
              <w:rPr>
                <w:color w:val="000000" w:themeColor="text1"/>
                <w:szCs w:val="21"/>
              </w:rPr>
              <w:t>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废包装物</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1.6t/a</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0.8t/a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2.4t/a</w:t>
            </w:r>
          </w:p>
        </w:tc>
        <w:tc>
          <w:tcPr>
            <w:tcW w:w="1308" w:type="dxa"/>
            <w:vAlign w:val="center"/>
          </w:tcPr>
          <w:p>
            <w:pPr>
              <w:pStyle w:val="29"/>
              <w:spacing w:line="360" w:lineRule="exact"/>
              <w:rPr>
                <w:color w:val="000000" w:themeColor="text1"/>
                <w:szCs w:val="21"/>
              </w:rPr>
            </w:pPr>
            <w:r>
              <w:rPr>
                <w:color w:val="000000" w:themeColor="text1"/>
                <w:szCs w:val="21"/>
              </w:rPr>
              <w:t>0.8t/a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废活性炭</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1.44t/a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1.44t/a</w:t>
            </w:r>
          </w:p>
        </w:tc>
        <w:tc>
          <w:tcPr>
            <w:tcW w:w="1308" w:type="dxa"/>
            <w:vAlign w:val="center"/>
          </w:tcPr>
          <w:p>
            <w:pPr>
              <w:pStyle w:val="29"/>
              <w:spacing w:line="360" w:lineRule="exact"/>
              <w:rPr>
                <w:color w:val="000000" w:themeColor="text1"/>
                <w:szCs w:val="21"/>
              </w:rPr>
            </w:pPr>
            <w:r>
              <w:rPr>
                <w:color w:val="000000" w:themeColor="text1"/>
                <w:szCs w:val="21"/>
              </w:rPr>
              <w:t>1.44t/a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29"/>
              <w:spacing w:line="360" w:lineRule="exact"/>
              <w:rPr>
                <w:color w:val="000000" w:themeColor="text1"/>
                <w:szCs w:val="21"/>
              </w:rPr>
            </w:pPr>
            <w:r>
              <w:rPr>
                <w:color w:val="000000" w:themeColor="text1"/>
                <w:szCs w:val="21"/>
              </w:rPr>
              <w:t>碱喷淋废液</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29"/>
              <w:spacing w:line="360" w:lineRule="exact"/>
              <w:rPr>
                <w:color w:val="000000" w:themeColor="text1"/>
                <w:szCs w:val="21"/>
              </w:rPr>
            </w:pPr>
            <w:r>
              <w:rPr>
                <w:color w:val="000000" w:themeColor="text1"/>
                <w:szCs w:val="21"/>
              </w:rPr>
              <w:t>4m³/a</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29"/>
              <w:spacing w:line="360" w:lineRule="exact"/>
              <w:rPr>
                <w:color w:val="000000" w:themeColor="text1"/>
                <w:szCs w:val="21"/>
              </w:rPr>
            </w:pPr>
            <w:r>
              <w:rPr>
                <w:color w:val="000000" w:themeColor="text1"/>
                <w:szCs w:val="21"/>
              </w:rPr>
              <w:t>4m³/a</w:t>
            </w:r>
          </w:p>
        </w:tc>
        <w:tc>
          <w:tcPr>
            <w:tcW w:w="1308" w:type="dxa"/>
            <w:vAlign w:val="center"/>
          </w:tcPr>
          <w:p>
            <w:pPr>
              <w:pStyle w:val="29"/>
              <w:spacing w:line="360" w:lineRule="exact"/>
              <w:rPr>
                <w:color w:val="000000" w:themeColor="text1"/>
                <w:szCs w:val="21"/>
              </w:rPr>
            </w:pPr>
            <w:r>
              <w:rPr>
                <w:color w:val="000000" w:themeColor="text1"/>
                <w:szCs w:val="21"/>
              </w:rPr>
              <w:t>4m³/a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9"/>
              <w:spacing w:line="360" w:lineRule="exact"/>
              <w:rPr>
                <w:color w:val="000000" w:themeColor="text1"/>
                <w:szCs w:val="21"/>
              </w:rPr>
            </w:pPr>
          </w:p>
        </w:tc>
        <w:tc>
          <w:tcPr>
            <w:tcW w:w="212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生活垃圾</w:t>
            </w:r>
          </w:p>
        </w:tc>
        <w:tc>
          <w:tcPr>
            <w:tcW w:w="1559"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2t/a</w:t>
            </w:r>
          </w:p>
        </w:tc>
        <w:tc>
          <w:tcPr>
            <w:tcW w:w="1276"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701"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28"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575"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c>
          <w:tcPr>
            <w:tcW w:w="1842"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2t/a</w:t>
            </w:r>
          </w:p>
        </w:tc>
        <w:tc>
          <w:tcPr>
            <w:tcW w:w="1308" w:type="dxa"/>
            <w:vAlign w:val="center"/>
          </w:tcPr>
          <w:p>
            <w:pPr>
              <w:pStyle w:val="56"/>
              <w:spacing w:line="360" w:lineRule="atLeast"/>
              <w:jc w:val="center"/>
              <w:rPr>
                <w:rFonts w:eastAsia="宋体"/>
                <w:bCs/>
                <w:snapToGrid w:val="0"/>
                <w:color w:val="000000" w:themeColor="text1"/>
                <w:kern w:val="32"/>
                <w:sz w:val="21"/>
                <w:szCs w:val="21"/>
                <w:lang w:val="zh-CN"/>
              </w:rPr>
            </w:pPr>
            <w:r>
              <w:rPr>
                <w:rFonts w:eastAsia="宋体"/>
                <w:bCs/>
                <w:snapToGrid w:val="0"/>
                <w:color w:val="000000" w:themeColor="text1"/>
                <w:kern w:val="32"/>
                <w:sz w:val="21"/>
                <w:szCs w:val="21"/>
                <w:lang w:val="zh-CN"/>
              </w:rPr>
              <w:t>0</w:t>
            </w:r>
          </w:p>
        </w:tc>
      </w:tr>
    </w:tbl>
    <w:p>
      <w:pPr>
        <w:ind w:firstLine="420"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108</w:t>
    </w:r>
    <w:r>
      <w:rPr>
        <w:rFonts w:ascii="Times New Roman" w:hAnsi="Times New Roman" w:cs="Times New Roman"/>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437B5"/>
    <w:multiLevelType w:val="multilevel"/>
    <w:tmpl w:val="46B437B5"/>
    <w:lvl w:ilvl="0" w:tentative="0">
      <w:start w:val="1"/>
      <w:numFmt w:val="decimal"/>
      <w:pStyle w:val="61"/>
      <w:lvlText w:val="表%1 "/>
      <w:lvlJc w:val="left"/>
      <w:pPr>
        <w:ind w:left="42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YdTbZ0c3+1T3c5/A7ud/S3RCvxo=" w:salt="+OK0ms4m160qmVmAb73YA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zNmYwZjcxZTFhZTgzYjRiMjBlYzQ0YTUzOWQ5YmEifQ=="/>
  </w:docVars>
  <w:rsids>
    <w:rsidRoot w:val="0062045F"/>
    <w:rsid w:val="0000037C"/>
    <w:rsid w:val="0000093C"/>
    <w:rsid w:val="00000D41"/>
    <w:rsid w:val="00001460"/>
    <w:rsid w:val="00001C9A"/>
    <w:rsid w:val="00006DA2"/>
    <w:rsid w:val="00007A30"/>
    <w:rsid w:val="000103D6"/>
    <w:rsid w:val="00010A49"/>
    <w:rsid w:val="00012C80"/>
    <w:rsid w:val="00013833"/>
    <w:rsid w:val="00017C92"/>
    <w:rsid w:val="000204F7"/>
    <w:rsid w:val="00021721"/>
    <w:rsid w:val="0002285A"/>
    <w:rsid w:val="00022ADC"/>
    <w:rsid w:val="00031A59"/>
    <w:rsid w:val="00032B08"/>
    <w:rsid w:val="000344EF"/>
    <w:rsid w:val="00034809"/>
    <w:rsid w:val="00035576"/>
    <w:rsid w:val="00036444"/>
    <w:rsid w:val="00036A49"/>
    <w:rsid w:val="00040A28"/>
    <w:rsid w:val="00040D99"/>
    <w:rsid w:val="00046446"/>
    <w:rsid w:val="000467DD"/>
    <w:rsid w:val="00046D9B"/>
    <w:rsid w:val="00047895"/>
    <w:rsid w:val="00050E55"/>
    <w:rsid w:val="000529F0"/>
    <w:rsid w:val="00054507"/>
    <w:rsid w:val="00054F28"/>
    <w:rsid w:val="00055E0A"/>
    <w:rsid w:val="000564D0"/>
    <w:rsid w:val="000564E4"/>
    <w:rsid w:val="00056BA2"/>
    <w:rsid w:val="0005744F"/>
    <w:rsid w:val="00061858"/>
    <w:rsid w:val="00062FAD"/>
    <w:rsid w:val="000636D1"/>
    <w:rsid w:val="00064EAA"/>
    <w:rsid w:val="00067BF4"/>
    <w:rsid w:val="00070F66"/>
    <w:rsid w:val="000711D8"/>
    <w:rsid w:val="000742F0"/>
    <w:rsid w:val="00075754"/>
    <w:rsid w:val="0007579E"/>
    <w:rsid w:val="00075CFD"/>
    <w:rsid w:val="00075FFD"/>
    <w:rsid w:val="000760FE"/>
    <w:rsid w:val="0008023F"/>
    <w:rsid w:val="00080C91"/>
    <w:rsid w:val="00081A6B"/>
    <w:rsid w:val="00082602"/>
    <w:rsid w:val="00082CBE"/>
    <w:rsid w:val="00084D00"/>
    <w:rsid w:val="000868F4"/>
    <w:rsid w:val="00090BB2"/>
    <w:rsid w:val="0009230F"/>
    <w:rsid w:val="00093C79"/>
    <w:rsid w:val="000954A9"/>
    <w:rsid w:val="00095C65"/>
    <w:rsid w:val="00097D50"/>
    <w:rsid w:val="000A0D26"/>
    <w:rsid w:val="000A4031"/>
    <w:rsid w:val="000A40EB"/>
    <w:rsid w:val="000A4E88"/>
    <w:rsid w:val="000A5056"/>
    <w:rsid w:val="000A55DD"/>
    <w:rsid w:val="000B04E4"/>
    <w:rsid w:val="000B0564"/>
    <w:rsid w:val="000B0AA8"/>
    <w:rsid w:val="000B35C4"/>
    <w:rsid w:val="000B38ED"/>
    <w:rsid w:val="000B48AB"/>
    <w:rsid w:val="000B4E2B"/>
    <w:rsid w:val="000B6EE8"/>
    <w:rsid w:val="000B7547"/>
    <w:rsid w:val="000C4490"/>
    <w:rsid w:val="000C76DB"/>
    <w:rsid w:val="000D0C2B"/>
    <w:rsid w:val="000D1B94"/>
    <w:rsid w:val="000D345D"/>
    <w:rsid w:val="000D4D91"/>
    <w:rsid w:val="000E500A"/>
    <w:rsid w:val="000E5BE7"/>
    <w:rsid w:val="000E6B3E"/>
    <w:rsid w:val="000E6F05"/>
    <w:rsid w:val="000F3B34"/>
    <w:rsid w:val="000F48E5"/>
    <w:rsid w:val="000F51F2"/>
    <w:rsid w:val="000F5D7E"/>
    <w:rsid w:val="000F5DE9"/>
    <w:rsid w:val="000F68C5"/>
    <w:rsid w:val="000F68FC"/>
    <w:rsid w:val="0010024E"/>
    <w:rsid w:val="00101077"/>
    <w:rsid w:val="0010241D"/>
    <w:rsid w:val="00103EA2"/>
    <w:rsid w:val="00105901"/>
    <w:rsid w:val="00105B5A"/>
    <w:rsid w:val="001068B5"/>
    <w:rsid w:val="00111F14"/>
    <w:rsid w:val="00113087"/>
    <w:rsid w:val="00113A8B"/>
    <w:rsid w:val="00116200"/>
    <w:rsid w:val="00116CF1"/>
    <w:rsid w:val="00117070"/>
    <w:rsid w:val="0011761F"/>
    <w:rsid w:val="001201E0"/>
    <w:rsid w:val="001218DF"/>
    <w:rsid w:val="00121AAE"/>
    <w:rsid w:val="00122036"/>
    <w:rsid w:val="001250CA"/>
    <w:rsid w:val="00125B5D"/>
    <w:rsid w:val="00126836"/>
    <w:rsid w:val="001307E7"/>
    <w:rsid w:val="001314D6"/>
    <w:rsid w:val="00133D79"/>
    <w:rsid w:val="00133FEF"/>
    <w:rsid w:val="0013560A"/>
    <w:rsid w:val="00137141"/>
    <w:rsid w:val="001453A1"/>
    <w:rsid w:val="00146159"/>
    <w:rsid w:val="0014721C"/>
    <w:rsid w:val="00150F0D"/>
    <w:rsid w:val="0015174D"/>
    <w:rsid w:val="001535AB"/>
    <w:rsid w:val="0015464F"/>
    <w:rsid w:val="0015584D"/>
    <w:rsid w:val="00163524"/>
    <w:rsid w:val="00163F3D"/>
    <w:rsid w:val="001659FD"/>
    <w:rsid w:val="00165F39"/>
    <w:rsid w:val="0017180C"/>
    <w:rsid w:val="001719D1"/>
    <w:rsid w:val="00171AF4"/>
    <w:rsid w:val="00172C6A"/>
    <w:rsid w:val="00172D3E"/>
    <w:rsid w:val="001731F9"/>
    <w:rsid w:val="001750E1"/>
    <w:rsid w:val="0017574F"/>
    <w:rsid w:val="00176356"/>
    <w:rsid w:val="001801DD"/>
    <w:rsid w:val="0018089D"/>
    <w:rsid w:val="001820B6"/>
    <w:rsid w:val="00182D5B"/>
    <w:rsid w:val="001845EC"/>
    <w:rsid w:val="001864CE"/>
    <w:rsid w:val="00187327"/>
    <w:rsid w:val="00187B44"/>
    <w:rsid w:val="00190089"/>
    <w:rsid w:val="00190D63"/>
    <w:rsid w:val="00191C25"/>
    <w:rsid w:val="00191D41"/>
    <w:rsid w:val="00197070"/>
    <w:rsid w:val="001977B7"/>
    <w:rsid w:val="00197C78"/>
    <w:rsid w:val="001A0958"/>
    <w:rsid w:val="001A56EA"/>
    <w:rsid w:val="001A5B09"/>
    <w:rsid w:val="001A70EF"/>
    <w:rsid w:val="001B0138"/>
    <w:rsid w:val="001B13A8"/>
    <w:rsid w:val="001B13AC"/>
    <w:rsid w:val="001B4D27"/>
    <w:rsid w:val="001B668C"/>
    <w:rsid w:val="001B689E"/>
    <w:rsid w:val="001C0A81"/>
    <w:rsid w:val="001C11D1"/>
    <w:rsid w:val="001C1BD1"/>
    <w:rsid w:val="001C2620"/>
    <w:rsid w:val="001C3758"/>
    <w:rsid w:val="001C3FC6"/>
    <w:rsid w:val="001C5EB3"/>
    <w:rsid w:val="001C7F90"/>
    <w:rsid w:val="001D2BAC"/>
    <w:rsid w:val="001D3CCB"/>
    <w:rsid w:val="001D546D"/>
    <w:rsid w:val="001D62EC"/>
    <w:rsid w:val="001D7618"/>
    <w:rsid w:val="001E1D94"/>
    <w:rsid w:val="001E23A6"/>
    <w:rsid w:val="001E507A"/>
    <w:rsid w:val="001E5DB5"/>
    <w:rsid w:val="001E6338"/>
    <w:rsid w:val="001E6D75"/>
    <w:rsid w:val="001F03FE"/>
    <w:rsid w:val="001F0A05"/>
    <w:rsid w:val="001F0DFA"/>
    <w:rsid w:val="001F2DED"/>
    <w:rsid w:val="001F522D"/>
    <w:rsid w:val="001F6C9A"/>
    <w:rsid w:val="00203593"/>
    <w:rsid w:val="00203A93"/>
    <w:rsid w:val="0021020E"/>
    <w:rsid w:val="00211089"/>
    <w:rsid w:val="00211854"/>
    <w:rsid w:val="00214792"/>
    <w:rsid w:val="00220D68"/>
    <w:rsid w:val="002210A0"/>
    <w:rsid w:val="00222744"/>
    <w:rsid w:val="00223D91"/>
    <w:rsid w:val="002249E4"/>
    <w:rsid w:val="00226F0E"/>
    <w:rsid w:val="00227012"/>
    <w:rsid w:val="0023054C"/>
    <w:rsid w:val="002305AE"/>
    <w:rsid w:val="00233527"/>
    <w:rsid w:val="002350B4"/>
    <w:rsid w:val="00237A1B"/>
    <w:rsid w:val="00240067"/>
    <w:rsid w:val="00243824"/>
    <w:rsid w:val="00243D4D"/>
    <w:rsid w:val="00245CA3"/>
    <w:rsid w:val="00252D41"/>
    <w:rsid w:val="00262FAF"/>
    <w:rsid w:val="00263589"/>
    <w:rsid w:val="002652D4"/>
    <w:rsid w:val="00265BD3"/>
    <w:rsid w:val="00265EA7"/>
    <w:rsid w:val="0026617B"/>
    <w:rsid w:val="002666BE"/>
    <w:rsid w:val="00266FFA"/>
    <w:rsid w:val="002735A4"/>
    <w:rsid w:val="002746CB"/>
    <w:rsid w:val="00274970"/>
    <w:rsid w:val="002750D5"/>
    <w:rsid w:val="002752A0"/>
    <w:rsid w:val="00277862"/>
    <w:rsid w:val="00281E49"/>
    <w:rsid w:val="00283568"/>
    <w:rsid w:val="0028395D"/>
    <w:rsid w:val="0028492E"/>
    <w:rsid w:val="00292269"/>
    <w:rsid w:val="002931E6"/>
    <w:rsid w:val="002963A7"/>
    <w:rsid w:val="00296512"/>
    <w:rsid w:val="00297486"/>
    <w:rsid w:val="00297C94"/>
    <w:rsid w:val="002A07FC"/>
    <w:rsid w:val="002A1028"/>
    <w:rsid w:val="002A1BFA"/>
    <w:rsid w:val="002A1DB1"/>
    <w:rsid w:val="002A2FB3"/>
    <w:rsid w:val="002A3B80"/>
    <w:rsid w:val="002A59DF"/>
    <w:rsid w:val="002A647D"/>
    <w:rsid w:val="002A718C"/>
    <w:rsid w:val="002B2BE4"/>
    <w:rsid w:val="002B333A"/>
    <w:rsid w:val="002B3E5C"/>
    <w:rsid w:val="002B40E5"/>
    <w:rsid w:val="002B4230"/>
    <w:rsid w:val="002B4685"/>
    <w:rsid w:val="002B4AB8"/>
    <w:rsid w:val="002B4EA6"/>
    <w:rsid w:val="002B5B05"/>
    <w:rsid w:val="002B6EBF"/>
    <w:rsid w:val="002C07C0"/>
    <w:rsid w:val="002C0C4F"/>
    <w:rsid w:val="002C0F39"/>
    <w:rsid w:val="002C1823"/>
    <w:rsid w:val="002C2901"/>
    <w:rsid w:val="002C3853"/>
    <w:rsid w:val="002C4C59"/>
    <w:rsid w:val="002C4F33"/>
    <w:rsid w:val="002C5842"/>
    <w:rsid w:val="002C5E0B"/>
    <w:rsid w:val="002C72CC"/>
    <w:rsid w:val="002C7F62"/>
    <w:rsid w:val="002D0187"/>
    <w:rsid w:val="002D63B6"/>
    <w:rsid w:val="002E25DE"/>
    <w:rsid w:val="002E3C02"/>
    <w:rsid w:val="002E3E71"/>
    <w:rsid w:val="002E3F5D"/>
    <w:rsid w:val="002E4EE2"/>
    <w:rsid w:val="002E5628"/>
    <w:rsid w:val="002F052A"/>
    <w:rsid w:val="002F1188"/>
    <w:rsid w:val="002F37F6"/>
    <w:rsid w:val="002F6763"/>
    <w:rsid w:val="002F7121"/>
    <w:rsid w:val="00300D99"/>
    <w:rsid w:val="003012BB"/>
    <w:rsid w:val="003015F9"/>
    <w:rsid w:val="0030400F"/>
    <w:rsid w:val="00307121"/>
    <w:rsid w:val="003078BC"/>
    <w:rsid w:val="003105F3"/>
    <w:rsid w:val="00310B64"/>
    <w:rsid w:val="003126D3"/>
    <w:rsid w:val="00312DF2"/>
    <w:rsid w:val="00315F53"/>
    <w:rsid w:val="0031765F"/>
    <w:rsid w:val="00317F26"/>
    <w:rsid w:val="003203D0"/>
    <w:rsid w:val="00322DCE"/>
    <w:rsid w:val="00323170"/>
    <w:rsid w:val="003316F0"/>
    <w:rsid w:val="00332BCA"/>
    <w:rsid w:val="00333293"/>
    <w:rsid w:val="0033556B"/>
    <w:rsid w:val="00341DB8"/>
    <w:rsid w:val="00341FB3"/>
    <w:rsid w:val="0034317D"/>
    <w:rsid w:val="00350F31"/>
    <w:rsid w:val="003515D4"/>
    <w:rsid w:val="003519CC"/>
    <w:rsid w:val="0035309D"/>
    <w:rsid w:val="00354B52"/>
    <w:rsid w:val="0035599F"/>
    <w:rsid w:val="0035773D"/>
    <w:rsid w:val="00361CF9"/>
    <w:rsid w:val="00364F79"/>
    <w:rsid w:val="00367873"/>
    <w:rsid w:val="00370B08"/>
    <w:rsid w:val="003712A2"/>
    <w:rsid w:val="00371986"/>
    <w:rsid w:val="00371B13"/>
    <w:rsid w:val="00372247"/>
    <w:rsid w:val="00372641"/>
    <w:rsid w:val="003815E2"/>
    <w:rsid w:val="00384017"/>
    <w:rsid w:val="003852E6"/>
    <w:rsid w:val="00385DE6"/>
    <w:rsid w:val="00386D49"/>
    <w:rsid w:val="0038797A"/>
    <w:rsid w:val="003879AF"/>
    <w:rsid w:val="00390401"/>
    <w:rsid w:val="003929C4"/>
    <w:rsid w:val="00392EF5"/>
    <w:rsid w:val="00393433"/>
    <w:rsid w:val="00394E91"/>
    <w:rsid w:val="003A04F9"/>
    <w:rsid w:val="003A1020"/>
    <w:rsid w:val="003A1A97"/>
    <w:rsid w:val="003A2C94"/>
    <w:rsid w:val="003A4F39"/>
    <w:rsid w:val="003B149E"/>
    <w:rsid w:val="003B234B"/>
    <w:rsid w:val="003B351F"/>
    <w:rsid w:val="003B3B69"/>
    <w:rsid w:val="003B6B9D"/>
    <w:rsid w:val="003C12EC"/>
    <w:rsid w:val="003C3D79"/>
    <w:rsid w:val="003C4D0F"/>
    <w:rsid w:val="003C621D"/>
    <w:rsid w:val="003C675C"/>
    <w:rsid w:val="003C782B"/>
    <w:rsid w:val="003D03A2"/>
    <w:rsid w:val="003D15BD"/>
    <w:rsid w:val="003D17DA"/>
    <w:rsid w:val="003D23AF"/>
    <w:rsid w:val="003D25E7"/>
    <w:rsid w:val="003D356D"/>
    <w:rsid w:val="003D3947"/>
    <w:rsid w:val="003D4831"/>
    <w:rsid w:val="003D4A65"/>
    <w:rsid w:val="003E053B"/>
    <w:rsid w:val="003E1314"/>
    <w:rsid w:val="003E1A39"/>
    <w:rsid w:val="003E24A1"/>
    <w:rsid w:val="003E2878"/>
    <w:rsid w:val="003E4647"/>
    <w:rsid w:val="003E4DB9"/>
    <w:rsid w:val="003E61EE"/>
    <w:rsid w:val="003E7ACD"/>
    <w:rsid w:val="003F0847"/>
    <w:rsid w:val="003F0CB4"/>
    <w:rsid w:val="003F4B40"/>
    <w:rsid w:val="003F5310"/>
    <w:rsid w:val="003F5611"/>
    <w:rsid w:val="003F59F5"/>
    <w:rsid w:val="003F6C3F"/>
    <w:rsid w:val="00402E20"/>
    <w:rsid w:val="00405981"/>
    <w:rsid w:val="00405A54"/>
    <w:rsid w:val="00405DB9"/>
    <w:rsid w:val="004105BB"/>
    <w:rsid w:val="00411E9A"/>
    <w:rsid w:val="00412056"/>
    <w:rsid w:val="00413D65"/>
    <w:rsid w:val="004164F1"/>
    <w:rsid w:val="0042165D"/>
    <w:rsid w:val="00421F0A"/>
    <w:rsid w:val="00422BB5"/>
    <w:rsid w:val="0042483F"/>
    <w:rsid w:val="00424EF3"/>
    <w:rsid w:val="00425256"/>
    <w:rsid w:val="00425EB3"/>
    <w:rsid w:val="0043099F"/>
    <w:rsid w:val="00431819"/>
    <w:rsid w:val="004329BC"/>
    <w:rsid w:val="00434DCB"/>
    <w:rsid w:val="004369B4"/>
    <w:rsid w:val="00441CFD"/>
    <w:rsid w:val="00442013"/>
    <w:rsid w:val="004431BA"/>
    <w:rsid w:val="004459AB"/>
    <w:rsid w:val="00445CD5"/>
    <w:rsid w:val="004512FE"/>
    <w:rsid w:val="004521CF"/>
    <w:rsid w:val="00452F00"/>
    <w:rsid w:val="00453A24"/>
    <w:rsid w:val="0045440C"/>
    <w:rsid w:val="00454F7E"/>
    <w:rsid w:val="00455894"/>
    <w:rsid w:val="00461C83"/>
    <w:rsid w:val="004620B1"/>
    <w:rsid w:val="0046314B"/>
    <w:rsid w:val="00465080"/>
    <w:rsid w:val="00467692"/>
    <w:rsid w:val="004720B1"/>
    <w:rsid w:val="004729DC"/>
    <w:rsid w:val="00473220"/>
    <w:rsid w:val="004752A5"/>
    <w:rsid w:val="004760CF"/>
    <w:rsid w:val="00476FFB"/>
    <w:rsid w:val="00477A89"/>
    <w:rsid w:val="004813EA"/>
    <w:rsid w:val="0048151D"/>
    <w:rsid w:val="004840C4"/>
    <w:rsid w:val="00484777"/>
    <w:rsid w:val="00484BFF"/>
    <w:rsid w:val="00490ECA"/>
    <w:rsid w:val="004914DB"/>
    <w:rsid w:val="00495033"/>
    <w:rsid w:val="00495EA8"/>
    <w:rsid w:val="00496DB6"/>
    <w:rsid w:val="004A06CC"/>
    <w:rsid w:val="004A0E4C"/>
    <w:rsid w:val="004A1EEA"/>
    <w:rsid w:val="004A2FFF"/>
    <w:rsid w:val="004A37C5"/>
    <w:rsid w:val="004A4A91"/>
    <w:rsid w:val="004A4E36"/>
    <w:rsid w:val="004A7486"/>
    <w:rsid w:val="004B318F"/>
    <w:rsid w:val="004C78EB"/>
    <w:rsid w:val="004C7D2E"/>
    <w:rsid w:val="004D3DA8"/>
    <w:rsid w:val="004D5133"/>
    <w:rsid w:val="004D7E5A"/>
    <w:rsid w:val="004E0B6A"/>
    <w:rsid w:val="004E10CB"/>
    <w:rsid w:val="004E470E"/>
    <w:rsid w:val="004E70CB"/>
    <w:rsid w:val="004F046C"/>
    <w:rsid w:val="004F0C05"/>
    <w:rsid w:val="004F678A"/>
    <w:rsid w:val="004F79F0"/>
    <w:rsid w:val="004F7ED7"/>
    <w:rsid w:val="00502A28"/>
    <w:rsid w:val="00505002"/>
    <w:rsid w:val="005062AE"/>
    <w:rsid w:val="00507B3F"/>
    <w:rsid w:val="00511B6E"/>
    <w:rsid w:val="005137BB"/>
    <w:rsid w:val="005149C5"/>
    <w:rsid w:val="005164B3"/>
    <w:rsid w:val="00516F69"/>
    <w:rsid w:val="00521B25"/>
    <w:rsid w:val="00523338"/>
    <w:rsid w:val="00525306"/>
    <w:rsid w:val="00530963"/>
    <w:rsid w:val="00531AD8"/>
    <w:rsid w:val="00531E5D"/>
    <w:rsid w:val="00531ED9"/>
    <w:rsid w:val="00532280"/>
    <w:rsid w:val="00532AAE"/>
    <w:rsid w:val="00533467"/>
    <w:rsid w:val="005339FC"/>
    <w:rsid w:val="005340F1"/>
    <w:rsid w:val="005344D8"/>
    <w:rsid w:val="00535E4F"/>
    <w:rsid w:val="00535FE2"/>
    <w:rsid w:val="005416EF"/>
    <w:rsid w:val="00542078"/>
    <w:rsid w:val="00543C10"/>
    <w:rsid w:val="00544F28"/>
    <w:rsid w:val="00546B9F"/>
    <w:rsid w:val="0055140E"/>
    <w:rsid w:val="00551B30"/>
    <w:rsid w:val="00551E76"/>
    <w:rsid w:val="005528F5"/>
    <w:rsid w:val="0055331A"/>
    <w:rsid w:val="00555B1C"/>
    <w:rsid w:val="0055687A"/>
    <w:rsid w:val="005568AC"/>
    <w:rsid w:val="005571AA"/>
    <w:rsid w:val="005604B1"/>
    <w:rsid w:val="00561F16"/>
    <w:rsid w:val="00562E6B"/>
    <w:rsid w:val="005638B5"/>
    <w:rsid w:val="00564756"/>
    <w:rsid w:val="0056587C"/>
    <w:rsid w:val="00566A17"/>
    <w:rsid w:val="00570821"/>
    <w:rsid w:val="00570AC5"/>
    <w:rsid w:val="00570B7C"/>
    <w:rsid w:val="00572A09"/>
    <w:rsid w:val="005749CF"/>
    <w:rsid w:val="00575638"/>
    <w:rsid w:val="0057715C"/>
    <w:rsid w:val="005814A4"/>
    <w:rsid w:val="00581E46"/>
    <w:rsid w:val="00586942"/>
    <w:rsid w:val="00586D50"/>
    <w:rsid w:val="00587139"/>
    <w:rsid w:val="0059041A"/>
    <w:rsid w:val="00592AED"/>
    <w:rsid w:val="0059583C"/>
    <w:rsid w:val="00595DFB"/>
    <w:rsid w:val="00595DFF"/>
    <w:rsid w:val="005A040B"/>
    <w:rsid w:val="005A0EA5"/>
    <w:rsid w:val="005A34BF"/>
    <w:rsid w:val="005A468F"/>
    <w:rsid w:val="005A5AE2"/>
    <w:rsid w:val="005A61AD"/>
    <w:rsid w:val="005A796A"/>
    <w:rsid w:val="005B122D"/>
    <w:rsid w:val="005B179F"/>
    <w:rsid w:val="005B4FE8"/>
    <w:rsid w:val="005B5075"/>
    <w:rsid w:val="005B60E2"/>
    <w:rsid w:val="005C2743"/>
    <w:rsid w:val="005C3240"/>
    <w:rsid w:val="005C358A"/>
    <w:rsid w:val="005C38F9"/>
    <w:rsid w:val="005C498A"/>
    <w:rsid w:val="005C5209"/>
    <w:rsid w:val="005C6ECF"/>
    <w:rsid w:val="005C7462"/>
    <w:rsid w:val="005C76AA"/>
    <w:rsid w:val="005D1BB5"/>
    <w:rsid w:val="005D2014"/>
    <w:rsid w:val="005D2878"/>
    <w:rsid w:val="005D2DAC"/>
    <w:rsid w:val="005D3ABE"/>
    <w:rsid w:val="005D400C"/>
    <w:rsid w:val="005D40A7"/>
    <w:rsid w:val="005D5A43"/>
    <w:rsid w:val="005D6D94"/>
    <w:rsid w:val="005E0B49"/>
    <w:rsid w:val="005E189B"/>
    <w:rsid w:val="005E43DF"/>
    <w:rsid w:val="005E45C0"/>
    <w:rsid w:val="005E5244"/>
    <w:rsid w:val="005E5D0A"/>
    <w:rsid w:val="005E7578"/>
    <w:rsid w:val="005F1A7F"/>
    <w:rsid w:val="005F67AF"/>
    <w:rsid w:val="005F6DE9"/>
    <w:rsid w:val="006000D0"/>
    <w:rsid w:val="00601AB2"/>
    <w:rsid w:val="006020B4"/>
    <w:rsid w:val="00606B48"/>
    <w:rsid w:val="00607B6F"/>
    <w:rsid w:val="00611350"/>
    <w:rsid w:val="00611E27"/>
    <w:rsid w:val="00613C50"/>
    <w:rsid w:val="00617A01"/>
    <w:rsid w:val="00617A4B"/>
    <w:rsid w:val="0062045F"/>
    <w:rsid w:val="0062070A"/>
    <w:rsid w:val="00621AE4"/>
    <w:rsid w:val="00623A6B"/>
    <w:rsid w:val="0062535E"/>
    <w:rsid w:val="00625765"/>
    <w:rsid w:val="00626057"/>
    <w:rsid w:val="00633F80"/>
    <w:rsid w:val="006352AB"/>
    <w:rsid w:val="0063583F"/>
    <w:rsid w:val="00636BF7"/>
    <w:rsid w:val="006379C6"/>
    <w:rsid w:val="006472ED"/>
    <w:rsid w:val="00647344"/>
    <w:rsid w:val="0065413E"/>
    <w:rsid w:val="00660A67"/>
    <w:rsid w:val="00663A36"/>
    <w:rsid w:val="0066431F"/>
    <w:rsid w:val="0066647D"/>
    <w:rsid w:val="00670600"/>
    <w:rsid w:val="00671B26"/>
    <w:rsid w:val="006723BB"/>
    <w:rsid w:val="0067422A"/>
    <w:rsid w:val="006826DF"/>
    <w:rsid w:val="00684A44"/>
    <w:rsid w:val="00685451"/>
    <w:rsid w:val="0068738A"/>
    <w:rsid w:val="00687D0A"/>
    <w:rsid w:val="006908E2"/>
    <w:rsid w:val="00690F9C"/>
    <w:rsid w:val="0069133B"/>
    <w:rsid w:val="00694640"/>
    <w:rsid w:val="006946BA"/>
    <w:rsid w:val="006952F9"/>
    <w:rsid w:val="006952FD"/>
    <w:rsid w:val="0069622D"/>
    <w:rsid w:val="006A0148"/>
    <w:rsid w:val="006A310F"/>
    <w:rsid w:val="006A5256"/>
    <w:rsid w:val="006A7586"/>
    <w:rsid w:val="006B219A"/>
    <w:rsid w:val="006B30E2"/>
    <w:rsid w:val="006B53ED"/>
    <w:rsid w:val="006B557F"/>
    <w:rsid w:val="006C0272"/>
    <w:rsid w:val="006C0B93"/>
    <w:rsid w:val="006C1364"/>
    <w:rsid w:val="006C1666"/>
    <w:rsid w:val="006C1D02"/>
    <w:rsid w:val="006C28A2"/>
    <w:rsid w:val="006C3F36"/>
    <w:rsid w:val="006C52A7"/>
    <w:rsid w:val="006C58CF"/>
    <w:rsid w:val="006C58DC"/>
    <w:rsid w:val="006C5D8A"/>
    <w:rsid w:val="006C640B"/>
    <w:rsid w:val="006D1F47"/>
    <w:rsid w:val="006D40DB"/>
    <w:rsid w:val="006D449A"/>
    <w:rsid w:val="006D469B"/>
    <w:rsid w:val="006E20AC"/>
    <w:rsid w:val="006E2C47"/>
    <w:rsid w:val="006E3A98"/>
    <w:rsid w:val="006E3BBE"/>
    <w:rsid w:val="006E4148"/>
    <w:rsid w:val="006E5529"/>
    <w:rsid w:val="006E69D9"/>
    <w:rsid w:val="006F23E0"/>
    <w:rsid w:val="006F2742"/>
    <w:rsid w:val="006F31A9"/>
    <w:rsid w:val="006F3574"/>
    <w:rsid w:val="006F404F"/>
    <w:rsid w:val="006F5B77"/>
    <w:rsid w:val="006F6817"/>
    <w:rsid w:val="00702658"/>
    <w:rsid w:val="00702A5D"/>
    <w:rsid w:val="00703019"/>
    <w:rsid w:val="00705962"/>
    <w:rsid w:val="00710575"/>
    <w:rsid w:val="00712452"/>
    <w:rsid w:val="00715081"/>
    <w:rsid w:val="00717009"/>
    <w:rsid w:val="00717FE2"/>
    <w:rsid w:val="007205B9"/>
    <w:rsid w:val="00720F23"/>
    <w:rsid w:val="00723F16"/>
    <w:rsid w:val="00726243"/>
    <w:rsid w:val="007313B1"/>
    <w:rsid w:val="00733EA7"/>
    <w:rsid w:val="007344FC"/>
    <w:rsid w:val="00734F3E"/>
    <w:rsid w:val="0073558A"/>
    <w:rsid w:val="00735823"/>
    <w:rsid w:val="00736750"/>
    <w:rsid w:val="00740A4F"/>
    <w:rsid w:val="00741628"/>
    <w:rsid w:val="007431C8"/>
    <w:rsid w:val="00743547"/>
    <w:rsid w:val="00744126"/>
    <w:rsid w:val="00745C1E"/>
    <w:rsid w:val="007502C2"/>
    <w:rsid w:val="00751732"/>
    <w:rsid w:val="00754067"/>
    <w:rsid w:val="0075551E"/>
    <w:rsid w:val="00756F3F"/>
    <w:rsid w:val="0075717F"/>
    <w:rsid w:val="00760397"/>
    <w:rsid w:val="0076139C"/>
    <w:rsid w:val="007620A6"/>
    <w:rsid w:val="00762EF3"/>
    <w:rsid w:val="007634A4"/>
    <w:rsid w:val="00763842"/>
    <w:rsid w:val="00765E93"/>
    <w:rsid w:val="00766AE0"/>
    <w:rsid w:val="00766D22"/>
    <w:rsid w:val="0077006B"/>
    <w:rsid w:val="00771CD1"/>
    <w:rsid w:val="007752A9"/>
    <w:rsid w:val="0077780B"/>
    <w:rsid w:val="007809B0"/>
    <w:rsid w:val="00780BCD"/>
    <w:rsid w:val="00784301"/>
    <w:rsid w:val="00785FBC"/>
    <w:rsid w:val="00786705"/>
    <w:rsid w:val="007867D4"/>
    <w:rsid w:val="00790330"/>
    <w:rsid w:val="0079096A"/>
    <w:rsid w:val="007923CD"/>
    <w:rsid w:val="00793033"/>
    <w:rsid w:val="00793C8B"/>
    <w:rsid w:val="00797D3A"/>
    <w:rsid w:val="007A17E9"/>
    <w:rsid w:val="007A1811"/>
    <w:rsid w:val="007A1BE4"/>
    <w:rsid w:val="007A2B02"/>
    <w:rsid w:val="007A4B48"/>
    <w:rsid w:val="007A5B59"/>
    <w:rsid w:val="007A6586"/>
    <w:rsid w:val="007A690B"/>
    <w:rsid w:val="007A7299"/>
    <w:rsid w:val="007A7A0B"/>
    <w:rsid w:val="007B296B"/>
    <w:rsid w:val="007B741C"/>
    <w:rsid w:val="007C037E"/>
    <w:rsid w:val="007C0DE2"/>
    <w:rsid w:val="007C2A20"/>
    <w:rsid w:val="007C3397"/>
    <w:rsid w:val="007C48B8"/>
    <w:rsid w:val="007C7A65"/>
    <w:rsid w:val="007D01C3"/>
    <w:rsid w:val="007D01EC"/>
    <w:rsid w:val="007D1307"/>
    <w:rsid w:val="007D35F3"/>
    <w:rsid w:val="007D440B"/>
    <w:rsid w:val="007D66D8"/>
    <w:rsid w:val="007D68CC"/>
    <w:rsid w:val="007D7ADE"/>
    <w:rsid w:val="007E29CE"/>
    <w:rsid w:val="007E5568"/>
    <w:rsid w:val="007E6B41"/>
    <w:rsid w:val="007E739C"/>
    <w:rsid w:val="007E7C0F"/>
    <w:rsid w:val="007F01D2"/>
    <w:rsid w:val="007F3912"/>
    <w:rsid w:val="007F4217"/>
    <w:rsid w:val="007F7092"/>
    <w:rsid w:val="007F74E6"/>
    <w:rsid w:val="00800713"/>
    <w:rsid w:val="008016E1"/>
    <w:rsid w:val="0080313A"/>
    <w:rsid w:val="008037FF"/>
    <w:rsid w:val="00804005"/>
    <w:rsid w:val="00810317"/>
    <w:rsid w:val="0081057B"/>
    <w:rsid w:val="00814387"/>
    <w:rsid w:val="00814FC0"/>
    <w:rsid w:val="00817B46"/>
    <w:rsid w:val="00817EF2"/>
    <w:rsid w:val="00817F59"/>
    <w:rsid w:val="00820052"/>
    <w:rsid w:val="00820EEF"/>
    <w:rsid w:val="00821766"/>
    <w:rsid w:val="008278FC"/>
    <w:rsid w:val="00830378"/>
    <w:rsid w:val="0083501A"/>
    <w:rsid w:val="00835C00"/>
    <w:rsid w:val="008404CF"/>
    <w:rsid w:val="0084109A"/>
    <w:rsid w:val="00842631"/>
    <w:rsid w:val="00842D93"/>
    <w:rsid w:val="00844558"/>
    <w:rsid w:val="00845525"/>
    <w:rsid w:val="00847A3B"/>
    <w:rsid w:val="00853681"/>
    <w:rsid w:val="0085491C"/>
    <w:rsid w:val="00856A7C"/>
    <w:rsid w:val="008572F9"/>
    <w:rsid w:val="00857DB7"/>
    <w:rsid w:val="00862146"/>
    <w:rsid w:val="00862994"/>
    <w:rsid w:val="00862A78"/>
    <w:rsid w:val="0086311F"/>
    <w:rsid w:val="008669F5"/>
    <w:rsid w:val="00870E57"/>
    <w:rsid w:val="00876278"/>
    <w:rsid w:val="0087758A"/>
    <w:rsid w:val="00877DC6"/>
    <w:rsid w:val="00880D03"/>
    <w:rsid w:val="008814BA"/>
    <w:rsid w:val="00884880"/>
    <w:rsid w:val="008848CC"/>
    <w:rsid w:val="008870BC"/>
    <w:rsid w:val="00887B10"/>
    <w:rsid w:val="008902AE"/>
    <w:rsid w:val="00891912"/>
    <w:rsid w:val="0089344B"/>
    <w:rsid w:val="008948EB"/>
    <w:rsid w:val="00897E97"/>
    <w:rsid w:val="008A0660"/>
    <w:rsid w:val="008A10D6"/>
    <w:rsid w:val="008A1159"/>
    <w:rsid w:val="008A2139"/>
    <w:rsid w:val="008A34B3"/>
    <w:rsid w:val="008A41AD"/>
    <w:rsid w:val="008A611D"/>
    <w:rsid w:val="008A6FD6"/>
    <w:rsid w:val="008A72EB"/>
    <w:rsid w:val="008B21E0"/>
    <w:rsid w:val="008B4A7B"/>
    <w:rsid w:val="008B4A93"/>
    <w:rsid w:val="008B631C"/>
    <w:rsid w:val="008B702B"/>
    <w:rsid w:val="008B75AC"/>
    <w:rsid w:val="008C08AB"/>
    <w:rsid w:val="008C1FB7"/>
    <w:rsid w:val="008C50F0"/>
    <w:rsid w:val="008C6399"/>
    <w:rsid w:val="008C7652"/>
    <w:rsid w:val="008D15CE"/>
    <w:rsid w:val="008D164F"/>
    <w:rsid w:val="008D492D"/>
    <w:rsid w:val="008E375A"/>
    <w:rsid w:val="008E56A4"/>
    <w:rsid w:val="008F4CE6"/>
    <w:rsid w:val="008F5F3E"/>
    <w:rsid w:val="008F74C5"/>
    <w:rsid w:val="008F7660"/>
    <w:rsid w:val="008F7AE0"/>
    <w:rsid w:val="00900C70"/>
    <w:rsid w:val="00902128"/>
    <w:rsid w:val="00903A8B"/>
    <w:rsid w:val="00903F87"/>
    <w:rsid w:val="00904F18"/>
    <w:rsid w:val="009050A1"/>
    <w:rsid w:val="0090787D"/>
    <w:rsid w:val="00911177"/>
    <w:rsid w:val="009113A0"/>
    <w:rsid w:val="00913BBF"/>
    <w:rsid w:val="009206AC"/>
    <w:rsid w:val="00921426"/>
    <w:rsid w:val="00923A5E"/>
    <w:rsid w:val="00924B13"/>
    <w:rsid w:val="009252EF"/>
    <w:rsid w:val="00925B74"/>
    <w:rsid w:val="00925E63"/>
    <w:rsid w:val="009265A3"/>
    <w:rsid w:val="00927433"/>
    <w:rsid w:val="009279CD"/>
    <w:rsid w:val="00927C70"/>
    <w:rsid w:val="00931F67"/>
    <w:rsid w:val="00935E07"/>
    <w:rsid w:val="0093646D"/>
    <w:rsid w:val="00936AFA"/>
    <w:rsid w:val="009371D8"/>
    <w:rsid w:val="0094052B"/>
    <w:rsid w:val="00942786"/>
    <w:rsid w:val="00942A0D"/>
    <w:rsid w:val="00954268"/>
    <w:rsid w:val="00954504"/>
    <w:rsid w:val="009545F8"/>
    <w:rsid w:val="00955FBB"/>
    <w:rsid w:val="00957082"/>
    <w:rsid w:val="00957969"/>
    <w:rsid w:val="00961338"/>
    <w:rsid w:val="00966221"/>
    <w:rsid w:val="0096751A"/>
    <w:rsid w:val="00971321"/>
    <w:rsid w:val="00972E8E"/>
    <w:rsid w:val="00973DC5"/>
    <w:rsid w:val="009745FC"/>
    <w:rsid w:val="00974646"/>
    <w:rsid w:val="009800F5"/>
    <w:rsid w:val="00980F29"/>
    <w:rsid w:val="0098142F"/>
    <w:rsid w:val="0098205D"/>
    <w:rsid w:val="00982B4F"/>
    <w:rsid w:val="00987D4A"/>
    <w:rsid w:val="0099113A"/>
    <w:rsid w:val="0099279E"/>
    <w:rsid w:val="00993FE0"/>
    <w:rsid w:val="0099505A"/>
    <w:rsid w:val="00997853"/>
    <w:rsid w:val="009A1446"/>
    <w:rsid w:val="009A253D"/>
    <w:rsid w:val="009A28F3"/>
    <w:rsid w:val="009A30DC"/>
    <w:rsid w:val="009A3486"/>
    <w:rsid w:val="009A4156"/>
    <w:rsid w:val="009A570D"/>
    <w:rsid w:val="009A637B"/>
    <w:rsid w:val="009A6B88"/>
    <w:rsid w:val="009B3E0E"/>
    <w:rsid w:val="009B7740"/>
    <w:rsid w:val="009C00B3"/>
    <w:rsid w:val="009C091A"/>
    <w:rsid w:val="009C166B"/>
    <w:rsid w:val="009C37FA"/>
    <w:rsid w:val="009C4D6C"/>
    <w:rsid w:val="009C76C4"/>
    <w:rsid w:val="009D0DBD"/>
    <w:rsid w:val="009D26CB"/>
    <w:rsid w:val="009D27CC"/>
    <w:rsid w:val="009D368A"/>
    <w:rsid w:val="009D38CB"/>
    <w:rsid w:val="009D41A3"/>
    <w:rsid w:val="009E137E"/>
    <w:rsid w:val="009E20A5"/>
    <w:rsid w:val="009E329B"/>
    <w:rsid w:val="009E33D7"/>
    <w:rsid w:val="009E45EA"/>
    <w:rsid w:val="009E461F"/>
    <w:rsid w:val="009E4666"/>
    <w:rsid w:val="009F1793"/>
    <w:rsid w:val="009F2273"/>
    <w:rsid w:val="009F2D07"/>
    <w:rsid w:val="009F322A"/>
    <w:rsid w:val="009F337D"/>
    <w:rsid w:val="009F7570"/>
    <w:rsid w:val="009F760C"/>
    <w:rsid w:val="00A020AE"/>
    <w:rsid w:val="00A0564F"/>
    <w:rsid w:val="00A05998"/>
    <w:rsid w:val="00A06B38"/>
    <w:rsid w:val="00A12758"/>
    <w:rsid w:val="00A158CC"/>
    <w:rsid w:val="00A16157"/>
    <w:rsid w:val="00A21FD8"/>
    <w:rsid w:val="00A22965"/>
    <w:rsid w:val="00A249A6"/>
    <w:rsid w:val="00A307AD"/>
    <w:rsid w:val="00A327E4"/>
    <w:rsid w:val="00A333AC"/>
    <w:rsid w:val="00A35D8D"/>
    <w:rsid w:val="00A37D8D"/>
    <w:rsid w:val="00A40E32"/>
    <w:rsid w:val="00A4202F"/>
    <w:rsid w:val="00A4354F"/>
    <w:rsid w:val="00A4616E"/>
    <w:rsid w:val="00A46859"/>
    <w:rsid w:val="00A4694B"/>
    <w:rsid w:val="00A46F3A"/>
    <w:rsid w:val="00A472AA"/>
    <w:rsid w:val="00A475BE"/>
    <w:rsid w:val="00A52AFE"/>
    <w:rsid w:val="00A53E67"/>
    <w:rsid w:val="00A56878"/>
    <w:rsid w:val="00A57886"/>
    <w:rsid w:val="00A619DC"/>
    <w:rsid w:val="00A61AE2"/>
    <w:rsid w:val="00A61D6B"/>
    <w:rsid w:val="00A65C04"/>
    <w:rsid w:val="00A707E4"/>
    <w:rsid w:val="00A719DE"/>
    <w:rsid w:val="00A75EA2"/>
    <w:rsid w:val="00A77714"/>
    <w:rsid w:val="00A80846"/>
    <w:rsid w:val="00A80A3E"/>
    <w:rsid w:val="00A834F6"/>
    <w:rsid w:val="00A8429D"/>
    <w:rsid w:val="00A9140D"/>
    <w:rsid w:val="00A923EE"/>
    <w:rsid w:val="00A92F34"/>
    <w:rsid w:val="00A92FB1"/>
    <w:rsid w:val="00A94F19"/>
    <w:rsid w:val="00A96334"/>
    <w:rsid w:val="00A963F0"/>
    <w:rsid w:val="00A96F07"/>
    <w:rsid w:val="00AA4585"/>
    <w:rsid w:val="00AA4994"/>
    <w:rsid w:val="00AA5A9C"/>
    <w:rsid w:val="00AA66DB"/>
    <w:rsid w:val="00AA6787"/>
    <w:rsid w:val="00AA7709"/>
    <w:rsid w:val="00AB1B94"/>
    <w:rsid w:val="00AB2712"/>
    <w:rsid w:val="00AB571D"/>
    <w:rsid w:val="00AB58ED"/>
    <w:rsid w:val="00AB68A8"/>
    <w:rsid w:val="00AB6D1E"/>
    <w:rsid w:val="00AB6D48"/>
    <w:rsid w:val="00AC07DE"/>
    <w:rsid w:val="00AC351A"/>
    <w:rsid w:val="00AC36F8"/>
    <w:rsid w:val="00AC5321"/>
    <w:rsid w:val="00AC5327"/>
    <w:rsid w:val="00AC554C"/>
    <w:rsid w:val="00AC5A69"/>
    <w:rsid w:val="00AC6D60"/>
    <w:rsid w:val="00AD1259"/>
    <w:rsid w:val="00AD1483"/>
    <w:rsid w:val="00AD1B30"/>
    <w:rsid w:val="00AD21FC"/>
    <w:rsid w:val="00AD33DB"/>
    <w:rsid w:val="00AD3B4D"/>
    <w:rsid w:val="00AD5A01"/>
    <w:rsid w:val="00AD5C73"/>
    <w:rsid w:val="00AD6B15"/>
    <w:rsid w:val="00AD70C8"/>
    <w:rsid w:val="00AE15C1"/>
    <w:rsid w:val="00AE1FB4"/>
    <w:rsid w:val="00AE2950"/>
    <w:rsid w:val="00AE48A8"/>
    <w:rsid w:val="00AE6186"/>
    <w:rsid w:val="00AE6373"/>
    <w:rsid w:val="00AE7A65"/>
    <w:rsid w:val="00AE7BD0"/>
    <w:rsid w:val="00AF0DF7"/>
    <w:rsid w:val="00AF4582"/>
    <w:rsid w:val="00AF58D5"/>
    <w:rsid w:val="00AF623F"/>
    <w:rsid w:val="00AF684B"/>
    <w:rsid w:val="00AF69EB"/>
    <w:rsid w:val="00AF7020"/>
    <w:rsid w:val="00AF76FD"/>
    <w:rsid w:val="00B00849"/>
    <w:rsid w:val="00B017F3"/>
    <w:rsid w:val="00B0436F"/>
    <w:rsid w:val="00B0633D"/>
    <w:rsid w:val="00B10414"/>
    <w:rsid w:val="00B11487"/>
    <w:rsid w:val="00B11780"/>
    <w:rsid w:val="00B11E79"/>
    <w:rsid w:val="00B12184"/>
    <w:rsid w:val="00B1473D"/>
    <w:rsid w:val="00B1487D"/>
    <w:rsid w:val="00B1596E"/>
    <w:rsid w:val="00B16021"/>
    <w:rsid w:val="00B17F08"/>
    <w:rsid w:val="00B200EF"/>
    <w:rsid w:val="00B2010D"/>
    <w:rsid w:val="00B20232"/>
    <w:rsid w:val="00B21142"/>
    <w:rsid w:val="00B21DB0"/>
    <w:rsid w:val="00B25E95"/>
    <w:rsid w:val="00B26557"/>
    <w:rsid w:val="00B26AB9"/>
    <w:rsid w:val="00B31206"/>
    <w:rsid w:val="00B31882"/>
    <w:rsid w:val="00B3202B"/>
    <w:rsid w:val="00B327F0"/>
    <w:rsid w:val="00B33013"/>
    <w:rsid w:val="00B33570"/>
    <w:rsid w:val="00B36D8A"/>
    <w:rsid w:val="00B43C74"/>
    <w:rsid w:val="00B45645"/>
    <w:rsid w:val="00B4575C"/>
    <w:rsid w:val="00B45987"/>
    <w:rsid w:val="00B45CFC"/>
    <w:rsid w:val="00B465AA"/>
    <w:rsid w:val="00B46E0F"/>
    <w:rsid w:val="00B5125D"/>
    <w:rsid w:val="00B53D4D"/>
    <w:rsid w:val="00B54497"/>
    <w:rsid w:val="00B545A5"/>
    <w:rsid w:val="00B56333"/>
    <w:rsid w:val="00B56D87"/>
    <w:rsid w:val="00B613A3"/>
    <w:rsid w:val="00B620DD"/>
    <w:rsid w:val="00B6219D"/>
    <w:rsid w:val="00B63451"/>
    <w:rsid w:val="00B636CF"/>
    <w:rsid w:val="00B65517"/>
    <w:rsid w:val="00B7079A"/>
    <w:rsid w:val="00B7259A"/>
    <w:rsid w:val="00B77F51"/>
    <w:rsid w:val="00B80331"/>
    <w:rsid w:val="00B80511"/>
    <w:rsid w:val="00B8119B"/>
    <w:rsid w:val="00B8386A"/>
    <w:rsid w:val="00B8599C"/>
    <w:rsid w:val="00B87833"/>
    <w:rsid w:val="00B907BE"/>
    <w:rsid w:val="00B92AC0"/>
    <w:rsid w:val="00B92B24"/>
    <w:rsid w:val="00B9549D"/>
    <w:rsid w:val="00B9657F"/>
    <w:rsid w:val="00BA2032"/>
    <w:rsid w:val="00BA232B"/>
    <w:rsid w:val="00BA39DB"/>
    <w:rsid w:val="00BA4DC1"/>
    <w:rsid w:val="00BA5F3E"/>
    <w:rsid w:val="00BA6601"/>
    <w:rsid w:val="00BA79D2"/>
    <w:rsid w:val="00BB0027"/>
    <w:rsid w:val="00BB5F36"/>
    <w:rsid w:val="00BB623D"/>
    <w:rsid w:val="00BB6894"/>
    <w:rsid w:val="00BB6C40"/>
    <w:rsid w:val="00BB79EE"/>
    <w:rsid w:val="00BC2C58"/>
    <w:rsid w:val="00BC40EB"/>
    <w:rsid w:val="00BC42B9"/>
    <w:rsid w:val="00BC4C15"/>
    <w:rsid w:val="00BC5093"/>
    <w:rsid w:val="00BC7907"/>
    <w:rsid w:val="00BD0523"/>
    <w:rsid w:val="00BD0B50"/>
    <w:rsid w:val="00BD0FFC"/>
    <w:rsid w:val="00BD2BAE"/>
    <w:rsid w:val="00BD317E"/>
    <w:rsid w:val="00BD3204"/>
    <w:rsid w:val="00BD3956"/>
    <w:rsid w:val="00BD53D5"/>
    <w:rsid w:val="00BE0032"/>
    <w:rsid w:val="00BE0C4F"/>
    <w:rsid w:val="00BE278E"/>
    <w:rsid w:val="00BE4393"/>
    <w:rsid w:val="00BE4D80"/>
    <w:rsid w:val="00BE51CF"/>
    <w:rsid w:val="00BE6610"/>
    <w:rsid w:val="00BE6EF7"/>
    <w:rsid w:val="00BE716A"/>
    <w:rsid w:val="00BF02FA"/>
    <w:rsid w:val="00BF0309"/>
    <w:rsid w:val="00BF0650"/>
    <w:rsid w:val="00BF117C"/>
    <w:rsid w:val="00BF2B17"/>
    <w:rsid w:val="00BF3D60"/>
    <w:rsid w:val="00BF3D8B"/>
    <w:rsid w:val="00BF4408"/>
    <w:rsid w:val="00BF5489"/>
    <w:rsid w:val="00BF592F"/>
    <w:rsid w:val="00BF66E0"/>
    <w:rsid w:val="00BF7243"/>
    <w:rsid w:val="00BF739D"/>
    <w:rsid w:val="00BF78E6"/>
    <w:rsid w:val="00BF7A60"/>
    <w:rsid w:val="00BF7C1F"/>
    <w:rsid w:val="00C0148C"/>
    <w:rsid w:val="00C023BF"/>
    <w:rsid w:val="00C033C3"/>
    <w:rsid w:val="00C04EF0"/>
    <w:rsid w:val="00C05850"/>
    <w:rsid w:val="00C07A2B"/>
    <w:rsid w:val="00C11EC6"/>
    <w:rsid w:val="00C13033"/>
    <w:rsid w:val="00C134A6"/>
    <w:rsid w:val="00C148D5"/>
    <w:rsid w:val="00C14AE4"/>
    <w:rsid w:val="00C21282"/>
    <w:rsid w:val="00C238AD"/>
    <w:rsid w:val="00C23BC4"/>
    <w:rsid w:val="00C23DA0"/>
    <w:rsid w:val="00C2445F"/>
    <w:rsid w:val="00C2757A"/>
    <w:rsid w:val="00C31F22"/>
    <w:rsid w:val="00C337D6"/>
    <w:rsid w:val="00C36564"/>
    <w:rsid w:val="00C36A53"/>
    <w:rsid w:val="00C37163"/>
    <w:rsid w:val="00C37B5B"/>
    <w:rsid w:val="00C37EB4"/>
    <w:rsid w:val="00C40765"/>
    <w:rsid w:val="00C416AA"/>
    <w:rsid w:val="00C458C4"/>
    <w:rsid w:val="00C45ED1"/>
    <w:rsid w:val="00C466EA"/>
    <w:rsid w:val="00C46C54"/>
    <w:rsid w:val="00C50A57"/>
    <w:rsid w:val="00C51B28"/>
    <w:rsid w:val="00C549E6"/>
    <w:rsid w:val="00C5657F"/>
    <w:rsid w:val="00C5703D"/>
    <w:rsid w:val="00C57924"/>
    <w:rsid w:val="00C6020A"/>
    <w:rsid w:val="00C62458"/>
    <w:rsid w:val="00C6321B"/>
    <w:rsid w:val="00C63515"/>
    <w:rsid w:val="00C635BA"/>
    <w:rsid w:val="00C63B71"/>
    <w:rsid w:val="00C64149"/>
    <w:rsid w:val="00C646B8"/>
    <w:rsid w:val="00C704E0"/>
    <w:rsid w:val="00C71B72"/>
    <w:rsid w:val="00C72737"/>
    <w:rsid w:val="00C72DAD"/>
    <w:rsid w:val="00C73584"/>
    <w:rsid w:val="00C73BC3"/>
    <w:rsid w:val="00C77C13"/>
    <w:rsid w:val="00C82B04"/>
    <w:rsid w:val="00C84031"/>
    <w:rsid w:val="00C847C0"/>
    <w:rsid w:val="00C85C5E"/>
    <w:rsid w:val="00C85CB3"/>
    <w:rsid w:val="00C877B7"/>
    <w:rsid w:val="00C92CDF"/>
    <w:rsid w:val="00C92E7E"/>
    <w:rsid w:val="00C9314B"/>
    <w:rsid w:val="00C93160"/>
    <w:rsid w:val="00C938B0"/>
    <w:rsid w:val="00C94C27"/>
    <w:rsid w:val="00CA0C90"/>
    <w:rsid w:val="00CA1213"/>
    <w:rsid w:val="00CA32FF"/>
    <w:rsid w:val="00CA390D"/>
    <w:rsid w:val="00CA4BB4"/>
    <w:rsid w:val="00CA4DD5"/>
    <w:rsid w:val="00CA6CE9"/>
    <w:rsid w:val="00CB0E96"/>
    <w:rsid w:val="00CB20C7"/>
    <w:rsid w:val="00CB2F29"/>
    <w:rsid w:val="00CB554A"/>
    <w:rsid w:val="00CB570F"/>
    <w:rsid w:val="00CC05F0"/>
    <w:rsid w:val="00CC2BD0"/>
    <w:rsid w:val="00CC380A"/>
    <w:rsid w:val="00CC3974"/>
    <w:rsid w:val="00CC5962"/>
    <w:rsid w:val="00CC600C"/>
    <w:rsid w:val="00CC6A19"/>
    <w:rsid w:val="00CD10E5"/>
    <w:rsid w:val="00CD485D"/>
    <w:rsid w:val="00CD4883"/>
    <w:rsid w:val="00CD4905"/>
    <w:rsid w:val="00CD511C"/>
    <w:rsid w:val="00CD5A8F"/>
    <w:rsid w:val="00CD7634"/>
    <w:rsid w:val="00CE1754"/>
    <w:rsid w:val="00CE2306"/>
    <w:rsid w:val="00CE25BB"/>
    <w:rsid w:val="00CE3245"/>
    <w:rsid w:val="00CE32C0"/>
    <w:rsid w:val="00CE373F"/>
    <w:rsid w:val="00CE3B2B"/>
    <w:rsid w:val="00CE4D56"/>
    <w:rsid w:val="00CF217A"/>
    <w:rsid w:val="00CF2AC6"/>
    <w:rsid w:val="00CF31B0"/>
    <w:rsid w:val="00CF36FE"/>
    <w:rsid w:val="00CF467A"/>
    <w:rsid w:val="00CF46EC"/>
    <w:rsid w:val="00CF64FE"/>
    <w:rsid w:val="00CF7FB1"/>
    <w:rsid w:val="00D02159"/>
    <w:rsid w:val="00D11CB4"/>
    <w:rsid w:val="00D13852"/>
    <w:rsid w:val="00D1449F"/>
    <w:rsid w:val="00D207BB"/>
    <w:rsid w:val="00D2157C"/>
    <w:rsid w:val="00D21A6D"/>
    <w:rsid w:val="00D21E22"/>
    <w:rsid w:val="00D23738"/>
    <w:rsid w:val="00D2536F"/>
    <w:rsid w:val="00D25416"/>
    <w:rsid w:val="00D30069"/>
    <w:rsid w:val="00D303CE"/>
    <w:rsid w:val="00D31A2B"/>
    <w:rsid w:val="00D333A8"/>
    <w:rsid w:val="00D33CC5"/>
    <w:rsid w:val="00D33F3C"/>
    <w:rsid w:val="00D351AA"/>
    <w:rsid w:val="00D419F8"/>
    <w:rsid w:val="00D426F0"/>
    <w:rsid w:val="00D4472D"/>
    <w:rsid w:val="00D44F2C"/>
    <w:rsid w:val="00D50166"/>
    <w:rsid w:val="00D5080D"/>
    <w:rsid w:val="00D51D28"/>
    <w:rsid w:val="00D51EA8"/>
    <w:rsid w:val="00D52226"/>
    <w:rsid w:val="00D524C5"/>
    <w:rsid w:val="00D53199"/>
    <w:rsid w:val="00D54364"/>
    <w:rsid w:val="00D543D1"/>
    <w:rsid w:val="00D554A5"/>
    <w:rsid w:val="00D554CF"/>
    <w:rsid w:val="00D57F37"/>
    <w:rsid w:val="00D61240"/>
    <w:rsid w:val="00D620B0"/>
    <w:rsid w:val="00D62262"/>
    <w:rsid w:val="00D6322E"/>
    <w:rsid w:val="00D638B0"/>
    <w:rsid w:val="00D65F3C"/>
    <w:rsid w:val="00D66B7D"/>
    <w:rsid w:val="00D7076F"/>
    <w:rsid w:val="00D707F7"/>
    <w:rsid w:val="00D708CF"/>
    <w:rsid w:val="00D718C2"/>
    <w:rsid w:val="00D71E9C"/>
    <w:rsid w:val="00D72434"/>
    <w:rsid w:val="00D731D2"/>
    <w:rsid w:val="00D73B45"/>
    <w:rsid w:val="00D81087"/>
    <w:rsid w:val="00D811ED"/>
    <w:rsid w:val="00D83364"/>
    <w:rsid w:val="00D834F9"/>
    <w:rsid w:val="00D911B2"/>
    <w:rsid w:val="00D919F6"/>
    <w:rsid w:val="00D96026"/>
    <w:rsid w:val="00D965D5"/>
    <w:rsid w:val="00D96BB8"/>
    <w:rsid w:val="00D976CF"/>
    <w:rsid w:val="00DA1769"/>
    <w:rsid w:val="00DA2B65"/>
    <w:rsid w:val="00DA2FBA"/>
    <w:rsid w:val="00DA3BD5"/>
    <w:rsid w:val="00DA5C41"/>
    <w:rsid w:val="00DA64AB"/>
    <w:rsid w:val="00DA6C99"/>
    <w:rsid w:val="00DA707D"/>
    <w:rsid w:val="00DB4D33"/>
    <w:rsid w:val="00DB6353"/>
    <w:rsid w:val="00DB680A"/>
    <w:rsid w:val="00DC2BEC"/>
    <w:rsid w:val="00DC43FB"/>
    <w:rsid w:val="00DC67B5"/>
    <w:rsid w:val="00DD0426"/>
    <w:rsid w:val="00DD08FC"/>
    <w:rsid w:val="00DD5B4E"/>
    <w:rsid w:val="00DD62FF"/>
    <w:rsid w:val="00DD630E"/>
    <w:rsid w:val="00DD7A9F"/>
    <w:rsid w:val="00DE0D8E"/>
    <w:rsid w:val="00DE0E96"/>
    <w:rsid w:val="00DE1255"/>
    <w:rsid w:val="00DE1AA3"/>
    <w:rsid w:val="00DE2613"/>
    <w:rsid w:val="00DE4B23"/>
    <w:rsid w:val="00DE7250"/>
    <w:rsid w:val="00DF0329"/>
    <w:rsid w:val="00DF1B54"/>
    <w:rsid w:val="00DF50BB"/>
    <w:rsid w:val="00DF5A36"/>
    <w:rsid w:val="00DF6C02"/>
    <w:rsid w:val="00E02F11"/>
    <w:rsid w:val="00E0382B"/>
    <w:rsid w:val="00E042C0"/>
    <w:rsid w:val="00E04D09"/>
    <w:rsid w:val="00E10127"/>
    <w:rsid w:val="00E1063F"/>
    <w:rsid w:val="00E14E7F"/>
    <w:rsid w:val="00E1541C"/>
    <w:rsid w:val="00E16B65"/>
    <w:rsid w:val="00E16C74"/>
    <w:rsid w:val="00E21113"/>
    <w:rsid w:val="00E2185D"/>
    <w:rsid w:val="00E23940"/>
    <w:rsid w:val="00E23D8E"/>
    <w:rsid w:val="00E267A0"/>
    <w:rsid w:val="00E27815"/>
    <w:rsid w:val="00E303D4"/>
    <w:rsid w:val="00E306AB"/>
    <w:rsid w:val="00E30DEA"/>
    <w:rsid w:val="00E32338"/>
    <w:rsid w:val="00E42EEE"/>
    <w:rsid w:val="00E42FBC"/>
    <w:rsid w:val="00E43714"/>
    <w:rsid w:val="00E43865"/>
    <w:rsid w:val="00E466ED"/>
    <w:rsid w:val="00E46858"/>
    <w:rsid w:val="00E478FA"/>
    <w:rsid w:val="00E50AA6"/>
    <w:rsid w:val="00E519CE"/>
    <w:rsid w:val="00E51BFD"/>
    <w:rsid w:val="00E52FDC"/>
    <w:rsid w:val="00E53B53"/>
    <w:rsid w:val="00E55CDE"/>
    <w:rsid w:val="00E61210"/>
    <w:rsid w:val="00E629E5"/>
    <w:rsid w:val="00E62BD3"/>
    <w:rsid w:val="00E63B58"/>
    <w:rsid w:val="00E6487F"/>
    <w:rsid w:val="00E66D1F"/>
    <w:rsid w:val="00E66EC2"/>
    <w:rsid w:val="00E66F58"/>
    <w:rsid w:val="00E67620"/>
    <w:rsid w:val="00E7193D"/>
    <w:rsid w:val="00E740E0"/>
    <w:rsid w:val="00E7474A"/>
    <w:rsid w:val="00E750CE"/>
    <w:rsid w:val="00E75665"/>
    <w:rsid w:val="00E75E2F"/>
    <w:rsid w:val="00E763EC"/>
    <w:rsid w:val="00E76879"/>
    <w:rsid w:val="00E8129E"/>
    <w:rsid w:val="00E8453C"/>
    <w:rsid w:val="00E87BC1"/>
    <w:rsid w:val="00E914AF"/>
    <w:rsid w:val="00E9156B"/>
    <w:rsid w:val="00E91797"/>
    <w:rsid w:val="00E93158"/>
    <w:rsid w:val="00E93E09"/>
    <w:rsid w:val="00E94116"/>
    <w:rsid w:val="00E964EA"/>
    <w:rsid w:val="00E9735A"/>
    <w:rsid w:val="00E97413"/>
    <w:rsid w:val="00EA0CF8"/>
    <w:rsid w:val="00EA3639"/>
    <w:rsid w:val="00EA3913"/>
    <w:rsid w:val="00EA3994"/>
    <w:rsid w:val="00EA7D37"/>
    <w:rsid w:val="00EB0DD5"/>
    <w:rsid w:val="00EB0E32"/>
    <w:rsid w:val="00EB1B91"/>
    <w:rsid w:val="00EB1CB2"/>
    <w:rsid w:val="00EB297D"/>
    <w:rsid w:val="00EB3F38"/>
    <w:rsid w:val="00EB422C"/>
    <w:rsid w:val="00EB6CFB"/>
    <w:rsid w:val="00EC0172"/>
    <w:rsid w:val="00EC0446"/>
    <w:rsid w:val="00EC51CF"/>
    <w:rsid w:val="00ED13E2"/>
    <w:rsid w:val="00ED16BA"/>
    <w:rsid w:val="00ED2EC4"/>
    <w:rsid w:val="00ED35F4"/>
    <w:rsid w:val="00ED3A56"/>
    <w:rsid w:val="00ED71D0"/>
    <w:rsid w:val="00EE03F5"/>
    <w:rsid w:val="00EE14D0"/>
    <w:rsid w:val="00EF0D48"/>
    <w:rsid w:val="00EF2052"/>
    <w:rsid w:val="00EF36F5"/>
    <w:rsid w:val="00EF3BE4"/>
    <w:rsid w:val="00EF3C08"/>
    <w:rsid w:val="00EF3C0E"/>
    <w:rsid w:val="00EF4749"/>
    <w:rsid w:val="00EF5DEF"/>
    <w:rsid w:val="00EF62C3"/>
    <w:rsid w:val="00EF713A"/>
    <w:rsid w:val="00F00062"/>
    <w:rsid w:val="00F003D2"/>
    <w:rsid w:val="00F02976"/>
    <w:rsid w:val="00F02D22"/>
    <w:rsid w:val="00F03A5F"/>
    <w:rsid w:val="00F070EF"/>
    <w:rsid w:val="00F10A03"/>
    <w:rsid w:val="00F12E9C"/>
    <w:rsid w:val="00F137E7"/>
    <w:rsid w:val="00F13C2E"/>
    <w:rsid w:val="00F1433A"/>
    <w:rsid w:val="00F153FF"/>
    <w:rsid w:val="00F15C97"/>
    <w:rsid w:val="00F17044"/>
    <w:rsid w:val="00F20199"/>
    <w:rsid w:val="00F20EF4"/>
    <w:rsid w:val="00F234D9"/>
    <w:rsid w:val="00F249CA"/>
    <w:rsid w:val="00F2526D"/>
    <w:rsid w:val="00F253EC"/>
    <w:rsid w:val="00F32629"/>
    <w:rsid w:val="00F32CE4"/>
    <w:rsid w:val="00F32E80"/>
    <w:rsid w:val="00F3592B"/>
    <w:rsid w:val="00F35C3F"/>
    <w:rsid w:val="00F41EA4"/>
    <w:rsid w:val="00F47B52"/>
    <w:rsid w:val="00F500E4"/>
    <w:rsid w:val="00F540CC"/>
    <w:rsid w:val="00F55C1A"/>
    <w:rsid w:val="00F600C0"/>
    <w:rsid w:val="00F6046E"/>
    <w:rsid w:val="00F60F88"/>
    <w:rsid w:val="00F611A1"/>
    <w:rsid w:val="00F6192B"/>
    <w:rsid w:val="00F624A7"/>
    <w:rsid w:val="00F63B25"/>
    <w:rsid w:val="00F66966"/>
    <w:rsid w:val="00F670D4"/>
    <w:rsid w:val="00F70C2B"/>
    <w:rsid w:val="00F712A8"/>
    <w:rsid w:val="00F74FE8"/>
    <w:rsid w:val="00F75CC9"/>
    <w:rsid w:val="00F772AB"/>
    <w:rsid w:val="00F80C21"/>
    <w:rsid w:val="00F81460"/>
    <w:rsid w:val="00F82262"/>
    <w:rsid w:val="00F82308"/>
    <w:rsid w:val="00F82771"/>
    <w:rsid w:val="00F827AD"/>
    <w:rsid w:val="00F82C79"/>
    <w:rsid w:val="00F83B32"/>
    <w:rsid w:val="00F83F93"/>
    <w:rsid w:val="00F87342"/>
    <w:rsid w:val="00F91ABB"/>
    <w:rsid w:val="00F924C3"/>
    <w:rsid w:val="00F93088"/>
    <w:rsid w:val="00F93934"/>
    <w:rsid w:val="00F96298"/>
    <w:rsid w:val="00F968CF"/>
    <w:rsid w:val="00F9725E"/>
    <w:rsid w:val="00FA0B2F"/>
    <w:rsid w:val="00FA0C34"/>
    <w:rsid w:val="00FA1481"/>
    <w:rsid w:val="00FA5A35"/>
    <w:rsid w:val="00FA7D82"/>
    <w:rsid w:val="00FB01E5"/>
    <w:rsid w:val="00FB1246"/>
    <w:rsid w:val="00FB24A9"/>
    <w:rsid w:val="00FB484A"/>
    <w:rsid w:val="00FB5B45"/>
    <w:rsid w:val="00FB61EA"/>
    <w:rsid w:val="00FC1CBB"/>
    <w:rsid w:val="00FC5B70"/>
    <w:rsid w:val="00FD064D"/>
    <w:rsid w:val="00FD20FF"/>
    <w:rsid w:val="00FD2BFA"/>
    <w:rsid w:val="00FD36E1"/>
    <w:rsid w:val="00FD4873"/>
    <w:rsid w:val="00FD5372"/>
    <w:rsid w:val="00FD5647"/>
    <w:rsid w:val="00FD5984"/>
    <w:rsid w:val="00FD675C"/>
    <w:rsid w:val="00FD7052"/>
    <w:rsid w:val="00FD7BFA"/>
    <w:rsid w:val="00FD7FF7"/>
    <w:rsid w:val="00FE27FD"/>
    <w:rsid w:val="00FE4015"/>
    <w:rsid w:val="00FE496B"/>
    <w:rsid w:val="00FE596E"/>
    <w:rsid w:val="00FE67B2"/>
    <w:rsid w:val="00FE7D49"/>
    <w:rsid w:val="00FF2CB3"/>
    <w:rsid w:val="00FF4529"/>
    <w:rsid w:val="00FF71C3"/>
    <w:rsid w:val="00FF727E"/>
    <w:rsid w:val="3E2751D8"/>
    <w:rsid w:val="52061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4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6"/>
    <w:semiHidden/>
    <w:unhideWhenUsed/>
    <w:qFormat/>
    <w:uiPriority w:val="99"/>
    <w:rPr>
      <w:rFonts w:ascii="宋体" w:eastAsia="宋体"/>
      <w:sz w:val="20"/>
      <w:szCs w:val="18"/>
    </w:rPr>
  </w:style>
  <w:style w:type="paragraph" w:styleId="8">
    <w:name w:val="annotation text"/>
    <w:basedOn w:val="1"/>
    <w:link w:val="33"/>
    <w:semiHidden/>
    <w:unhideWhenUsed/>
    <w:qFormat/>
    <w:uiPriority w:val="99"/>
    <w:pPr>
      <w:jc w:val="left"/>
    </w:pPr>
  </w:style>
  <w:style w:type="paragraph" w:styleId="9">
    <w:name w:val="Body Text"/>
    <w:basedOn w:val="1"/>
    <w:link w:val="42"/>
    <w:semiHidden/>
    <w:unhideWhenUsed/>
    <w:qFormat/>
    <w:uiPriority w:val="99"/>
    <w:pPr>
      <w:spacing w:after="120"/>
    </w:pPr>
  </w:style>
  <w:style w:type="paragraph" w:styleId="10">
    <w:name w:val="Balloon Text"/>
    <w:basedOn w:val="1"/>
    <w:link w:val="25"/>
    <w:unhideWhenUsed/>
    <w:qFormat/>
    <w:uiPriority w:val="99"/>
    <w:rPr>
      <w:sz w:val="18"/>
      <w:szCs w:val="18"/>
    </w:rPr>
  </w:style>
  <w:style w:type="paragraph" w:styleId="11">
    <w:name w:val="footer"/>
    <w:basedOn w:val="1"/>
    <w:link w:val="28"/>
    <w:unhideWhenUsed/>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szCs w:val="22"/>
    </w:rPr>
  </w:style>
  <w:style w:type="paragraph" w:styleId="14">
    <w:name w:val="Body Text Indent 3"/>
    <w:basedOn w:val="1"/>
    <w:link w:val="30"/>
    <w:uiPriority w:val="0"/>
    <w:pPr>
      <w:spacing w:after="120"/>
      <w:ind w:left="420" w:leftChars="200"/>
    </w:pPr>
    <w:rPr>
      <w:rFonts w:ascii="Times New Roman" w:hAnsi="Times New Roman" w:eastAsia="宋体" w:cs="Times New Roman"/>
      <w:sz w:val="16"/>
      <w:szCs w:val="16"/>
    </w:rPr>
  </w:style>
  <w:style w:type="paragraph" w:styleId="15">
    <w:name w:val="toc 2"/>
    <w:basedOn w:val="1"/>
    <w:next w:val="1"/>
    <w:semiHidden/>
    <w:unhideWhenUsed/>
    <w:qFormat/>
    <w:uiPriority w:val="39"/>
    <w:pPr>
      <w:ind w:left="420" w:leftChars="200"/>
    </w:pPr>
  </w:style>
  <w:style w:type="paragraph" w:styleId="16">
    <w:name w:val="Title"/>
    <w:basedOn w:val="1"/>
    <w:next w:val="1"/>
    <w:link w:val="53"/>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17">
    <w:name w:val="annotation subject"/>
    <w:basedOn w:val="8"/>
    <w:next w:val="8"/>
    <w:link w:val="34"/>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Emphasis"/>
    <w:basedOn w:val="20"/>
    <w:qFormat/>
    <w:uiPriority w:val="20"/>
    <w:rPr>
      <w:i/>
    </w:rPr>
  </w:style>
  <w:style w:type="character" w:styleId="23">
    <w:name w:val="Hyperlink"/>
    <w:basedOn w:val="20"/>
    <w:unhideWhenUsed/>
    <w:qFormat/>
    <w:uiPriority w:val="99"/>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批注框文本 Char"/>
    <w:basedOn w:val="20"/>
    <w:link w:val="10"/>
    <w:uiPriority w:val="99"/>
    <w:rPr>
      <w:sz w:val="18"/>
      <w:szCs w:val="18"/>
    </w:rPr>
  </w:style>
  <w:style w:type="character" w:customStyle="1" w:styleId="26">
    <w:name w:val="文档结构图 Char"/>
    <w:basedOn w:val="20"/>
    <w:link w:val="7"/>
    <w:semiHidden/>
    <w:qFormat/>
    <w:uiPriority w:val="99"/>
    <w:rPr>
      <w:rFonts w:ascii="宋体" w:eastAsia="宋体"/>
      <w:sz w:val="20"/>
      <w:szCs w:val="18"/>
    </w:rPr>
  </w:style>
  <w:style w:type="character" w:customStyle="1" w:styleId="27">
    <w:name w:val="页眉 Char"/>
    <w:basedOn w:val="20"/>
    <w:link w:val="12"/>
    <w:qFormat/>
    <w:uiPriority w:val="99"/>
    <w:rPr>
      <w:sz w:val="18"/>
      <w:szCs w:val="18"/>
    </w:rPr>
  </w:style>
  <w:style w:type="character" w:customStyle="1" w:styleId="28">
    <w:name w:val="页脚 Char"/>
    <w:basedOn w:val="20"/>
    <w:link w:val="11"/>
    <w:qFormat/>
    <w:uiPriority w:val="99"/>
    <w:rPr>
      <w:sz w:val="18"/>
      <w:szCs w:val="18"/>
    </w:rPr>
  </w:style>
  <w:style w:type="paragraph" w:customStyle="1" w:styleId="29">
    <w:name w:val="表体"/>
    <w:basedOn w:val="1"/>
    <w:link w:val="4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0">
    <w:name w:val="正文文本缩进 3 Char"/>
    <w:basedOn w:val="20"/>
    <w:link w:val="14"/>
    <w:uiPriority w:val="0"/>
    <w:rPr>
      <w:rFonts w:ascii="Times New Roman" w:hAnsi="Times New Roman" w:eastAsia="宋体" w:cs="Times New Roman"/>
      <w:sz w:val="16"/>
      <w:szCs w:val="16"/>
    </w:rPr>
  </w:style>
  <w:style w:type="paragraph" w:customStyle="1" w:styleId="31">
    <w:name w:val="表头"/>
    <w:basedOn w:val="1"/>
    <w:link w:val="32"/>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2">
    <w:name w:val="表头 Char Char"/>
    <w:link w:val="31"/>
    <w:uiPriority w:val="0"/>
    <w:rPr>
      <w:rFonts w:ascii="Times New Roman" w:hAnsi="宋体" w:eastAsia="FangSong_GB2312" w:cs="Times New Roman"/>
      <w:b/>
      <w:kern w:val="0"/>
      <w:sz w:val="28"/>
      <w:szCs w:val="28"/>
    </w:rPr>
  </w:style>
  <w:style w:type="character" w:customStyle="1" w:styleId="33">
    <w:name w:val="批注文字 Char"/>
    <w:basedOn w:val="20"/>
    <w:link w:val="8"/>
    <w:semiHidden/>
    <w:uiPriority w:val="99"/>
  </w:style>
  <w:style w:type="character" w:customStyle="1" w:styleId="34">
    <w:name w:val="批注主题 Char"/>
    <w:basedOn w:val="33"/>
    <w:link w:val="17"/>
    <w:semiHidden/>
    <w:qFormat/>
    <w:uiPriority w:val="99"/>
    <w:rPr>
      <w:b/>
      <w:bCs/>
    </w:rPr>
  </w:style>
  <w:style w:type="character" w:customStyle="1" w:styleId="35">
    <w:name w:val="题注1 Char"/>
    <w:link w:val="36"/>
    <w:qFormat/>
    <w:uiPriority w:val="0"/>
    <w:rPr>
      <w:rFonts w:cs="宋体"/>
      <w:b/>
      <w:bCs/>
      <w:spacing w:val="10"/>
      <w:szCs w:val="24"/>
    </w:rPr>
  </w:style>
  <w:style w:type="paragraph" w:customStyle="1" w:styleId="36">
    <w:name w:val="题注1"/>
    <w:basedOn w:val="1"/>
    <w:link w:val="35"/>
    <w:qFormat/>
    <w:uiPriority w:val="0"/>
    <w:pPr>
      <w:spacing w:beforeLines="20" w:afterLines="20"/>
      <w:jc w:val="center"/>
    </w:pPr>
    <w:rPr>
      <w:rFonts w:cs="宋体"/>
      <w:b/>
      <w:bCs/>
      <w:spacing w:val="10"/>
      <w:szCs w:val="24"/>
    </w:rPr>
  </w:style>
  <w:style w:type="paragraph" w:customStyle="1" w:styleId="37">
    <w:name w:val="赵"/>
    <w:basedOn w:val="1"/>
    <w:link w:val="38"/>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8">
    <w:name w:val="赵 Char"/>
    <w:basedOn w:val="20"/>
    <w:link w:val="37"/>
    <w:qFormat/>
    <w:uiPriority w:val="0"/>
    <w:rPr>
      <w:rFonts w:ascii="Times New Roman" w:hAnsi="Times New Roman" w:eastAsia="宋体" w:cs="Times New Roman"/>
      <w:sz w:val="24"/>
      <w:szCs w:val="30"/>
    </w:rPr>
  </w:style>
  <w:style w:type="paragraph" w:customStyle="1" w:styleId="39">
    <w:name w:val="【表头】"/>
    <w:basedOn w:val="1"/>
    <w:link w:val="40"/>
    <w:qFormat/>
    <w:uiPriority w:val="0"/>
    <w:pPr>
      <w:jc w:val="center"/>
    </w:pPr>
    <w:rPr>
      <w:rFonts w:ascii="Times New Roman" w:hAnsi="Times New Roman" w:eastAsia="宋体" w:cs="Times New Roman"/>
      <w:b/>
      <w:szCs w:val="24"/>
    </w:rPr>
  </w:style>
  <w:style w:type="character" w:customStyle="1" w:styleId="40">
    <w:name w:val="【表头】 Char"/>
    <w:link w:val="39"/>
    <w:uiPriority w:val="0"/>
    <w:rPr>
      <w:rFonts w:ascii="Times New Roman" w:hAnsi="Times New Roman" w:eastAsia="宋体" w:cs="Times New Roman"/>
      <w:b/>
      <w:szCs w:val="24"/>
    </w:rPr>
  </w:style>
  <w:style w:type="character" w:customStyle="1" w:styleId="41">
    <w:name w:val="表体 Char Char"/>
    <w:link w:val="29"/>
    <w:qFormat/>
    <w:locked/>
    <w:uiPriority w:val="0"/>
    <w:rPr>
      <w:rFonts w:ascii="Times New Roman" w:hAnsi="Times New Roman" w:eastAsia="宋体" w:cs="Times New Roman"/>
      <w:bCs/>
      <w:snapToGrid w:val="0"/>
      <w:color w:val="000000"/>
      <w:kern w:val="32"/>
      <w:szCs w:val="20"/>
      <w:lang w:val="zh-CN"/>
    </w:rPr>
  </w:style>
  <w:style w:type="character" w:customStyle="1" w:styleId="42">
    <w:name w:val="正文文本 Char"/>
    <w:basedOn w:val="20"/>
    <w:link w:val="9"/>
    <w:semiHidden/>
    <w:qFormat/>
    <w:uiPriority w:val="99"/>
  </w:style>
  <w:style w:type="character" w:customStyle="1" w:styleId="43">
    <w:name w:val="标题 2 Char"/>
    <w:basedOn w:val="20"/>
    <w:link w:val="3"/>
    <w:uiPriority w:val="0"/>
    <w:rPr>
      <w:rFonts w:ascii="Times New Roman" w:hAnsi="Times New Roman" w:eastAsia="黑体" w:cs="Times New Roman"/>
      <w:color w:val="000000" w:themeColor="text1"/>
      <w:sz w:val="30"/>
      <w:szCs w:val="24"/>
    </w:rPr>
  </w:style>
  <w:style w:type="character" w:customStyle="1" w:styleId="44">
    <w:name w:val="表头 Char1"/>
    <w:basedOn w:val="20"/>
    <w:qFormat/>
    <w:uiPriority w:val="0"/>
    <w:rPr>
      <w:rFonts w:ascii="Times New Roman" w:hAnsi="Times New Roman" w:eastAsia="宋体" w:cs="Times New Roman"/>
      <w:b/>
      <w:bCs/>
      <w:kern w:val="0"/>
      <w:szCs w:val="28"/>
    </w:rPr>
  </w:style>
  <w:style w:type="character" w:customStyle="1" w:styleId="45">
    <w:name w:val="标题 3 Char"/>
    <w:basedOn w:val="20"/>
    <w:link w:val="4"/>
    <w:uiPriority w:val="0"/>
    <w:rPr>
      <w:b/>
      <w:bCs/>
      <w:sz w:val="32"/>
      <w:szCs w:val="32"/>
    </w:rPr>
  </w:style>
  <w:style w:type="table" w:customStyle="1" w:styleId="46">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7">
    <w:name w:val="标题 8 Char"/>
    <w:basedOn w:val="20"/>
    <w:link w:val="5"/>
    <w:uiPriority w:val="99"/>
    <w:rPr>
      <w:rFonts w:asciiTheme="majorHAnsi" w:hAnsiTheme="majorHAnsi" w:eastAsiaTheme="majorEastAsia" w:cstheme="majorBidi"/>
      <w:sz w:val="24"/>
      <w:szCs w:val="24"/>
    </w:rPr>
  </w:style>
  <w:style w:type="paragraph" w:customStyle="1" w:styleId="48">
    <w:name w:val="表格正文"/>
    <w:basedOn w:val="1"/>
    <w:link w:val="63"/>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9">
    <w:name w:val="正文缩进 Char1"/>
    <w:link w:val="6"/>
    <w:uiPriority w:val="99"/>
    <w:rPr>
      <w:rFonts w:ascii="Calibri" w:hAnsi="Calibri" w:eastAsia="宋体" w:cs="Times New Roman"/>
      <w:sz w:val="28"/>
      <w:szCs w:val="20"/>
    </w:rPr>
  </w:style>
  <w:style w:type="paragraph" w:customStyle="1" w:styleId="50">
    <w:name w:val="样式1"/>
    <w:basedOn w:val="1"/>
    <w:link w:val="51"/>
    <w:qFormat/>
    <w:uiPriority w:val="0"/>
    <w:pPr>
      <w:spacing w:line="360" w:lineRule="auto"/>
      <w:ind w:firstLine="510"/>
    </w:pPr>
    <w:rPr>
      <w:rFonts w:ascii="Times New Roman" w:hAnsi="Times New Roman" w:eastAsia="宋体" w:cs="Times New Roman"/>
      <w:sz w:val="24"/>
      <w:szCs w:val="20"/>
    </w:rPr>
  </w:style>
  <w:style w:type="character" w:customStyle="1" w:styleId="51">
    <w:name w:val="样式1 Char"/>
    <w:link w:val="50"/>
    <w:qFormat/>
    <w:locked/>
    <w:uiPriority w:val="0"/>
    <w:rPr>
      <w:rFonts w:ascii="Times New Roman" w:hAnsi="Times New Roman" w:eastAsia="宋体" w:cs="Times New Roman"/>
      <w:sz w:val="24"/>
      <w:szCs w:val="20"/>
    </w:rPr>
  </w:style>
  <w:style w:type="paragraph" w:customStyle="1" w:styleId="5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3">
    <w:name w:val="标题 Char"/>
    <w:basedOn w:val="20"/>
    <w:link w:val="16"/>
    <w:qFormat/>
    <w:uiPriority w:val="0"/>
    <w:rPr>
      <w:rFonts w:ascii="Times New Roman" w:hAnsi="Times New Roman" w:eastAsia="黑体" w:cs="Times New Roman"/>
      <w:b/>
      <w:bCs/>
      <w:sz w:val="36"/>
      <w:szCs w:val="32"/>
    </w:rPr>
  </w:style>
  <w:style w:type="character" w:customStyle="1" w:styleId="54">
    <w:name w:val="NormalCharacter"/>
    <w:qFormat/>
    <w:uiPriority w:val="0"/>
  </w:style>
  <w:style w:type="character" w:customStyle="1" w:styleId="55">
    <w:name w:val="表格 Char Char"/>
    <w:basedOn w:val="20"/>
    <w:uiPriority w:val="0"/>
    <w:rPr>
      <w:sz w:val="21"/>
      <w:szCs w:val="21"/>
      <w:lang w:bidi="ar-SA"/>
    </w:rPr>
  </w:style>
  <w:style w:type="paragraph" w:customStyle="1" w:styleId="56">
    <w:name w:val="Default"/>
    <w:link w:val="57"/>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57">
    <w:name w:val="Default Char Char"/>
    <w:link w:val="56"/>
    <w:qFormat/>
    <w:uiPriority w:val="0"/>
    <w:rPr>
      <w:rFonts w:ascii="Times New Roman" w:hAnsi="Times New Roman" w:cs="Times New Roman"/>
      <w:color w:val="000000"/>
      <w:kern w:val="0"/>
      <w:sz w:val="24"/>
      <w:szCs w:val="24"/>
    </w:rPr>
  </w:style>
  <w:style w:type="paragraph" w:customStyle="1" w:styleId="58">
    <w:name w:val="内容"/>
    <w:basedOn w:val="1"/>
    <w:qFormat/>
    <w:uiPriority w:val="0"/>
    <w:pPr>
      <w:tabs>
        <w:tab w:val="left" w:pos="4404"/>
      </w:tabs>
      <w:spacing w:line="480" w:lineRule="exact"/>
      <w:ind w:firstLine="520" w:firstLineChars="200"/>
    </w:pPr>
    <w:rPr>
      <w:rFonts w:ascii="Times New Roman" w:hAnsi="宋体" w:eastAsia="宋体" w:cs="Times New Roman"/>
      <w:sz w:val="26"/>
      <w:szCs w:val="26"/>
    </w:rPr>
  </w:style>
  <w:style w:type="paragraph" w:customStyle="1" w:styleId="59">
    <w:name w:val="正文缩"/>
    <w:basedOn w:val="1"/>
    <w:link w:val="60"/>
    <w:qFormat/>
    <w:uiPriority w:val="0"/>
    <w:pPr>
      <w:adjustRightInd w:val="0"/>
      <w:snapToGrid w:val="0"/>
      <w:spacing w:line="360" w:lineRule="auto"/>
      <w:ind w:firstLine="720" w:firstLineChars="200"/>
    </w:pPr>
    <w:rPr>
      <w:rFonts w:ascii="Times New Roman" w:hAnsi="Times New Roman" w:eastAsia="宋体" w:cs="Times New Roman"/>
    </w:rPr>
  </w:style>
  <w:style w:type="character" w:customStyle="1" w:styleId="60">
    <w:name w:val="正文缩 Char"/>
    <w:link w:val="59"/>
    <w:qFormat/>
    <w:uiPriority w:val="0"/>
    <w:rPr>
      <w:rFonts w:ascii="Times New Roman" w:hAnsi="Times New Roman" w:eastAsia="宋体" w:cs="Times New Roman"/>
    </w:rPr>
  </w:style>
  <w:style w:type="paragraph" w:customStyle="1" w:styleId="61">
    <w:name w:val="lh-表题-报告表"/>
    <w:basedOn w:val="1"/>
    <w:next w:val="1"/>
    <w:qFormat/>
    <w:uiPriority w:val="0"/>
    <w:pPr>
      <w:numPr>
        <w:ilvl w:val="0"/>
        <w:numId w:val="1"/>
      </w:numPr>
      <w:spacing w:beforeLines="50"/>
      <w:ind w:firstLine="0"/>
      <w:jc w:val="center"/>
    </w:pPr>
    <w:rPr>
      <w:rFonts w:ascii="Times New Roman" w:hAnsi="Times New Roman" w:eastAsia="宋体" w:cs="Times New Roman"/>
      <w:kern w:val="0"/>
      <w:sz w:val="24"/>
      <w:szCs w:val="24"/>
    </w:rPr>
  </w:style>
  <w:style w:type="paragraph" w:customStyle="1" w:styleId="62">
    <w:name w:val="lh-正文-报告表"/>
    <w:basedOn w:val="1"/>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63">
    <w:name w:val="表格正文 Char"/>
    <w:link w:val="48"/>
    <w:qFormat/>
    <w:uiPriority w:val="0"/>
    <w:rPr>
      <w:rFonts w:ascii="Times New Roman" w:hAnsi="Times New Roman" w:eastAsia="宋体" w:cs="Times New Roman"/>
      <w:szCs w:val="20"/>
    </w:rPr>
  </w:style>
  <w:style w:type="paragraph" w:customStyle="1" w:styleId="64">
    <w:name w:val="lh-表格文字-报告表"/>
    <w:basedOn w:val="1"/>
    <w:link w:val="65"/>
    <w:qFormat/>
    <w:uiPriority w:val="0"/>
    <w:pPr>
      <w:spacing w:line="360" w:lineRule="auto"/>
      <w:jc w:val="center"/>
    </w:pPr>
    <w:rPr>
      <w:rFonts w:ascii="Times New Roman" w:hAnsi="Times New Roman" w:eastAsia="宋体" w:cs="Times New Roman"/>
      <w:kern w:val="0"/>
      <w:szCs w:val="24"/>
    </w:rPr>
  </w:style>
  <w:style w:type="character" w:customStyle="1" w:styleId="65">
    <w:name w:val="lh-表格文字-报告表 Char"/>
    <w:basedOn w:val="20"/>
    <w:link w:val="64"/>
    <w:qFormat/>
    <w:uiPriority w:val="0"/>
    <w:rPr>
      <w:rFonts w:ascii="Times New Roman" w:hAnsi="Times New Roman" w:eastAsia="宋体" w:cs="Times New Roman"/>
      <w:kern w:val="0"/>
      <w:szCs w:val="24"/>
    </w:rPr>
  </w:style>
  <w:style w:type="character" w:customStyle="1" w:styleId="66">
    <w:name w:val="标题 1 Char"/>
    <w:basedOn w:val="20"/>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wmf"/><Relationship Id="rId12" Type="http://schemas.openxmlformats.org/officeDocument/2006/relationships/oleObject" Target="embeddings/oleObject2.bin"/><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C3D1-BC36-4834-8C2B-43B98FE6AB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42679</Words>
  <Characters>48229</Characters>
  <Lines>5358</Lines>
  <Paragraphs>4132</Paragraphs>
  <TotalTime>28920</TotalTime>
  <ScaleCrop>false</ScaleCrop>
  <LinksUpToDate>false</LinksUpToDate>
  <CharactersWithSpaces>86776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柳如烟</cp:lastModifiedBy>
  <cp:lastPrinted>2021-08-10T03:45:00Z</cp:lastPrinted>
  <dcterms:modified xsi:type="dcterms:W3CDTF">2023-11-10T09:14:20Z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1BD644A642C04EE2A3A6F18F80B12B52_12</vt:lpwstr>
  </property>
</Properties>
</file>