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sz w:val="28"/>
          <w:szCs w:val="20"/>
        </w:rPr>
      </w:pPr>
      <w:bookmarkStart w:id="25" w:name="_GoBack"/>
      <w:bookmarkEnd w:id="25"/>
      <w:r>
        <w:rPr>
          <w:rFonts w:ascii="Times New Roman" w:hAnsi="Times New Roman" w:cs="Times New Roman"/>
          <w:b/>
          <w:sz w:val="28"/>
          <w:szCs w:val="20"/>
        </w:rPr>
        <w:t>一、建设项目基本情况</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561"/>
        <w:gridCol w:w="2261"/>
        <w:gridCol w:w="1352"/>
        <w:gridCol w:w="18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建设项目名称</w:t>
            </w:r>
          </w:p>
        </w:tc>
        <w:tc>
          <w:tcPr>
            <w:tcW w:w="7983" w:type="dxa"/>
            <w:gridSpan w:val="4"/>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开展小微企业危险废物收集试点东川网点项目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建设单位</w:t>
            </w:r>
          </w:p>
        </w:tc>
        <w:tc>
          <w:tcPr>
            <w:tcW w:w="7983" w:type="dxa"/>
            <w:gridSpan w:val="4"/>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昆明旭鑫环保科技有限公司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项目代码</w:t>
            </w:r>
          </w:p>
        </w:tc>
        <w:tc>
          <w:tcPr>
            <w:tcW w:w="7983" w:type="dxa"/>
            <w:gridSpan w:val="4"/>
            <w:vAlign w:val="center"/>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-04-02-</w:t>
            </w:r>
            <w:r>
              <w:rPr>
                <w:rFonts w:hint="eastAsia" w:ascii="Times New Roman" w:hAnsi="Times New Roman" w:cs="Times New Roman"/>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联系人</w:t>
            </w:r>
          </w:p>
        </w:tc>
        <w:tc>
          <w:tcPr>
            <w:tcW w:w="2561" w:type="dxa"/>
            <w:tcBorders>
              <w:right w:val="single" w:color="auto" w:sz="4" w:space="0"/>
            </w:tcBorders>
            <w:vAlign w:val="center"/>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唐</w:t>
            </w:r>
            <w:r>
              <w:rPr>
                <w:rFonts w:hint="eastAsia" w:ascii="Times New Roman" w:hAnsi="Times New Roman" w:cs="Times New Roman"/>
                <w:sz w:val="24"/>
                <w:szCs w:val="24"/>
                <w:lang w:eastAsia="zh-CN"/>
              </w:rPr>
              <w:t>**</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联系方式</w:t>
            </w:r>
          </w:p>
        </w:tc>
        <w:tc>
          <w:tcPr>
            <w:tcW w:w="3161" w:type="dxa"/>
            <w:gridSpan w:val="2"/>
            <w:tcBorders>
              <w:left w:val="single" w:color="auto" w:sz="4" w:space="0"/>
            </w:tcBorders>
            <w:vAlign w:val="center"/>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138</w:t>
            </w:r>
            <w:r>
              <w:rPr>
                <w:rFonts w:hint="eastAsia" w:ascii="Times New Roman" w:hAnsi="Times New Roman" w:cs="Times New Roman"/>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建设地点</w:t>
            </w:r>
          </w:p>
        </w:tc>
        <w:tc>
          <w:tcPr>
            <w:tcW w:w="7983" w:type="dxa"/>
            <w:gridSpan w:val="4"/>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云南东川产业园区四方地片区昆明旭鑫环保科技有限公司厂区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地理坐标</w:t>
            </w:r>
          </w:p>
        </w:tc>
        <w:tc>
          <w:tcPr>
            <w:tcW w:w="7983" w:type="dxa"/>
            <w:gridSpan w:val="4"/>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东经103°7'41.520"，北纬26°11'6.576"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国民经济行业类别</w:t>
            </w:r>
          </w:p>
        </w:tc>
        <w:tc>
          <w:tcPr>
            <w:tcW w:w="2561"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7724 危险废物治理</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建设项目行业类别</w:t>
            </w:r>
          </w:p>
        </w:tc>
        <w:tc>
          <w:tcPr>
            <w:tcW w:w="3161" w:type="dxa"/>
            <w:gridSpan w:val="2"/>
            <w:tcBorders>
              <w:left w:val="single" w:color="auto" w:sz="4" w:space="0"/>
            </w:tcBorders>
            <w:vAlign w:val="center"/>
          </w:tcPr>
          <w:p>
            <w:pPr>
              <w:spacing w:line="360" w:lineRule="auto"/>
              <w:ind w:firstLine="120" w:firstLineChars="50"/>
              <w:rPr>
                <w:rFonts w:ascii="Times New Roman" w:hAnsi="Times New Roman" w:cs="Times New Roman"/>
                <w:sz w:val="24"/>
                <w:szCs w:val="24"/>
              </w:rPr>
            </w:pPr>
            <w:r>
              <w:rPr>
                <w:rFonts w:hint="eastAsia" w:ascii="Times New Roman" w:hAnsi="Times New Roman" w:cs="Times New Roman"/>
                <w:sz w:val="24"/>
                <w:szCs w:val="24"/>
              </w:rPr>
              <w:t>四十七、生态保护和环境治理业“危险废物（不含医疗废物）利用及处置”中“其他”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建设性质</w:t>
            </w:r>
          </w:p>
        </w:tc>
        <w:tc>
          <w:tcPr>
            <w:tcW w:w="2561" w:type="dxa"/>
            <w:tcBorders>
              <w:right w:val="single" w:color="auto" w:sz="4" w:space="0"/>
            </w:tcBorders>
            <w:vAlign w:val="center"/>
          </w:tcPr>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□新建（迁建）</w:t>
            </w:r>
          </w:p>
          <w:p>
            <w:pPr>
              <w:spacing w:line="360" w:lineRule="auto"/>
              <w:ind w:firstLine="120" w:firstLineChars="5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改建</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□扩建</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□技术改造</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建设项目申报情形</w:t>
            </w:r>
          </w:p>
        </w:tc>
        <w:tc>
          <w:tcPr>
            <w:tcW w:w="3161" w:type="dxa"/>
            <w:gridSpan w:val="2"/>
            <w:tcBorders>
              <w:left w:val="single" w:color="auto" w:sz="4" w:space="0"/>
            </w:tcBorders>
            <w:vAlign w:val="center"/>
          </w:tcPr>
          <w:p>
            <w:pPr>
              <w:spacing w:line="360" w:lineRule="auto"/>
              <w:ind w:firstLine="120" w:firstLineChars="5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首次申报项目</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□不予批准后再次申报项目</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□超五年重新审核项目</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项目审批（核准/备案）部门（选填）</w:t>
            </w:r>
          </w:p>
        </w:tc>
        <w:tc>
          <w:tcPr>
            <w:tcW w:w="2561"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东川区发展和改革局</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项目审批（核准/备案）文号（选填）</w:t>
            </w:r>
          </w:p>
        </w:tc>
        <w:tc>
          <w:tcPr>
            <w:tcW w:w="3161" w:type="dxa"/>
            <w:gridSpan w:val="2"/>
            <w:tcBorders>
              <w:left w:val="single" w:color="auto" w:sz="4" w:space="0"/>
            </w:tcBorders>
            <w:vAlign w:val="center"/>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-04-02-</w:t>
            </w:r>
            <w:r>
              <w:rPr>
                <w:rFonts w:hint="eastAsia" w:ascii="Times New Roman" w:hAnsi="Times New Roman" w:cs="Times New Roman"/>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总投资（万元）</w:t>
            </w:r>
          </w:p>
        </w:tc>
        <w:tc>
          <w:tcPr>
            <w:tcW w:w="2561"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152.3</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环保投资（万元）</w:t>
            </w:r>
          </w:p>
        </w:tc>
        <w:tc>
          <w:tcPr>
            <w:tcW w:w="3161" w:type="dxa"/>
            <w:gridSpan w:val="2"/>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环保投资占比</w:t>
            </w:r>
          </w:p>
        </w:tc>
        <w:tc>
          <w:tcPr>
            <w:tcW w:w="2561"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20.617%</w:t>
            </w:r>
          </w:p>
        </w:tc>
        <w:tc>
          <w:tcPr>
            <w:tcW w:w="2261"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施工工期</w:t>
            </w:r>
          </w:p>
        </w:tc>
        <w:tc>
          <w:tcPr>
            <w:tcW w:w="3161" w:type="dxa"/>
            <w:gridSpan w:val="2"/>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2个月（完善环保工程施工）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是否开工建设</w:t>
            </w:r>
          </w:p>
        </w:tc>
        <w:tc>
          <w:tcPr>
            <w:tcW w:w="4822" w:type="dxa"/>
            <w:gridSpan w:val="2"/>
            <w:tcBorders>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否</w:t>
            </w:r>
          </w:p>
        </w:tc>
        <w:tc>
          <w:tcPr>
            <w:tcW w:w="1352"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用地（用海）面积</w:t>
            </w:r>
          </w:p>
        </w:tc>
        <w:tc>
          <w:tcPr>
            <w:tcW w:w="1809"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专项评价设置情况</w:t>
            </w:r>
          </w:p>
        </w:tc>
        <w:tc>
          <w:tcPr>
            <w:tcW w:w="8834" w:type="dxa"/>
            <w:gridSpan w:val="5"/>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根据《建设项目环境影响报告表编制技术指南》（污染影响类）（试行）“表1 专项评价设置原则表”的要求，该项目专项评价设置情况具体如下表所示。</w:t>
            </w: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表1-1 专项评价设置情况分析表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8"/>
                    <w:spacing w:line="360" w:lineRule="exact"/>
                    <w:rPr>
                      <w:rFonts w:eastAsiaTheme="minorEastAsia"/>
                      <w:color w:val="auto"/>
                      <w:szCs w:val="21"/>
                    </w:rPr>
                  </w:pPr>
                  <w:r>
                    <w:rPr>
                      <w:rFonts w:eastAsiaTheme="minorEastAsia"/>
                      <w:color w:val="auto"/>
                      <w:szCs w:val="21"/>
                    </w:rPr>
                    <w:t>环境影响因素</w:t>
                  </w:r>
                </w:p>
              </w:tc>
              <w:tc>
                <w:tcPr>
                  <w:tcW w:w="2984" w:type="dxa"/>
                  <w:vAlign w:val="center"/>
                </w:tcPr>
                <w:p>
                  <w:pPr>
                    <w:pStyle w:val="28"/>
                    <w:spacing w:line="360" w:lineRule="exact"/>
                    <w:rPr>
                      <w:rFonts w:eastAsiaTheme="minorEastAsia"/>
                      <w:color w:val="auto"/>
                      <w:szCs w:val="21"/>
                    </w:rPr>
                  </w:pPr>
                  <w:r>
                    <w:rPr>
                      <w:rFonts w:eastAsiaTheme="minorEastAsia"/>
                      <w:color w:val="auto"/>
                      <w:szCs w:val="21"/>
                    </w:rPr>
                    <w:t>专项设置原则</w:t>
                  </w:r>
                </w:p>
              </w:tc>
              <w:tc>
                <w:tcPr>
                  <w:tcW w:w="3260" w:type="dxa"/>
                  <w:vAlign w:val="center"/>
                </w:tcPr>
                <w:p>
                  <w:pPr>
                    <w:pStyle w:val="28"/>
                    <w:spacing w:line="360" w:lineRule="exact"/>
                    <w:rPr>
                      <w:rFonts w:eastAsiaTheme="minorEastAsia"/>
                      <w:color w:val="auto"/>
                      <w:szCs w:val="21"/>
                    </w:rPr>
                  </w:pPr>
                  <w:r>
                    <w:rPr>
                      <w:rFonts w:eastAsiaTheme="minorEastAsia"/>
                      <w:color w:val="auto"/>
                      <w:szCs w:val="21"/>
                    </w:rPr>
                    <w:t>该项目情况</w:t>
                  </w:r>
                </w:p>
              </w:tc>
              <w:tc>
                <w:tcPr>
                  <w:tcW w:w="641" w:type="dxa"/>
                  <w:vAlign w:val="center"/>
                </w:tcPr>
                <w:p>
                  <w:pPr>
                    <w:pStyle w:val="28"/>
                    <w:spacing w:line="360" w:lineRule="exact"/>
                    <w:rPr>
                      <w:rFonts w:eastAsiaTheme="minorEastAsia"/>
                      <w:color w:val="auto"/>
                      <w:szCs w:val="21"/>
                    </w:rPr>
                  </w:pPr>
                  <w:r>
                    <w:rPr>
                      <w:rFonts w:eastAsiaTheme="minorEastAsia"/>
                      <w:color w:val="auto"/>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8"/>
                    <w:spacing w:line="360" w:lineRule="exact"/>
                    <w:rPr>
                      <w:rFonts w:eastAsiaTheme="minorEastAsia"/>
                      <w:color w:val="auto"/>
                      <w:szCs w:val="21"/>
                    </w:rPr>
                  </w:pPr>
                  <w:r>
                    <w:rPr>
                      <w:rFonts w:eastAsiaTheme="minorEastAsia"/>
                      <w:color w:val="auto"/>
                      <w:szCs w:val="21"/>
                    </w:rPr>
                    <w:t>大气</w:t>
                  </w:r>
                </w:p>
              </w:tc>
              <w:tc>
                <w:tcPr>
                  <w:tcW w:w="2984" w:type="dxa"/>
                  <w:vAlign w:val="center"/>
                </w:tcPr>
                <w:p>
                  <w:pPr>
                    <w:pStyle w:val="28"/>
                    <w:spacing w:line="360" w:lineRule="exact"/>
                    <w:ind w:firstLine="210" w:firstLineChars="100"/>
                    <w:jc w:val="both"/>
                    <w:rPr>
                      <w:color w:val="auto"/>
                      <w:szCs w:val="21"/>
                    </w:rPr>
                  </w:pPr>
                  <w:r>
                    <w:rPr>
                      <w:color w:val="auto"/>
                      <w:szCs w:val="21"/>
                    </w:rPr>
                    <w:t>排放废气含有《有毒有害大气污染物名录》的污染物（不包括无排放标准的污染物）、二噁英、苯并[a]芘、氰化物、氯气且厂界外500 米范围内有环境空气保护目标的建设项目。</w:t>
                  </w:r>
                </w:p>
              </w:tc>
              <w:tc>
                <w:tcPr>
                  <w:tcW w:w="3260" w:type="dxa"/>
                  <w:vAlign w:val="center"/>
                </w:tcPr>
                <w:p>
                  <w:pPr>
                    <w:pStyle w:val="28"/>
                    <w:spacing w:line="360" w:lineRule="exact"/>
                    <w:ind w:firstLine="210" w:firstLineChars="100"/>
                    <w:jc w:val="both"/>
                    <w:rPr>
                      <w:color w:val="auto"/>
                      <w:szCs w:val="21"/>
                    </w:rPr>
                  </w:pPr>
                  <w:r>
                    <w:rPr>
                      <w:color w:val="auto"/>
                      <w:szCs w:val="21"/>
                    </w:rPr>
                    <w:t>该项目排放的大气污染物主要包括</w:t>
                  </w:r>
                  <w:r>
                    <w:rPr>
                      <w:rFonts w:hint="eastAsia"/>
                      <w:color w:val="auto"/>
                      <w:szCs w:val="21"/>
                    </w:rPr>
                    <w:t>有机废气（非甲烷总烃）、酸性废气（HCl）、恶臭废气（氨、硫化氢和臭气浓度）</w:t>
                  </w:r>
                  <w:r>
                    <w:rPr>
                      <w:color w:val="auto"/>
                      <w:szCs w:val="21"/>
                    </w:rPr>
                    <w:t>；不含上述需设置大气专项评价的排放因子，因此不设置大气专项评价。</w:t>
                  </w:r>
                </w:p>
              </w:tc>
              <w:tc>
                <w:tcPr>
                  <w:tcW w:w="641"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8"/>
                    <w:spacing w:line="360" w:lineRule="exact"/>
                    <w:rPr>
                      <w:rFonts w:eastAsiaTheme="minorEastAsia"/>
                      <w:color w:val="auto"/>
                      <w:szCs w:val="21"/>
                    </w:rPr>
                  </w:pPr>
                  <w:r>
                    <w:rPr>
                      <w:rFonts w:eastAsiaTheme="minorEastAsia"/>
                      <w:color w:val="auto"/>
                      <w:szCs w:val="21"/>
                    </w:rPr>
                    <w:t>地表水</w:t>
                  </w:r>
                </w:p>
              </w:tc>
              <w:tc>
                <w:tcPr>
                  <w:tcW w:w="2984" w:type="dxa"/>
                  <w:vAlign w:val="center"/>
                </w:tcPr>
                <w:p>
                  <w:pPr>
                    <w:pStyle w:val="28"/>
                    <w:spacing w:line="360" w:lineRule="exact"/>
                    <w:ind w:firstLine="210" w:firstLineChars="100"/>
                    <w:jc w:val="both"/>
                    <w:rPr>
                      <w:color w:val="auto"/>
                      <w:szCs w:val="21"/>
                    </w:rPr>
                  </w:pPr>
                  <w:r>
                    <w:rPr>
                      <w:color w:val="auto"/>
                      <w:szCs w:val="21"/>
                    </w:rPr>
                    <w:t>新增工业废水直排建设项目（槽罐车外送污水处理厂的除外）；新增废水直排的污水集中处理厂。</w:t>
                  </w:r>
                </w:p>
              </w:tc>
              <w:tc>
                <w:tcPr>
                  <w:tcW w:w="3260" w:type="dxa"/>
                  <w:vAlign w:val="center"/>
                </w:tcPr>
                <w:p>
                  <w:pPr>
                    <w:pStyle w:val="28"/>
                    <w:spacing w:line="360" w:lineRule="exact"/>
                    <w:ind w:firstLine="210" w:firstLineChars="100"/>
                    <w:jc w:val="both"/>
                    <w:rPr>
                      <w:color w:val="auto"/>
                      <w:szCs w:val="21"/>
                    </w:rPr>
                  </w:pPr>
                  <w:r>
                    <w:rPr>
                      <w:color w:val="auto"/>
                      <w:szCs w:val="21"/>
                    </w:rPr>
                    <w:t>该项目</w:t>
                  </w:r>
                  <w:r>
                    <w:rPr>
                      <w:rFonts w:hint="eastAsia"/>
                      <w:color w:val="auto"/>
                      <w:szCs w:val="21"/>
                    </w:rPr>
                    <w:t>无废水外排，</w:t>
                  </w:r>
                  <w:r>
                    <w:rPr>
                      <w:color w:val="auto"/>
                      <w:szCs w:val="21"/>
                    </w:rPr>
                    <w:t>因此不设置地表水专项评价。</w:t>
                  </w:r>
                </w:p>
              </w:tc>
              <w:tc>
                <w:tcPr>
                  <w:tcW w:w="641" w:type="dxa"/>
                  <w:vAlign w:val="center"/>
                </w:tcPr>
                <w:p>
                  <w:pPr>
                    <w:pStyle w:val="28"/>
                    <w:spacing w:line="360" w:lineRule="exact"/>
                    <w:rPr>
                      <w:rFonts w:eastAsiaTheme="minorEastAsia"/>
                      <w:color w:val="auto"/>
                      <w:szCs w:val="21"/>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8"/>
                    <w:spacing w:line="360" w:lineRule="exact"/>
                    <w:rPr>
                      <w:rFonts w:eastAsiaTheme="minorEastAsia"/>
                      <w:color w:val="auto"/>
                      <w:szCs w:val="21"/>
                    </w:rPr>
                  </w:pPr>
                  <w:r>
                    <w:rPr>
                      <w:rFonts w:eastAsiaTheme="minorEastAsia"/>
                      <w:color w:val="auto"/>
                      <w:szCs w:val="21"/>
                    </w:rPr>
                    <w:t>环境风险</w:t>
                  </w:r>
                </w:p>
              </w:tc>
              <w:tc>
                <w:tcPr>
                  <w:tcW w:w="2984" w:type="dxa"/>
                  <w:vAlign w:val="center"/>
                </w:tcPr>
                <w:p>
                  <w:pPr>
                    <w:pStyle w:val="28"/>
                    <w:spacing w:line="360" w:lineRule="exact"/>
                    <w:ind w:firstLine="210" w:firstLineChars="100"/>
                    <w:jc w:val="both"/>
                    <w:rPr>
                      <w:color w:val="auto"/>
                      <w:szCs w:val="21"/>
                    </w:rPr>
                  </w:pPr>
                  <w:r>
                    <w:rPr>
                      <w:color w:val="auto"/>
                      <w:szCs w:val="21"/>
                    </w:rPr>
                    <w:t>有毒有害和易燃易爆危险物质存储量超过临界量的建设项目。</w:t>
                  </w:r>
                </w:p>
              </w:tc>
              <w:tc>
                <w:tcPr>
                  <w:tcW w:w="3260" w:type="dxa"/>
                  <w:vAlign w:val="center"/>
                </w:tcPr>
                <w:p>
                  <w:pPr>
                    <w:pStyle w:val="28"/>
                    <w:spacing w:line="360" w:lineRule="exact"/>
                    <w:ind w:firstLine="210" w:firstLineChars="100"/>
                    <w:jc w:val="both"/>
                    <w:rPr>
                      <w:color w:val="auto"/>
                      <w:szCs w:val="21"/>
                    </w:rPr>
                  </w:pPr>
                  <w:r>
                    <w:rPr>
                      <w:color w:val="auto"/>
                      <w:szCs w:val="21"/>
                    </w:rPr>
                    <w:t>该项目涉及的</w:t>
                  </w:r>
                  <w:r>
                    <w:rPr>
                      <w:rFonts w:hint="eastAsia"/>
                      <w:color w:val="auto"/>
                      <w:szCs w:val="21"/>
                    </w:rPr>
                    <w:t>18大类6</w:t>
                  </w:r>
                  <w:r>
                    <w:rPr>
                      <w:color w:val="auto"/>
                      <w:szCs w:val="21"/>
                    </w:rPr>
                    <w:t>5</w:t>
                  </w:r>
                  <w:r>
                    <w:rPr>
                      <w:rFonts w:hint="eastAsia"/>
                      <w:color w:val="auto"/>
                      <w:szCs w:val="21"/>
                    </w:rPr>
                    <w:t>小类危险废物，其中废矿物油类危险废物的临界量为2500t，而其他危险废物临界量是50t，废矿物油类危险废物的堆存量为98.33t，其他危险废物堆存大堆存量为318.33t，已</w:t>
                  </w:r>
                  <w:r>
                    <w:rPr>
                      <w:color w:val="auto"/>
                      <w:szCs w:val="21"/>
                    </w:rPr>
                    <w:t>超过临界量，因此设置环境风险</w:t>
                  </w:r>
                  <w:r>
                    <w:rPr>
                      <w:rFonts w:hint="eastAsia"/>
                      <w:color w:val="auto"/>
                      <w:szCs w:val="21"/>
                    </w:rPr>
                    <w:t>专项</w:t>
                  </w:r>
                  <w:r>
                    <w:rPr>
                      <w:color w:val="auto"/>
                      <w:szCs w:val="21"/>
                    </w:rPr>
                    <w:t>评价。</w:t>
                  </w:r>
                </w:p>
              </w:tc>
              <w:tc>
                <w:tcPr>
                  <w:tcW w:w="641" w:type="dxa"/>
                  <w:vAlign w:val="center"/>
                </w:tcPr>
                <w:p>
                  <w:pPr>
                    <w:pStyle w:val="28"/>
                    <w:spacing w:line="360" w:lineRule="exact"/>
                    <w:rPr>
                      <w:rFonts w:eastAsiaTheme="minorEastAsia"/>
                      <w:color w:val="auto"/>
                      <w:szCs w:val="21"/>
                      <w:lang w:val="en-US"/>
                    </w:rPr>
                  </w:pPr>
                  <w:r>
                    <w:rPr>
                      <w:rFonts w:hint="eastAsia" w:eastAsiaTheme="minorEastAsia"/>
                      <w:color w:val="auto"/>
                      <w:szCs w:val="21"/>
                      <w:lang w:val="en-US"/>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8"/>
                    <w:spacing w:line="360" w:lineRule="exact"/>
                    <w:rPr>
                      <w:rFonts w:eastAsiaTheme="minorEastAsia"/>
                      <w:color w:val="auto"/>
                      <w:szCs w:val="21"/>
                    </w:rPr>
                  </w:pPr>
                  <w:r>
                    <w:rPr>
                      <w:rFonts w:eastAsiaTheme="minorEastAsia"/>
                      <w:color w:val="auto"/>
                      <w:szCs w:val="21"/>
                    </w:rPr>
                    <w:t>生态</w:t>
                  </w:r>
                </w:p>
              </w:tc>
              <w:tc>
                <w:tcPr>
                  <w:tcW w:w="2984" w:type="dxa"/>
                  <w:vAlign w:val="center"/>
                </w:tcPr>
                <w:p>
                  <w:pPr>
                    <w:pStyle w:val="28"/>
                    <w:spacing w:line="360" w:lineRule="exact"/>
                    <w:ind w:firstLine="210" w:firstLineChars="100"/>
                    <w:jc w:val="both"/>
                    <w:rPr>
                      <w:color w:val="auto"/>
                      <w:szCs w:val="21"/>
                    </w:rPr>
                  </w:pPr>
                  <w:r>
                    <w:rPr>
                      <w:color w:val="auto"/>
                      <w:szCs w:val="21"/>
                    </w:rPr>
                    <w:t>取水口下游500 米范围内有重要水生生物的自然产卵场、索饵场、越冬场和洄游通道的新增河道取水的污染类建设项目。</w:t>
                  </w:r>
                </w:p>
              </w:tc>
              <w:tc>
                <w:tcPr>
                  <w:tcW w:w="3260" w:type="dxa"/>
                  <w:vAlign w:val="center"/>
                </w:tcPr>
                <w:p>
                  <w:pPr>
                    <w:pStyle w:val="28"/>
                    <w:spacing w:line="360" w:lineRule="exact"/>
                    <w:ind w:firstLine="210" w:firstLineChars="100"/>
                    <w:jc w:val="both"/>
                    <w:rPr>
                      <w:color w:val="auto"/>
                      <w:szCs w:val="21"/>
                    </w:rPr>
                  </w:pPr>
                  <w:r>
                    <w:rPr>
                      <w:color w:val="auto"/>
                      <w:szCs w:val="21"/>
                    </w:rPr>
                    <w:t>该项目不涉及河道取水，因此不设置生态专项评价。</w:t>
                  </w:r>
                </w:p>
              </w:tc>
              <w:tc>
                <w:tcPr>
                  <w:tcW w:w="641"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8"/>
                    <w:spacing w:line="360" w:lineRule="exact"/>
                    <w:rPr>
                      <w:rFonts w:eastAsiaTheme="minorEastAsia"/>
                      <w:color w:val="auto"/>
                      <w:szCs w:val="21"/>
                    </w:rPr>
                  </w:pPr>
                  <w:r>
                    <w:rPr>
                      <w:rFonts w:eastAsiaTheme="minorEastAsia"/>
                      <w:color w:val="auto"/>
                      <w:szCs w:val="21"/>
                    </w:rPr>
                    <w:t>海洋</w:t>
                  </w:r>
                </w:p>
              </w:tc>
              <w:tc>
                <w:tcPr>
                  <w:tcW w:w="2984" w:type="dxa"/>
                  <w:vAlign w:val="center"/>
                </w:tcPr>
                <w:p>
                  <w:pPr>
                    <w:pStyle w:val="28"/>
                    <w:spacing w:line="360" w:lineRule="exact"/>
                    <w:ind w:firstLine="210" w:firstLineChars="100"/>
                    <w:jc w:val="both"/>
                    <w:rPr>
                      <w:color w:val="auto"/>
                      <w:szCs w:val="21"/>
                    </w:rPr>
                  </w:pPr>
                  <w:r>
                    <w:rPr>
                      <w:color w:val="auto"/>
                      <w:szCs w:val="21"/>
                    </w:rPr>
                    <w:t>直接向海排放污染物的海洋工程建设项目。</w:t>
                  </w:r>
                </w:p>
              </w:tc>
              <w:tc>
                <w:tcPr>
                  <w:tcW w:w="3260" w:type="dxa"/>
                  <w:vAlign w:val="center"/>
                </w:tcPr>
                <w:p>
                  <w:pPr>
                    <w:pStyle w:val="28"/>
                    <w:spacing w:line="360" w:lineRule="exact"/>
                    <w:ind w:firstLine="210" w:firstLineChars="100"/>
                    <w:jc w:val="both"/>
                    <w:rPr>
                      <w:color w:val="auto"/>
                      <w:szCs w:val="21"/>
                    </w:rPr>
                  </w:pPr>
                  <w:r>
                    <w:rPr>
                      <w:color w:val="auto"/>
                      <w:szCs w:val="21"/>
                    </w:rPr>
                    <w:t>该项目不涉及海洋，因此不设置海洋专项评价。</w:t>
                  </w:r>
                </w:p>
              </w:tc>
              <w:tc>
                <w:tcPr>
                  <w:tcW w:w="641" w:type="dxa"/>
                  <w:vAlign w:val="center"/>
                </w:tcPr>
                <w:p>
                  <w:pPr>
                    <w:pStyle w:val="28"/>
                    <w:spacing w:line="360" w:lineRule="exact"/>
                    <w:rPr>
                      <w:rFonts w:eastAsiaTheme="minorEastAsia"/>
                      <w:color w:val="auto"/>
                      <w:szCs w:val="21"/>
                      <w:lang w:val="en-US"/>
                    </w:rPr>
                  </w:pPr>
                  <w:r>
                    <w:rPr>
                      <w:rFonts w:eastAsiaTheme="minorEastAsia"/>
                      <w:color w:val="auto"/>
                      <w:szCs w:val="21"/>
                      <w:lang w:val="en-US"/>
                    </w:rPr>
                    <w:t>否</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综上，该项目设置</w:t>
            </w:r>
            <w:r>
              <w:rPr>
                <w:rFonts w:hint="eastAsia" w:ascii="Times New Roman" w:hAnsi="Times New Roman" w:cs="Times New Roman"/>
                <w:sz w:val="24"/>
                <w:szCs w:val="24"/>
              </w:rPr>
              <w:t>环境风险</w:t>
            </w:r>
            <w:r>
              <w:rPr>
                <w:rFonts w:ascii="Times New Roman" w:hAnsi="Times New Roman" w:cs="Times New Roman"/>
                <w:sz w:val="24"/>
                <w:szCs w:val="24"/>
              </w:rPr>
              <w:t>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规划情况</w:t>
            </w:r>
          </w:p>
        </w:tc>
        <w:tc>
          <w:tcPr>
            <w:tcW w:w="8834" w:type="dxa"/>
            <w:gridSpan w:val="5"/>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该项目位于云南东川产业园区四方地片区昆明旭鑫环保科技有限公司厂区云南东川产业园区</w:t>
            </w:r>
            <w:r>
              <w:rPr>
                <w:rFonts w:hint="eastAsia" w:ascii="Times New Roman" w:hAnsi="Times New Roman" w:cs="Times New Roman"/>
                <w:sz w:val="24"/>
                <w:szCs w:val="24"/>
              </w:rPr>
              <w:t>的</w:t>
            </w:r>
            <w:r>
              <w:rPr>
                <w:rFonts w:ascii="Times New Roman" w:hAnsi="Times New Roman" w:cs="Times New Roman"/>
                <w:sz w:val="24"/>
                <w:szCs w:val="24"/>
              </w:rPr>
              <w:t>园区代码为S539017，该园区批准时间为2004年4月，审批机关为云南省工信厅，</w:t>
            </w:r>
            <w:r>
              <w:rPr>
                <w:rFonts w:hint="eastAsia" w:ascii="Times New Roman" w:hAnsi="Times New Roman" w:cs="Times New Roman"/>
                <w:sz w:val="24"/>
                <w:szCs w:val="24"/>
              </w:rPr>
              <w:t>按照《云南省各类开发区优化提升总体方案》（云委【2020】287号），</w:t>
            </w:r>
            <w:r>
              <w:rPr>
                <w:rFonts w:ascii="Times New Roman" w:hAnsi="Times New Roman" w:cs="Times New Roman"/>
                <w:sz w:val="24"/>
                <w:szCs w:val="24"/>
              </w:rPr>
              <w:t>云南东川产业园区</w:t>
            </w:r>
            <w:r>
              <w:rPr>
                <w:rFonts w:hint="eastAsia" w:ascii="Times New Roman" w:hAnsi="Times New Roman" w:cs="Times New Roman"/>
                <w:sz w:val="24"/>
                <w:szCs w:val="24"/>
              </w:rPr>
              <w:t>为保留下来的省级产业园区。</w:t>
            </w:r>
            <w:r>
              <w:rPr>
                <w:rFonts w:ascii="Times New Roman" w:hAnsi="Times New Roman" w:cs="Times New Roman"/>
                <w:sz w:val="24"/>
                <w:szCs w:val="24"/>
              </w:rPr>
              <w:t>根据《云南东川产业园区总体规划修编（2021-2035）》，园区空间布局为“一园三片区”， 规划总面积为1408.01hm²，其中项目所在的四方地片区面积为5.4699km²，四方地片区主导产业为：有色金属材料及稀贵金属材料、化工新材料、新型建材产业、新能源材料产业。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规划环境影响评价情况</w:t>
            </w:r>
          </w:p>
        </w:tc>
        <w:tc>
          <w:tcPr>
            <w:tcW w:w="8834" w:type="dxa"/>
            <w:gridSpan w:val="5"/>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云南东川产业园区成立于2004年</w:t>
            </w:r>
            <w:r>
              <w:rPr>
                <w:rFonts w:hint="eastAsia" w:ascii="Times New Roman" w:hAnsi="Times New Roman" w:cs="Times New Roman"/>
                <w:sz w:val="24"/>
                <w:szCs w:val="24"/>
              </w:rPr>
              <w:t>，</w:t>
            </w:r>
            <w:r>
              <w:rPr>
                <w:rFonts w:ascii="Times New Roman" w:hAnsi="Times New Roman" w:cs="Times New Roman"/>
                <w:sz w:val="24"/>
                <w:szCs w:val="24"/>
              </w:rPr>
              <w:t>2008年东川再就业特色产业园区管委会组织编制了《东川再就业特色产业园总体规划（2006-2020）环境影响报告书》，并取得云南省环境保护局（现云南省生态环境厅）下发的《关于东川再就业特色产业园总体规划（2006-2020）环境影响报告书审查意见的函》（云环函【2008】248号）。该园区经过不断的发展，2011年</w:t>
            </w:r>
            <w:r>
              <w:rPr>
                <w:rFonts w:hint="eastAsia" w:ascii="Times New Roman" w:hAnsi="Times New Roman" w:cs="Times New Roman"/>
                <w:sz w:val="24"/>
                <w:szCs w:val="24"/>
              </w:rPr>
              <w:t>、</w:t>
            </w:r>
            <w:r>
              <w:rPr>
                <w:rFonts w:ascii="Times New Roman" w:hAnsi="Times New Roman" w:cs="Times New Roman"/>
                <w:sz w:val="24"/>
                <w:szCs w:val="24"/>
              </w:rPr>
              <w:t>2018年</w:t>
            </w:r>
            <w:r>
              <w:rPr>
                <w:rFonts w:hint="eastAsia" w:ascii="Times New Roman" w:hAnsi="Times New Roman" w:cs="Times New Roman"/>
                <w:sz w:val="24"/>
                <w:szCs w:val="24"/>
              </w:rPr>
              <w:t>和2023年</w:t>
            </w:r>
            <w:r>
              <w:rPr>
                <w:rFonts w:ascii="Times New Roman" w:hAnsi="Times New Roman" w:cs="Times New Roman"/>
                <w:sz w:val="24"/>
                <w:szCs w:val="24"/>
              </w:rPr>
              <w:t>东川再就业特色产业园区管理委员会组织对其规划进行了</w:t>
            </w:r>
            <w:r>
              <w:rPr>
                <w:rFonts w:hint="eastAsia" w:ascii="Times New Roman" w:hAnsi="Times New Roman" w:cs="Times New Roman"/>
                <w:sz w:val="24"/>
                <w:szCs w:val="24"/>
              </w:rPr>
              <w:t>三</w:t>
            </w:r>
            <w:r>
              <w:rPr>
                <w:rFonts w:ascii="Times New Roman" w:hAnsi="Times New Roman" w:cs="Times New Roman"/>
                <w:sz w:val="24"/>
                <w:szCs w:val="24"/>
              </w:rPr>
              <w:t>次修编，并组织编制完成了《云南东川产业园区总体规划修编（2021-2035）环境影响报告书》；20</w:t>
            </w:r>
            <w:r>
              <w:rPr>
                <w:rFonts w:hint="eastAsia" w:ascii="Times New Roman" w:hAnsi="Times New Roman" w:cs="Times New Roman"/>
                <w:sz w:val="24"/>
                <w:szCs w:val="24"/>
              </w:rPr>
              <w:t>22</w:t>
            </w:r>
            <w:r>
              <w:rPr>
                <w:rFonts w:ascii="Times New Roman" w:hAnsi="Times New Roman" w:cs="Times New Roman"/>
                <w:sz w:val="24"/>
                <w:szCs w:val="24"/>
              </w:rPr>
              <w:t>年</w:t>
            </w:r>
            <w:r>
              <w:rPr>
                <w:rFonts w:hint="eastAsia" w:ascii="Times New Roman" w:hAnsi="Times New Roman" w:cs="Times New Roman"/>
                <w:sz w:val="24"/>
                <w:szCs w:val="24"/>
              </w:rPr>
              <w:t>10</w:t>
            </w:r>
            <w:r>
              <w:rPr>
                <w:rFonts w:ascii="Times New Roman" w:hAnsi="Times New Roman" w:cs="Times New Roman"/>
                <w:sz w:val="24"/>
                <w:szCs w:val="24"/>
              </w:rPr>
              <w:t>月</w:t>
            </w:r>
            <w:r>
              <w:rPr>
                <w:rFonts w:hint="eastAsia" w:ascii="Times New Roman" w:hAnsi="Times New Roman" w:cs="Times New Roman"/>
                <w:sz w:val="24"/>
                <w:szCs w:val="24"/>
              </w:rPr>
              <w:t>19</w:t>
            </w:r>
            <w:r>
              <w:rPr>
                <w:rFonts w:ascii="Times New Roman" w:hAnsi="Times New Roman" w:cs="Times New Roman"/>
                <w:sz w:val="24"/>
                <w:szCs w:val="24"/>
              </w:rPr>
              <w:t>日，由昆明市生态环境局</w:t>
            </w:r>
            <w:r>
              <w:rPr>
                <w:rFonts w:hint="eastAsia" w:ascii="Times New Roman" w:hAnsi="Times New Roman" w:cs="Times New Roman"/>
                <w:sz w:val="24"/>
                <w:szCs w:val="24"/>
              </w:rPr>
              <w:t>召集专家及有关部门代表</w:t>
            </w:r>
            <w:r>
              <w:rPr>
                <w:rFonts w:ascii="Times New Roman" w:hAnsi="Times New Roman" w:cs="Times New Roman"/>
                <w:sz w:val="24"/>
                <w:szCs w:val="24"/>
              </w:rPr>
              <w:t>对该规划环评进行审查，2023年5月4日</w:t>
            </w:r>
            <w:r>
              <w:rPr>
                <w:rFonts w:hint="eastAsia" w:ascii="Times New Roman" w:hAnsi="Times New Roman" w:cs="Times New Roman"/>
                <w:sz w:val="24"/>
                <w:szCs w:val="24"/>
              </w:rPr>
              <w:t>，</w:t>
            </w:r>
            <w:r>
              <w:rPr>
                <w:rFonts w:ascii="Times New Roman" w:hAnsi="Times New Roman" w:cs="Times New Roman"/>
                <w:sz w:val="24"/>
                <w:szCs w:val="24"/>
              </w:rPr>
              <w:t>昆明市生态环境局下发了《关于云南东川产业园区总体规划修编（2021-2035）环境影响报告书的审查意见》（昆环审【2023】1号）。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规划及规划环境影响评价符合性分析</w:t>
            </w:r>
          </w:p>
        </w:tc>
        <w:tc>
          <w:tcPr>
            <w:tcW w:w="8834" w:type="dxa"/>
            <w:gridSpan w:val="5"/>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sz w:val="24"/>
                <w:szCs w:val="24"/>
              </w:rPr>
            </w:pPr>
            <w:r>
              <w:rPr>
                <w:rFonts w:ascii="Times New Roman" w:cs="Times New Roman" w:hAnsiTheme="minorEastAsia"/>
                <w:b/>
                <w:sz w:val="24"/>
                <w:szCs w:val="24"/>
              </w:rPr>
              <w:t>（</w:t>
            </w:r>
            <w:r>
              <w:rPr>
                <w:rFonts w:ascii="Times New Roman" w:hAnsi="Times New Roman" w:cs="Times New Roman"/>
                <w:b/>
                <w:sz w:val="24"/>
                <w:szCs w:val="24"/>
              </w:rPr>
              <w:t>1</w:t>
            </w:r>
            <w:r>
              <w:rPr>
                <w:rFonts w:ascii="Times New Roman" w:cs="Times New Roman" w:hAnsiTheme="minorEastAsia"/>
                <w:b/>
                <w:sz w:val="24"/>
                <w:szCs w:val="24"/>
              </w:rPr>
              <w:t>）相关规划符合性分析</w:t>
            </w:r>
          </w:p>
          <w:p>
            <w:pPr>
              <w:spacing w:line="360" w:lineRule="auto"/>
              <w:ind w:firstLine="482" w:firstLineChars="200"/>
              <w:rPr>
                <w:rFonts w:ascii="Times New Roman" w:hAnsi="Times New Roman" w:eastAsia="宋体" w:cs="Times New Roman"/>
                <w:b/>
                <w:sz w:val="24"/>
                <w:szCs w:val="24"/>
              </w:rPr>
            </w:pPr>
            <w:r>
              <w:rPr>
                <w:rFonts w:hint="eastAsia" w:ascii="宋体" w:hAnsi="宋体" w:eastAsia="宋体" w:cs="宋体"/>
                <w:b/>
                <w:sz w:val="24"/>
                <w:szCs w:val="24"/>
              </w:rPr>
              <w:t>①</w:t>
            </w:r>
            <w:r>
              <w:rPr>
                <w:rFonts w:hint="eastAsia" w:ascii="Times New Roman" w:hAnsi="Times New Roman" w:eastAsia="宋体" w:cs="Times New Roman"/>
                <w:b/>
                <w:sz w:val="24"/>
                <w:szCs w:val="24"/>
              </w:rPr>
              <w:t>规划环评的产业定位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项目拟选址区域属于云南东川产业园区四方地片区，根据《云南东川产业园区总体规划修编（2021-2035）》，四方地片区</w:t>
            </w:r>
            <w:r>
              <w:rPr>
                <w:rFonts w:hint="eastAsia" w:ascii="Times New Roman" w:hAnsi="Times New Roman" w:cs="Times New Roman"/>
                <w:sz w:val="24"/>
                <w:szCs w:val="24"/>
              </w:rPr>
              <w:t>的</w:t>
            </w:r>
            <w:r>
              <w:rPr>
                <w:rFonts w:ascii="Times New Roman" w:hAnsi="Times New Roman" w:cs="Times New Roman"/>
                <w:sz w:val="24"/>
                <w:szCs w:val="24"/>
              </w:rPr>
              <w:t>主导产业</w:t>
            </w:r>
            <w:r>
              <w:rPr>
                <w:rFonts w:hint="eastAsia" w:ascii="Times New Roman" w:hAnsi="Times New Roman" w:cs="Times New Roman"/>
                <w:sz w:val="24"/>
                <w:szCs w:val="24"/>
              </w:rPr>
              <w:t>为</w:t>
            </w:r>
            <w:r>
              <w:rPr>
                <w:rFonts w:ascii="Times New Roman" w:hAnsi="Times New Roman" w:cs="Times New Roman"/>
                <w:sz w:val="24"/>
                <w:szCs w:val="24"/>
              </w:rPr>
              <w:t>：重点布局先进有色金属材料及稀贵金属材料、化工新材料产业。先进金属材料以铜基新材料为主，重点延伸有色金属冶炼及压延一体化产业链，发展电解铜等产品，拓展发展电线电缆、铜箔、铜带、专用铜材及铜基合金等加工</w:t>
            </w:r>
            <w:r>
              <w:rPr>
                <w:rFonts w:hint="eastAsia" w:ascii="Times New Roman" w:hAnsi="Times New Roman" w:cs="Times New Roman"/>
                <w:sz w:val="24"/>
                <w:szCs w:val="24"/>
              </w:rPr>
              <w:t>；</w:t>
            </w:r>
            <w:r>
              <w:rPr>
                <w:rFonts w:ascii="Times New Roman" w:hAnsi="Times New Roman" w:cs="Times New Roman"/>
                <w:sz w:val="24"/>
                <w:szCs w:val="24"/>
              </w:rPr>
              <w:t>稀贵金属材料以稀贵金属二次资源综合回收利用为重点，拓展发展电接触材料、键合材料、电子浆料、靶材等稀贵金属材料加工；化工新材料领域发展无机酸、无机盐制造为重点的磷化工、化工新材料产业；新能源材料。</w:t>
            </w:r>
            <w:r>
              <w:rPr>
                <w:rFonts w:hint="eastAsia" w:ascii="Times New Roman" w:hAnsi="Times New Roman" w:cs="Times New Roman"/>
                <w:sz w:val="24"/>
                <w:szCs w:val="24"/>
              </w:rPr>
              <w:t>其</w:t>
            </w:r>
            <w:r>
              <w:rPr>
                <w:rFonts w:ascii="Times New Roman" w:hAnsi="Times New Roman" w:cs="Times New Roman"/>
                <w:sz w:val="24"/>
                <w:szCs w:val="24"/>
              </w:rPr>
              <w:t>配套产业</w:t>
            </w:r>
            <w:r>
              <w:rPr>
                <w:rFonts w:hint="eastAsia" w:ascii="Times New Roman" w:hAnsi="Times New Roman" w:cs="Times New Roman"/>
                <w:sz w:val="24"/>
                <w:szCs w:val="24"/>
              </w:rPr>
              <w:t>为</w:t>
            </w:r>
            <w:r>
              <w:rPr>
                <w:rFonts w:ascii="Times New Roman" w:hAnsi="Times New Roman" w:cs="Times New Roman"/>
                <w:sz w:val="24"/>
                <w:szCs w:val="24"/>
              </w:rPr>
              <w:t>：新型建材领域加大尾矿、冶炼渣、磷石膏等大宗固体废弃物资源综合利用（含再生纸回收利用），发展高性能混凝土、干混砂浆材料、特种混凝土添加剂等水泥基材料以及加气混凝土砌块、石膏板、装配式建筑材料等新型墙体材料，发展废弃电器电子产品、报废车等回收利用产业化，加大对电池等危险废物无害化处理力度。协同发展新型防水材料、新型隔热隔音材料以及轻质建筑材料。</w:t>
            </w:r>
          </w:p>
          <w:p>
            <w:pPr>
              <w:spacing w:line="360" w:lineRule="auto"/>
              <w:ind w:firstLine="482" w:firstLineChars="200"/>
              <w:rPr>
                <w:rFonts w:ascii="Times New Roman" w:hAnsi="Times New Roman" w:eastAsia="宋体" w:cs="Times New Roman"/>
                <w:b/>
                <w:sz w:val="24"/>
                <w:szCs w:val="24"/>
              </w:rPr>
            </w:pPr>
            <w:r>
              <w:rPr>
                <w:rFonts w:hint="eastAsia" w:ascii="宋体" w:hAnsi="宋体" w:eastAsia="宋体" w:cs="宋体"/>
                <w:b/>
                <w:sz w:val="24"/>
                <w:szCs w:val="24"/>
              </w:rPr>
              <w:t>②</w:t>
            </w:r>
            <w:r>
              <w:rPr>
                <w:rFonts w:hint="eastAsia" w:ascii="Times New Roman" w:hAnsi="Times New Roman" w:eastAsia="宋体" w:cs="Times New Roman"/>
                <w:b/>
                <w:sz w:val="24"/>
                <w:szCs w:val="24"/>
              </w:rPr>
              <w:t>规划环评审查意见的产业定位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规划环评审查意见的</w:t>
            </w:r>
            <w:r>
              <w:rPr>
                <w:rFonts w:ascii="Times New Roman" w:hAnsi="Times New Roman" w:cs="Times New Roman"/>
                <w:sz w:val="24"/>
                <w:szCs w:val="24"/>
              </w:rPr>
              <w:t>园区产业定位</w:t>
            </w:r>
            <w:r>
              <w:rPr>
                <w:rFonts w:hint="eastAsia" w:ascii="Times New Roman" w:hAnsi="Times New Roman" w:cs="Times New Roman"/>
                <w:sz w:val="24"/>
                <w:szCs w:val="24"/>
              </w:rPr>
              <w:t>和规划环评一致。</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③项目基本情况</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该项目属于小微企业危险废物收集试点项目，东川网点主要对东川区及寻甸境内的小微企业产生的18大类、65小类危险废物进行统一收集后，委托有资质的单位进行处理，属于"</w:t>
            </w:r>
            <w:r>
              <w:rPr>
                <w:rFonts w:ascii="Times New Roman" w:hAnsi="Times New Roman" w:cs="Times New Roman"/>
                <w:sz w:val="24"/>
                <w:szCs w:val="24"/>
              </w:rPr>
              <w:t>加大对电池等危险废物无害化处理力度</w:t>
            </w:r>
            <w:r>
              <w:rPr>
                <w:rFonts w:hint="eastAsia" w:ascii="Times New Roman" w:hAnsi="Times New Roman" w:cs="Times New Roman"/>
                <w:sz w:val="24"/>
                <w:szCs w:val="24"/>
              </w:rPr>
              <w:t>"范畴。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综上，该项目符合云南东川产业园区四方地片区的产业定位。</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（2）规划环境影响评价结论及审查意见符合性分析</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①与园区规划环境影响评价结论的符合性分析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查阅《云南东川产业园区总体规划修编（2021-2035）环境影响报告书》</w:t>
            </w:r>
            <w:r>
              <w:rPr>
                <w:rFonts w:hint="eastAsia" w:ascii="Times New Roman" w:hAnsi="Times New Roman" w:cs="Times New Roman"/>
                <w:sz w:val="24"/>
                <w:szCs w:val="24"/>
              </w:rPr>
              <w:t>，该项目与</w:t>
            </w:r>
            <w:r>
              <w:rPr>
                <w:rFonts w:ascii="Times New Roman" w:hAnsi="Times New Roman" w:cs="Times New Roman"/>
                <w:sz w:val="24"/>
                <w:szCs w:val="24"/>
              </w:rPr>
              <w:t>规划环评结论符合性分析</w:t>
            </w:r>
            <w:r>
              <w:rPr>
                <w:rFonts w:hint="eastAsia" w:ascii="Times New Roman" w:hAnsi="Times New Roman" w:cs="Times New Roman"/>
                <w:sz w:val="24"/>
                <w:szCs w:val="24"/>
              </w:rPr>
              <w:t>如下表所示。</w:t>
            </w:r>
          </w:p>
          <w:p>
            <w:pPr>
              <w:jc w:val="center"/>
              <w:rPr>
                <w:rFonts w:ascii="Times New Roman" w:cs="Times New Roman" w:hAnsiTheme="minorEastAsia"/>
                <w:b/>
              </w:rPr>
            </w:pPr>
            <w:r>
              <w:rPr>
                <w:rFonts w:ascii="Times New Roman" w:cs="Times New Roman" w:hAnsiTheme="minorEastAsia"/>
                <w:b/>
              </w:rPr>
              <w:t>表1-</w:t>
            </w:r>
            <w:r>
              <w:rPr>
                <w:rFonts w:hint="eastAsia" w:ascii="Times New Roman" w:cs="Times New Roman" w:hAnsiTheme="minorEastAsia"/>
                <w:b/>
              </w:rPr>
              <w:t>1</w:t>
            </w:r>
            <w:r>
              <w:rPr>
                <w:rFonts w:ascii="Times New Roman" w:cs="Times New Roman" w:hAnsiTheme="minorEastAsia"/>
                <w:b/>
              </w:rPr>
              <w:t xml:space="preserve"> 与园区规划环评结论符合性分析一览表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4026"/>
              <w:gridCol w:w="3420"/>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539" w:type="dxa"/>
                  <w:vAlign w:val="center"/>
                </w:tcPr>
                <w:p>
                  <w:pPr>
                    <w:pStyle w:val="28"/>
                    <w:spacing w:line="360" w:lineRule="exact"/>
                    <w:rPr>
                      <w:rFonts w:eastAsiaTheme="minorEastAsia"/>
                      <w:color w:val="auto"/>
                      <w:szCs w:val="21"/>
                    </w:rPr>
                  </w:pPr>
                  <w:r>
                    <w:rPr>
                      <w:rFonts w:eastAsiaTheme="minorEastAsia"/>
                      <w:color w:val="auto"/>
                      <w:szCs w:val="21"/>
                    </w:rPr>
                    <w:t>要求</w:t>
                  </w:r>
                </w:p>
              </w:tc>
              <w:tc>
                <w:tcPr>
                  <w:tcW w:w="4026" w:type="dxa"/>
                  <w:vAlign w:val="center"/>
                </w:tcPr>
                <w:p>
                  <w:pPr>
                    <w:pStyle w:val="28"/>
                    <w:spacing w:line="360" w:lineRule="exact"/>
                    <w:rPr>
                      <w:rFonts w:eastAsiaTheme="minorEastAsia"/>
                      <w:color w:val="auto"/>
                      <w:szCs w:val="21"/>
                    </w:rPr>
                  </w:pPr>
                  <w:r>
                    <w:rPr>
                      <w:rFonts w:eastAsiaTheme="minorEastAsia"/>
                      <w:color w:val="auto"/>
                      <w:szCs w:val="21"/>
                    </w:rPr>
                    <w:t>规划环评</w:t>
                  </w:r>
                  <w:r>
                    <w:rPr>
                      <w:rFonts w:hint="eastAsia" w:eastAsiaTheme="minorEastAsia"/>
                      <w:color w:val="auto"/>
                      <w:szCs w:val="21"/>
                    </w:rPr>
                    <w:t>结论</w:t>
                  </w:r>
                  <w:r>
                    <w:rPr>
                      <w:rFonts w:eastAsiaTheme="minorEastAsia"/>
                      <w:color w:val="auto"/>
                      <w:szCs w:val="21"/>
                    </w:rPr>
                    <w:t>要求</w:t>
                  </w:r>
                </w:p>
              </w:tc>
              <w:tc>
                <w:tcPr>
                  <w:tcW w:w="3420" w:type="dxa"/>
                  <w:vAlign w:val="center"/>
                </w:tcPr>
                <w:p>
                  <w:pPr>
                    <w:pStyle w:val="28"/>
                    <w:spacing w:line="360" w:lineRule="exact"/>
                    <w:rPr>
                      <w:rFonts w:eastAsiaTheme="minorEastAsia"/>
                      <w:color w:val="auto"/>
                      <w:szCs w:val="21"/>
                    </w:rPr>
                  </w:pPr>
                  <w:r>
                    <w:rPr>
                      <w:rFonts w:eastAsiaTheme="minorEastAsia"/>
                      <w:color w:val="auto"/>
                      <w:szCs w:val="21"/>
                    </w:rPr>
                    <w:t>项目实际情况</w:t>
                  </w:r>
                </w:p>
              </w:tc>
              <w:tc>
                <w:tcPr>
                  <w:tcW w:w="623" w:type="dxa"/>
                  <w:vAlign w:val="center"/>
                </w:tcPr>
                <w:p>
                  <w:pPr>
                    <w:pStyle w:val="28"/>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8"/>
                    <w:spacing w:line="360" w:lineRule="exact"/>
                    <w:rPr>
                      <w:rFonts w:eastAsiaTheme="minorEastAsia"/>
                      <w:color w:val="auto"/>
                      <w:szCs w:val="21"/>
                    </w:rPr>
                  </w:pPr>
                  <w:r>
                    <w:rPr>
                      <w:rFonts w:hint="eastAsia" w:eastAsiaTheme="minorEastAsia"/>
                      <w:color w:val="auto"/>
                      <w:szCs w:val="21"/>
                    </w:rPr>
                    <w:t>1</w:t>
                  </w:r>
                </w:p>
              </w:tc>
              <w:tc>
                <w:tcPr>
                  <w:tcW w:w="4026" w:type="dxa"/>
                  <w:vAlign w:val="center"/>
                </w:tcPr>
                <w:p>
                  <w:pPr>
                    <w:pStyle w:val="28"/>
                    <w:spacing w:line="360" w:lineRule="exact"/>
                    <w:ind w:firstLine="210" w:firstLineChars="100"/>
                    <w:jc w:val="both"/>
                    <w:rPr>
                      <w:color w:val="auto"/>
                      <w:szCs w:val="21"/>
                    </w:rPr>
                  </w:pPr>
                  <w:r>
                    <w:rPr>
                      <w:color w:val="auto"/>
                      <w:szCs w:val="21"/>
                    </w:rPr>
                    <w:t>化工、有色金属冶炼、建材属于国家严格控制发展的两高行业，因此，建议根据区域大气环境容量，严格控制园区有色金属冶炼、化工行业发展规模，加快能源结构升级改造和使用清洁能源，促进区域环境质量改善。有色金属冶炼、化工、建材等“两高”行业应实行废气主要污染物区域“等量削减”</w:t>
                  </w:r>
                  <w:r>
                    <w:rPr>
                      <w:rFonts w:hint="eastAsia"/>
                      <w:color w:val="auto"/>
                      <w:szCs w:val="21"/>
                    </w:rPr>
                    <w:t>；</w:t>
                  </w:r>
                  <w:r>
                    <w:rPr>
                      <w:color w:val="auto"/>
                      <w:szCs w:val="21"/>
                    </w:rPr>
                    <w:t>涉重金属重点行业实行重金属污染物“减量削减”，削减比例不得低于1.2</w:t>
                  </w:r>
                  <w:r>
                    <w:rPr>
                      <w:rFonts w:hint="eastAsia"/>
                      <w:color w:val="auto"/>
                      <w:szCs w:val="21"/>
                    </w:rPr>
                    <w:t>：</w:t>
                  </w:r>
                  <w:r>
                    <w:rPr>
                      <w:color w:val="auto"/>
                      <w:szCs w:val="21"/>
                    </w:rPr>
                    <w:t>1，铅锌冶炼和铜冶炼企业须执行颗粒物和重点重金属污染物特别排放限值。</w:t>
                  </w:r>
                </w:p>
              </w:tc>
              <w:tc>
                <w:tcPr>
                  <w:tcW w:w="3420" w:type="dxa"/>
                  <w:vAlign w:val="center"/>
                </w:tcPr>
                <w:p>
                  <w:pPr>
                    <w:pStyle w:val="28"/>
                    <w:spacing w:line="360" w:lineRule="exact"/>
                    <w:ind w:firstLine="210" w:firstLineChars="100"/>
                    <w:jc w:val="both"/>
                    <w:rPr>
                      <w:color w:val="auto"/>
                      <w:szCs w:val="21"/>
                    </w:rPr>
                  </w:pPr>
                  <w:r>
                    <w:rPr>
                      <w:rFonts w:hint="eastAsia"/>
                      <w:color w:val="auto"/>
                      <w:szCs w:val="21"/>
                    </w:rPr>
                    <w:t>该项目属于小微企业危险废物收集试点项目，东川网点主要对东川区及寻甸境内的小微企业产生的18大类、65小类危险废物进行统一收集后，委托有资质的单位进行处理，不涉及危险废物处理及综合利用。不属于</w:t>
                  </w:r>
                  <w:r>
                    <w:rPr>
                      <w:color w:val="auto"/>
                      <w:szCs w:val="21"/>
                    </w:rPr>
                    <w:t>两高行业</w:t>
                  </w:r>
                  <w:r>
                    <w:rPr>
                      <w:rFonts w:hint="eastAsia"/>
                      <w:color w:val="auto"/>
                      <w:szCs w:val="21"/>
                    </w:rPr>
                    <w:t>，也不属于</w:t>
                  </w:r>
                  <w:r>
                    <w:rPr>
                      <w:color w:val="auto"/>
                      <w:szCs w:val="21"/>
                    </w:rPr>
                    <w:t>涉重金属重点行业</w:t>
                  </w:r>
                  <w:r>
                    <w:rPr>
                      <w:rFonts w:hint="eastAsia"/>
                      <w:color w:val="auto"/>
                      <w:szCs w:val="21"/>
                    </w:rPr>
                    <w:t>。</w:t>
                  </w:r>
                </w:p>
              </w:tc>
              <w:tc>
                <w:tcPr>
                  <w:tcW w:w="62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28"/>
                    <w:spacing w:line="360" w:lineRule="exact"/>
                    <w:rPr>
                      <w:rFonts w:eastAsiaTheme="minorEastAsia"/>
                      <w:color w:val="auto"/>
                      <w:szCs w:val="21"/>
                    </w:rPr>
                  </w:pPr>
                  <w:r>
                    <w:rPr>
                      <w:rFonts w:hint="eastAsia" w:eastAsiaTheme="minorEastAsia"/>
                      <w:color w:val="auto"/>
                      <w:szCs w:val="21"/>
                    </w:rPr>
                    <w:t>2</w:t>
                  </w:r>
                </w:p>
              </w:tc>
              <w:tc>
                <w:tcPr>
                  <w:tcW w:w="4026" w:type="dxa"/>
                  <w:vAlign w:val="center"/>
                </w:tcPr>
                <w:p>
                  <w:pPr>
                    <w:pStyle w:val="28"/>
                    <w:spacing w:line="360" w:lineRule="exact"/>
                    <w:ind w:firstLine="210" w:firstLineChars="100"/>
                    <w:jc w:val="both"/>
                    <w:rPr>
                      <w:color w:val="auto"/>
                      <w:szCs w:val="21"/>
                    </w:rPr>
                  </w:pPr>
                  <w:r>
                    <w:rPr>
                      <w:color w:val="auto"/>
                      <w:szCs w:val="21"/>
                    </w:rPr>
                    <w:t>建议优化调整碧谷片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w:t>
                  </w:r>
                  <w:r>
                    <w:rPr>
                      <w:rFonts w:hint="eastAsia"/>
                      <w:color w:val="auto"/>
                      <w:szCs w:val="21"/>
                    </w:rPr>
                    <w:t>。</w:t>
                  </w:r>
                </w:p>
              </w:tc>
              <w:tc>
                <w:tcPr>
                  <w:tcW w:w="3420" w:type="dxa"/>
                  <w:vAlign w:val="center"/>
                </w:tcPr>
                <w:p>
                  <w:pPr>
                    <w:pStyle w:val="28"/>
                    <w:spacing w:line="360" w:lineRule="exact"/>
                    <w:ind w:firstLine="210" w:firstLineChars="100"/>
                    <w:jc w:val="both"/>
                    <w:rPr>
                      <w:color w:val="auto"/>
                      <w:szCs w:val="21"/>
                    </w:rPr>
                  </w:pPr>
                  <w:r>
                    <w:rPr>
                      <w:rFonts w:hint="eastAsia"/>
                      <w:color w:val="auto"/>
                      <w:szCs w:val="21"/>
                    </w:rPr>
                    <w:t>该项目位于</w:t>
                  </w:r>
                  <w:r>
                    <w:rPr>
                      <w:color w:val="auto"/>
                      <w:szCs w:val="21"/>
                    </w:rPr>
                    <w:t>云南东川产业园区四方地片区昆明旭鑫环保科技有限公司厂区</w:t>
                  </w:r>
                  <w:r>
                    <w:rPr>
                      <w:rFonts w:hint="eastAsia"/>
                      <w:color w:val="auto"/>
                      <w:szCs w:val="21"/>
                    </w:rPr>
                    <w:t>不涉及</w:t>
                  </w:r>
                  <w:r>
                    <w:rPr>
                      <w:color w:val="auto"/>
                      <w:szCs w:val="21"/>
                    </w:rPr>
                    <w:t>碧谷片区</w:t>
                  </w:r>
                  <w:r>
                    <w:rPr>
                      <w:rFonts w:hint="eastAsia"/>
                      <w:color w:val="auto"/>
                      <w:szCs w:val="21"/>
                    </w:rPr>
                    <w:t>。</w:t>
                  </w:r>
                </w:p>
              </w:tc>
              <w:tc>
                <w:tcPr>
                  <w:tcW w:w="62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8"/>
                    <w:spacing w:line="360" w:lineRule="exact"/>
                    <w:rPr>
                      <w:rFonts w:eastAsiaTheme="minorEastAsia"/>
                      <w:color w:val="auto"/>
                      <w:szCs w:val="21"/>
                    </w:rPr>
                  </w:pPr>
                  <w:r>
                    <w:rPr>
                      <w:rFonts w:hint="eastAsia" w:eastAsiaTheme="minorEastAsia"/>
                      <w:color w:val="auto"/>
                      <w:szCs w:val="21"/>
                    </w:rPr>
                    <w:t>3</w:t>
                  </w:r>
                </w:p>
              </w:tc>
              <w:tc>
                <w:tcPr>
                  <w:tcW w:w="4026" w:type="dxa"/>
                  <w:vAlign w:val="center"/>
                </w:tcPr>
                <w:p>
                  <w:pPr>
                    <w:pStyle w:val="28"/>
                    <w:spacing w:line="360" w:lineRule="exact"/>
                    <w:ind w:firstLine="210" w:firstLineChars="100"/>
                    <w:jc w:val="both"/>
                    <w:rPr>
                      <w:color w:val="auto"/>
                      <w:szCs w:val="21"/>
                    </w:rPr>
                  </w:pPr>
                  <w:r>
                    <w:rPr>
                      <w:color w:val="auto"/>
                      <w:szCs w:val="21"/>
                    </w:rPr>
                    <w:t>在昆明市东川区人民政府、东川再就业特色产业园区管理委员会落实《东川区主要污染物区域削减方案（2021~2025年）》，削减区域部分大气污染物排放量的前提下，规划近期、远期大气污染物的排放能满足区域环境目标的要求，规划可行。</w:t>
                  </w:r>
                </w:p>
              </w:tc>
              <w:tc>
                <w:tcPr>
                  <w:tcW w:w="3420" w:type="dxa"/>
                  <w:vAlign w:val="center"/>
                </w:tcPr>
                <w:p>
                  <w:pPr>
                    <w:pStyle w:val="28"/>
                    <w:spacing w:line="360" w:lineRule="exact"/>
                    <w:ind w:firstLine="210" w:firstLineChars="100"/>
                    <w:jc w:val="both"/>
                    <w:rPr>
                      <w:color w:val="auto"/>
                      <w:szCs w:val="21"/>
                    </w:rPr>
                  </w:pPr>
                  <w:r>
                    <w:rPr>
                      <w:rFonts w:hint="eastAsia"/>
                      <w:color w:val="auto"/>
                      <w:szCs w:val="21"/>
                    </w:rPr>
                    <w:t>该项目主要污染物为有机废气（非甲烷总烃）、酸性废气（HCl）、恶臭废气（氨、硫化氢和臭气浓度），项目已取得总量控制指标，符合</w:t>
                  </w:r>
                  <w:r>
                    <w:rPr>
                      <w:color w:val="auto"/>
                      <w:szCs w:val="21"/>
                    </w:rPr>
                    <w:t>《东川区主要污染物区域削减方案（2021</w:t>
                  </w:r>
                  <w:r>
                    <w:rPr>
                      <w:rFonts w:hint="eastAsia"/>
                      <w:color w:val="auto"/>
                      <w:szCs w:val="21"/>
                    </w:rPr>
                    <w:t>-</w:t>
                  </w:r>
                  <w:r>
                    <w:rPr>
                      <w:color w:val="auto"/>
                      <w:szCs w:val="21"/>
                    </w:rPr>
                    <w:t>2025年）》</w:t>
                  </w:r>
                  <w:r>
                    <w:rPr>
                      <w:rFonts w:hint="eastAsia"/>
                      <w:color w:val="auto"/>
                      <w:szCs w:val="21"/>
                    </w:rPr>
                    <w:t>的要求。</w:t>
                  </w:r>
                </w:p>
              </w:tc>
              <w:tc>
                <w:tcPr>
                  <w:tcW w:w="62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8"/>
                    <w:spacing w:line="360" w:lineRule="exact"/>
                    <w:rPr>
                      <w:rFonts w:eastAsiaTheme="minorEastAsia"/>
                      <w:color w:val="auto"/>
                      <w:szCs w:val="21"/>
                    </w:rPr>
                  </w:pPr>
                  <w:r>
                    <w:rPr>
                      <w:rFonts w:hint="eastAsia" w:eastAsiaTheme="minorEastAsia"/>
                      <w:color w:val="auto"/>
                      <w:szCs w:val="21"/>
                    </w:rPr>
                    <w:t>4</w:t>
                  </w:r>
                </w:p>
              </w:tc>
              <w:tc>
                <w:tcPr>
                  <w:tcW w:w="4026" w:type="dxa"/>
                  <w:vAlign w:val="center"/>
                </w:tcPr>
                <w:p>
                  <w:pPr>
                    <w:pStyle w:val="28"/>
                    <w:spacing w:line="360" w:lineRule="exact"/>
                    <w:ind w:firstLine="200" w:firstLineChars="100"/>
                    <w:jc w:val="both"/>
                    <w:rPr>
                      <w:color w:val="auto"/>
                      <w:sz w:val="20"/>
                      <w:szCs w:val="21"/>
                    </w:rPr>
                  </w:pPr>
                  <w:r>
                    <w:rPr>
                      <w:color w:val="auto"/>
                      <w:sz w:val="20"/>
                      <w:szCs w:val="21"/>
                    </w:rPr>
                    <w:t>将产业园区划分为重点保护区、重点控制区、其他区域三类，对其实施分级管控；</w:t>
                  </w:r>
                  <w:r>
                    <w:rPr>
                      <w:rFonts w:hint="eastAsia"/>
                      <w:color w:val="auto"/>
                      <w:sz w:val="20"/>
                      <w:szCs w:val="21"/>
                    </w:rPr>
                    <w:t>具体如下：</w:t>
                  </w:r>
                </w:p>
                <w:p>
                  <w:pPr>
                    <w:pStyle w:val="28"/>
                    <w:spacing w:line="360" w:lineRule="exact"/>
                    <w:ind w:firstLine="210" w:firstLineChars="100"/>
                    <w:jc w:val="both"/>
                    <w:rPr>
                      <w:color w:val="auto"/>
                      <w:szCs w:val="21"/>
                    </w:rPr>
                  </w:pPr>
                  <w:r>
                    <w:rPr>
                      <w:rFonts w:hint="eastAsia"/>
                      <w:color w:val="auto"/>
                      <w:szCs w:val="21"/>
                    </w:rPr>
                    <w:t>①</w:t>
                  </w:r>
                  <w:r>
                    <w:rPr>
                      <w:color w:val="auto"/>
                      <w:szCs w:val="21"/>
                    </w:rPr>
                    <w:t>在重点保护区内应严格管控项目的入驻，加强对洗马塘2#泉点、小新街1#泉点、小新街2#泉点、小龙潭村泉点、大龙潭村泉点等的保护。</w:t>
                  </w:r>
                </w:p>
                <w:p>
                  <w:pPr>
                    <w:pStyle w:val="28"/>
                    <w:spacing w:line="360" w:lineRule="exact"/>
                    <w:ind w:firstLine="210" w:firstLineChars="100"/>
                    <w:jc w:val="both"/>
                    <w:rPr>
                      <w:color w:val="auto"/>
                      <w:szCs w:val="21"/>
                    </w:rPr>
                  </w:pPr>
                  <w:r>
                    <w:rPr>
                      <w:rFonts w:hint="eastAsia"/>
                      <w:color w:val="auto"/>
                      <w:szCs w:val="21"/>
                    </w:rPr>
                    <w:t>②</w:t>
                  </w:r>
                  <w:r>
                    <w:rPr>
                      <w:color w:val="auto"/>
                      <w:szCs w:val="21"/>
                    </w:rPr>
                    <w:t>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28"/>
                    <w:spacing w:line="360" w:lineRule="exact"/>
                    <w:ind w:firstLine="210" w:firstLineChars="100"/>
                    <w:jc w:val="both"/>
                    <w:rPr>
                      <w:color w:val="auto"/>
                      <w:szCs w:val="21"/>
                    </w:rPr>
                  </w:pPr>
                  <w:r>
                    <w:rPr>
                      <w:rFonts w:hint="eastAsia"/>
                      <w:color w:val="auto"/>
                      <w:szCs w:val="21"/>
                    </w:rPr>
                    <w:t>③</w:t>
                  </w:r>
                  <w:r>
                    <w:rPr>
                      <w:color w:val="auto"/>
                      <w:szCs w:val="21"/>
                    </w:rPr>
                    <w:t>在其他区域内可引导项目入驻，但入驻企业仍须做好厂区的污染防渗措施。</w:t>
                  </w:r>
                </w:p>
              </w:tc>
              <w:tc>
                <w:tcPr>
                  <w:tcW w:w="3420" w:type="dxa"/>
                  <w:vAlign w:val="center"/>
                </w:tcPr>
                <w:p>
                  <w:pPr>
                    <w:pStyle w:val="28"/>
                    <w:spacing w:line="360" w:lineRule="exact"/>
                    <w:ind w:firstLine="210" w:firstLineChars="100"/>
                    <w:jc w:val="both"/>
                    <w:rPr>
                      <w:color w:val="auto"/>
                      <w:szCs w:val="21"/>
                    </w:rPr>
                  </w:pPr>
                  <w:r>
                    <w:rPr>
                      <w:rFonts w:hint="eastAsia"/>
                      <w:color w:val="auto"/>
                      <w:szCs w:val="21"/>
                    </w:rPr>
                    <w:t>根据对照规划环评分析，该项目位于</w:t>
                  </w:r>
                  <w:r>
                    <w:rPr>
                      <w:color w:val="auto"/>
                      <w:szCs w:val="21"/>
                    </w:rPr>
                    <w:t>云南东川产业园区四方地片区昆明旭鑫环保科技有限公司厂区</w:t>
                  </w:r>
                  <w:r>
                    <w:rPr>
                      <w:rFonts w:hint="eastAsia"/>
                      <w:color w:val="auto"/>
                      <w:szCs w:val="21"/>
                    </w:rPr>
                    <w:t>该区域属于重点控制区域，项目不使用地下水，不涉及</w:t>
                  </w:r>
                  <w:r>
                    <w:rPr>
                      <w:color w:val="auto"/>
                      <w:szCs w:val="21"/>
                    </w:rPr>
                    <w:t>《地下水管理条例》（2021年）的相关规定要求</w:t>
                  </w:r>
                  <w:r>
                    <w:rPr>
                      <w:rFonts w:hint="eastAsia"/>
                      <w:color w:val="auto"/>
                      <w:szCs w:val="21"/>
                    </w:rPr>
                    <w:t>；</w:t>
                  </w:r>
                  <w:r>
                    <w:rPr>
                      <w:rFonts w:hint="eastAsia" w:eastAsiaTheme="minorEastAsia"/>
                      <w:color w:val="auto"/>
                      <w:szCs w:val="21"/>
                    </w:rPr>
                    <w:t>根据分区防渗规范要求，项目整个区域均属于重点防渗区，根据调查，项目全部区域均采用复合土工膜防渗后，再浇筑混凝土；该复合土工膜防渗云南睿利能工程材料制造有限公司生产的土工膜，根据其检测报告，其防渗系数达到渗透系数≤2.3×10</w:t>
                  </w:r>
                  <w:r>
                    <w:rPr>
                      <w:rFonts w:hint="eastAsia" w:eastAsiaTheme="minorEastAsia"/>
                      <w:color w:val="auto"/>
                      <w:szCs w:val="21"/>
                      <w:vertAlign w:val="superscript"/>
                    </w:rPr>
                    <w:t>-12</w:t>
                  </w:r>
                  <w:r>
                    <w:rPr>
                      <w:rFonts w:eastAsiaTheme="minorEastAsia"/>
                      <w:color w:val="auto"/>
                      <w:szCs w:val="21"/>
                    </w:rPr>
                    <w:t>cm/s</w:t>
                  </w:r>
                  <w:r>
                    <w:rPr>
                      <w:rFonts w:hint="eastAsia" w:eastAsiaTheme="minorEastAsia"/>
                      <w:color w:val="auto"/>
                      <w:szCs w:val="21"/>
                    </w:rPr>
                    <w:t>，满足渗透系数≤</w:t>
                  </w:r>
                  <w:r>
                    <w:rPr>
                      <w:rFonts w:eastAsiaTheme="minorEastAsia"/>
                      <w:color w:val="auto"/>
                      <w:szCs w:val="21"/>
                    </w:rPr>
                    <w:t>10</w:t>
                  </w:r>
                  <w:r>
                    <w:rPr>
                      <w:rFonts w:hint="eastAsia" w:eastAsiaTheme="minorEastAsia"/>
                      <w:color w:val="auto"/>
                      <w:szCs w:val="21"/>
                      <w:vertAlign w:val="superscript"/>
                    </w:rPr>
                    <w:t>-10</w:t>
                  </w:r>
                  <w:r>
                    <w:rPr>
                      <w:rFonts w:eastAsiaTheme="minorEastAsia"/>
                      <w:color w:val="auto"/>
                      <w:szCs w:val="21"/>
                    </w:rPr>
                    <w:t>cm/s</w:t>
                  </w:r>
                  <w:r>
                    <w:rPr>
                      <w:rFonts w:hint="eastAsia" w:eastAsiaTheme="minorEastAsia"/>
                      <w:color w:val="auto"/>
                      <w:szCs w:val="21"/>
                    </w:rPr>
                    <w:t>的要求。</w:t>
                  </w:r>
                </w:p>
              </w:tc>
              <w:tc>
                <w:tcPr>
                  <w:tcW w:w="62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28"/>
                    <w:spacing w:line="360" w:lineRule="exact"/>
                    <w:rPr>
                      <w:rFonts w:eastAsiaTheme="minorEastAsia"/>
                      <w:color w:val="auto"/>
                      <w:szCs w:val="21"/>
                    </w:rPr>
                  </w:pPr>
                  <w:r>
                    <w:rPr>
                      <w:rFonts w:hint="eastAsia" w:eastAsiaTheme="minorEastAsia"/>
                      <w:color w:val="auto"/>
                      <w:szCs w:val="21"/>
                    </w:rPr>
                    <w:t>5</w:t>
                  </w:r>
                </w:p>
              </w:tc>
              <w:tc>
                <w:tcPr>
                  <w:tcW w:w="4026" w:type="dxa"/>
                  <w:vAlign w:val="center"/>
                </w:tcPr>
                <w:p>
                  <w:pPr>
                    <w:pStyle w:val="28"/>
                    <w:spacing w:line="360" w:lineRule="exact"/>
                    <w:ind w:firstLine="200" w:firstLineChars="100"/>
                    <w:jc w:val="both"/>
                    <w:rPr>
                      <w:color w:val="auto"/>
                      <w:szCs w:val="21"/>
                    </w:rPr>
                  </w:pPr>
                  <w:r>
                    <w:rPr>
                      <w:color w:val="auto"/>
                      <w:sz w:val="20"/>
                      <w:szCs w:val="21"/>
                    </w:rPr>
                    <w:t>建议园区入园项目避开河道管理范围，并根据河道管理的相关要求，开展涉河项目洪水影响评价，并征求水务部门的意见，满足《昆明市河道管理条例》的要求。</w:t>
                  </w:r>
                </w:p>
              </w:tc>
              <w:tc>
                <w:tcPr>
                  <w:tcW w:w="3420" w:type="dxa"/>
                  <w:vAlign w:val="center"/>
                </w:tcPr>
                <w:p>
                  <w:pPr>
                    <w:pStyle w:val="28"/>
                    <w:spacing w:line="360" w:lineRule="exact"/>
                    <w:ind w:firstLine="210" w:firstLineChars="100"/>
                    <w:jc w:val="both"/>
                    <w:rPr>
                      <w:color w:val="auto"/>
                      <w:szCs w:val="21"/>
                    </w:rPr>
                  </w:pPr>
                  <w:r>
                    <w:rPr>
                      <w:rFonts w:hint="eastAsia"/>
                      <w:color w:val="auto"/>
                      <w:szCs w:val="21"/>
                    </w:rPr>
                    <w:t>该项目位于</w:t>
                  </w:r>
                  <w:r>
                    <w:rPr>
                      <w:color w:val="auto"/>
                      <w:sz w:val="20"/>
                      <w:szCs w:val="21"/>
                    </w:rPr>
                    <w:t>云南东川产业园区四方地片区昆明旭鑫环保科技有限公司厂区</w:t>
                  </w:r>
                  <w:r>
                    <w:rPr>
                      <w:rFonts w:hint="eastAsia"/>
                      <w:color w:val="auto"/>
                      <w:sz w:val="20"/>
                      <w:szCs w:val="21"/>
                    </w:rPr>
                    <w:t>，</w:t>
                  </w:r>
                  <w:r>
                    <w:rPr>
                      <w:rFonts w:hint="eastAsia"/>
                      <w:color w:val="auto"/>
                      <w:szCs w:val="21"/>
                    </w:rPr>
                    <w:t>不涉及</w:t>
                  </w:r>
                  <w:r>
                    <w:rPr>
                      <w:color w:val="auto"/>
                      <w:sz w:val="20"/>
                      <w:szCs w:val="21"/>
                    </w:rPr>
                    <w:t>河道管理范围</w:t>
                  </w:r>
                  <w:r>
                    <w:rPr>
                      <w:rFonts w:hint="eastAsia"/>
                      <w:color w:val="auto"/>
                      <w:sz w:val="20"/>
                      <w:szCs w:val="21"/>
                    </w:rPr>
                    <w:t>。</w:t>
                  </w:r>
                </w:p>
              </w:tc>
              <w:tc>
                <w:tcPr>
                  <w:tcW w:w="62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bl>
          <w:p>
            <w:pPr>
              <w:spacing w:beforeLines="50" w:line="360" w:lineRule="auto"/>
              <w:ind w:firstLine="480" w:firstLineChars="200"/>
              <w:rPr>
                <w:rFonts w:ascii="Times New Roman" w:cs="Times New Roman" w:hAnsiTheme="minorEastAsia"/>
                <w:sz w:val="24"/>
              </w:rPr>
            </w:pPr>
            <w:r>
              <w:rPr>
                <w:rFonts w:hint="eastAsia" w:ascii="Times New Roman" w:cs="Times New Roman" w:hAnsiTheme="minorEastAsia"/>
                <w:sz w:val="24"/>
              </w:rPr>
              <w:t>由上表可知，该项目建设符合</w:t>
            </w:r>
            <w:r>
              <w:rPr>
                <w:rFonts w:ascii="Times New Roman" w:cs="Times New Roman" w:hAnsiTheme="minorEastAsia"/>
                <w:sz w:val="24"/>
              </w:rPr>
              <w:t>规划环评结论</w:t>
            </w:r>
            <w:r>
              <w:rPr>
                <w:rFonts w:hint="eastAsia" w:ascii="Times New Roman" w:cs="Times New Roman" w:hAnsiTheme="minorEastAsia"/>
                <w:sz w:val="24"/>
              </w:rPr>
              <w:t>的相关要求。</w:t>
            </w:r>
          </w:p>
          <w:p>
            <w:pPr>
              <w:spacing w:line="360" w:lineRule="auto"/>
              <w:ind w:firstLine="482" w:firstLineChars="200"/>
              <w:rPr>
                <w:rFonts w:ascii="Times New Roman" w:hAnsi="Times New Roman" w:cs="Times New Roman"/>
                <w:b/>
                <w:sz w:val="24"/>
              </w:rPr>
            </w:pPr>
            <w:r>
              <w:rPr>
                <w:rFonts w:hint="eastAsia" w:ascii="宋体" w:hAnsi="宋体" w:cs="宋体"/>
                <w:b/>
                <w:sz w:val="24"/>
              </w:rPr>
              <w:t>②</w:t>
            </w:r>
            <w:r>
              <w:rPr>
                <w:b/>
                <w:sz w:val="24"/>
              </w:rPr>
              <w:t>入驻项目</w:t>
            </w:r>
            <w:r>
              <w:rPr>
                <w:rFonts w:ascii="Times New Roman" w:hAnsi="Times New Roman" w:cs="Times New Roman"/>
                <w:b/>
                <w:sz w:val="24"/>
              </w:rPr>
              <w:t>与</w:t>
            </w:r>
            <w:r>
              <w:rPr>
                <w:rFonts w:hint="eastAsia"/>
                <w:b/>
                <w:sz w:val="24"/>
              </w:rPr>
              <w:t>园区规划</w:t>
            </w:r>
            <w:r>
              <w:rPr>
                <w:b/>
                <w:sz w:val="24"/>
              </w:rPr>
              <w:t>环境准入负面清单</w:t>
            </w:r>
            <w:r>
              <w:rPr>
                <w:rFonts w:ascii="Times New Roman" w:hAnsi="Times New Roman" w:cs="Times New Roman"/>
                <w:b/>
                <w:sz w:val="24"/>
              </w:rPr>
              <w:t>的符合性分析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查阅《云南东川产业园区总体规划修编（2021-2035）环境影响报告书》</w:t>
            </w:r>
            <w:r>
              <w:rPr>
                <w:rFonts w:hint="eastAsia" w:ascii="Times New Roman" w:hAnsi="Times New Roman" w:cs="Times New Roman"/>
                <w:sz w:val="24"/>
                <w:szCs w:val="24"/>
              </w:rPr>
              <w:t>，该项目与</w:t>
            </w:r>
            <w:r>
              <w:rPr>
                <w:rFonts w:hint="eastAsia"/>
                <w:sz w:val="24"/>
              </w:rPr>
              <w:t>园区规划</w:t>
            </w:r>
            <w:r>
              <w:rPr>
                <w:sz w:val="24"/>
              </w:rPr>
              <w:t>环境准入负面清单</w:t>
            </w:r>
            <w:r>
              <w:rPr>
                <w:rFonts w:ascii="Times New Roman" w:hAnsi="Times New Roman" w:cs="Times New Roman"/>
                <w:sz w:val="24"/>
              </w:rPr>
              <w:t>的符合性分析</w:t>
            </w:r>
            <w:r>
              <w:rPr>
                <w:rFonts w:hint="eastAsia" w:ascii="Times New Roman" w:hAnsi="Times New Roman" w:cs="Times New Roman"/>
                <w:sz w:val="24"/>
                <w:szCs w:val="24"/>
              </w:rPr>
              <w:t>如下表所示。</w:t>
            </w:r>
          </w:p>
          <w:p>
            <w:pPr>
              <w:jc w:val="center"/>
              <w:rPr>
                <w:rFonts w:ascii="Times New Roman" w:cs="Times New Roman" w:hAnsiTheme="minorEastAsia"/>
                <w:b/>
              </w:rPr>
            </w:pPr>
            <w:r>
              <w:rPr>
                <w:rFonts w:ascii="Times New Roman" w:cs="Times New Roman" w:hAnsiTheme="minorEastAsia"/>
                <w:b/>
              </w:rPr>
              <w:t>表1-</w:t>
            </w:r>
            <w:r>
              <w:rPr>
                <w:rFonts w:hint="eastAsia" w:ascii="Times New Roman" w:cs="Times New Roman" w:hAnsiTheme="minorEastAsia"/>
                <w:b/>
              </w:rPr>
              <w:t>2</w:t>
            </w:r>
            <w:r>
              <w:rPr>
                <w:rFonts w:ascii="Times New Roman" w:cs="Times New Roman" w:hAnsiTheme="minorEastAsia"/>
                <w:b/>
              </w:rPr>
              <w:t xml:space="preserve"> </w:t>
            </w:r>
            <w:r>
              <w:rPr>
                <w:rFonts w:hint="eastAsia" w:ascii="Times New Roman" w:cs="Times New Roman" w:hAnsiTheme="minorEastAsia"/>
                <w:b/>
              </w:rPr>
              <w:t>园区规划</w:t>
            </w:r>
            <w:r>
              <w:rPr>
                <w:rFonts w:ascii="Times New Roman" w:cs="Times New Roman" w:hAnsiTheme="minorEastAsia"/>
                <w:b/>
              </w:rPr>
              <w:t>环境准入负面清单的符合性分析一览表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3315"/>
              <w:gridCol w:w="3969"/>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1" w:type="dxa"/>
                  <w:vAlign w:val="center"/>
                </w:tcPr>
                <w:p>
                  <w:pPr>
                    <w:pStyle w:val="28"/>
                    <w:spacing w:line="360" w:lineRule="exact"/>
                    <w:rPr>
                      <w:rFonts w:eastAsiaTheme="minorEastAsia"/>
                      <w:color w:val="auto"/>
                      <w:szCs w:val="21"/>
                    </w:rPr>
                  </w:pPr>
                  <w:r>
                    <w:rPr>
                      <w:rFonts w:eastAsiaTheme="minorEastAsia"/>
                      <w:color w:val="auto"/>
                      <w:szCs w:val="21"/>
                    </w:rPr>
                    <w:t>要求</w:t>
                  </w:r>
                </w:p>
              </w:tc>
              <w:tc>
                <w:tcPr>
                  <w:tcW w:w="3315" w:type="dxa"/>
                  <w:vAlign w:val="center"/>
                </w:tcPr>
                <w:p>
                  <w:pPr>
                    <w:pStyle w:val="28"/>
                    <w:spacing w:line="360" w:lineRule="exact"/>
                    <w:rPr>
                      <w:rFonts w:eastAsiaTheme="minorEastAsia"/>
                      <w:color w:val="auto"/>
                      <w:szCs w:val="21"/>
                    </w:rPr>
                  </w:pPr>
                  <w:r>
                    <w:rPr>
                      <w:rFonts w:hint="eastAsia" w:eastAsiaTheme="minorEastAsia"/>
                      <w:color w:val="auto"/>
                      <w:sz w:val="20"/>
                      <w:szCs w:val="21"/>
                    </w:rPr>
                    <w:t>规划</w:t>
                  </w:r>
                  <w:r>
                    <w:rPr>
                      <w:rFonts w:eastAsiaTheme="minorEastAsia"/>
                      <w:color w:val="auto"/>
                      <w:sz w:val="20"/>
                      <w:szCs w:val="21"/>
                    </w:rPr>
                    <w:t>环境准入负面清单</w:t>
                  </w:r>
                </w:p>
              </w:tc>
              <w:tc>
                <w:tcPr>
                  <w:tcW w:w="3969" w:type="dxa"/>
                  <w:vAlign w:val="center"/>
                </w:tcPr>
                <w:p>
                  <w:pPr>
                    <w:pStyle w:val="28"/>
                    <w:spacing w:line="360" w:lineRule="exact"/>
                    <w:rPr>
                      <w:rFonts w:eastAsiaTheme="minorEastAsia"/>
                      <w:color w:val="auto"/>
                      <w:szCs w:val="21"/>
                    </w:rPr>
                  </w:pPr>
                  <w:r>
                    <w:rPr>
                      <w:rFonts w:eastAsiaTheme="minorEastAsia"/>
                      <w:color w:val="auto"/>
                      <w:szCs w:val="21"/>
                    </w:rPr>
                    <w:t>项目实际情况</w:t>
                  </w:r>
                </w:p>
              </w:tc>
              <w:tc>
                <w:tcPr>
                  <w:tcW w:w="783" w:type="dxa"/>
                  <w:vAlign w:val="center"/>
                </w:tcPr>
                <w:p>
                  <w:pPr>
                    <w:pStyle w:val="28"/>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1" w:type="dxa"/>
                  <w:vAlign w:val="center"/>
                </w:tcPr>
                <w:p>
                  <w:pPr>
                    <w:pStyle w:val="28"/>
                    <w:spacing w:line="360" w:lineRule="exact"/>
                    <w:rPr>
                      <w:rFonts w:eastAsiaTheme="minorEastAsia"/>
                      <w:color w:val="auto"/>
                      <w:szCs w:val="21"/>
                    </w:rPr>
                  </w:pPr>
                  <w:r>
                    <w:rPr>
                      <w:rFonts w:hint="eastAsia" w:eastAsiaTheme="minorEastAsia"/>
                      <w:color w:val="auto"/>
                      <w:szCs w:val="21"/>
                    </w:rPr>
                    <w:t>1</w:t>
                  </w:r>
                </w:p>
              </w:tc>
              <w:tc>
                <w:tcPr>
                  <w:tcW w:w="3315" w:type="dxa"/>
                  <w:vAlign w:val="center"/>
                </w:tcPr>
                <w:p>
                  <w:pPr>
                    <w:pStyle w:val="28"/>
                    <w:spacing w:line="360" w:lineRule="exact"/>
                    <w:ind w:firstLine="210" w:firstLineChars="100"/>
                    <w:jc w:val="both"/>
                    <w:rPr>
                      <w:color w:val="auto"/>
                      <w:szCs w:val="21"/>
                    </w:rPr>
                  </w:pPr>
                  <w:r>
                    <w:rPr>
                      <w:color w:val="auto"/>
                      <w:szCs w:val="21"/>
                    </w:rPr>
                    <w:t>不符合园区规划产业的项目</w:t>
                  </w:r>
                </w:p>
              </w:tc>
              <w:tc>
                <w:tcPr>
                  <w:tcW w:w="3969" w:type="dxa"/>
                  <w:vAlign w:val="center"/>
                </w:tcPr>
                <w:p>
                  <w:pPr>
                    <w:pStyle w:val="28"/>
                    <w:spacing w:line="360" w:lineRule="exact"/>
                    <w:ind w:firstLine="210" w:firstLineChars="100"/>
                    <w:jc w:val="both"/>
                    <w:rPr>
                      <w:color w:val="auto"/>
                      <w:szCs w:val="21"/>
                    </w:rPr>
                  </w:pPr>
                  <w:r>
                    <w:rPr>
                      <w:rFonts w:hint="eastAsia"/>
                      <w:color w:val="auto"/>
                      <w:szCs w:val="21"/>
                    </w:rPr>
                    <w:t>该项目属于小微企业危险废物收集试点项目，东川网点主要对东川区及寻甸境内的小微企业产生的18大类、65小类危险废物进行统一收集后，委托有资质的单位进行处理，属于"</w:t>
                  </w:r>
                  <w:r>
                    <w:rPr>
                      <w:color w:val="auto"/>
                      <w:szCs w:val="21"/>
                    </w:rPr>
                    <w:t>加大对电池等危险废物无害化处理力度</w:t>
                  </w:r>
                  <w:r>
                    <w:rPr>
                      <w:rFonts w:hint="eastAsia"/>
                      <w:color w:val="auto"/>
                      <w:szCs w:val="21"/>
                    </w:rPr>
                    <w:t>"范畴，</w:t>
                  </w:r>
                  <w:r>
                    <w:rPr>
                      <w:color w:val="auto"/>
                      <w:szCs w:val="21"/>
                    </w:rPr>
                    <w:t>符合云南东川产业园区四方地片区的产业定位。</w:t>
                  </w:r>
                </w:p>
              </w:tc>
              <w:tc>
                <w:tcPr>
                  <w:tcW w:w="78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1" w:type="dxa"/>
                  <w:vAlign w:val="center"/>
                </w:tcPr>
                <w:p>
                  <w:pPr>
                    <w:pStyle w:val="28"/>
                    <w:spacing w:line="360" w:lineRule="exact"/>
                    <w:rPr>
                      <w:rFonts w:eastAsiaTheme="minorEastAsia"/>
                      <w:color w:val="auto"/>
                      <w:szCs w:val="21"/>
                    </w:rPr>
                  </w:pPr>
                  <w:r>
                    <w:rPr>
                      <w:rFonts w:hint="eastAsia" w:eastAsiaTheme="minorEastAsia"/>
                      <w:color w:val="auto"/>
                      <w:szCs w:val="21"/>
                    </w:rPr>
                    <w:t>2</w:t>
                  </w:r>
                </w:p>
              </w:tc>
              <w:tc>
                <w:tcPr>
                  <w:tcW w:w="3315" w:type="dxa"/>
                  <w:vAlign w:val="center"/>
                </w:tcPr>
                <w:p>
                  <w:pPr>
                    <w:pStyle w:val="28"/>
                    <w:spacing w:line="360" w:lineRule="exact"/>
                    <w:ind w:firstLine="210" w:firstLineChars="100"/>
                    <w:jc w:val="both"/>
                    <w:rPr>
                      <w:color w:val="auto"/>
                      <w:szCs w:val="21"/>
                    </w:rPr>
                  </w:pPr>
                  <w:r>
                    <w:rPr>
                      <w:color w:val="auto"/>
                      <w:szCs w:val="21"/>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969" w:type="dxa"/>
                  <w:vAlign w:val="center"/>
                </w:tcPr>
                <w:p>
                  <w:pPr>
                    <w:pStyle w:val="28"/>
                    <w:spacing w:line="360" w:lineRule="exact"/>
                    <w:ind w:firstLine="210" w:firstLineChars="100"/>
                    <w:jc w:val="both"/>
                    <w:rPr>
                      <w:color w:val="auto"/>
                      <w:szCs w:val="21"/>
                    </w:rPr>
                  </w:pPr>
                  <w:r>
                    <w:rPr>
                      <w:rFonts w:hint="eastAsia"/>
                      <w:color w:val="auto"/>
                      <w:szCs w:val="21"/>
                    </w:rPr>
                    <w:t>该项目属于</w:t>
                  </w:r>
                  <w:r>
                    <w:rPr>
                      <w:color w:val="auto"/>
                      <w:szCs w:val="21"/>
                    </w:rPr>
                    <w:t>小微企业危险废物收集试点项目</w:t>
                  </w:r>
                  <w:r>
                    <w:rPr>
                      <w:rFonts w:hint="eastAsia"/>
                      <w:color w:val="auto"/>
                      <w:szCs w:val="21"/>
                    </w:rPr>
                    <w:t>，属于《产业结构调整指导目录（</w:t>
                  </w:r>
                  <w:r>
                    <w:rPr>
                      <w:color w:val="auto"/>
                      <w:szCs w:val="21"/>
                    </w:rPr>
                    <w:t xml:space="preserve">2019 </w:t>
                  </w:r>
                  <w:r>
                    <w:rPr>
                      <w:rFonts w:hint="eastAsia"/>
                      <w:color w:val="auto"/>
                      <w:szCs w:val="21"/>
                    </w:rPr>
                    <w:t>年本）》（国家发展和改革委员会令第</w:t>
                  </w:r>
                  <w:r>
                    <w:rPr>
                      <w:color w:val="auto"/>
                      <w:szCs w:val="21"/>
                    </w:rPr>
                    <w:t>29</w:t>
                  </w:r>
                  <w:r>
                    <w:rPr>
                      <w:rFonts w:hint="eastAsia"/>
                      <w:color w:val="auto"/>
                      <w:szCs w:val="21"/>
                    </w:rPr>
                    <w:t>号），该项目属于鼓励类“四十三、环境保护与资源节约综合利用”中“</w:t>
                  </w:r>
                  <w:r>
                    <w:rPr>
                      <w:color w:val="auto"/>
                      <w:szCs w:val="21"/>
                    </w:rPr>
                    <w:t>15</w:t>
                  </w:r>
                  <w:r>
                    <w:rPr>
                      <w:rFonts w:hint="eastAsia"/>
                      <w:color w:val="auto"/>
                      <w:szCs w:val="21"/>
                    </w:rPr>
                    <w:t>、‘三废’综合利用与治理技术、装备和工程”。不属于</w:t>
                  </w:r>
                  <w:r>
                    <w:rPr>
                      <w:color w:val="auto"/>
                      <w:szCs w:val="21"/>
                    </w:rPr>
                    <w:t>《产业结构调整指导目录（2019 年本）》、《云南省工业产业结构调整指导目录（2006 年本）》、《外商投资产业指导目录（2015 修订）》、《产业转移指导目录（2012 年本）》等文件中淘汰类的项目</w:t>
                  </w:r>
                  <w:r>
                    <w:rPr>
                      <w:rFonts w:hint="eastAsia"/>
                      <w:color w:val="auto"/>
                      <w:szCs w:val="21"/>
                    </w:rPr>
                    <w:t>；不属于</w:t>
                  </w:r>
                  <w:r>
                    <w:rPr>
                      <w:color w:val="auto"/>
                      <w:szCs w:val="21"/>
                    </w:rPr>
                    <w:t>《环境保护综合名录（2021 年版）》中高风险高污染行业</w:t>
                  </w:r>
                  <w:r>
                    <w:rPr>
                      <w:rFonts w:hint="eastAsia"/>
                      <w:color w:val="auto"/>
                      <w:szCs w:val="21"/>
                    </w:rPr>
                    <w:t>；不属于</w:t>
                  </w:r>
                  <w:r>
                    <w:rPr>
                      <w:color w:val="auto"/>
                      <w:szCs w:val="21"/>
                    </w:rPr>
                    <w:t>《工商投资领域制止重复建设目录》、《禁止外商投资产业目录》、《严重污染环境的淘汰工艺与设备名录》</w:t>
                  </w:r>
                  <w:r>
                    <w:rPr>
                      <w:rFonts w:hint="eastAsia"/>
                      <w:color w:val="auto"/>
                      <w:szCs w:val="21"/>
                    </w:rPr>
                    <w:t>。</w:t>
                  </w:r>
                </w:p>
              </w:tc>
              <w:tc>
                <w:tcPr>
                  <w:tcW w:w="78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1" w:type="dxa"/>
                  <w:vAlign w:val="center"/>
                </w:tcPr>
                <w:p>
                  <w:pPr>
                    <w:pStyle w:val="28"/>
                    <w:spacing w:line="360" w:lineRule="exact"/>
                    <w:rPr>
                      <w:rFonts w:eastAsiaTheme="minorEastAsia"/>
                      <w:color w:val="auto"/>
                      <w:szCs w:val="21"/>
                    </w:rPr>
                  </w:pPr>
                  <w:r>
                    <w:rPr>
                      <w:rFonts w:hint="eastAsia" w:eastAsiaTheme="minorEastAsia"/>
                      <w:color w:val="auto"/>
                      <w:szCs w:val="21"/>
                    </w:rPr>
                    <w:t>3</w:t>
                  </w:r>
                </w:p>
              </w:tc>
              <w:tc>
                <w:tcPr>
                  <w:tcW w:w="3315" w:type="dxa"/>
                  <w:vAlign w:val="center"/>
                </w:tcPr>
                <w:p>
                  <w:pPr>
                    <w:pStyle w:val="28"/>
                    <w:spacing w:line="360" w:lineRule="exact"/>
                    <w:ind w:firstLine="210" w:firstLineChars="100"/>
                    <w:jc w:val="both"/>
                    <w:rPr>
                      <w:color w:val="auto"/>
                      <w:szCs w:val="21"/>
                    </w:rPr>
                  </w:pPr>
                  <w:r>
                    <w:rPr>
                      <w:color w:val="auto"/>
                      <w:szCs w:val="21"/>
                    </w:rPr>
                    <w:t>单位产值水耗、能耗、污染物产生和排放量等清洁生产指标低于国内平均水平的产业（项目）</w:t>
                  </w:r>
                </w:p>
              </w:tc>
              <w:tc>
                <w:tcPr>
                  <w:tcW w:w="3969" w:type="dxa"/>
                  <w:vAlign w:val="center"/>
                </w:tcPr>
                <w:p>
                  <w:pPr>
                    <w:pStyle w:val="28"/>
                    <w:spacing w:line="360" w:lineRule="exact"/>
                    <w:ind w:firstLine="210" w:firstLineChars="100"/>
                    <w:jc w:val="both"/>
                    <w:rPr>
                      <w:color w:val="auto"/>
                      <w:szCs w:val="21"/>
                    </w:rPr>
                  </w:pPr>
                  <w:r>
                    <w:rPr>
                      <w:rFonts w:hint="eastAsia"/>
                      <w:color w:val="auto"/>
                      <w:szCs w:val="21"/>
                    </w:rPr>
                    <w:t>该项目属于小微企业危险废物收集试点项目，东川网点主要对东川区及寻甸境内的小微企业产生的18大类、65小类危险废物进行统一收集后，委托有资质的单位进行处理，不涉及用水，</w:t>
                  </w:r>
                  <w:r>
                    <w:rPr>
                      <w:color w:val="auto"/>
                      <w:szCs w:val="21"/>
                    </w:rPr>
                    <w:t>能耗、污染物产生和排放量等清洁生产指标</w:t>
                  </w:r>
                  <w:r>
                    <w:rPr>
                      <w:rFonts w:hint="eastAsia"/>
                      <w:color w:val="auto"/>
                      <w:szCs w:val="21"/>
                    </w:rPr>
                    <w:t>均可</w:t>
                  </w:r>
                  <w:r>
                    <w:rPr>
                      <w:color w:val="auto"/>
                      <w:szCs w:val="21"/>
                    </w:rPr>
                    <w:t>低于国内平均水平</w:t>
                  </w:r>
                  <w:r>
                    <w:rPr>
                      <w:rFonts w:hint="eastAsia"/>
                      <w:color w:val="auto"/>
                      <w:szCs w:val="21"/>
                    </w:rPr>
                    <w:t>。</w:t>
                  </w:r>
                </w:p>
              </w:tc>
              <w:tc>
                <w:tcPr>
                  <w:tcW w:w="783" w:type="dxa"/>
                  <w:vAlign w:val="center"/>
                </w:tcPr>
                <w:p>
                  <w:pPr>
                    <w:pStyle w:val="28"/>
                    <w:spacing w:line="360" w:lineRule="exact"/>
                    <w:rPr>
                      <w:rFonts w:eastAsiaTheme="minorEastAsia"/>
                      <w:color w:val="auto"/>
                      <w:szCs w:val="21"/>
                    </w:rPr>
                  </w:pPr>
                  <w:r>
                    <w:rPr>
                      <w:rFonts w:hint="eastAsia" w:eastAsiaTheme="minorEastAsia"/>
                      <w:color w:val="auto"/>
                      <w:szCs w:val="21"/>
                    </w:rPr>
                    <w:t>符合</w:t>
                  </w:r>
                </w:p>
              </w:tc>
            </w:tr>
          </w:tbl>
          <w:p>
            <w:pPr>
              <w:spacing w:beforeLines="50" w:line="360" w:lineRule="auto"/>
              <w:ind w:firstLine="480" w:firstLineChars="200"/>
              <w:rPr>
                <w:sz w:val="24"/>
              </w:rPr>
            </w:pPr>
            <w:r>
              <w:rPr>
                <w:rFonts w:hint="eastAsia"/>
                <w:sz w:val="24"/>
              </w:rPr>
              <w:t>由上表可知，该项目不属于园区规划</w:t>
            </w:r>
            <w:r>
              <w:rPr>
                <w:sz w:val="24"/>
              </w:rPr>
              <w:t>环境准入负面清单</w:t>
            </w:r>
            <w:r>
              <w:rPr>
                <w:rFonts w:hint="eastAsia"/>
                <w:sz w:val="24"/>
              </w:rPr>
              <w:t>内项目。</w:t>
            </w:r>
          </w:p>
          <w:p>
            <w:pPr>
              <w:spacing w:line="360" w:lineRule="auto"/>
              <w:ind w:firstLine="482" w:firstLineChars="200"/>
              <w:rPr>
                <w:rFonts w:ascii="Times New Roman" w:hAnsi="Times New Roman" w:cs="Times New Roman"/>
                <w:b/>
                <w:sz w:val="24"/>
              </w:rPr>
            </w:pPr>
            <w:r>
              <w:rPr>
                <w:rFonts w:hint="eastAsia" w:ascii="宋体" w:hAnsi="宋体" w:cs="宋体"/>
                <w:b/>
                <w:sz w:val="24"/>
              </w:rPr>
              <w:t>③</w:t>
            </w:r>
            <w:r>
              <w:rPr>
                <w:rFonts w:ascii="Times New Roman" w:hAnsi="Times New Roman" w:cs="Times New Roman"/>
                <w:b/>
                <w:sz w:val="24"/>
              </w:rPr>
              <w:t>与</w:t>
            </w:r>
            <w:r>
              <w:rPr>
                <w:b/>
                <w:sz w:val="24"/>
              </w:rPr>
              <w:t>园区规划环评审查意见</w:t>
            </w:r>
            <w:r>
              <w:rPr>
                <w:rFonts w:ascii="Times New Roman" w:hAnsi="Times New Roman" w:cs="Times New Roman"/>
                <w:b/>
                <w:sz w:val="24"/>
              </w:rPr>
              <w:t>的符合性分析</w:t>
            </w:r>
          </w:p>
          <w:p>
            <w:pPr>
              <w:spacing w:line="360" w:lineRule="auto"/>
              <w:ind w:firstLine="480" w:firstLineChars="200"/>
              <w:rPr>
                <w:sz w:val="24"/>
              </w:rPr>
            </w:pPr>
            <w:r>
              <w:rPr>
                <w:sz w:val="24"/>
              </w:rPr>
              <w:t>查阅《</w:t>
            </w:r>
            <w:r>
              <w:rPr>
                <w:rFonts w:hint="eastAsia"/>
                <w:sz w:val="24"/>
              </w:rPr>
              <w:t>昆明市生态环境局关于</w:t>
            </w:r>
            <w:r>
              <w:rPr>
                <w:sz w:val="24"/>
              </w:rPr>
              <w:t>云南东川产业园区总体规划修编（2021-2035）环境影响报告书</w:t>
            </w:r>
            <w:r>
              <w:rPr>
                <w:rFonts w:hint="eastAsia"/>
                <w:sz w:val="24"/>
              </w:rPr>
              <w:t>的审查意见</w:t>
            </w:r>
            <w:r>
              <w:rPr>
                <w:sz w:val="24"/>
              </w:rPr>
              <w:t>》</w:t>
            </w:r>
            <w:r>
              <w:rPr>
                <w:rFonts w:hint="eastAsia"/>
                <w:sz w:val="24"/>
              </w:rPr>
              <w:t>，该项目与</w:t>
            </w:r>
            <w:r>
              <w:rPr>
                <w:sz w:val="24"/>
              </w:rPr>
              <w:t>规划环评结论符合性分析</w:t>
            </w:r>
            <w:r>
              <w:rPr>
                <w:rFonts w:hint="eastAsia"/>
                <w:sz w:val="24"/>
              </w:rPr>
              <w:t>如下表所示。</w:t>
            </w:r>
          </w:p>
          <w:p>
            <w:pPr>
              <w:jc w:val="center"/>
              <w:rPr>
                <w:rFonts w:ascii="Times New Roman" w:hAnsi="Times New Roman" w:cs="Times New Roman"/>
                <w:b/>
              </w:rPr>
            </w:pPr>
            <w:r>
              <w:rPr>
                <w:rFonts w:ascii="Times New Roman" w:cs="Times New Roman"/>
                <w:b/>
              </w:rPr>
              <w:t>表</w:t>
            </w:r>
            <w:r>
              <w:rPr>
                <w:rFonts w:ascii="Times New Roman" w:hAnsi="Times New Roman" w:cs="Times New Roman"/>
                <w:b/>
              </w:rPr>
              <w:t>1-</w:t>
            </w:r>
            <w:r>
              <w:rPr>
                <w:rFonts w:hint="eastAsia" w:ascii="Times New Roman" w:hAnsi="Times New Roman" w:cs="Times New Roman"/>
                <w:b/>
              </w:rPr>
              <w:t xml:space="preserve">3 </w:t>
            </w:r>
            <w:r>
              <w:rPr>
                <w:rFonts w:ascii="Times New Roman" w:cs="Times New Roman"/>
                <w:b/>
              </w:rPr>
              <w:t>与园区规划环评结论符合性分析一览表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4023"/>
              <w:gridCol w:w="3418"/>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8"/>
                    <w:spacing w:line="360" w:lineRule="exact"/>
                    <w:rPr>
                      <w:color w:val="auto"/>
                      <w:szCs w:val="21"/>
                    </w:rPr>
                  </w:pPr>
                  <w:r>
                    <w:rPr>
                      <w:rFonts w:hAnsi="宋体"/>
                      <w:color w:val="auto"/>
                      <w:szCs w:val="21"/>
                    </w:rPr>
                    <w:t>要求</w:t>
                  </w:r>
                </w:p>
              </w:tc>
              <w:tc>
                <w:tcPr>
                  <w:tcW w:w="3983" w:type="dxa"/>
                  <w:vAlign w:val="center"/>
                </w:tcPr>
                <w:p>
                  <w:pPr>
                    <w:pStyle w:val="28"/>
                    <w:spacing w:line="360" w:lineRule="exact"/>
                    <w:rPr>
                      <w:color w:val="auto"/>
                      <w:szCs w:val="21"/>
                    </w:rPr>
                  </w:pPr>
                  <w:r>
                    <w:rPr>
                      <w:rFonts w:hAnsi="宋体"/>
                      <w:color w:val="auto"/>
                      <w:szCs w:val="21"/>
                    </w:rPr>
                    <w:t>审查意见要求</w:t>
                  </w:r>
                </w:p>
              </w:tc>
              <w:tc>
                <w:tcPr>
                  <w:tcW w:w="3384" w:type="dxa"/>
                  <w:vAlign w:val="center"/>
                </w:tcPr>
                <w:p>
                  <w:pPr>
                    <w:pStyle w:val="28"/>
                    <w:spacing w:line="360" w:lineRule="exact"/>
                    <w:rPr>
                      <w:color w:val="auto"/>
                      <w:szCs w:val="21"/>
                    </w:rPr>
                  </w:pPr>
                  <w:r>
                    <w:rPr>
                      <w:rFonts w:hAnsi="宋体"/>
                      <w:color w:val="auto"/>
                      <w:szCs w:val="21"/>
                    </w:rPr>
                    <w:t>项目实际情况</w:t>
                  </w:r>
                </w:p>
              </w:tc>
              <w:tc>
                <w:tcPr>
                  <w:tcW w:w="619" w:type="dxa"/>
                  <w:vAlign w:val="center"/>
                </w:tcPr>
                <w:p>
                  <w:pPr>
                    <w:pStyle w:val="28"/>
                    <w:spacing w:line="360" w:lineRule="exact"/>
                    <w:rPr>
                      <w:color w:val="auto"/>
                      <w:szCs w:val="21"/>
                    </w:rPr>
                  </w:pPr>
                  <w:r>
                    <w:rPr>
                      <w:rFonts w:hAnsi="宋体"/>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8"/>
                    <w:spacing w:line="360" w:lineRule="exact"/>
                    <w:rPr>
                      <w:color w:val="auto"/>
                      <w:szCs w:val="21"/>
                    </w:rPr>
                  </w:pPr>
                  <w:r>
                    <w:rPr>
                      <w:color w:val="auto"/>
                      <w:szCs w:val="21"/>
                    </w:rPr>
                    <w:t>1</w:t>
                  </w:r>
                </w:p>
              </w:tc>
              <w:tc>
                <w:tcPr>
                  <w:tcW w:w="3983" w:type="dxa"/>
                  <w:vAlign w:val="center"/>
                </w:tcPr>
                <w:p>
                  <w:pPr>
                    <w:pStyle w:val="28"/>
                    <w:spacing w:line="360" w:lineRule="exact"/>
                    <w:ind w:firstLine="210" w:firstLineChars="100"/>
                    <w:jc w:val="both"/>
                    <w:rPr>
                      <w:color w:val="auto"/>
                      <w:szCs w:val="21"/>
                    </w:rPr>
                  </w:pPr>
                  <w:r>
                    <w:rPr>
                      <w:rFonts w:hAnsi="宋体"/>
                      <w:color w:val="auto"/>
                      <w:szCs w:val="21"/>
                    </w:rPr>
                    <w:t>根据区域大气环境容量，严格控制有色金属治炼、化工发展规模，加快能源结构升级改造和使用清洁能源，促进区域环境质量改善。园区内现有治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w:t>
                  </w:r>
                  <w:r>
                    <w:rPr>
                      <w:color w:val="auto"/>
                      <w:szCs w:val="21"/>
                    </w:rPr>
                    <w:t>2018</w:t>
                  </w:r>
                  <w:r>
                    <w:rPr>
                      <w:rFonts w:hAnsi="宋体"/>
                      <w:color w:val="auto"/>
                      <w:szCs w:val="21"/>
                    </w:rPr>
                    <w:t>年）》中污染物的企业。</w:t>
                  </w:r>
                </w:p>
              </w:tc>
              <w:tc>
                <w:tcPr>
                  <w:tcW w:w="3384" w:type="dxa"/>
                  <w:vAlign w:val="center"/>
                </w:tcPr>
                <w:p>
                  <w:pPr>
                    <w:pStyle w:val="28"/>
                    <w:spacing w:line="360" w:lineRule="exact"/>
                    <w:ind w:firstLine="210" w:firstLineChars="100"/>
                    <w:jc w:val="both"/>
                    <w:rPr>
                      <w:rFonts w:hAnsi="宋体"/>
                      <w:color w:val="auto"/>
                      <w:szCs w:val="21"/>
                    </w:rPr>
                  </w:pPr>
                  <w:r>
                    <w:rPr>
                      <w:color w:val="auto"/>
                      <w:szCs w:val="21"/>
                    </w:rPr>
                    <w:t>该项目属于小微企业危险废物收集试点项目，东川网点主要对东川区及寻甸境内的小微企业产生的18大类、65小类危险废物进行统一收集后</w:t>
                  </w:r>
                  <w:r>
                    <w:rPr>
                      <w:rFonts w:hint="eastAsia"/>
                      <w:color w:val="auto"/>
                      <w:szCs w:val="21"/>
                    </w:rPr>
                    <w:t>，委托有资质的单位进行处理，</w:t>
                  </w:r>
                  <w:r>
                    <w:rPr>
                      <w:color w:val="auto"/>
                      <w:szCs w:val="21"/>
                    </w:rPr>
                    <w:t>不属于有色金属冶炼、化工、建材等“两高”行业，因此不需要废气主要污染物区域“等量削减”；也不属于重金属重点行业，因此不需要进行重金属污染物“减量削减”；该项目主要污染物为</w:t>
                  </w:r>
                  <w:r>
                    <w:rPr>
                      <w:rFonts w:hint="eastAsia"/>
                      <w:color w:val="auto"/>
                      <w:szCs w:val="21"/>
                    </w:rPr>
                    <w:t>有机废气（非甲烷总烃）、酸性废气（HCl）、恶臭废气（氨、硫化氢和臭气浓度）</w:t>
                  </w:r>
                  <w:r>
                    <w:rPr>
                      <w:color w:val="auto"/>
                      <w:szCs w:val="21"/>
                    </w:rPr>
                    <w:t>，项目已取得总量控制指标。</w:t>
                  </w:r>
                </w:p>
              </w:tc>
              <w:tc>
                <w:tcPr>
                  <w:tcW w:w="619" w:type="dxa"/>
                  <w:vAlign w:val="center"/>
                </w:tcPr>
                <w:p>
                  <w:pPr>
                    <w:pStyle w:val="28"/>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8"/>
                    <w:spacing w:line="360" w:lineRule="exact"/>
                    <w:rPr>
                      <w:color w:val="auto"/>
                      <w:szCs w:val="21"/>
                    </w:rPr>
                  </w:pPr>
                  <w:r>
                    <w:rPr>
                      <w:color w:val="auto"/>
                      <w:szCs w:val="21"/>
                    </w:rPr>
                    <w:t>2</w:t>
                  </w:r>
                </w:p>
              </w:tc>
              <w:tc>
                <w:tcPr>
                  <w:tcW w:w="3983" w:type="dxa"/>
                  <w:vAlign w:val="center"/>
                </w:tcPr>
                <w:p>
                  <w:pPr>
                    <w:pStyle w:val="28"/>
                    <w:spacing w:line="360" w:lineRule="exact"/>
                    <w:ind w:firstLine="210" w:firstLineChars="100"/>
                    <w:jc w:val="both"/>
                    <w:rPr>
                      <w:color w:val="auto"/>
                      <w:szCs w:val="21"/>
                    </w:rPr>
                  </w:pPr>
                  <w:r>
                    <w:rPr>
                      <w:rFonts w:hAnsi="宋体"/>
                      <w:color w:val="auto"/>
                      <w:szCs w:val="21"/>
                    </w:rPr>
                    <w:t>《规划》产业布局、发展规模应严格执行《中华人民共和国长江保护法》、《长江经济带发展负面清单指南（试行，</w:t>
                  </w:r>
                  <w:r>
                    <w:rPr>
                      <w:color w:val="auto"/>
                      <w:szCs w:val="21"/>
                    </w:rPr>
                    <w:t>2022</w:t>
                  </w:r>
                  <w:r>
                    <w:rPr>
                      <w:rFonts w:hAnsi="宋体"/>
                      <w:color w:val="auto"/>
                      <w:szCs w:val="21"/>
                    </w:rPr>
                    <w:t>年版）》、《云南省长江经济带发展负面清单指南实施细则（试行，</w:t>
                  </w:r>
                  <w:r>
                    <w:rPr>
                      <w:color w:val="auto"/>
                      <w:szCs w:val="21"/>
                    </w:rPr>
                    <w:t>2022</w:t>
                  </w:r>
                  <w:r>
                    <w:rPr>
                      <w:rFonts w:hAnsi="宋体"/>
                      <w:color w:val="auto"/>
                      <w:szCs w:val="21"/>
                    </w:rPr>
                    <w:t>年版）》等相关规定。化工园区申报及建设应严格执行《化工园区开发建设导则》、《化工园区综合评价导则》、《化工园区建设标准和认定管理办法（试行）》、《云南省化工园区确认办法（试行）》等相关规定。</w:t>
                  </w:r>
                </w:p>
              </w:tc>
              <w:tc>
                <w:tcPr>
                  <w:tcW w:w="3384" w:type="dxa"/>
                  <w:vAlign w:val="center"/>
                </w:tcPr>
                <w:p>
                  <w:pPr>
                    <w:pStyle w:val="28"/>
                    <w:spacing w:line="360" w:lineRule="exact"/>
                    <w:ind w:firstLine="210" w:firstLineChars="100"/>
                    <w:jc w:val="both"/>
                    <w:rPr>
                      <w:color w:val="auto"/>
                      <w:szCs w:val="21"/>
                    </w:rPr>
                  </w:pPr>
                  <w:r>
                    <w:rPr>
                      <w:rFonts w:hAnsi="宋体"/>
                      <w:color w:val="auto"/>
                      <w:szCs w:val="21"/>
                    </w:rPr>
                    <w:t>根据分析，该项目不属于化工项目，项目建设符合《中华人民共和国长江保护法》、《长江经济带发展负面清单指南（试行，</w:t>
                  </w:r>
                  <w:r>
                    <w:rPr>
                      <w:color w:val="auto"/>
                      <w:szCs w:val="21"/>
                    </w:rPr>
                    <w:t>2022</w:t>
                  </w:r>
                  <w:r>
                    <w:rPr>
                      <w:rFonts w:hAnsi="宋体"/>
                      <w:color w:val="auto"/>
                      <w:szCs w:val="21"/>
                    </w:rPr>
                    <w:t>年版）》、《云南省长江经济带发展负面清单指南实施细则（试行，</w:t>
                  </w:r>
                  <w:r>
                    <w:rPr>
                      <w:color w:val="auto"/>
                      <w:szCs w:val="21"/>
                    </w:rPr>
                    <w:t>2022</w:t>
                  </w:r>
                  <w:r>
                    <w:rPr>
                      <w:rFonts w:hAnsi="宋体"/>
                      <w:color w:val="auto"/>
                      <w:szCs w:val="21"/>
                    </w:rPr>
                    <w:t>年版）》等相关规定。</w:t>
                  </w:r>
                </w:p>
              </w:tc>
              <w:tc>
                <w:tcPr>
                  <w:tcW w:w="619" w:type="dxa"/>
                  <w:vAlign w:val="center"/>
                </w:tcPr>
                <w:p>
                  <w:pPr>
                    <w:pStyle w:val="28"/>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28"/>
                    <w:spacing w:line="360" w:lineRule="exact"/>
                    <w:rPr>
                      <w:color w:val="auto"/>
                      <w:szCs w:val="21"/>
                    </w:rPr>
                  </w:pPr>
                  <w:r>
                    <w:rPr>
                      <w:color w:val="auto"/>
                      <w:szCs w:val="21"/>
                    </w:rPr>
                    <w:t>3</w:t>
                  </w:r>
                </w:p>
              </w:tc>
              <w:tc>
                <w:tcPr>
                  <w:tcW w:w="3983" w:type="dxa"/>
                  <w:vAlign w:val="center"/>
                </w:tcPr>
                <w:p>
                  <w:pPr>
                    <w:pStyle w:val="28"/>
                    <w:spacing w:line="360" w:lineRule="exact"/>
                    <w:ind w:firstLine="210" w:firstLineChars="100"/>
                    <w:jc w:val="both"/>
                    <w:rPr>
                      <w:color w:val="auto"/>
                      <w:szCs w:val="21"/>
                    </w:rPr>
                  </w:pPr>
                  <w:r>
                    <w:rPr>
                      <w:rFonts w:hAnsi="宋体"/>
                      <w:color w:val="auto"/>
                      <w:szCs w:val="21"/>
                    </w:rPr>
                    <w:t>根据国家、云南省和</w:t>
                  </w:r>
                  <w:r>
                    <w:rPr>
                      <w:color w:val="auto"/>
                      <w:szCs w:val="21"/>
                    </w:rPr>
                    <w:t>“</w:t>
                  </w:r>
                  <w:r>
                    <w:rPr>
                      <w:rFonts w:hAnsi="宋体"/>
                      <w:color w:val="auto"/>
                      <w:szCs w:val="21"/>
                    </w:rPr>
                    <w:t>三线一单</w:t>
                  </w:r>
                  <w:r>
                    <w:rPr>
                      <w:color w:val="auto"/>
                      <w:szCs w:val="21"/>
                    </w:rPr>
                    <w:t>”</w:t>
                  </w:r>
                  <w:r>
                    <w:rPr>
                      <w:rFonts w:hAnsi="宋体"/>
                      <w:color w:val="auto"/>
                      <w:szCs w:val="21"/>
                    </w:rPr>
                    <w:t>有关大气污染防洽的相关要求，落实主要污染物区域削减方案，严格执行园区大气污染物管控要求，合理确定产业规模、布局、建设时序。有色金属冶炼、化工、建材等</w:t>
                  </w:r>
                  <w:r>
                    <w:rPr>
                      <w:color w:val="auto"/>
                      <w:szCs w:val="21"/>
                    </w:rPr>
                    <w:t>“</w:t>
                  </w:r>
                  <w:r>
                    <w:rPr>
                      <w:rFonts w:hAnsi="宋体"/>
                      <w:color w:val="auto"/>
                      <w:szCs w:val="21"/>
                    </w:rPr>
                    <w:t>两高</w:t>
                  </w:r>
                  <w:r>
                    <w:rPr>
                      <w:color w:val="auto"/>
                      <w:szCs w:val="21"/>
                    </w:rPr>
                    <w:t>”</w:t>
                  </w:r>
                  <w:r>
                    <w:rPr>
                      <w:rFonts w:hAnsi="宋体"/>
                      <w:color w:val="auto"/>
                      <w:szCs w:val="21"/>
                    </w:rPr>
                    <w:t>行业应实行主要污染物区域等量削滅，重点行业重点重金属排放减量替代比例不得低于</w:t>
                  </w:r>
                  <w:r>
                    <w:rPr>
                      <w:color w:val="auto"/>
                      <w:szCs w:val="21"/>
                    </w:rPr>
                    <w:t>1.2</w:t>
                  </w:r>
                  <w:r>
                    <w:rPr>
                      <w:rFonts w:hAnsi="宋体"/>
                      <w:color w:val="auto"/>
                      <w:szCs w:val="21"/>
                    </w:rPr>
                    <w:t>：</w:t>
                  </w:r>
                  <w:r>
                    <w:rPr>
                      <w:color w:val="auto"/>
                      <w:szCs w:val="21"/>
                    </w:rPr>
                    <w:t>1</w:t>
                  </w:r>
                  <w:r>
                    <w:rPr>
                      <w:rFonts w:hAnsi="宋体"/>
                      <w:color w:val="auto"/>
                      <w:szCs w:val="21"/>
                    </w:rPr>
                    <w:t>，铅锌冶炼和铜治炼企业须执行颗粒物和重点重金属污染物特别排放限值。</w:t>
                  </w:r>
                </w:p>
              </w:tc>
              <w:tc>
                <w:tcPr>
                  <w:tcW w:w="3384" w:type="dxa"/>
                  <w:vAlign w:val="center"/>
                </w:tcPr>
                <w:p>
                  <w:pPr>
                    <w:pStyle w:val="28"/>
                    <w:spacing w:line="360" w:lineRule="exact"/>
                    <w:ind w:firstLine="210" w:firstLineChars="100"/>
                    <w:jc w:val="both"/>
                    <w:rPr>
                      <w:color w:val="auto"/>
                      <w:szCs w:val="21"/>
                    </w:rPr>
                  </w:pPr>
                  <w:r>
                    <w:rPr>
                      <w:rFonts w:hAnsi="宋体"/>
                      <w:color w:val="auto"/>
                      <w:szCs w:val="21"/>
                    </w:rPr>
                    <w:t>项目建设符合云南省和</w:t>
                  </w:r>
                  <w:r>
                    <w:rPr>
                      <w:color w:val="auto"/>
                      <w:szCs w:val="21"/>
                    </w:rPr>
                    <w:t>“</w:t>
                  </w:r>
                  <w:r>
                    <w:rPr>
                      <w:rFonts w:hAnsi="宋体"/>
                      <w:color w:val="auto"/>
                      <w:szCs w:val="21"/>
                    </w:rPr>
                    <w:t>三线一单</w:t>
                  </w:r>
                  <w:r>
                    <w:rPr>
                      <w:color w:val="auto"/>
                      <w:szCs w:val="21"/>
                    </w:rPr>
                    <w:t>”</w:t>
                  </w:r>
                  <w:r>
                    <w:rPr>
                      <w:rFonts w:hAnsi="宋体"/>
                      <w:color w:val="auto"/>
                      <w:szCs w:val="21"/>
                    </w:rPr>
                    <w:t>有关大气污染防洽的相关要求，项目不属于有色金属冶炼、化工、建材等</w:t>
                  </w:r>
                  <w:r>
                    <w:rPr>
                      <w:color w:val="auto"/>
                      <w:szCs w:val="21"/>
                    </w:rPr>
                    <w:t>“</w:t>
                  </w:r>
                  <w:r>
                    <w:rPr>
                      <w:rFonts w:hAnsi="宋体"/>
                      <w:color w:val="auto"/>
                      <w:szCs w:val="21"/>
                    </w:rPr>
                    <w:t>两高</w:t>
                  </w:r>
                  <w:r>
                    <w:rPr>
                      <w:color w:val="auto"/>
                      <w:szCs w:val="21"/>
                    </w:rPr>
                    <w:t>”</w:t>
                  </w:r>
                  <w:r>
                    <w:rPr>
                      <w:rFonts w:hAnsi="宋体"/>
                      <w:color w:val="auto"/>
                      <w:szCs w:val="21"/>
                    </w:rPr>
                    <w:t>行业，因此不需要废气主要污染物区域</w:t>
                  </w:r>
                  <w:r>
                    <w:rPr>
                      <w:color w:val="auto"/>
                      <w:szCs w:val="21"/>
                    </w:rPr>
                    <w:t>“</w:t>
                  </w:r>
                  <w:r>
                    <w:rPr>
                      <w:rFonts w:hAnsi="宋体"/>
                      <w:color w:val="auto"/>
                      <w:szCs w:val="21"/>
                    </w:rPr>
                    <w:t>等量削减</w:t>
                  </w:r>
                  <w:r>
                    <w:rPr>
                      <w:color w:val="auto"/>
                      <w:szCs w:val="21"/>
                    </w:rPr>
                    <w:t>”</w:t>
                  </w:r>
                  <w:r>
                    <w:rPr>
                      <w:rFonts w:hAnsi="宋体"/>
                      <w:color w:val="auto"/>
                      <w:szCs w:val="21"/>
                    </w:rPr>
                    <w:t>；也不属于重金属重点行业，因此不需要进行重金属污染物</w:t>
                  </w:r>
                  <w:r>
                    <w:rPr>
                      <w:color w:val="auto"/>
                      <w:szCs w:val="21"/>
                    </w:rPr>
                    <w:t>“</w:t>
                  </w:r>
                  <w:r>
                    <w:rPr>
                      <w:rFonts w:hAnsi="宋体"/>
                      <w:color w:val="auto"/>
                      <w:szCs w:val="21"/>
                    </w:rPr>
                    <w:t>减量削减</w:t>
                  </w:r>
                  <w:r>
                    <w:rPr>
                      <w:color w:val="auto"/>
                      <w:szCs w:val="21"/>
                    </w:rPr>
                    <w:t>”</w:t>
                  </w:r>
                  <w:r>
                    <w:rPr>
                      <w:rFonts w:hAnsi="宋体"/>
                      <w:color w:val="auto"/>
                      <w:szCs w:val="21"/>
                    </w:rPr>
                    <w:t>。</w:t>
                  </w:r>
                </w:p>
              </w:tc>
              <w:tc>
                <w:tcPr>
                  <w:tcW w:w="619" w:type="dxa"/>
                  <w:vAlign w:val="center"/>
                </w:tcPr>
                <w:p>
                  <w:pPr>
                    <w:pStyle w:val="28"/>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8"/>
                    <w:spacing w:line="360" w:lineRule="exact"/>
                    <w:rPr>
                      <w:color w:val="auto"/>
                      <w:szCs w:val="21"/>
                    </w:rPr>
                  </w:pPr>
                  <w:r>
                    <w:rPr>
                      <w:color w:val="auto"/>
                      <w:szCs w:val="21"/>
                    </w:rPr>
                    <w:t>4</w:t>
                  </w:r>
                </w:p>
              </w:tc>
              <w:tc>
                <w:tcPr>
                  <w:tcW w:w="3983" w:type="dxa"/>
                  <w:vAlign w:val="center"/>
                </w:tcPr>
                <w:p>
                  <w:pPr>
                    <w:pStyle w:val="28"/>
                    <w:spacing w:line="360" w:lineRule="exact"/>
                    <w:ind w:firstLine="210" w:firstLineChars="100"/>
                    <w:jc w:val="both"/>
                    <w:rPr>
                      <w:color w:val="auto"/>
                      <w:szCs w:val="21"/>
                    </w:rPr>
                  </w:pPr>
                  <w:r>
                    <w:rPr>
                      <w:rFonts w:hAnsi="宋体"/>
                      <w:color w:val="auto"/>
                      <w:szCs w:val="21"/>
                    </w:rPr>
                    <w:t>入驻企业应采用先进的生产工艺、装备、清洁能源与原料，从源头上控制污染物的产生；采用先进高效的污染防治措施，做好大气污染物的减排工作。</w:t>
                  </w:r>
                </w:p>
              </w:tc>
              <w:tc>
                <w:tcPr>
                  <w:tcW w:w="3384" w:type="dxa"/>
                  <w:vAlign w:val="center"/>
                </w:tcPr>
                <w:p>
                  <w:pPr>
                    <w:pStyle w:val="28"/>
                    <w:spacing w:line="360" w:lineRule="exact"/>
                    <w:ind w:firstLine="210" w:firstLineChars="100"/>
                    <w:jc w:val="both"/>
                    <w:rPr>
                      <w:color w:val="auto"/>
                      <w:szCs w:val="21"/>
                    </w:rPr>
                  </w:pPr>
                  <w:r>
                    <w:rPr>
                      <w:rFonts w:hAnsi="宋体"/>
                      <w:color w:val="auto"/>
                      <w:szCs w:val="21"/>
                    </w:rPr>
                    <w:t>该项目东川网点主要对东川区及寻甸境内的小微企业产生的18大类、65小类危险废物进行统一收集</w:t>
                  </w:r>
                  <w:r>
                    <w:rPr>
                      <w:rFonts w:hint="eastAsia" w:hAnsi="宋体"/>
                      <w:color w:val="auto"/>
                      <w:szCs w:val="21"/>
                    </w:rPr>
                    <w:t>后，委托有资质的单位进行处理，厂区内污染物主要是各类危险废物在贮存过程产生，</w:t>
                  </w:r>
                  <w:r>
                    <w:rPr>
                      <w:rFonts w:hAnsi="宋体"/>
                      <w:color w:val="auto"/>
                      <w:szCs w:val="21"/>
                    </w:rPr>
                    <w:t>针对小微企业危险废物贮存库区产生的废气，通过1套负压收集系统对其收集后，拟设置1套废气处理装置对其进行处理，处理后通过1根Φ0.68、高15m的排气筒（DA001）外排。</w:t>
                  </w:r>
                </w:p>
              </w:tc>
              <w:tc>
                <w:tcPr>
                  <w:tcW w:w="619" w:type="dxa"/>
                  <w:vAlign w:val="center"/>
                </w:tcPr>
                <w:p>
                  <w:pPr>
                    <w:pStyle w:val="28"/>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8"/>
                    <w:spacing w:line="360" w:lineRule="exact"/>
                    <w:rPr>
                      <w:color w:val="auto"/>
                      <w:szCs w:val="21"/>
                    </w:rPr>
                  </w:pPr>
                  <w:r>
                    <w:rPr>
                      <w:color w:val="auto"/>
                      <w:szCs w:val="21"/>
                    </w:rPr>
                    <w:t>5</w:t>
                  </w:r>
                </w:p>
              </w:tc>
              <w:tc>
                <w:tcPr>
                  <w:tcW w:w="3983" w:type="dxa"/>
                  <w:vAlign w:val="center"/>
                </w:tcPr>
                <w:p>
                  <w:pPr>
                    <w:pStyle w:val="28"/>
                    <w:spacing w:line="360" w:lineRule="exact"/>
                    <w:ind w:firstLine="210" w:firstLineChars="100"/>
                    <w:jc w:val="both"/>
                    <w:rPr>
                      <w:color w:val="auto"/>
                      <w:szCs w:val="21"/>
                    </w:rPr>
                  </w:pPr>
                  <w:r>
                    <w:rPr>
                      <w:rFonts w:hAnsi="宋体"/>
                      <w:color w:val="auto"/>
                      <w:szCs w:val="21"/>
                    </w:rPr>
                    <w:t>重视园区废水收集、处理、回用、排放的环境管理。全面实施</w:t>
                  </w:r>
                  <w:r>
                    <w:rPr>
                      <w:color w:val="auto"/>
                      <w:szCs w:val="21"/>
                    </w:rPr>
                    <w:t>“</w:t>
                  </w:r>
                  <w:r>
                    <w:rPr>
                      <w:rFonts w:hAnsi="宋体"/>
                      <w:color w:val="auto"/>
                      <w:szCs w:val="21"/>
                    </w:rPr>
                    <w:t>雨污分流</w:t>
                  </w:r>
                  <w:r>
                    <w:rPr>
                      <w:color w:val="auto"/>
                      <w:szCs w:val="21"/>
                    </w:rPr>
                    <w:t>”“</w:t>
                  </w:r>
                  <w:r>
                    <w:rPr>
                      <w:rFonts w:hAnsi="宋体"/>
                      <w:color w:val="auto"/>
                      <w:szCs w:val="21"/>
                    </w:rPr>
                    <w:t>清污分流</w:t>
                  </w:r>
                  <w:r>
                    <w:rPr>
                      <w:color w:val="auto"/>
                      <w:szCs w:val="21"/>
                    </w:rPr>
                    <w:t>”</w:t>
                  </w:r>
                  <w:r>
                    <w:rPr>
                      <w:rFonts w:hAnsi="宋体"/>
                      <w:color w:val="auto"/>
                      <w:szCs w:val="21"/>
                    </w:rPr>
                    <w:t>制度，提高入驻企业工业用水重复利用率和中水回用率。</w:t>
                  </w:r>
                </w:p>
              </w:tc>
              <w:tc>
                <w:tcPr>
                  <w:tcW w:w="3384" w:type="dxa"/>
                  <w:vAlign w:val="center"/>
                </w:tcPr>
                <w:p>
                  <w:pPr>
                    <w:pStyle w:val="28"/>
                    <w:spacing w:line="360" w:lineRule="exact"/>
                    <w:ind w:firstLine="210" w:firstLineChars="100"/>
                    <w:jc w:val="both"/>
                    <w:rPr>
                      <w:color w:val="auto"/>
                      <w:szCs w:val="21"/>
                    </w:rPr>
                  </w:pPr>
                  <w:r>
                    <w:rPr>
                      <w:rFonts w:hAnsi="宋体"/>
                      <w:color w:val="auto"/>
                      <w:szCs w:val="21"/>
                    </w:rPr>
                    <w:t>项目</w:t>
                  </w:r>
                  <w:r>
                    <w:rPr>
                      <w:rFonts w:hint="eastAsia" w:hAnsi="宋体"/>
                      <w:color w:val="auto"/>
                      <w:szCs w:val="21"/>
                    </w:rPr>
                    <w:t>无生产废水外排</w:t>
                  </w:r>
                  <w:r>
                    <w:rPr>
                      <w:rFonts w:hAnsi="宋体"/>
                      <w:color w:val="auto"/>
                      <w:szCs w:val="21"/>
                    </w:rPr>
                    <w:t>。</w:t>
                  </w:r>
                </w:p>
              </w:tc>
              <w:tc>
                <w:tcPr>
                  <w:tcW w:w="619" w:type="dxa"/>
                  <w:vAlign w:val="center"/>
                </w:tcPr>
                <w:p>
                  <w:pPr>
                    <w:pStyle w:val="28"/>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28"/>
                    <w:spacing w:line="360" w:lineRule="exact"/>
                    <w:rPr>
                      <w:color w:val="auto"/>
                      <w:szCs w:val="21"/>
                    </w:rPr>
                  </w:pPr>
                  <w:r>
                    <w:rPr>
                      <w:color w:val="auto"/>
                      <w:szCs w:val="21"/>
                    </w:rPr>
                    <w:t>6</w:t>
                  </w:r>
                </w:p>
              </w:tc>
              <w:tc>
                <w:tcPr>
                  <w:tcW w:w="3983" w:type="dxa"/>
                  <w:vAlign w:val="center"/>
                </w:tcPr>
                <w:p>
                  <w:pPr>
                    <w:pStyle w:val="28"/>
                    <w:spacing w:line="360" w:lineRule="exact"/>
                    <w:ind w:firstLine="210" w:firstLineChars="100"/>
                    <w:jc w:val="both"/>
                    <w:rPr>
                      <w:color w:val="auto"/>
                      <w:szCs w:val="21"/>
                    </w:rPr>
                  </w:pPr>
                  <w:r>
                    <w:rPr>
                      <w:rFonts w:hAnsi="宋体"/>
                      <w:color w:val="auto"/>
                      <w:szCs w:val="21"/>
                    </w:rPr>
                    <w:t>入驻企业按相关规范要求采取针对性防渗措施，确保区域地下水安全。</w:t>
                  </w:r>
                </w:p>
              </w:tc>
              <w:tc>
                <w:tcPr>
                  <w:tcW w:w="3384" w:type="dxa"/>
                  <w:vAlign w:val="center"/>
                </w:tcPr>
                <w:p>
                  <w:pPr>
                    <w:pStyle w:val="28"/>
                    <w:spacing w:line="360" w:lineRule="exact"/>
                    <w:ind w:firstLine="210" w:firstLineChars="100"/>
                    <w:jc w:val="both"/>
                    <w:rPr>
                      <w:rFonts w:hAnsi="宋体"/>
                      <w:color w:val="auto"/>
                      <w:szCs w:val="21"/>
                    </w:rPr>
                  </w:pPr>
                  <w:r>
                    <w:rPr>
                      <w:rFonts w:hint="eastAsia" w:eastAsiaTheme="minorEastAsia"/>
                      <w:color w:val="auto"/>
                      <w:szCs w:val="21"/>
                    </w:rPr>
                    <w:t>根据分区防渗规范要求，项目整个区域均属于重点防渗区，根据调查，项目全部区域均采用复合土工膜防渗后，再浇筑混凝土；该复合土工膜防渗云南睿利能工程材料制造有限公司生产的土工膜，根据其检测报告，其防渗系数达到渗透系数≤2.3×10</w:t>
                  </w:r>
                  <w:r>
                    <w:rPr>
                      <w:rFonts w:hint="eastAsia" w:eastAsiaTheme="minorEastAsia"/>
                      <w:color w:val="auto"/>
                      <w:szCs w:val="21"/>
                      <w:vertAlign w:val="superscript"/>
                    </w:rPr>
                    <w:t>-12</w:t>
                  </w:r>
                  <w:r>
                    <w:rPr>
                      <w:rFonts w:eastAsiaTheme="minorEastAsia"/>
                      <w:color w:val="auto"/>
                      <w:szCs w:val="21"/>
                    </w:rPr>
                    <w:t>cm/s</w:t>
                  </w:r>
                  <w:r>
                    <w:rPr>
                      <w:rFonts w:hint="eastAsia" w:eastAsiaTheme="minorEastAsia"/>
                      <w:color w:val="auto"/>
                      <w:szCs w:val="21"/>
                    </w:rPr>
                    <w:t>，满足渗透系数≤</w:t>
                  </w:r>
                  <w:r>
                    <w:rPr>
                      <w:rFonts w:eastAsiaTheme="minorEastAsia"/>
                      <w:color w:val="auto"/>
                      <w:szCs w:val="21"/>
                    </w:rPr>
                    <w:t>10</w:t>
                  </w:r>
                  <w:r>
                    <w:rPr>
                      <w:rFonts w:hint="eastAsia" w:eastAsiaTheme="minorEastAsia"/>
                      <w:color w:val="auto"/>
                      <w:szCs w:val="21"/>
                      <w:vertAlign w:val="superscript"/>
                    </w:rPr>
                    <w:t>-10</w:t>
                  </w:r>
                  <w:r>
                    <w:rPr>
                      <w:rFonts w:eastAsiaTheme="minorEastAsia"/>
                      <w:color w:val="auto"/>
                      <w:szCs w:val="21"/>
                    </w:rPr>
                    <w:t>cm/s</w:t>
                  </w:r>
                  <w:r>
                    <w:rPr>
                      <w:rFonts w:hint="eastAsia" w:eastAsiaTheme="minorEastAsia"/>
                      <w:color w:val="auto"/>
                      <w:szCs w:val="21"/>
                    </w:rPr>
                    <w:t>的要求。</w:t>
                  </w:r>
                </w:p>
              </w:tc>
              <w:tc>
                <w:tcPr>
                  <w:tcW w:w="619" w:type="dxa"/>
                  <w:vAlign w:val="center"/>
                </w:tcPr>
                <w:p>
                  <w:pPr>
                    <w:pStyle w:val="28"/>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28"/>
                    <w:spacing w:line="360" w:lineRule="exact"/>
                    <w:rPr>
                      <w:color w:val="auto"/>
                      <w:szCs w:val="21"/>
                    </w:rPr>
                  </w:pPr>
                  <w:r>
                    <w:rPr>
                      <w:color w:val="auto"/>
                      <w:szCs w:val="21"/>
                    </w:rPr>
                    <w:t>7</w:t>
                  </w:r>
                </w:p>
              </w:tc>
              <w:tc>
                <w:tcPr>
                  <w:tcW w:w="3983" w:type="dxa"/>
                  <w:vAlign w:val="center"/>
                </w:tcPr>
                <w:p>
                  <w:pPr>
                    <w:pStyle w:val="28"/>
                    <w:spacing w:line="360" w:lineRule="exact"/>
                    <w:ind w:firstLine="210" w:firstLineChars="100"/>
                    <w:jc w:val="both"/>
                    <w:rPr>
                      <w:color w:val="auto"/>
                      <w:szCs w:val="21"/>
                    </w:rPr>
                  </w:pPr>
                  <w:r>
                    <w:rPr>
                      <w:rFonts w:hAnsi="宋体"/>
                      <w:color w:val="auto"/>
                      <w:szCs w:val="21"/>
                    </w:rPr>
                    <w:t>〔四）制定准入清单，严格入园项目生态环境准入管理。加强</w:t>
                  </w:r>
                  <w:r>
                    <w:rPr>
                      <w:color w:val="auto"/>
                      <w:szCs w:val="21"/>
                    </w:rPr>
                    <w:t>“</w:t>
                  </w:r>
                  <w:r>
                    <w:rPr>
                      <w:rFonts w:hAnsi="宋体"/>
                      <w:color w:val="auto"/>
                      <w:szCs w:val="21"/>
                    </w:rPr>
                    <w:t>两高</w:t>
                  </w:r>
                  <w:r>
                    <w:rPr>
                      <w:color w:val="auto"/>
                      <w:szCs w:val="21"/>
                    </w:rPr>
                    <w:t>”</w:t>
                  </w:r>
                  <w:r>
                    <w:rPr>
                      <w:rFonts w:hAnsi="宋体"/>
                      <w:color w:val="auto"/>
                      <w:szCs w:val="21"/>
                    </w:rPr>
                    <w:t>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w:t>
                  </w:r>
                  <w:r>
                    <w:rPr>
                      <w:color w:val="auto"/>
                      <w:szCs w:val="21"/>
                    </w:rPr>
                    <w:t>“</w:t>
                  </w:r>
                  <w:r>
                    <w:rPr>
                      <w:rFonts w:hAnsi="宋体"/>
                      <w:color w:val="auto"/>
                      <w:szCs w:val="21"/>
                    </w:rPr>
                    <w:t>三线一单</w:t>
                  </w:r>
                  <w:r>
                    <w:rPr>
                      <w:color w:val="auto"/>
                      <w:szCs w:val="21"/>
                    </w:rPr>
                    <w:t>”</w:t>
                  </w:r>
                  <w:r>
                    <w:rPr>
                      <w:rFonts w:hAnsi="宋体"/>
                      <w:color w:val="auto"/>
                      <w:szCs w:val="21"/>
                    </w:rPr>
                    <w:t>大气、水、土壤等重点管控单元要求。</w:t>
                  </w:r>
                </w:p>
              </w:tc>
              <w:tc>
                <w:tcPr>
                  <w:tcW w:w="3384" w:type="dxa"/>
                  <w:vAlign w:val="center"/>
                </w:tcPr>
                <w:p>
                  <w:pPr>
                    <w:pStyle w:val="28"/>
                    <w:spacing w:line="360" w:lineRule="exact"/>
                    <w:ind w:firstLine="210" w:firstLineChars="100"/>
                    <w:jc w:val="both"/>
                    <w:rPr>
                      <w:rFonts w:hAnsi="宋体"/>
                      <w:color w:val="auto"/>
                      <w:szCs w:val="21"/>
                    </w:rPr>
                  </w:pPr>
                  <w:r>
                    <w:rPr>
                      <w:rFonts w:hint="eastAsia"/>
                      <w:color w:val="auto"/>
                      <w:szCs w:val="21"/>
                    </w:rPr>
                    <w:t>该项目属于小微企业危险废物收集试点项目，东川网点主要对东川区及寻甸境内的小微企业产生的18大类、65小类危险废物进行统一收集后，委托有资质的单位进行处理，不涉及用水，</w:t>
                  </w:r>
                  <w:r>
                    <w:rPr>
                      <w:color w:val="auto"/>
                      <w:szCs w:val="21"/>
                    </w:rPr>
                    <w:t>其单位产值能耗、污染物产生和排放量等均可达到国内先进水平。项目符合国家产业政策、产业布局规划要求，符合“三线一单”大气、水、土壤等重点管控单元要求。</w:t>
                  </w:r>
                </w:p>
              </w:tc>
              <w:tc>
                <w:tcPr>
                  <w:tcW w:w="619" w:type="dxa"/>
                  <w:vAlign w:val="center"/>
                </w:tcPr>
                <w:p>
                  <w:pPr>
                    <w:pStyle w:val="28"/>
                    <w:spacing w:line="360" w:lineRule="exact"/>
                    <w:rPr>
                      <w:color w:val="auto"/>
                      <w:szCs w:val="21"/>
                    </w:rPr>
                  </w:pPr>
                  <w:r>
                    <w:rPr>
                      <w:rFonts w:hAnsi="宋体"/>
                      <w:color w:val="auto"/>
                      <w:szCs w:val="21"/>
                    </w:rPr>
                    <w:t>符合</w:t>
                  </w:r>
                </w:p>
              </w:tc>
            </w:tr>
          </w:tbl>
          <w:p>
            <w:pPr>
              <w:spacing w:beforeLines="50" w:line="360" w:lineRule="auto"/>
              <w:ind w:firstLine="480" w:firstLineChars="200"/>
              <w:rPr>
                <w:sz w:val="24"/>
              </w:rPr>
            </w:pPr>
            <w:r>
              <w:rPr>
                <w:rFonts w:hint="eastAsia"/>
                <w:sz w:val="24"/>
              </w:rPr>
              <w:t>由上表可知，该项目建设符合</w:t>
            </w:r>
            <w:r>
              <w:rPr>
                <w:sz w:val="24"/>
              </w:rPr>
              <w:t>规划环评</w:t>
            </w:r>
            <w:r>
              <w:rPr>
                <w:rFonts w:hint="eastAsia"/>
                <w:sz w:val="24"/>
              </w:rPr>
              <w:t>审查意见的相关要求。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rPr>
              <w:t>通过上述分析，该项目建设符合《云南东川产业园区总体规划修编（2021-2035）环境影响报告书》及《昆明市生态环境局关于云南东川产业园区总体规划修编（2021-2035）环境影响报告书的审查意见》（昆环审【2023】1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其他符合性分析</w:t>
            </w:r>
          </w:p>
        </w:tc>
        <w:tc>
          <w:tcPr>
            <w:tcW w:w="8834" w:type="dxa"/>
            <w:gridSpan w:val="5"/>
            <w:vAlign w:val="center"/>
          </w:tcPr>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w:t>
            </w:r>
            <w:bookmarkStart w:id="0" w:name="_Toc433545018"/>
            <w:r>
              <w:rPr>
                <w:rFonts w:ascii="Times New Roman" w:hAnsi="Times New Roman" w:cs="Times New Roman"/>
                <w:b/>
                <w:sz w:val="24"/>
                <w:szCs w:val="24"/>
              </w:rPr>
              <w:t>产业政策符合性分析</w:t>
            </w:r>
            <w:bookmarkEnd w:id="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该项目属于小微企业危险废物收集试点项目，</w:t>
            </w:r>
            <w:r>
              <w:rPr>
                <w:rFonts w:hint="eastAsia" w:ascii="Times New Roman" w:hAnsi="Times New Roman" w:cs="Times New Roman"/>
                <w:sz w:val="24"/>
                <w:szCs w:val="24"/>
              </w:rPr>
              <w:t>根据《产业结构调整指导目录（</w:t>
            </w:r>
            <w:r>
              <w:rPr>
                <w:rFonts w:ascii="Times New Roman" w:hAnsi="Times New Roman" w:cs="Times New Roman"/>
                <w:sz w:val="24"/>
                <w:szCs w:val="24"/>
              </w:rPr>
              <w:t xml:space="preserve">2019 </w:t>
            </w:r>
            <w:r>
              <w:rPr>
                <w:rFonts w:hint="eastAsia" w:ascii="Times New Roman" w:hAnsi="Times New Roman" w:cs="Times New Roman"/>
                <w:sz w:val="24"/>
                <w:szCs w:val="24"/>
              </w:rPr>
              <w:t>年本）》（国家发展和改革委员会令第</w:t>
            </w:r>
            <w:r>
              <w:rPr>
                <w:rFonts w:ascii="Times New Roman" w:hAnsi="Times New Roman" w:cs="Times New Roman"/>
                <w:sz w:val="24"/>
                <w:szCs w:val="24"/>
              </w:rPr>
              <w:t>29</w:t>
            </w:r>
            <w:r>
              <w:rPr>
                <w:rFonts w:hint="eastAsia" w:ascii="Times New Roman" w:hAnsi="Times New Roman" w:cs="Times New Roman"/>
                <w:sz w:val="24"/>
                <w:szCs w:val="24"/>
              </w:rPr>
              <w:t>号），本项目属于第一类鼓励类“四十三、环境保护与资源节约综合利用”中“</w:t>
            </w:r>
            <w:r>
              <w:rPr>
                <w:rFonts w:ascii="Times New Roman" w:hAnsi="Times New Roman" w:cs="Times New Roman"/>
                <w:sz w:val="24"/>
                <w:szCs w:val="24"/>
              </w:rPr>
              <w:t>15</w:t>
            </w:r>
            <w:r>
              <w:rPr>
                <w:rFonts w:hint="eastAsia" w:ascii="Times New Roman" w:hAnsi="Times New Roman" w:cs="Times New Roman"/>
                <w:sz w:val="24"/>
                <w:szCs w:val="24"/>
              </w:rPr>
              <w:t>、‘三废’综合利用与治理技术、装备和工程”。同时该项目于2023年5月23日取得了《云南省固定资产投资项目备案证》（项目代码：</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-04-02-</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w:t>
            </w:r>
            <w:r>
              <w:rPr>
                <w:rFonts w:ascii="Times New Roman" w:hAnsi="Times New Roman" w:cs="Times New Roman"/>
                <w:sz w:val="24"/>
                <w:szCs w:val="24"/>
              </w:rPr>
              <w:t>因此项目建设符合国家的产业政策。</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2</w:t>
            </w:r>
            <w:r>
              <w:rPr>
                <w:rFonts w:ascii="Times New Roman" w:hAnsi="Times New Roman" w:cs="Times New Roman"/>
                <w:b/>
                <w:sz w:val="24"/>
                <w:szCs w:val="24"/>
              </w:rPr>
              <w:t>）“三线一单”符合性分析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①生态保护红线和一般生态空间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东川产业园区四方地片区昆明旭鑫环保科技有限公司厂区，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根据调查，该项目位于云南东川产业园区四方地片区昆明旭鑫环保科技有限公司厂区，</w:t>
            </w:r>
            <w:r>
              <w:rPr>
                <w:rFonts w:hint="eastAsia" w:ascii="Times New Roman" w:cs="Times New Roman" w:hAnsiTheme="minorEastAsia"/>
                <w:sz w:val="24"/>
              </w:rPr>
              <w:t>项目所在地属于</w:t>
            </w:r>
            <w:r>
              <w:rPr>
                <w:rFonts w:ascii="Times New Roman" w:cs="Times New Roman" w:hAnsiTheme="minorEastAsia"/>
                <w:sz w:val="24"/>
              </w:rPr>
              <w:t>云南东川再就业特色产业园区重点管控单元</w:t>
            </w:r>
            <w:r>
              <w:rPr>
                <w:rFonts w:hint="eastAsia" w:ascii="Times New Roman" w:cs="Times New Roman" w:hAnsiTheme="minorEastAsia"/>
                <w:sz w:val="24"/>
              </w:rPr>
              <w:t>；因此项目建设不涉及一般生态空间。</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生态环境分区管控的实施意见》对环境质量底线设定了2025年和2035年两个目标，该项目位于云南东川产业园区四方地片区昆明旭鑫环保科技有限公司厂区，环境质量底线和该项目相关的要求及符合性分析如下：</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1 \* GB2 </w:instrText>
            </w:r>
            <w:r>
              <w:rPr>
                <w:rFonts w:ascii="Times New Roman" w:hAnsi="Times New Roman" w:cs="Times New Roman"/>
                <w:b/>
                <w:sz w:val="24"/>
              </w:rPr>
              <w:fldChar w:fldCharType="separate"/>
            </w:r>
            <w:r>
              <w:rPr>
                <w:rFonts w:ascii="Times New Roman" w:hAnsi="Times New Roman" w:cs="Times New Roman"/>
                <w:b/>
                <w:sz w:val="24"/>
              </w:rPr>
              <w:t>⑴</w:t>
            </w:r>
            <w:r>
              <w:rPr>
                <w:rFonts w:ascii="Times New Roman" w:hAnsi="Times New Roman" w:cs="Times New Roman"/>
                <w:b/>
                <w:sz w:val="24"/>
              </w:rPr>
              <w:fldChar w:fldCharType="end"/>
            </w:r>
            <w:r>
              <w:rPr>
                <w:rFonts w:ascii="Times New Roman" w:hAnsi="Times New Roman" w:cs="Times New Roman"/>
                <w:b/>
                <w:sz w:val="24"/>
              </w:rPr>
              <w:t>生态环境质量底线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2 \* GB2 </w:instrText>
            </w:r>
            <w:r>
              <w:rPr>
                <w:rFonts w:ascii="Times New Roman" w:hAnsi="Times New Roman" w:cs="Times New Roman"/>
                <w:b/>
                <w:sz w:val="24"/>
              </w:rPr>
              <w:fldChar w:fldCharType="separate"/>
            </w:r>
            <w:r>
              <w:rPr>
                <w:rFonts w:ascii="Times New Roman" w:hAnsi="Times New Roman" w:cs="Times New Roman"/>
                <w:b/>
                <w:sz w:val="24"/>
              </w:rPr>
              <w:t>⑵</w:t>
            </w:r>
            <w:r>
              <w:rPr>
                <w:rFonts w:ascii="Times New Roman" w:hAnsi="Times New Roman" w:cs="Times New Roman"/>
                <w:b/>
                <w:sz w:val="24"/>
              </w:rPr>
              <w:fldChar w:fldCharType="end"/>
            </w:r>
            <w:r>
              <w:rPr>
                <w:rFonts w:ascii="Times New Roman" w:hAnsi="Times New Roman" w:cs="Times New Roman"/>
                <w:b/>
                <w:sz w:val="24"/>
              </w:rPr>
              <w:t>环境空气环境质量底线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“实施意见”要求：到2025年，全市环境空气质量总体保持优良，主城建成区空气质量优良天数占比达99%以上，二氧化硫（SO</w:t>
            </w:r>
            <w:r>
              <w:rPr>
                <w:rFonts w:ascii="Times New Roman" w:hAnsi="Times New Roman" w:cs="Times New Roman"/>
                <w:sz w:val="24"/>
                <w:vertAlign w:val="subscript"/>
              </w:rPr>
              <w:t>2</w:t>
            </w:r>
            <w:r>
              <w:rPr>
                <w:rFonts w:ascii="Times New Roman" w:hAnsi="Times New Roman" w:cs="Times New Roman"/>
                <w:sz w:val="24"/>
              </w:rPr>
              <w:t>）和氮氧化物（NOx）排放总量控制在省下达的目标以内，主城区空气中颗粒物（PM</w:t>
            </w:r>
            <w:r>
              <w:rPr>
                <w:rFonts w:ascii="Times New Roman" w:hAnsi="Times New Roman" w:cs="Times New Roman"/>
                <w:sz w:val="24"/>
                <w:vertAlign w:val="subscript"/>
              </w:rPr>
              <w:t>10</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根据调查，现目选址区域空气环境可达到《环境空气质量标准》（GB</w:t>
            </w:r>
            <w:r>
              <w:rPr>
                <w:rFonts w:hint="eastAsia" w:ascii="Times New Roman" w:hAnsi="Times New Roman" w:cs="Times New Roman"/>
                <w:sz w:val="24"/>
                <w:lang w:eastAsia="zh-CN"/>
              </w:rPr>
              <w:t>****</w:t>
            </w:r>
            <w:r>
              <w:rPr>
                <w:rFonts w:ascii="Times New Roman" w:hAnsi="Times New Roman" w:cs="Times New Roman"/>
                <w:sz w:val="24"/>
              </w:rPr>
              <w:t>-2012）二级标准，属于空气达标区，且该项目的建设不会改变区域环境空气质量功能要求。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3 \* GB2 </w:instrText>
            </w:r>
            <w:r>
              <w:rPr>
                <w:rFonts w:ascii="Times New Roman" w:hAnsi="Times New Roman" w:cs="Times New Roman"/>
                <w:b/>
                <w:sz w:val="24"/>
              </w:rPr>
              <w:fldChar w:fldCharType="separate"/>
            </w:r>
            <w:r>
              <w:rPr>
                <w:rFonts w:ascii="Times New Roman" w:hAnsi="Times New Roman" w:cs="Times New Roman"/>
                <w:b/>
                <w:sz w:val="24"/>
              </w:rPr>
              <w:t>⑶</w:t>
            </w:r>
            <w:r>
              <w:rPr>
                <w:rFonts w:ascii="Times New Roman" w:hAnsi="Times New Roman" w:cs="Times New Roman"/>
                <w:b/>
                <w:sz w:val="24"/>
              </w:rPr>
              <w:fldChar w:fldCharType="end"/>
            </w:r>
            <w:r>
              <w:rPr>
                <w:rFonts w:ascii="Times New Roman" w:hAnsi="Times New Roman" w:cs="Times New Roman"/>
                <w:b/>
                <w:sz w:val="24"/>
              </w:rPr>
              <w:t>地表水环境质量底线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sz w:val="24"/>
              </w:rPr>
              <w:t>Ⅳ</w:t>
            </w:r>
            <w:r>
              <w:rPr>
                <w:rFonts w:ascii="Times New Roman" w:hAnsi="Times New Roman" w:cs="Times New Roman"/>
                <w:sz w:val="24"/>
              </w:rPr>
              <w:t>类，滇池外海水质达</w:t>
            </w:r>
            <w:r>
              <w:rPr>
                <w:rFonts w:ascii="Times New Roman" w:cs="Times New Roman" w:hAnsiTheme="minorEastAsia"/>
                <w:sz w:val="24"/>
              </w:rPr>
              <w:t>Ⅳ</w:t>
            </w:r>
            <w:r>
              <w:rPr>
                <w:rFonts w:ascii="Times New Roman" w:hAnsi="Times New Roman" w:cs="Times New Roman"/>
                <w:sz w:val="24"/>
              </w:rPr>
              <w:t>类（化学需氧量≤40毫克/升），阳宗海水质达</w:t>
            </w:r>
            <w:r>
              <w:rPr>
                <w:rFonts w:ascii="Times New Roman" w:cs="Times New Roman" w:hAnsiTheme="minorEastAsia"/>
                <w:sz w:val="24"/>
              </w:rPr>
              <w:t>Ⅲ</w:t>
            </w:r>
            <w:r>
              <w:rPr>
                <w:rFonts w:ascii="Times New Roman" w:hAnsi="Times New Roman" w:cs="Times New Roman"/>
                <w:sz w:val="24"/>
              </w:rPr>
              <w:t>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根据调查，该项目地表水体小江板河口断面水质可达到《地表水环境质量标准》（GB</w:t>
            </w:r>
            <w:r>
              <w:rPr>
                <w:rFonts w:hint="eastAsia" w:ascii="Times New Roman" w:hAnsi="Times New Roman" w:cs="Times New Roman"/>
                <w:sz w:val="24"/>
                <w:lang w:eastAsia="zh-CN"/>
              </w:rPr>
              <w:t>****</w:t>
            </w:r>
            <w:r>
              <w:rPr>
                <w:rFonts w:ascii="Times New Roman" w:hAnsi="Times New Roman" w:cs="Times New Roman"/>
                <w:sz w:val="24"/>
              </w:rPr>
              <w:t>-2002）III类标准；且项目运行期间</w:t>
            </w:r>
            <w:r>
              <w:rPr>
                <w:rFonts w:hint="eastAsia" w:ascii="Times New Roman" w:hAnsi="Times New Roman" w:cs="Times New Roman"/>
                <w:sz w:val="24"/>
              </w:rPr>
              <w:t>无生产废水外排，项目员工生活依托厂区办公生活区，生活污水经隔油池、化粪池处理</w:t>
            </w:r>
            <w:r>
              <w:rPr>
                <w:rFonts w:ascii="Times New Roman" w:hAnsi="Times New Roman" w:cs="Times New Roman"/>
                <w:sz w:val="24"/>
              </w:rPr>
              <w:t>达到《污水排入城镇下水道水质标准》（GB/T</w:t>
            </w:r>
            <w:r>
              <w:rPr>
                <w:rFonts w:hint="eastAsia" w:ascii="Times New Roman" w:hAnsi="Times New Roman" w:cs="Times New Roman"/>
                <w:sz w:val="24"/>
                <w:lang w:eastAsia="zh-CN"/>
              </w:rPr>
              <w:t>*****</w:t>
            </w:r>
            <w:r>
              <w:rPr>
                <w:rFonts w:ascii="Times New Roman" w:hAnsi="Times New Roman" w:cs="Times New Roman"/>
                <w:sz w:val="24"/>
              </w:rPr>
              <w:t>-2015）B等级标准后，</w:t>
            </w:r>
            <w:r>
              <w:rPr>
                <w:rFonts w:hint="eastAsia" w:ascii="Times New Roman" w:hAnsi="Times New Roman" w:cs="Times New Roman"/>
                <w:sz w:val="24"/>
              </w:rPr>
              <w:t>通过园区污水管网进入四方地与碧谷园区污水处理厂处理，项目所在厂区的初期雨水经</w:t>
            </w:r>
            <w:r>
              <w:rPr>
                <w:rFonts w:ascii="Times New Roman" w:hAnsi="Times New Roman" w:cs="Times New Roman"/>
                <w:sz w:val="24"/>
              </w:rPr>
              <w:t>雨水沟进入厂区东北侧1座容积为680m³初期雨水收集池收集沉淀处理后回用于厂区生产，不外排</w:t>
            </w:r>
            <w:r>
              <w:rPr>
                <w:rFonts w:hint="eastAsia" w:ascii="Times New Roman" w:hAnsi="Times New Roman" w:cs="Times New Roman"/>
                <w:sz w:val="24"/>
              </w:rPr>
              <w:t>；</w:t>
            </w:r>
            <w:r>
              <w:rPr>
                <w:rFonts w:ascii="Times New Roman" w:hAnsi="Times New Roman" w:cs="Times New Roman"/>
                <w:sz w:val="24"/>
              </w:rPr>
              <w:t>不会改变区域地表水环境质量功能要求。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4 \* GB2 </w:instrText>
            </w:r>
            <w:r>
              <w:rPr>
                <w:rFonts w:ascii="Times New Roman" w:hAnsi="Times New Roman" w:cs="Times New Roman"/>
                <w:b/>
                <w:sz w:val="24"/>
              </w:rPr>
              <w:fldChar w:fldCharType="separate"/>
            </w:r>
            <w:r>
              <w:rPr>
                <w:rFonts w:ascii="Times New Roman" w:hAnsi="Times New Roman" w:cs="Times New Roman"/>
                <w:b/>
                <w:sz w:val="24"/>
              </w:rPr>
              <w:t>⑷</w:t>
            </w:r>
            <w:r>
              <w:rPr>
                <w:rFonts w:ascii="Times New Roman" w:hAnsi="Times New Roman" w:cs="Times New Roman"/>
                <w:b/>
                <w:sz w:val="24"/>
              </w:rPr>
              <w:fldChar w:fldCharType="end"/>
            </w:r>
            <w:r>
              <w:rPr>
                <w:rFonts w:ascii="Times New Roman" w:hAnsi="Times New Roman" w:cs="Times New Roman"/>
                <w:b/>
                <w:sz w:val="24"/>
              </w:rPr>
              <w:t>土壤环境质量底线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该项目建设对土壤环境影响较小，只要严格执行相应的土壤环境保护措施，项目建设</w:t>
            </w:r>
            <w:r>
              <w:rPr>
                <w:rFonts w:ascii="Times New Roman" w:hAnsi="Times New Roman" w:cs="Times New Roman"/>
                <w:sz w:val="24"/>
              </w:rPr>
              <w:t>不会改变区域</w:t>
            </w:r>
            <w:r>
              <w:rPr>
                <w:rFonts w:hint="eastAsia" w:ascii="Times New Roman" w:hAnsi="Times New Roman" w:cs="Times New Roman"/>
                <w:sz w:val="24"/>
              </w:rPr>
              <w:t>土壤</w:t>
            </w:r>
            <w:r>
              <w:rPr>
                <w:rFonts w:ascii="Times New Roman" w:hAnsi="Times New Roman" w:cs="Times New Roman"/>
                <w:sz w:val="24"/>
              </w:rPr>
              <w:t>环境质量功能要求。</w:t>
            </w:r>
          </w:p>
          <w:p>
            <w:pPr>
              <w:spacing w:line="360" w:lineRule="auto"/>
              <w:ind w:firstLine="482" w:firstLineChars="200"/>
              <w:rPr>
                <w:rFonts w:ascii="Times New Roman" w:hAnsi="Times New Roman" w:cs="Times New Roman"/>
                <w:b/>
                <w:sz w:val="24"/>
              </w:rPr>
            </w:pPr>
            <w:r>
              <w:rPr>
                <w:rFonts w:ascii="Times New Roman" w:cs="Times New Roman" w:hAnsiTheme="minorEastAsia"/>
                <w:b/>
                <w:sz w:val="24"/>
                <w:szCs w:val="24"/>
              </w:rPr>
              <w:t>③</w:t>
            </w:r>
            <w:r>
              <w:rPr>
                <w:rFonts w:ascii="Times New Roman" w:hAnsi="Times New Roman" w:cs="Times New Roman"/>
                <w:b/>
                <w:sz w:val="24"/>
                <w:szCs w:val="24"/>
              </w:rPr>
              <w:t>资源利用上线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w:t>
            </w:r>
            <w:r>
              <w:rPr>
                <w:rFonts w:hint="eastAsia" w:ascii="Times New Roman" w:hAnsi="Times New Roman" w:cs="Times New Roman"/>
                <w:sz w:val="24"/>
              </w:rPr>
              <w:t>实施方案，</w:t>
            </w:r>
            <w:r>
              <w:rPr>
                <w:rFonts w:ascii="Times New Roman" w:hAnsi="Times New Roman" w:cs="Times New Roman"/>
                <w:sz w:val="24"/>
              </w:rPr>
              <w:t>项目</w:t>
            </w:r>
            <w:r>
              <w:rPr>
                <w:rFonts w:hint="eastAsia" w:ascii="Times New Roman" w:hAnsi="Times New Roman" w:cs="Times New Roman"/>
                <w:sz w:val="24"/>
              </w:rPr>
              <w:t>用水量较小，仅使用碱液喷淋用水（4</w:t>
            </w:r>
            <w:r>
              <w:rPr>
                <w:rFonts w:ascii="Times New Roman" w:hAnsi="Times New Roman" w:cs="Times New Roman"/>
                <w:sz w:val="24"/>
              </w:rPr>
              <w:t>m³</w:t>
            </w:r>
            <w:r>
              <w:rPr>
                <w:rFonts w:hint="eastAsia" w:ascii="Times New Roman" w:hAnsi="Times New Roman" w:cs="Times New Roman"/>
                <w:sz w:val="24"/>
              </w:rPr>
              <w:t>/a）</w:t>
            </w:r>
            <w:r>
              <w:rPr>
                <w:rFonts w:ascii="Times New Roman" w:hAnsi="Times New Roman" w:cs="Times New Roman"/>
                <w:sz w:val="24"/>
              </w:rPr>
              <w:t>；该项目仅利用昆明旭鑫环保科技有限公司原料暂存库项目中的部分区域（1000m²）建设小微企业危险废物收集试点项目，不新增用地；因此项目资源利用符合国家相关要求。</w:t>
            </w:r>
          </w:p>
          <w:p>
            <w:pPr>
              <w:spacing w:line="360" w:lineRule="auto"/>
              <w:ind w:firstLine="482" w:firstLineChars="200"/>
              <w:rPr>
                <w:rFonts w:ascii="Times New Roman" w:hAnsi="Times New Roman" w:cs="Times New Roman"/>
                <w:b/>
                <w:sz w:val="24"/>
                <w:szCs w:val="24"/>
              </w:rPr>
            </w:pPr>
            <w:r>
              <w:rPr>
                <w:rFonts w:cs="Times New Roman" w:asciiTheme="minorEastAsia" w:hAnsiTheme="minorEastAsia"/>
                <w:b/>
                <w:sz w:val="24"/>
                <w:szCs w:val="24"/>
              </w:rPr>
              <w:t>④</w:t>
            </w:r>
            <w:r>
              <w:rPr>
                <w:rFonts w:ascii="Times New Roman" w:hAnsi="Times New Roman" w:cs="Times New Roman"/>
                <w:b/>
                <w:sz w:val="24"/>
              </w:rPr>
              <w:t>环境准入负面清单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该项目位于云南东川产业园区四方地片区昆明旭鑫环保科技有限公司厂区，</w:t>
            </w:r>
            <w:r>
              <w:rPr>
                <w:rFonts w:hint="eastAsia" w:ascii="Times New Roman" w:hAnsi="Times New Roman" w:cs="Times New Roman"/>
                <w:sz w:val="24"/>
              </w:rPr>
              <w:t>项目所在地属于</w:t>
            </w:r>
            <w:r>
              <w:rPr>
                <w:rFonts w:ascii="Times New Roman" w:hAnsi="Times New Roman" w:cs="Times New Roman"/>
                <w:sz w:val="24"/>
              </w:rPr>
              <w:t>云南东川再就业特色产业园区重点管控单元</w:t>
            </w:r>
            <w:r>
              <w:rPr>
                <w:rFonts w:hint="eastAsia" w:ascii="Times New Roman" w:hAnsi="Times New Roman" w:cs="Times New Roman"/>
                <w:sz w:val="24"/>
              </w:rPr>
              <w:t>，根据</w:t>
            </w:r>
            <w:r>
              <w:rPr>
                <w:rFonts w:ascii="Times New Roman" w:hAnsi="Times New Roman" w:cs="Times New Roman"/>
                <w:sz w:val="24"/>
              </w:rPr>
              <w:t>东川区环境管控单元生态环境准入清单</w:t>
            </w:r>
            <w:r>
              <w:rPr>
                <w:rFonts w:hint="eastAsia" w:ascii="Times New Roman" w:hAnsi="Times New Roman" w:cs="Times New Roman"/>
                <w:sz w:val="24"/>
              </w:rPr>
              <w:t>的管理要求，该项目</w:t>
            </w:r>
            <w:r>
              <w:rPr>
                <w:rFonts w:ascii="Times New Roman" w:hAnsi="Times New Roman" w:cs="Times New Roman"/>
                <w:sz w:val="24"/>
              </w:rPr>
              <w:t>环境准入负面清单</w:t>
            </w:r>
            <w:r>
              <w:rPr>
                <w:rFonts w:hint="eastAsia" w:ascii="Times New Roman" w:hAnsi="Times New Roman" w:cs="Times New Roman"/>
                <w:sz w:val="24"/>
              </w:rPr>
              <w:t>符合性具体下表所示。</w:t>
            </w:r>
          </w:p>
          <w:p>
            <w:pPr>
              <w:jc w:val="center"/>
              <w:rPr>
                <w:rFonts w:ascii="Times New Roman" w:hAnsi="Times New Roman" w:cs="Times New Roman"/>
                <w:b/>
              </w:rPr>
            </w:pPr>
            <w:r>
              <w:rPr>
                <w:rFonts w:hint="eastAsia" w:ascii="Times New Roman" w:hAnsi="Times New Roman" w:cs="Times New Roman"/>
                <w:b/>
              </w:rPr>
              <w:t>表1-4 与</w:t>
            </w:r>
            <w:r>
              <w:rPr>
                <w:rFonts w:ascii="Times New Roman" w:hAnsi="Times New Roman" w:cs="Times New Roman"/>
                <w:b/>
              </w:rPr>
              <w:t>东川区环境管控单元生态环境准入清单</w:t>
            </w:r>
            <w:r>
              <w:rPr>
                <w:rFonts w:hint="eastAsia" w:ascii="Times New Roman" w:hAnsi="Times New Roman" w:cs="Times New Roman"/>
                <w:b/>
              </w:rPr>
              <w:t>符合性分析一览表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0"/>
              <w:gridCol w:w="775"/>
              <w:gridCol w:w="3518"/>
              <w:gridCol w:w="2874"/>
              <w:gridCol w:w="7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单元名称</w:t>
                  </w:r>
                </w:p>
              </w:tc>
              <w:tc>
                <w:tcPr>
                  <w:tcW w:w="4151" w:type="dxa"/>
                  <w:gridSpan w:val="2"/>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管控要求</w:t>
                  </w:r>
                </w:p>
              </w:tc>
              <w:tc>
                <w:tcPr>
                  <w:tcW w:w="2779" w:type="dxa"/>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项目实际情况</w:t>
                  </w:r>
                </w:p>
              </w:tc>
              <w:tc>
                <w:tcPr>
                  <w:tcW w:w="697" w:type="dxa"/>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restart"/>
                  <w:vAlign w:val="center"/>
                </w:tcPr>
                <w:p>
                  <w:pPr>
                    <w:pStyle w:val="28"/>
                    <w:spacing w:line="360" w:lineRule="exact"/>
                    <w:rPr>
                      <w:rFonts w:hAnsiTheme="minorEastAsia" w:eastAsiaTheme="minorEastAsia"/>
                      <w:color w:val="auto"/>
                      <w:szCs w:val="21"/>
                    </w:rPr>
                  </w:pPr>
                  <w:r>
                    <w:rPr>
                      <w:rFonts w:hAnsiTheme="minorEastAsia" w:eastAsiaTheme="minorEastAsia"/>
                      <w:color w:val="auto"/>
                      <w:szCs w:val="21"/>
                    </w:rPr>
                    <w:t>重点管控单元</w:t>
                  </w:r>
                </w:p>
              </w:tc>
              <w:tc>
                <w:tcPr>
                  <w:tcW w:w="749" w:type="dxa"/>
                  <w:vAlign w:val="center"/>
                </w:tcPr>
                <w:p>
                  <w:pPr>
                    <w:pStyle w:val="28"/>
                    <w:spacing w:line="360" w:lineRule="exact"/>
                    <w:rPr>
                      <w:rFonts w:hAnsiTheme="minorEastAsia" w:eastAsiaTheme="minorEastAsia"/>
                      <w:color w:val="auto"/>
                      <w:szCs w:val="21"/>
                    </w:rPr>
                  </w:pPr>
                  <w:r>
                    <w:rPr>
                      <w:rFonts w:hAnsiTheme="minorEastAsia" w:eastAsiaTheme="minorEastAsia"/>
                      <w:color w:val="auto"/>
                      <w:szCs w:val="21"/>
                    </w:rPr>
                    <w:t>空间布局约束</w:t>
                  </w:r>
                </w:p>
              </w:tc>
              <w:tc>
                <w:tcPr>
                  <w:tcW w:w="3402" w:type="dxa"/>
                  <w:vAlign w:val="center"/>
                </w:tcPr>
                <w:p>
                  <w:pPr>
                    <w:pStyle w:val="28"/>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重点发展重化工、有色冶金、铸造、有色金属和稀贵金属加工、机械制造、机电设备、黄金精加工、建筑建材以及食品加工、生物医药行业。</w:t>
                  </w:r>
                </w:p>
              </w:tc>
              <w:tc>
                <w:tcPr>
                  <w:tcW w:w="2779" w:type="dxa"/>
                  <w:vAlign w:val="center"/>
                </w:tcPr>
                <w:p>
                  <w:pPr>
                    <w:pStyle w:val="28"/>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该项目属于</w:t>
                  </w:r>
                  <w:r>
                    <w:rPr>
                      <w:rFonts w:hAnsiTheme="minorEastAsia" w:eastAsiaTheme="minorEastAsia"/>
                      <w:color w:val="auto"/>
                      <w:szCs w:val="21"/>
                    </w:rPr>
                    <w:t>小微企业危险废物收集试点项目，符合园区功能定位。</w:t>
                  </w:r>
                </w:p>
              </w:tc>
              <w:tc>
                <w:tcPr>
                  <w:tcW w:w="697" w:type="dxa"/>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8"/>
                    <w:spacing w:line="360" w:lineRule="exact"/>
                    <w:rPr>
                      <w:rFonts w:hAnsiTheme="minorEastAsia" w:eastAsiaTheme="minorEastAsia"/>
                      <w:color w:val="auto"/>
                      <w:szCs w:val="21"/>
                    </w:rPr>
                  </w:pPr>
                </w:p>
              </w:tc>
              <w:tc>
                <w:tcPr>
                  <w:tcW w:w="749" w:type="dxa"/>
                  <w:vAlign w:val="center"/>
                </w:tcPr>
                <w:p>
                  <w:pPr>
                    <w:pStyle w:val="28"/>
                    <w:spacing w:line="360" w:lineRule="exact"/>
                    <w:rPr>
                      <w:rFonts w:hAnsiTheme="minorEastAsia" w:eastAsiaTheme="minorEastAsia"/>
                      <w:color w:val="auto"/>
                      <w:szCs w:val="21"/>
                    </w:rPr>
                  </w:pPr>
                  <w:r>
                    <w:rPr>
                      <w:rFonts w:hAnsiTheme="minorEastAsia" w:eastAsiaTheme="minorEastAsia"/>
                      <w:color w:val="auto"/>
                      <w:szCs w:val="21"/>
                    </w:rPr>
                    <w:t>污染物排放管控</w:t>
                  </w:r>
                </w:p>
              </w:tc>
              <w:tc>
                <w:tcPr>
                  <w:tcW w:w="3402" w:type="dxa"/>
                  <w:vAlign w:val="center"/>
                </w:tcPr>
                <w:p>
                  <w:pPr>
                    <w:pStyle w:val="28"/>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1.四方地组团禁止再安排重污染企业，防止加重该区域的环境污染。</w:t>
                  </w:r>
                </w:p>
                <w:p>
                  <w:pPr>
                    <w:pStyle w:val="28"/>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2.碧谷片区靠近城区一侧安排居住及轻污染的工业项目，该地区地势较低，不得布置空气污染较重的项目。</w:t>
                  </w:r>
                </w:p>
                <w:p>
                  <w:pPr>
                    <w:pStyle w:val="28"/>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3.对门山片区不宜作为工业片区，作为城市服务功能区，靠近城区一侧应营造绿化带和布置低噪声影响项目。</w:t>
                  </w:r>
                </w:p>
                <w:p>
                  <w:pPr>
                    <w:pStyle w:val="28"/>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4.阿旺片区不宜布局空气污染大的项目。</w:t>
                  </w:r>
                </w:p>
              </w:tc>
              <w:tc>
                <w:tcPr>
                  <w:tcW w:w="2779" w:type="dxa"/>
                  <w:vAlign w:val="center"/>
                </w:tcPr>
                <w:p>
                  <w:pPr>
                    <w:pStyle w:val="28"/>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（1）该项目属于</w:t>
                  </w:r>
                  <w:r>
                    <w:rPr>
                      <w:rFonts w:hAnsiTheme="minorEastAsia" w:eastAsiaTheme="minorEastAsia"/>
                      <w:color w:val="auto"/>
                      <w:szCs w:val="21"/>
                    </w:rPr>
                    <w:t>小微企业危险废物收集试点项目，</w:t>
                  </w:r>
                  <w:r>
                    <w:rPr>
                      <w:rFonts w:hint="eastAsia" w:hAnsiTheme="minorEastAsia" w:eastAsiaTheme="minorEastAsia"/>
                      <w:color w:val="auto"/>
                      <w:szCs w:val="21"/>
                    </w:rPr>
                    <w:t>不属于重污染企业。</w:t>
                  </w:r>
                </w:p>
                <w:p>
                  <w:pPr>
                    <w:pStyle w:val="28"/>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（2）该项目位于云南东川产业园区四方地片区昆明旭鑫环保科技有限公司厂区，不属于</w:t>
                  </w:r>
                  <w:r>
                    <w:rPr>
                      <w:rFonts w:hAnsiTheme="minorEastAsia" w:eastAsiaTheme="minorEastAsia"/>
                      <w:color w:val="auto"/>
                      <w:szCs w:val="21"/>
                    </w:rPr>
                    <w:t>碧谷片区</w:t>
                  </w:r>
                  <w:r>
                    <w:rPr>
                      <w:rFonts w:hint="eastAsia" w:hAnsiTheme="minorEastAsia" w:eastAsiaTheme="minorEastAsia"/>
                      <w:color w:val="auto"/>
                      <w:szCs w:val="21"/>
                    </w:rPr>
                    <w:t>、对</w:t>
                  </w:r>
                  <w:r>
                    <w:rPr>
                      <w:rFonts w:hAnsiTheme="minorEastAsia" w:eastAsiaTheme="minorEastAsia"/>
                      <w:color w:val="auto"/>
                      <w:szCs w:val="21"/>
                    </w:rPr>
                    <w:t>门山片区</w:t>
                  </w:r>
                  <w:r>
                    <w:rPr>
                      <w:rFonts w:hint="eastAsia" w:hAnsiTheme="minorEastAsia" w:eastAsiaTheme="minorEastAsia"/>
                      <w:color w:val="auto"/>
                      <w:szCs w:val="21"/>
                    </w:rPr>
                    <w:t>和</w:t>
                  </w:r>
                  <w:r>
                    <w:rPr>
                      <w:rFonts w:hAnsiTheme="minorEastAsia" w:eastAsiaTheme="minorEastAsia"/>
                      <w:color w:val="auto"/>
                      <w:szCs w:val="21"/>
                    </w:rPr>
                    <w:t>阿旺片区</w:t>
                  </w:r>
                  <w:r>
                    <w:rPr>
                      <w:rFonts w:hint="eastAsia" w:hAnsiTheme="minorEastAsia" w:eastAsiaTheme="minorEastAsia"/>
                      <w:color w:val="auto"/>
                      <w:szCs w:val="21"/>
                    </w:rPr>
                    <w:t>。</w:t>
                  </w:r>
                </w:p>
              </w:tc>
              <w:tc>
                <w:tcPr>
                  <w:tcW w:w="697" w:type="dxa"/>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8"/>
                    <w:spacing w:line="360" w:lineRule="exact"/>
                    <w:rPr>
                      <w:rFonts w:hAnsiTheme="minorEastAsia" w:eastAsiaTheme="minorEastAsia"/>
                      <w:color w:val="auto"/>
                      <w:szCs w:val="21"/>
                    </w:rPr>
                  </w:pPr>
                </w:p>
              </w:tc>
              <w:tc>
                <w:tcPr>
                  <w:tcW w:w="749" w:type="dxa"/>
                  <w:vAlign w:val="center"/>
                </w:tcPr>
                <w:p>
                  <w:pPr>
                    <w:pStyle w:val="28"/>
                    <w:spacing w:line="360" w:lineRule="exact"/>
                    <w:rPr>
                      <w:rFonts w:hAnsiTheme="minorEastAsia" w:eastAsiaTheme="minorEastAsia"/>
                      <w:color w:val="auto"/>
                      <w:szCs w:val="21"/>
                    </w:rPr>
                  </w:pPr>
                  <w:r>
                    <w:rPr>
                      <w:rFonts w:hAnsiTheme="minorEastAsia" w:eastAsiaTheme="minorEastAsia"/>
                      <w:color w:val="auto"/>
                      <w:szCs w:val="21"/>
                    </w:rPr>
                    <w:t>环境风险防控</w:t>
                  </w:r>
                </w:p>
              </w:tc>
              <w:tc>
                <w:tcPr>
                  <w:tcW w:w="3402" w:type="dxa"/>
                  <w:vAlign w:val="center"/>
                </w:tcPr>
                <w:p>
                  <w:pPr>
                    <w:pStyle w:val="28"/>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对门山片区发展生物制药及食品加工业时不得使用氨冷冻方式，以免氨泄露造成风险。</w:t>
                  </w:r>
                </w:p>
              </w:tc>
              <w:tc>
                <w:tcPr>
                  <w:tcW w:w="2779" w:type="dxa"/>
                  <w:vAlign w:val="center"/>
                </w:tcPr>
                <w:p>
                  <w:pPr>
                    <w:pStyle w:val="28"/>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该项目位于云南东川产业园区四方地片区昆明旭鑫环保科技有限公司厂区，不在</w:t>
                  </w:r>
                  <w:r>
                    <w:rPr>
                      <w:rFonts w:hAnsiTheme="minorEastAsia" w:eastAsiaTheme="minorEastAsia"/>
                      <w:color w:val="auto"/>
                      <w:szCs w:val="21"/>
                    </w:rPr>
                    <w:t>对门山片区</w:t>
                  </w:r>
                  <w:r>
                    <w:rPr>
                      <w:rFonts w:hint="eastAsia" w:hAnsiTheme="minorEastAsia" w:eastAsiaTheme="minorEastAsia"/>
                      <w:color w:val="auto"/>
                      <w:szCs w:val="21"/>
                    </w:rPr>
                    <w:t>。</w:t>
                  </w:r>
                </w:p>
              </w:tc>
              <w:tc>
                <w:tcPr>
                  <w:tcW w:w="697" w:type="dxa"/>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8"/>
                    <w:spacing w:line="360" w:lineRule="exact"/>
                    <w:rPr>
                      <w:rFonts w:hAnsiTheme="minorEastAsia" w:eastAsiaTheme="minorEastAsia"/>
                      <w:color w:val="auto"/>
                      <w:szCs w:val="21"/>
                    </w:rPr>
                  </w:pPr>
                </w:p>
              </w:tc>
              <w:tc>
                <w:tcPr>
                  <w:tcW w:w="749" w:type="dxa"/>
                  <w:vAlign w:val="center"/>
                </w:tcPr>
                <w:p>
                  <w:pPr>
                    <w:pStyle w:val="28"/>
                    <w:spacing w:line="360" w:lineRule="exact"/>
                    <w:rPr>
                      <w:rFonts w:hAnsiTheme="minorEastAsia" w:eastAsiaTheme="minorEastAsia"/>
                      <w:bCs w:val="0"/>
                      <w:snapToGrid/>
                      <w:color w:val="auto"/>
                      <w:szCs w:val="21"/>
                    </w:rPr>
                  </w:pPr>
                  <w:r>
                    <w:rPr>
                      <w:rFonts w:hAnsiTheme="minorEastAsia" w:eastAsiaTheme="minorEastAsia"/>
                      <w:color w:val="auto"/>
                      <w:szCs w:val="21"/>
                    </w:rPr>
                    <w:t>资源开发效率要求</w:t>
                  </w:r>
                </w:p>
              </w:tc>
              <w:tc>
                <w:tcPr>
                  <w:tcW w:w="3402" w:type="dxa"/>
                  <w:vAlign w:val="center"/>
                </w:tcPr>
                <w:p>
                  <w:pPr>
                    <w:pStyle w:val="28"/>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城市污水再生利用率在20%以上。工业污水处理达标率达到100%。</w:t>
                  </w:r>
                </w:p>
              </w:tc>
              <w:tc>
                <w:tcPr>
                  <w:tcW w:w="2779" w:type="dxa"/>
                  <w:vAlign w:val="center"/>
                </w:tcPr>
                <w:p>
                  <w:pPr>
                    <w:pStyle w:val="28"/>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项目无工业废水外排。</w:t>
                  </w:r>
                </w:p>
              </w:tc>
              <w:tc>
                <w:tcPr>
                  <w:tcW w:w="697" w:type="dxa"/>
                  <w:vAlign w:val="center"/>
                </w:tcPr>
                <w:p>
                  <w:pPr>
                    <w:pStyle w:val="28"/>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bl>
          <w:p>
            <w:pPr>
              <w:spacing w:beforeLines="50" w:line="360" w:lineRule="auto"/>
              <w:ind w:firstLine="480" w:firstLineChars="200"/>
              <w:rPr>
                <w:rFonts w:ascii="Times New Roman" w:hAnsi="Times New Roman" w:cs="Times New Roman"/>
                <w:sz w:val="24"/>
              </w:rPr>
            </w:pPr>
            <w:r>
              <w:rPr>
                <w:rFonts w:hint="eastAsia" w:ascii="Times New Roman" w:hAnsi="Times New Roman" w:cs="Times New Roman"/>
                <w:sz w:val="24"/>
              </w:rPr>
              <w:t>由上表可知，项目建设满足</w:t>
            </w:r>
            <w:r>
              <w:rPr>
                <w:rFonts w:ascii="Times New Roman" w:hAnsi="Times New Roman" w:cs="Times New Roman"/>
                <w:sz w:val="24"/>
              </w:rPr>
              <w:t>东川区环境管控单元生态环境准入清单</w:t>
            </w:r>
            <w:r>
              <w:rPr>
                <w:rFonts w:hint="eastAsia" w:ascii="Times New Roman" w:hAnsi="Times New Roman" w:cs="Times New Roman"/>
                <w:sz w:val="24"/>
              </w:rPr>
              <w:t>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综上分析，项目建设符合“三线一单”要求。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）与《中华人民共和国长江保护法》符合性分析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 xml:space="preserve">5 </w:t>
            </w:r>
            <w:r>
              <w:rPr>
                <w:rFonts w:ascii="Times New Roman" w:hAnsi="Times New Roman" w:cs="Times New Roman"/>
                <w:b/>
              </w:rPr>
              <w:t>与《中华人民共和国长江保护法》符合性分析一览表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28"/>
                    <w:spacing w:line="360" w:lineRule="exact"/>
                    <w:rPr>
                      <w:color w:val="auto"/>
                      <w:kern w:val="0"/>
                      <w:szCs w:val="21"/>
                    </w:rPr>
                  </w:pPr>
                  <w:r>
                    <w:rPr>
                      <w:color w:val="auto"/>
                      <w:kern w:val="0"/>
                      <w:szCs w:val="21"/>
                    </w:rPr>
                    <w:t>序号</w:t>
                  </w:r>
                </w:p>
              </w:tc>
              <w:tc>
                <w:tcPr>
                  <w:tcW w:w="3211" w:type="dxa"/>
                  <w:vAlign w:val="center"/>
                </w:tcPr>
                <w:p>
                  <w:pPr>
                    <w:pStyle w:val="28"/>
                    <w:spacing w:line="360" w:lineRule="exact"/>
                    <w:rPr>
                      <w:color w:val="auto"/>
                      <w:kern w:val="0"/>
                      <w:szCs w:val="21"/>
                    </w:rPr>
                  </w:pPr>
                  <w:r>
                    <w:rPr>
                      <w:color w:val="auto"/>
                      <w:kern w:val="0"/>
                      <w:szCs w:val="21"/>
                    </w:rPr>
                    <w:t>中华人民共和国长江保护法要求</w:t>
                  </w:r>
                </w:p>
              </w:tc>
              <w:tc>
                <w:tcPr>
                  <w:tcW w:w="4585" w:type="dxa"/>
                  <w:vAlign w:val="center"/>
                </w:tcPr>
                <w:p>
                  <w:pPr>
                    <w:pStyle w:val="28"/>
                    <w:spacing w:line="360" w:lineRule="exact"/>
                    <w:rPr>
                      <w:color w:val="auto"/>
                      <w:kern w:val="0"/>
                      <w:szCs w:val="21"/>
                    </w:rPr>
                  </w:pPr>
                  <w:r>
                    <w:rPr>
                      <w:color w:val="auto"/>
                      <w:kern w:val="0"/>
                      <w:szCs w:val="21"/>
                    </w:rPr>
                    <w:t>该项目实际情况</w:t>
                  </w:r>
                </w:p>
              </w:tc>
              <w:tc>
                <w:tcPr>
                  <w:tcW w:w="783" w:type="dxa"/>
                  <w:vAlign w:val="center"/>
                </w:tcPr>
                <w:p>
                  <w:pPr>
                    <w:pStyle w:val="28"/>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1" w:type="dxa"/>
                  <w:vAlign w:val="center"/>
                </w:tcPr>
                <w:p>
                  <w:pPr>
                    <w:pStyle w:val="28"/>
                    <w:spacing w:line="360" w:lineRule="exact"/>
                    <w:rPr>
                      <w:color w:val="auto"/>
                      <w:kern w:val="0"/>
                      <w:szCs w:val="21"/>
                    </w:rPr>
                  </w:pPr>
                  <w:r>
                    <w:rPr>
                      <w:color w:val="auto"/>
                      <w:kern w:val="0"/>
                      <w:szCs w:val="21"/>
                    </w:rPr>
                    <w:t>1</w:t>
                  </w:r>
                </w:p>
              </w:tc>
              <w:tc>
                <w:tcPr>
                  <w:tcW w:w="3211" w:type="dxa"/>
                  <w:vAlign w:val="center"/>
                </w:tcPr>
                <w:p>
                  <w:pPr>
                    <w:pStyle w:val="28"/>
                    <w:spacing w:line="360" w:lineRule="exact"/>
                    <w:ind w:firstLine="210" w:firstLineChars="100"/>
                    <w:jc w:val="both"/>
                    <w:rPr>
                      <w:color w:val="auto"/>
                      <w:kern w:val="0"/>
                      <w:szCs w:val="21"/>
                    </w:rPr>
                  </w:pPr>
                  <w:r>
                    <w:rPr>
                      <w:color w:val="auto"/>
                      <w:kern w:val="0"/>
                      <w:szCs w:val="21"/>
                    </w:rPr>
                    <w:t>禁止在长江干支流岸线一公里范围内新建、扩建化工园区和化工项目。</w:t>
                  </w:r>
                </w:p>
              </w:tc>
              <w:tc>
                <w:tcPr>
                  <w:tcW w:w="4585" w:type="dxa"/>
                  <w:vAlign w:val="center"/>
                </w:tcPr>
                <w:p>
                  <w:pPr>
                    <w:pStyle w:val="28"/>
                    <w:spacing w:line="360" w:lineRule="exact"/>
                    <w:ind w:firstLine="210" w:firstLineChars="100"/>
                    <w:jc w:val="both"/>
                    <w:rPr>
                      <w:color w:val="auto"/>
                      <w:kern w:val="0"/>
                      <w:szCs w:val="21"/>
                    </w:rPr>
                  </w:pPr>
                  <w:r>
                    <w:rPr>
                      <w:rFonts w:hint="eastAsia" w:hAnsiTheme="minorEastAsia" w:eastAsiaTheme="minorEastAsia"/>
                      <w:color w:val="auto"/>
                      <w:szCs w:val="21"/>
                    </w:rPr>
                    <w:t>该项目属于</w:t>
                  </w:r>
                  <w:r>
                    <w:rPr>
                      <w:rFonts w:hAnsiTheme="minorEastAsia" w:eastAsiaTheme="minorEastAsia"/>
                      <w:color w:val="auto"/>
                      <w:szCs w:val="21"/>
                    </w:rPr>
                    <w:t>小微企业危险废物收集试点项目</w:t>
                  </w:r>
                  <w:r>
                    <w:rPr>
                      <w:rFonts w:hint="eastAsia"/>
                      <w:color w:val="auto"/>
                      <w:kern w:val="0"/>
                      <w:szCs w:val="21"/>
                    </w:rPr>
                    <w:t>，</w:t>
                  </w:r>
                  <w:r>
                    <w:rPr>
                      <w:color w:val="auto"/>
                      <w:kern w:val="0"/>
                      <w:szCs w:val="21"/>
                    </w:rPr>
                    <w:t>不属于化工项目。</w:t>
                  </w:r>
                </w:p>
              </w:tc>
              <w:tc>
                <w:tcPr>
                  <w:tcW w:w="783"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28"/>
                    <w:spacing w:line="360" w:lineRule="exact"/>
                    <w:rPr>
                      <w:color w:val="auto"/>
                      <w:kern w:val="0"/>
                      <w:szCs w:val="21"/>
                    </w:rPr>
                  </w:pPr>
                  <w:r>
                    <w:rPr>
                      <w:color w:val="auto"/>
                      <w:kern w:val="0"/>
                      <w:szCs w:val="21"/>
                    </w:rPr>
                    <w:t>2</w:t>
                  </w:r>
                </w:p>
              </w:tc>
              <w:tc>
                <w:tcPr>
                  <w:tcW w:w="3211" w:type="dxa"/>
                  <w:vAlign w:val="center"/>
                </w:tcPr>
                <w:p>
                  <w:pPr>
                    <w:pStyle w:val="28"/>
                    <w:spacing w:line="360" w:lineRule="exact"/>
                    <w:ind w:firstLine="210" w:firstLineChars="100"/>
                    <w:jc w:val="both"/>
                    <w:rPr>
                      <w:color w:val="auto"/>
                      <w:kern w:val="0"/>
                      <w:szCs w:val="21"/>
                    </w:rPr>
                  </w:pPr>
                  <w:r>
                    <w:rPr>
                      <w:color w:val="auto"/>
                      <w:kern w:val="0"/>
                      <w:szCs w:val="21"/>
                    </w:rPr>
                    <w:t>严格控制高耗水项目建设。</w:t>
                  </w:r>
                </w:p>
              </w:tc>
              <w:tc>
                <w:tcPr>
                  <w:tcW w:w="4585" w:type="dxa"/>
                  <w:vAlign w:val="center"/>
                </w:tcPr>
                <w:p>
                  <w:pPr>
                    <w:pStyle w:val="28"/>
                    <w:pBdr>
                      <w:bottom w:val="single" w:color="DDDDDD" w:sz="6" w:space="7"/>
                    </w:pBdr>
                    <w:spacing w:line="360" w:lineRule="exact"/>
                    <w:ind w:firstLine="210" w:firstLineChars="100"/>
                    <w:jc w:val="both"/>
                    <w:rPr>
                      <w:color w:val="auto"/>
                      <w:kern w:val="0"/>
                      <w:szCs w:val="21"/>
                    </w:rPr>
                  </w:pPr>
                  <w:r>
                    <w:rPr>
                      <w:color w:val="auto"/>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8"/>
                    <w:pBdr>
                      <w:bottom w:val="single" w:color="DDDDDD" w:sz="6" w:space="7"/>
                    </w:pBdr>
                    <w:spacing w:line="360" w:lineRule="exact"/>
                    <w:ind w:firstLine="210" w:firstLineChars="100"/>
                    <w:jc w:val="both"/>
                    <w:rPr>
                      <w:color w:val="auto"/>
                      <w:kern w:val="0"/>
                      <w:szCs w:val="21"/>
                    </w:rPr>
                  </w:pPr>
                  <w:r>
                    <w:rPr>
                      <w:color w:val="auto"/>
                      <w:kern w:val="0"/>
                      <w:szCs w:val="21"/>
                    </w:rPr>
                    <w:t>该项目属于小微企业危险废物收集试点项目，不属于水利部发布18项传统高耗水行业。</w:t>
                  </w:r>
                </w:p>
              </w:tc>
              <w:tc>
                <w:tcPr>
                  <w:tcW w:w="783"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1" w:type="dxa"/>
                  <w:vAlign w:val="center"/>
                </w:tcPr>
                <w:p>
                  <w:pPr>
                    <w:pStyle w:val="28"/>
                    <w:spacing w:line="360" w:lineRule="exact"/>
                    <w:rPr>
                      <w:color w:val="auto"/>
                      <w:kern w:val="0"/>
                      <w:szCs w:val="21"/>
                    </w:rPr>
                  </w:pPr>
                  <w:r>
                    <w:rPr>
                      <w:color w:val="auto"/>
                      <w:kern w:val="0"/>
                      <w:szCs w:val="21"/>
                    </w:rPr>
                    <w:t>3</w:t>
                  </w:r>
                </w:p>
              </w:tc>
              <w:tc>
                <w:tcPr>
                  <w:tcW w:w="3211" w:type="dxa"/>
                  <w:vAlign w:val="center"/>
                </w:tcPr>
                <w:p>
                  <w:pPr>
                    <w:pStyle w:val="28"/>
                    <w:spacing w:line="360" w:lineRule="exact"/>
                    <w:ind w:firstLine="210" w:firstLineChars="100"/>
                    <w:jc w:val="both"/>
                    <w:rPr>
                      <w:color w:val="auto"/>
                      <w:kern w:val="0"/>
                      <w:szCs w:val="21"/>
                    </w:rPr>
                  </w:pPr>
                  <w:r>
                    <w:rPr>
                      <w:color w:val="auto"/>
                      <w:kern w:val="0"/>
                      <w:szCs w:val="21"/>
                    </w:rPr>
                    <w:t>禁止在长江流域河湖管理范围内倾倒、填埋、堆放、弃置、处理固体废物。</w:t>
                  </w:r>
                </w:p>
              </w:tc>
              <w:tc>
                <w:tcPr>
                  <w:tcW w:w="4585"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该项目位于云南东川产业园区四方地片区昆明旭鑫环保科技有限公司厂区，该区域不属于长江流域河湖管理范围。</w:t>
                  </w:r>
                </w:p>
              </w:tc>
              <w:tc>
                <w:tcPr>
                  <w:tcW w:w="783" w:type="dxa"/>
                  <w:vAlign w:val="center"/>
                </w:tcPr>
                <w:p>
                  <w:pPr>
                    <w:pStyle w:val="28"/>
                    <w:spacing w:line="360" w:lineRule="exact"/>
                    <w:rPr>
                      <w:color w:val="auto"/>
                      <w:kern w:val="0"/>
                      <w:szCs w:val="21"/>
                    </w:rPr>
                  </w:pPr>
                  <w:r>
                    <w:rPr>
                      <w:color w:val="auto"/>
                      <w:kern w:val="0"/>
                      <w:szCs w:val="21"/>
                    </w:rPr>
                    <w:t>符合</w:t>
                  </w:r>
                </w:p>
              </w:tc>
            </w:tr>
          </w:tbl>
          <w:p>
            <w:pPr>
              <w:spacing w:beforeLines="50"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由上表可知，项目建设</w:t>
            </w:r>
            <w:r>
              <w:rPr>
                <w:rFonts w:hint="eastAsia" w:ascii="Times New Roman" w:hAnsi="Times New Roman" w:cs="Times New Roman"/>
                <w:sz w:val="24"/>
                <w:szCs w:val="24"/>
              </w:rPr>
              <w:t>符合</w:t>
            </w:r>
            <w:r>
              <w:rPr>
                <w:rFonts w:ascii="Times New Roman" w:hAnsi="Times New Roman" w:cs="Times New Roman"/>
                <w:sz w:val="24"/>
                <w:szCs w:val="24"/>
              </w:rPr>
              <w:t>《中华人民共和国长江保护法》</w:t>
            </w:r>
            <w:r>
              <w:rPr>
                <w:rFonts w:hint="eastAsia" w:ascii="Times New Roman" w:hAnsi="Times New Roman" w:cs="Times New Roman"/>
                <w:sz w:val="24"/>
                <w:szCs w:val="24"/>
              </w:rPr>
              <w:t>的相关要求。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4</w:t>
            </w:r>
            <w:r>
              <w:rPr>
                <w:rFonts w:ascii="Times New Roman" w:hAnsi="Times New Roman" w:cs="Times New Roman"/>
                <w:b/>
                <w:sz w:val="24"/>
                <w:szCs w:val="24"/>
              </w:rPr>
              <w:t>）与《长江经济带发展负面清单指南（试行，2022年版）》（长江办【2022】7号）》的符合性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2022年1月19日，推动长江经济带发展领导小组办公室关于印发《长江经济带发展负面清单指南（试行，2022年版）的通知》（长江办【2022】7号），该项目位于云南东川产业园区四方地片区昆明旭鑫环保科技有限公司厂区，项目所在区域属于小江汇水范围，小江属于长江的上游主要支流。因此，本环评须分析该项目与《长江经济带发展负面清单指南（试行，2022年版）》的符合性。具体分析如下表所示。</w:t>
            </w:r>
          </w:p>
          <w:p>
            <w:pPr>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rPr>
              <w:t xml:space="preserve">1-6 </w:t>
            </w:r>
            <w:r>
              <w:rPr>
                <w:rFonts w:ascii="Times New Roman" w:hAnsi="Times New Roman" w:cs="Times New Roman"/>
                <w:b/>
              </w:rPr>
              <w:t>与《长江经济带发展负面清单指南（试行，2022年版）》符合性分析一览表</w:t>
            </w:r>
          </w:p>
          <w:tbl>
            <w:tblPr>
              <w:tblStyle w:val="1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4193"/>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序号</w:t>
                  </w:r>
                </w:p>
              </w:tc>
              <w:tc>
                <w:tcPr>
                  <w:tcW w:w="4193" w:type="dxa"/>
                  <w:vAlign w:val="center"/>
                </w:tcPr>
                <w:p>
                  <w:pPr>
                    <w:pStyle w:val="28"/>
                    <w:spacing w:line="360" w:lineRule="exact"/>
                    <w:rPr>
                      <w:color w:val="auto"/>
                      <w:kern w:val="0"/>
                      <w:szCs w:val="21"/>
                    </w:rPr>
                  </w:pPr>
                  <w:r>
                    <w:rPr>
                      <w:color w:val="auto"/>
                      <w:kern w:val="0"/>
                      <w:szCs w:val="21"/>
                    </w:rPr>
                    <w:t>《长江经济带发展负面清单指南（试行，2022年版）》要求</w:t>
                  </w:r>
                </w:p>
              </w:tc>
              <w:tc>
                <w:tcPr>
                  <w:tcW w:w="3445" w:type="dxa"/>
                  <w:vAlign w:val="center"/>
                </w:tcPr>
                <w:p>
                  <w:pPr>
                    <w:pStyle w:val="28"/>
                    <w:spacing w:line="360" w:lineRule="exact"/>
                    <w:rPr>
                      <w:color w:val="auto"/>
                      <w:kern w:val="0"/>
                      <w:szCs w:val="21"/>
                    </w:rPr>
                  </w:pPr>
                  <w:r>
                    <w:rPr>
                      <w:color w:val="auto"/>
                      <w:kern w:val="0"/>
                      <w:szCs w:val="21"/>
                    </w:rPr>
                    <w:t>该项目实际情况</w:t>
                  </w:r>
                </w:p>
              </w:tc>
              <w:tc>
                <w:tcPr>
                  <w:tcW w:w="516" w:type="dxa"/>
                  <w:vAlign w:val="center"/>
                </w:tcPr>
                <w:p>
                  <w:pPr>
                    <w:pStyle w:val="28"/>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1</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禁止建设不符合全国和省级港口布局规划以及港口总体规划的码头项目，禁止建设不符合《长江于线过江通道布局规划》的过长江通道项目。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该项目属于小微企业危险废物收集试点项目，位于云南东川产业园区四方地片区昆明旭鑫环保科技有限公司厂区，不涉及码头及过江通道。</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2</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该项目位于云南东川产业园区四方地片区昆明旭鑫环保科技有限公司厂区，不涉及自然保护区核心区、风景名胜区等特殊敏感区。</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28"/>
                    <w:spacing w:line="360" w:lineRule="exact"/>
                    <w:rPr>
                      <w:color w:val="auto"/>
                      <w:kern w:val="0"/>
                      <w:szCs w:val="21"/>
                    </w:rPr>
                  </w:pPr>
                  <w:r>
                    <w:rPr>
                      <w:color w:val="auto"/>
                      <w:kern w:val="0"/>
                      <w:szCs w:val="21"/>
                    </w:rPr>
                    <w:t>3</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该项目位于云南东川产业园区四方地片区昆明旭鑫环保科技有限公司厂区，不涉及到饮用水水源地的一级保护区或二级保护区。</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4</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该项目属于小微企业危险废物收集试点项目，项目建设符合主体功能定位，项目所在地的纳污水体为小江（清水海-入金沙江口段），不属于水产种植资源保护区的岸线和河段范围。</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5</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项目所在地的纳污水体为小江（清水海-入金沙江口段），该河段不属于《长江岸线保护和开发利用总体规划》划定的岸线保护区，也不属于全国重要江河湖泊水功能区划》划定的河段保护区、保留区。</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6</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禁止未经许可在长江千支流及湖泊新设、改设或扩大排污口。</w:t>
                  </w:r>
                </w:p>
              </w:tc>
              <w:tc>
                <w:tcPr>
                  <w:tcW w:w="3445" w:type="dxa"/>
                  <w:vAlign w:val="center"/>
                </w:tcPr>
                <w:p>
                  <w:pPr>
                    <w:pStyle w:val="28"/>
                    <w:spacing w:line="360" w:lineRule="exact"/>
                    <w:ind w:firstLine="210" w:firstLineChars="100"/>
                    <w:jc w:val="both"/>
                    <w:rPr>
                      <w:color w:val="auto"/>
                      <w:kern w:val="0"/>
                      <w:szCs w:val="21"/>
                    </w:rPr>
                  </w:pPr>
                  <w:r>
                    <w:rPr>
                      <w:rFonts w:hint="eastAsia"/>
                      <w:color w:val="auto"/>
                      <w:kern w:val="0"/>
                      <w:szCs w:val="21"/>
                    </w:rPr>
                    <w:t>项目不在</w:t>
                  </w:r>
                  <w:r>
                    <w:rPr>
                      <w:color w:val="auto"/>
                      <w:kern w:val="0"/>
                      <w:szCs w:val="21"/>
                    </w:rPr>
                    <w:t>长江千支流及湖泊新设、改设或扩大排污口。</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28"/>
                    <w:spacing w:line="360" w:lineRule="exact"/>
                    <w:rPr>
                      <w:color w:val="auto"/>
                      <w:kern w:val="0"/>
                      <w:szCs w:val="21"/>
                    </w:rPr>
                  </w:pPr>
                  <w:r>
                    <w:rPr>
                      <w:color w:val="auto"/>
                      <w:kern w:val="0"/>
                      <w:szCs w:val="21"/>
                    </w:rPr>
                    <w:t>7</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禁止在“一江一口两湖七河”和332个水生生物保护区开展生产性捕捞。</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该项目不涉及生产性捕捞。</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8</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该项目属于小微企业危险废物收集试点项目，不属于钢铁、石化、化工、焦化、建材、有色等高污染项目。</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9</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禁止在合规园区外新建、扩建钢铁、石化、化工、焦化、建材、有色、制浆造纸等高污染项目。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该项目属于小微企业危险废物收集试点项目，不属于钢铁、石化、化工、焦化、建材、有色、制浆造纸等高污染项目。</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10</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禁止新建、扩建不符合国家石化、现代煤化工等产业布局规划的项目。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该项目属于小微企业危险废物收集试点项目，不属于不符合国家石化、现代煤化工等产业布局规划的项目。</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28"/>
                    <w:spacing w:line="360" w:lineRule="exact"/>
                    <w:rPr>
                      <w:color w:val="auto"/>
                      <w:kern w:val="0"/>
                      <w:szCs w:val="21"/>
                    </w:rPr>
                  </w:pPr>
                  <w:r>
                    <w:rPr>
                      <w:color w:val="auto"/>
                      <w:kern w:val="0"/>
                      <w:szCs w:val="21"/>
                    </w:rPr>
                    <w:t>11</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该项目属于小微企业危险废物收集试点项目，根据《产业结构调整指导目录》（2019年本），该项目</w:t>
                  </w:r>
                  <w:r>
                    <w:rPr>
                      <w:rFonts w:hint="eastAsia"/>
                      <w:color w:val="auto"/>
                      <w:kern w:val="0"/>
                      <w:szCs w:val="21"/>
                    </w:rPr>
                    <w:t>属于鼓励类“四十三、环境保护与资源节约综合利用”中“</w:t>
                  </w:r>
                  <w:r>
                    <w:rPr>
                      <w:color w:val="auto"/>
                      <w:kern w:val="0"/>
                      <w:szCs w:val="21"/>
                    </w:rPr>
                    <w:t>15</w:t>
                  </w:r>
                  <w:r>
                    <w:rPr>
                      <w:rFonts w:hint="eastAsia"/>
                      <w:color w:val="auto"/>
                      <w:kern w:val="0"/>
                      <w:szCs w:val="21"/>
                    </w:rPr>
                    <w:t>、‘三废’综合利用与治理技术、装备和工程”。</w:t>
                  </w:r>
                </w:p>
              </w:tc>
              <w:tc>
                <w:tcPr>
                  <w:tcW w:w="516" w:type="dxa"/>
                  <w:vAlign w:val="center"/>
                </w:tcPr>
                <w:p>
                  <w:pPr>
                    <w:pStyle w:val="28"/>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12</w:t>
                  </w:r>
                </w:p>
              </w:tc>
              <w:tc>
                <w:tcPr>
                  <w:tcW w:w="4193" w:type="dxa"/>
                  <w:vAlign w:val="center"/>
                </w:tcPr>
                <w:p>
                  <w:pPr>
                    <w:pStyle w:val="28"/>
                    <w:spacing w:line="360" w:lineRule="exact"/>
                    <w:ind w:firstLine="210" w:firstLineChars="100"/>
                    <w:jc w:val="both"/>
                    <w:rPr>
                      <w:color w:val="auto"/>
                      <w:kern w:val="0"/>
                      <w:szCs w:val="21"/>
                    </w:rPr>
                  </w:pPr>
                  <w:r>
                    <w:rPr>
                      <w:color w:val="auto"/>
                      <w:kern w:val="0"/>
                      <w:szCs w:val="21"/>
                    </w:rPr>
                    <w:t>法律法规及相关政策文件有更加严格规定的从其规定。</w:t>
                  </w:r>
                </w:p>
              </w:tc>
              <w:tc>
                <w:tcPr>
                  <w:tcW w:w="3445" w:type="dxa"/>
                  <w:vAlign w:val="center"/>
                </w:tcPr>
                <w:p>
                  <w:pPr>
                    <w:pStyle w:val="28"/>
                    <w:spacing w:line="360" w:lineRule="exact"/>
                    <w:ind w:firstLine="210" w:firstLineChars="100"/>
                    <w:jc w:val="both"/>
                    <w:rPr>
                      <w:color w:val="auto"/>
                      <w:kern w:val="0"/>
                      <w:szCs w:val="21"/>
                    </w:rPr>
                  </w:pPr>
                  <w:r>
                    <w:rPr>
                      <w:color w:val="auto"/>
                      <w:kern w:val="0"/>
                      <w:szCs w:val="21"/>
                    </w:rPr>
                    <w:t>项目将严格执行国家相关法律法规。</w:t>
                  </w:r>
                </w:p>
              </w:tc>
              <w:tc>
                <w:tcPr>
                  <w:tcW w:w="516" w:type="dxa"/>
                  <w:vAlign w:val="center"/>
                </w:tcPr>
                <w:p>
                  <w:pPr>
                    <w:pStyle w:val="28"/>
                    <w:spacing w:line="360" w:lineRule="exact"/>
                    <w:rPr>
                      <w:color w:val="auto"/>
                      <w:kern w:val="0"/>
                      <w:szCs w:val="21"/>
                    </w:rPr>
                  </w:pPr>
                  <w:r>
                    <w:rPr>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由上表可知，该项目符合《长江经济带发展负面清单指南（试行，2022年版）》的要求。</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（5）与《云南省长江经济带发展负面清单指南实施细则（试行，</w:t>
            </w:r>
            <w:r>
              <w:rPr>
                <w:rFonts w:ascii="Times New Roman" w:hAnsi="Times New Roman" w:cs="Times New Roman"/>
                <w:b/>
                <w:sz w:val="24"/>
                <w:szCs w:val="24"/>
              </w:rPr>
              <w:t>2022</w:t>
            </w:r>
            <w:r>
              <w:rPr>
                <w:rFonts w:hint="eastAsia" w:ascii="Times New Roman" w:hAnsi="Times New Roman" w:cs="Times New Roman"/>
                <w:b/>
                <w:sz w:val="24"/>
                <w:szCs w:val="24"/>
              </w:rPr>
              <w:t>年版）》符合性分析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云南省推动长江经济带发展领导小组办公室于</w:t>
            </w:r>
            <w:r>
              <w:rPr>
                <w:rFonts w:ascii="Times New Roman" w:hAnsi="Times New Roman" w:cs="Times New Roman"/>
                <w:sz w:val="24"/>
                <w:szCs w:val="24"/>
              </w:rPr>
              <w:t>2022</w:t>
            </w:r>
            <w:r>
              <w:rPr>
                <w:rFonts w:hint="eastAsia" w:ascii="Times New Roman" w:hAnsi="Times New Roman" w:cs="Times New Roman"/>
                <w:sz w:val="24"/>
                <w:szCs w:val="24"/>
              </w:rPr>
              <w:t>年</w:t>
            </w:r>
            <w:r>
              <w:rPr>
                <w:rFonts w:ascii="Times New Roman" w:hAnsi="Times New Roman" w:cs="Times New Roman"/>
                <w:sz w:val="24"/>
                <w:szCs w:val="24"/>
              </w:rPr>
              <w:t>8</w:t>
            </w:r>
            <w:r>
              <w:rPr>
                <w:rFonts w:hint="eastAsia" w:ascii="Times New Roman" w:hAnsi="Times New Roman" w:cs="Times New Roman"/>
                <w:sz w:val="24"/>
                <w:szCs w:val="24"/>
              </w:rPr>
              <w:t>月</w:t>
            </w:r>
            <w:r>
              <w:rPr>
                <w:rFonts w:ascii="Times New Roman" w:hAnsi="Times New Roman" w:cs="Times New Roman"/>
                <w:sz w:val="24"/>
                <w:szCs w:val="24"/>
              </w:rPr>
              <w:t>19</w:t>
            </w:r>
            <w:r>
              <w:rPr>
                <w:rFonts w:hint="eastAsia" w:ascii="Times New Roman" w:hAnsi="Times New Roman" w:cs="Times New Roman"/>
                <w:sz w:val="24"/>
                <w:szCs w:val="24"/>
              </w:rPr>
              <w:t>日印发了《云南省长江经济带发展负面清单指南实施细则（试行，</w:t>
            </w:r>
            <w:r>
              <w:rPr>
                <w:rFonts w:ascii="Times New Roman" w:hAnsi="Times New Roman" w:cs="Times New Roman"/>
                <w:sz w:val="24"/>
                <w:szCs w:val="24"/>
              </w:rPr>
              <w:t>2022</w:t>
            </w:r>
            <w:r>
              <w:rPr>
                <w:rFonts w:hint="eastAsia" w:ascii="Times New Roman" w:hAnsi="Times New Roman" w:cs="Times New Roman"/>
                <w:sz w:val="24"/>
                <w:szCs w:val="24"/>
              </w:rPr>
              <w:t>年版）》，该项目与其符合性见下表。</w:t>
            </w:r>
          </w:p>
          <w:p>
            <w:pPr>
              <w:jc w:val="center"/>
              <w:rPr>
                <w:rFonts w:ascii="Times New Roman" w:hAnsi="Times New Roman" w:cs="Times New Roman"/>
                <w:b/>
              </w:rPr>
            </w:pPr>
            <w:r>
              <w:rPr>
                <w:rFonts w:hint="eastAsia" w:ascii="Times New Roman" w:hAnsi="Times New Roman" w:cs="Times New Roman"/>
                <w:b/>
              </w:rPr>
              <w:t>表1-7 与《云南省长江经济带发展负面清单指南实施细则（试行，</w:t>
            </w:r>
            <w:r>
              <w:rPr>
                <w:rFonts w:ascii="Times New Roman" w:hAnsi="Times New Roman" w:cs="Times New Roman"/>
                <w:b/>
              </w:rPr>
              <w:t>2022</w:t>
            </w:r>
            <w:r>
              <w:rPr>
                <w:rFonts w:hint="eastAsia" w:ascii="Times New Roman" w:hAnsi="Times New Roman" w:cs="Times New Roman"/>
                <w:b/>
              </w:rPr>
              <w:t>年版）》符合性</w:t>
            </w:r>
          </w:p>
          <w:tbl>
            <w:tblPr>
              <w:tblStyle w:val="1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4178"/>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color w:val="auto"/>
                      <w:kern w:val="0"/>
                      <w:szCs w:val="21"/>
                    </w:rPr>
                    <w:t>序号</w:t>
                  </w:r>
                </w:p>
              </w:tc>
              <w:tc>
                <w:tcPr>
                  <w:tcW w:w="4040" w:type="dxa"/>
                  <w:vAlign w:val="center"/>
                </w:tcPr>
                <w:p>
                  <w:pPr>
                    <w:pStyle w:val="28"/>
                    <w:spacing w:line="360" w:lineRule="exact"/>
                    <w:rPr>
                      <w:color w:val="auto"/>
                      <w:kern w:val="0"/>
                      <w:szCs w:val="21"/>
                    </w:rPr>
                  </w:pPr>
                  <w:r>
                    <w:rPr>
                      <w:color w:val="auto"/>
                      <w:kern w:val="0"/>
                      <w:szCs w:val="21"/>
                    </w:rPr>
                    <w:t>《</w:t>
                  </w:r>
                  <w:r>
                    <w:rPr>
                      <w:rFonts w:hint="eastAsia"/>
                      <w:color w:val="auto"/>
                      <w:kern w:val="0"/>
                      <w:szCs w:val="21"/>
                    </w:rPr>
                    <w:t>云南省长江经济带发展负面清单指南实施细则（试行，</w:t>
                  </w:r>
                  <w:r>
                    <w:rPr>
                      <w:color w:val="auto"/>
                      <w:kern w:val="0"/>
                      <w:szCs w:val="21"/>
                    </w:rPr>
                    <w:t>2022</w:t>
                  </w:r>
                  <w:r>
                    <w:rPr>
                      <w:rFonts w:hint="eastAsia"/>
                      <w:color w:val="auto"/>
                      <w:kern w:val="0"/>
                      <w:szCs w:val="21"/>
                    </w:rPr>
                    <w:t>年版）</w:t>
                  </w:r>
                  <w:r>
                    <w:rPr>
                      <w:color w:val="auto"/>
                      <w:kern w:val="0"/>
                      <w:szCs w:val="21"/>
                    </w:rPr>
                    <w:t>》要求</w:t>
                  </w:r>
                </w:p>
              </w:tc>
              <w:tc>
                <w:tcPr>
                  <w:tcW w:w="3331" w:type="dxa"/>
                  <w:vAlign w:val="center"/>
                </w:tcPr>
                <w:p>
                  <w:pPr>
                    <w:pStyle w:val="28"/>
                    <w:spacing w:line="360" w:lineRule="exact"/>
                    <w:rPr>
                      <w:color w:val="auto"/>
                      <w:kern w:val="0"/>
                      <w:szCs w:val="21"/>
                    </w:rPr>
                  </w:pPr>
                  <w:r>
                    <w:rPr>
                      <w:color w:val="auto"/>
                      <w:kern w:val="0"/>
                      <w:szCs w:val="21"/>
                    </w:rPr>
                    <w:t>该项目实际情况</w:t>
                  </w:r>
                </w:p>
              </w:tc>
              <w:tc>
                <w:tcPr>
                  <w:tcW w:w="499" w:type="dxa"/>
                  <w:vAlign w:val="center"/>
                </w:tcPr>
                <w:p>
                  <w:pPr>
                    <w:pStyle w:val="28"/>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1</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（一）禁止新建、改建和扩建不符合《全国内河航道与港口布局规划》等全国港口规划和《昭通市港口码头岸线规划（金沙江段</w:t>
                  </w:r>
                  <w:r>
                    <w:rPr>
                      <w:color w:val="auto"/>
                      <w:kern w:val="0"/>
                      <w:szCs w:val="21"/>
                    </w:rPr>
                    <w:t>2019</w:t>
                  </w:r>
                  <w:r>
                    <w:rPr>
                      <w:rFonts w:hint="eastAsia"/>
                      <w:color w:val="auto"/>
                      <w:kern w:val="0"/>
                      <w:szCs w:val="21"/>
                    </w:rPr>
                    <w:t>年</w:t>
                  </w:r>
                  <w:r>
                    <w:rPr>
                      <w:color w:val="auto"/>
                      <w:kern w:val="0"/>
                      <w:szCs w:val="21"/>
                    </w:rPr>
                    <w:t>-2035</w:t>
                  </w:r>
                  <w:r>
                    <w:rPr>
                      <w:rFonts w:hint="eastAsia"/>
                      <w:color w:val="auto"/>
                      <w:kern w:val="0"/>
                      <w:szCs w:val="21"/>
                    </w:rPr>
                    <w:t>年）》、《景洪港总体规划（</w:t>
                  </w:r>
                  <w:r>
                    <w:rPr>
                      <w:color w:val="auto"/>
                      <w:kern w:val="0"/>
                      <w:szCs w:val="21"/>
                    </w:rPr>
                    <w:t>2019-2035</w:t>
                  </w:r>
                  <w:r>
                    <w:rPr>
                      <w:rFonts w:hint="eastAsia"/>
                      <w:color w:val="auto"/>
                      <w:kern w:val="0"/>
                      <w:szCs w:val="21"/>
                    </w:rPr>
                    <w:t>年）》等州（市）级以上港口布局规划以及港口总体规划的码头项目。</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该项目属于小微企业危险废物收集试点项目，位于云南东川产业园区四方地片区昆明旭鑫环保科技有限公司厂区，不涉及码头及过江通道。</w:t>
                  </w:r>
                </w:p>
              </w:tc>
              <w:tc>
                <w:tcPr>
                  <w:tcW w:w="499" w:type="dxa"/>
                  <w:vAlign w:val="center"/>
                </w:tcPr>
                <w:p>
                  <w:pPr>
                    <w:pStyle w:val="28"/>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2</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该项目位于云南东川产业园区四方地片区昆明旭鑫环保科技有限公司厂区，不涉及自然保护区核心区、风景名胜区等特殊敏感区。</w:t>
                  </w:r>
                </w:p>
              </w:tc>
              <w:tc>
                <w:tcPr>
                  <w:tcW w:w="499" w:type="dxa"/>
                  <w:vAlign w:val="center"/>
                </w:tcPr>
                <w:p>
                  <w:pPr>
                    <w:pStyle w:val="28"/>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3</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该项目位于云南东川产业园区四方地片区昆明旭鑫环保科技有限公司厂区，不涉及</w:t>
                  </w:r>
                  <w:r>
                    <w:rPr>
                      <w:rFonts w:hint="eastAsia"/>
                      <w:color w:val="auto"/>
                      <w:kern w:val="0"/>
                      <w:szCs w:val="21"/>
                    </w:rPr>
                    <w:t>风景名胜区。</w:t>
                  </w:r>
                </w:p>
              </w:tc>
              <w:tc>
                <w:tcPr>
                  <w:tcW w:w="499" w:type="dxa"/>
                  <w:vAlign w:val="center"/>
                </w:tcPr>
                <w:p>
                  <w:pPr>
                    <w:pStyle w:val="28"/>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4</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该项目位于云南东川产业园区四方地片区昆明旭鑫环保科技有限公司厂区，不涉及到饮用水水源地的一级保护区或二级保护区。</w:t>
                  </w:r>
                </w:p>
              </w:tc>
              <w:tc>
                <w:tcPr>
                  <w:tcW w:w="499" w:type="dxa"/>
                  <w:vAlign w:val="center"/>
                </w:tcPr>
                <w:p>
                  <w:pPr>
                    <w:pStyle w:val="28"/>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5</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该项目属于小微企业危险废物收集试点项目，项目建设符合主体功能定位，项目所在地的纳污水体为小江（清水海-入金沙江口段），不属于水产种植资源保护区的岸线和河段范围。</w:t>
                  </w:r>
                </w:p>
              </w:tc>
              <w:tc>
                <w:tcPr>
                  <w:tcW w:w="499" w:type="dxa"/>
                  <w:vAlign w:val="center"/>
                </w:tcPr>
                <w:p>
                  <w:pPr>
                    <w:pStyle w:val="28"/>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6</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28"/>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7</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该项目位于云南东川产业园区四方地片区昆明旭鑫环保科技有限公司厂区，不涉及</w:t>
                  </w:r>
                  <w:r>
                    <w:rPr>
                      <w:rFonts w:hint="eastAsia"/>
                      <w:color w:val="auto"/>
                      <w:kern w:val="0"/>
                      <w:szCs w:val="21"/>
                    </w:rPr>
                    <w:t>过江基础设施项目；同时，项目不在</w:t>
                  </w:r>
                  <w:r>
                    <w:rPr>
                      <w:color w:val="auto"/>
                      <w:kern w:val="0"/>
                      <w:szCs w:val="21"/>
                    </w:rPr>
                    <w:t>长江千支流及湖泊新设、改设或扩大排污口。</w:t>
                  </w:r>
                </w:p>
              </w:tc>
              <w:tc>
                <w:tcPr>
                  <w:tcW w:w="499" w:type="dxa"/>
                  <w:vAlign w:val="center"/>
                </w:tcPr>
                <w:p>
                  <w:pPr>
                    <w:pStyle w:val="28"/>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8</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（八）禁止在金沙江干流、长江一级支流、水生生物保护区和长江流域禁捕水域开展天然渔业资源生产性捕捞。</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该项目不涉及生产性捕捞。</w:t>
                  </w:r>
                </w:p>
              </w:tc>
              <w:tc>
                <w:tcPr>
                  <w:tcW w:w="499" w:type="dxa"/>
                  <w:vAlign w:val="center"/>
                </w:tcPr>
                <w:p>
                  <w:pPr>
                    <w:pStyle w:val="28"/>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9</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该项目属于小微企业危险废物收集试点项目，不属于钢铁、石化、化工、焦化、建材、有色等高污染项目。</w:t>
                  </w:r>
                </w:p>
              </w:tc>
              <w:tc>
                <w:tcPr>
                  <w:tcW w:w="499" w:type="dxa"/>
                  <w:vAlign w:val="center"/>
                </w:tcPr>
                <w:p>
                  <w:pPr>
                    <w:pStyle w:val="28"/>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10</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（十）禁止在合规园区外新建、扩建钢铁、石化、化工、焦化、建材、有色、制浆造纸行业中的高污染项目。</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该项目属于小微企业危险废物收集试点项目，不属于钢铁、石化、化工、焦化、建材、有色、制浆造纸等高污染项目。</w:t>
                  </w:r>
                </w:p>
              </w:tc>
              <w:tc>
                <w:tcPr>
                  <w:tcW w:w="499" w:type="dxa"/>
                  <w:vAlign w:val="center"/>
                </w:tcPr>
                <w:p>
                  <w:pPr>
                    <w:pStyle w:val="28"/>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11</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该项目属于小微企业危险废物收集试点项目，不属于不符合国家石化、现代煤化工等产业布局规划的项目。</w:t>
                  </w:r>
                  <w:r>
                    <w:rPr>
                      <w:rFonts w:hint="eastAsia"/>
                      <w:color w:val="auto"/>
                      <w:kern w:val="0"/>
                      <w:szCs w:val="21"/>
                    </w:rPr>
                    <w:t>项目不涉及危险化学品，不属于《云南省城镇人口密集区危险化学品生产企业搬迁改造名单》的搬迁改造企业。</w:t>
                  </w:r>
                </w:p>
              </w:tc>
              <w:tc>
                <w:tcPr>
                  <w:tcW w:w="499" w:type="dxa"/>
                  <w:vAlign w:val="center"/>
                </w:tcPr>
                <w:p>
                  <w:pPr>
                    <w:pStyle w:val="28"/>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8"/>
                    <w:spacing w:line="360" w:lineRule="exact"/>
                    <w:rPr>
                      <w:color w:val="auto"/>
                      <w:kern w:val="0"/>
                      <w:szCs w:val="21"/>
                    </w:rPr>
                  </w:pPr>
                  <w:r>
                    <w:rPr>
                      <w:rFonts w:hint="eastAsia"/>
                      <w:color w:val="auto"/>
                      <w:kern w:val="0"/>
                      <w:szCs w:val="21"/>
                    </w:rPr>
                    <w:t>12</w:t>
                  </w:r>
                </w:p>
              </w:tc>
              <w:tc>
                <w:tcPr>
                  <w:tcW w:w="4040" w:type="dxa"/>
                  <w:vAlign w:val="center"/>
                </w:tcPr>
                <w:p>
                  <w:pPr>
                    <w:pStyle w:val="28"/>
                    <w:spacing w:line="360" w:lineRule="exact"/>
                    <w:ind w:firstLine="210" w:firstLineChars="100"/>
                    <w:jc w:val="both"/>
                    <w:rPr>
                      <w:color w:val="auto"/>
                      <w:kern w:val="0"/>
                      <w:szCs w:val="21"/>
                    </w:rPr>
                  </w:pPr>
                  <w:r>
                    <w:rPr>
                      <w:rFonts w:hint="eastAsia"/>
                      <w:color w:val="auto"/>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28"/>
                    <w:spacing w:line="360" w:lineRule="exact"/>
                    <w:ind w:firstLine="210" w:firstLineChars="100"/>
                    <w:jc w:val="both"/>
                    <w:rPr>
                      <w:color w:val="auto"/>
                      <w:kern w:val="0"/>
                      <w:szCs w:val="21"/>
                    </w:rPr>
                  </w:pPr>
                  <w:r>
                    <w:rPr>
                      <w:color w:val="auto"/>
                      <w:kern w:val="0"/>
                      <w:szCs w:val="21"/>
                    </w:rPr>
                    <w:t>该项目属于小微企业危险废物收集试点项目，根据《产业结构调整指导目录》（2019年本），该项目</w:t>
                  </w:r>
                  <w:r>
                    <w:rPr>
                      <w:rFonts w:hint="eastAsia"/>
                      <w:color w:val="auto"/>
                      <w:kern w:val="0"/>
                      <w:szCs w:val="21"/>
                    </w:rPr>
                    <w:t>属于鼓励类“四十三、环境保护与资源节约综合利用”中“</w:t>
                  </w:r>
                  <w:r>
                    <w:rPr>
                      <w:color w:val="auto"/>
                      <w:kern w:val="0"/>
                      <w:szCs w:val="21"/>
                    </w:rPr>
                    <w:t>15</w:t>
                  </w:r>
                  <w:r>
                    <w:rPr>
                      <w:rFonts w:hint="eastAsia"/>
                      <w:color w:val="auto"/>
                      <w:kern w:val="0"/>
                      <w:szCs w:val="21"/>
                    </w:rPr>
                    <w:t>、‘三废’综合利用与治理技术、装备和工程”。</w:t>
                  </w:r>
                </w:p>
              </w:tc>
              <w:tc>
                <w:tcPr>
                  <w:tcW w:w="499" w:type="dxa"/>
                  <w:vAlign w:val="center"/>
                </w:tcPr>
                <w:p>
                  <w:pPr>
                    <w:pStyle w:val="28"/>
                    <w:spacing w:line="360" w:lineRule="exact"/>
                    <w:rPr>
                      <w:color w:val="auto"/>
                      <w:kern w:val="0"/>
                      <w:szCs w:val="21"/>
                      <w:lang w:val="en-US"/>
                    </w:rPr>
                  </w:pPr>
                  <w:r>
                    <w:rPr>
                      <w:rFonts w:hint="eastAsia"/>
                      <w:color w:val="auto"/>
                      <w:kern w:val="0"/>
                      <w:szCs w:val="21"/>
                      <w:lang w:val="en-US"/>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由上表可知，该项目符合</w:t>
            </w:r>
            <w:r>
              <w:rPr>
                <w:rFonts w:hint="eastAsia" w:ascii="Times New Roman" w:hAnsi="Times New Roman" w:cs="Times New Roman"/>
                <w:sz w:val="24"/>
                <w:szCs w:val="24"/>
              </w:rPr>
              <w:t>《云南省长江经济带发展负面清单指南实施细则（试行，</w:t>
            </w:r>
            <w:r>
              <w:rPr>
                <w:rFonts w:ascii="Times New Roman" w:hAnsi="Times New Roman" w:cs="Times New Roman"/>
                <w:sz w:val="24"/>
                <w:szCs w:val="24"/>
              </w:rPr>
              <w:t>2022</w:t>
            </w:r>
            <w:r>
              <w:rPr>
                <w:rFonts w:hint="eastAsia" w:ascii="Times New Roman" w:hAnsi="Times New Roman" w:cs="Times New Roman"/>
                <w:sz w:val="24"/>
                <w:szCs w:val="24"/>
              </w:rPr>
              <w:t>年版）》</w:t>
            </w:r>
            <w:r>
              <w:rPr>
                <w:rFonts w:ascii="Times New Roman" w:hAnsi="Times New Roman" w:cs="Times New Roman"/>
                <w:sz w:val="24"/>
                <w:szCs w:val="24"/>
              </w:rPr>
              <w:t>的要求。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6</w:t>
            </w:r>
            <w:r>
              <w:rPr>
                <w:rFonts w:ascii="Times New Roman" w:hAnsi="Times New Roman" w:cs="Times New Roman"/>
                <w:b/>
                <w:sz w:val="24"/>
                <w:szCs w:val="24"/>
              </w:rPr>
              <w:t>）与《长江经济带生态环境保护规划》符合性分析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该项目属于小微企业危险废物收集试点项目，该项目的建设与《长江经济带生态环境保护规划》的相关要求不相冲突。</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（7）与</w:t>
            </w:r>
            <w:bookmarkStart w:id="1" w:name="_Hlk137333127"/>
            <w:r>
              <w:rPr>
                <w:rFonts w:hint="eastAsia" w:ascii="Times New Roman" w:hAnsi="Times New Roman" w:cs="Times New Roman"/>
                <w:b/>
                <w:sz w:val="24"/>
                <w:szCs w:val="24"/>
              </w:rPr>
              <w:t>《危险废物贮存污染控制标准》（GB</w:t>
            </w:r>
            <w:r>
              <w:rPr>
                <w:rFonts w:hint="eastAsia" w:ascii="Times New Roman" w:hAnsi="Times New Roman" w:cs="Times New Roman"/>
                <w:b/>
                <w:sz w:val="24"/>
                <w:szCs w:val="24"/>
                <w:lang w:eastAsia="zh-CN"/>
              </w:rPr>
              <w:t>*****</w:t>
            </w:r>
            <w:r>
              <w:rPr>
                <w:rFonts w:hint="eastAsia" w:ascii="Times New Roman" w:hAnsi="Times New Roman" w:cs="Times New Roman"/>
                <w:b/>
                <w:sz w:val="24"/>
                <w:szCs w:val="24"/>
              </w:rPr>
              <w:t>-2023）</w:t>
            </w:r>
            <w:bookmarkEnd w:id="1"/>
            <w:r>
              <w:rPr>
                <w:rFonts w:hint="eastAsia" w:ascii="Times New Roman" w:hAnsi="Times New Roman" w:cs="Times New Roman"/>
                <w:b/>
                <w:sz w:val="24"/>
                <w:szCs w:val="24"/>
              </w:rPr>
              <w:t>的相符性分析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项目与《危险废物贮存污染控制标准》（GB</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w:t>
            </w:r>
            <w:r>
              <w:rPr>
                <w:rFonts w:ascii="Times New Roman" w:hAnsi="Times New Roman" w:cs="Times New Roman"/>
                <w:sz w:val="24"/>
                <w:szCs w:val="24"/>
              </w:rPr>
              <w:t>23</w:t>
            </w:r>
            <w:r>
              <w:rPr>
                <w:rFonts w:hint="eastAsia" w:ascii="Times New Roman" w:hAnsi="Times New Roman" w:cs="Times New Roman"/>
                <w:sz w:val="24"/>
                <w:szCs w:val="24"/>
              </w:rPr>
              <w:t>）的相符性分析内容见下表。</w:t>
            </w:r>
          </w:p>
          <w:p>
            <w:pPr>
              <w:jc w:val="center"/>
              <w:rPr>
                <w:rFonts w:ascii="Times New Roman" w:hAnsi="Times New Roman" w:cs="Times New Roman"/>
                <w:b/>
              </w:rPr>
            </w:pPr>
            <w:r>
              <w:rPr>
                <w:rFonts w:hint="eastAsia" w:ascii="Times New Roman" w:hAnsi="Times New Roman" w:cs="Times New Roman"/>
                <w:b/>
              </w:rPr>
              <w:t>表1-8 与《危险废物贮存污染控制标准》（GB</w:t>
            </w:r>
            <w:r>
              <w:rPr>
                <w:rFonts w:hint="eastAsia" w:ascii="Times New Roman" w:hAnsi="Times New Roman" w:cs="Times New Roman"/>
                <w:b/>
                <w:lang w:eastAsia="zh-CN"/>
              </w:rPr>
              <w:t>*****</w:t>
            </w:r>
            <w:r>
              <w:rPr>
                <w:rFonts w:hint="eastAsia" w:ascii="Times New Roman" w:hAnsi="Times New Roman" w:cs="Times New Roman"/>
                <w:b/>
              </w:rPr>
              <w:t>-20</w:t>
            </w:r>
            <w:r>
              <w:rPr>
                <w:rFonts w:ascii="Times New Roman" w:hAnsi="Times New Roman" w:cs="Times New Roman"/>
                <w:b/>
              </w:rPr>
              <w:t>23</w:t>
            </w:r>
            <w:r>
              <w:rPr>
                <w:rFonts w:hint="eastAsia" w:ascii="Times New Roman" w:hAnsi="Times New Roman" w:cs="Times New Roman"/>
                <w:b/>
              </w:rPr>
              <w:t>）的相符性分析一览表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203"/>
              <w:gridCol w:w="316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shd w:val="clear" w:color="auto" w:fill="auto"/>
                  <w:vAlign w:val="center"/>
                </w:tcPr>
                <w:p>
                  <w:pPr>
                    <w:pStyle w:val="28"/>
                    <w:spacing w:line="360" w:lineRule="exact"/>
                    <w:rPr>
                      <w:color w:val="auto"/>
                      <w:kern w:val="0"/>
                      <w:szCs w:val="21"/>
                    </w:rPr>
                  </w:pPr>
                  <w:r>
                    <w:rPr>
                      <w:rFonts w:hint="eastAsia"/>
                      <w:color w:val="auto"/>
                      <w:kern w:val="0"/>
                      <w:szCs w:val="21"/>
                    </w:rPr>
                    <w:t>环节</w:t>
                  </w:r>
                </w:p>
              </w:tc>
              <w:tc>
                <w:tcPr>
                  <w:tcW w:w="4203" w:type="dxa"/>
                  <w:shd w:val="clear" w:color="auto" w:fill="auto"/>
                  <w:vAlign w:val="center"/>
                </w:tcPr>
                <w:p>
                  <w:pPr>
                    <w:pStyle w:val="28"/>
                    <w:spacing w:line="360" w:lineRule="exact"/>
                    <w:rPr>
                      <w:color w:val="auto"/>
                      <w:kern w:val="0"/>
                      <w:szCs w:val="21"/>
                    </w:rPr>
                  </w:pPr>
                  <w:r>
                    <w:rPr>
                      <w:color w:val="auto"/>
                      <w:kern w:val="0"/>
                      <w:szCs w:val="21"/>
                    </w:rPr>
                    <w:t>管理要求</w:t>
                  </w:r>
                </w:p>
              </w:tc>
              <w:tc>
                <w:tcPr>
                  <w:tcW w:w="3168" w:type="dxa"/>
                  <w:shd w:val="clear" w:color="auto" w:fill="auto"/>
                  <w:vAlign w:val="center"/>
                </w:tcPr>
                <w:p>
                  <w:pPr>
                    <w:pStyle w:val="28"/>
                    <w:spacing w:line="360" w:lineRule="exact"/>
                    <w:rPr>
                      <w:color w:val="auto"/>
                      <w:kern w:val="0"/>
                      <w:szCs w:val="21"/>
                    </w:rPr>
                  </w:pPr>
                  <w:r>
                    <w:rPr>
                      <w:rFonts w:hint="eastAsia"/>
                      <w:color w:val="auto"/>
                      <w:kern w:val="0"/>
                      <w:szCs w:val="21"/>
                    </w:rPr>
                    <w:t>项目情况</w:t>
                  </w:r>
                </w:p>
              </w:tc>
              <w:tc>
                <w:tcPr>
                  <w:tcW w:w="641" w:type="dxa"/>
                  <w:shd w:val="clear" w:color="auto" w:fill="auto"/>
                  <w:vAlign w:val="center"/>
                </w:tcPr>
                <w:p>
                  <w:pPr>
                    <w:pStyle w:val="28"/>
                    <w:spacing w:line="360" w:lineRule="exact"/>
                    <w:rPr>
                      <w:color w:val="auto"/>
                      <w:kern w:val="0"/>
                      <w:szCs w:val="21"/>
                    </w:rPr>
                  </w:pPr>
                  <w:r>
                    <w:rPr>
                      <w:rFonts w:hint="eastAsia"/>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总体要求</w:t>
                  </w: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产生、收集、贮存、利用、处置危险废物的单位应建造危险废物贮存设施或设置贮存场所，并根据需要选择贮存设施类型。</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项目为集中式的危险废物收集贮存单位，设置的各危险废物储存区满足储存需求。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贮存危险废物应根据危险废物的类别、数量、形态、物理化学性质和环境风险等因素，确定贮存设施或场所类型和规模。</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项目按危险废物特性划及贮存期间污染物产生特点，划分不同暂存区，各暂存区满足暂存规模需求。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贮存危险废物应根据危险废物的类别、形态、物理化学性质和污染防治要求进行分类贮存，且应避免危险废物与不相容的物质或材料接触。</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项目根据危险废物的类别、形态、物理化学性质和污染防治要求进行分类贮存，避免危险废物与不相容的物质或材料接触。</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危险废物应根据危险废物的形态、物理化学性质、包装形式和污染物迁移途径，采取措施减少渗滤液及其衍生废物、渗漏的液态废物（简称渗漏液）、粉、VOCs、酸雾、有毒有害大气污染物和刺激性气味气体等污染物的产生，防止其污染环境。</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项目针对废酸、废碱、有机液体区域拟采取渗滤液收集沟及渗滤液收集池以防止渗滤液污染环境。</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危险废物贮存过程产生的液态废物和固态废物应分类收集，按其环境管理要求妥善处理。</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项目已区分液态废物和固态废物并分类收集、暂存。</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贮存设施或场所、容器和包装物应按HJ1276 要求设置危险废物存设施或场所标志、危险废物贮存分区标志和危险废物标签等危险废物识别标志。</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项目暂存区、包装物、容器拟按HJ1276要求设置危险废物存设施或场所标志、危险废物贮存分区标志和危险废物标签等危险废物识别标志。</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H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项目属排污许可重点监管单位，采用信息化管理，设置了监控室。</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退役时，所有者或运营者应依法履行环境保护责任，退役前应妥善处理处置贮存设施内剩余的危险废物，并对贮存设施进行清理，消除污染：还应依据土壤污染防治相关法律法规履行场地环境风险防控责任。</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项目贮存设施退役时，应依法履行环境保护责任，退役前应妥善处理处置贮存设施内剩余的危险废物，并对贮存设施进行清理，消除污染：还应依据土壤污染防治相关法律法规履行场地环境风险防控责任。</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在常温常压下易爆、易燃及排出有毒气体的危险废物应进行预处理，使之稳定后贮存，否则应按易爆、易燃危险品贮存。</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项目不涉及在常温常压下易爆、易燃及排出有毒气体的危险废物的暂存。</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危险废物贮存除应满足环境保护相关要求外，还应执行国家安全生产、职业健康、交通运输、消防等法律法规和标准的相关要求。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项目危险废物贮存各类标准、法规要求。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贮存设施选址要求</w:t>
                  </w: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贮存设施选址应满足生态环境保护法律法规、规划和“三线一单”生态环境分区管控的要求，建设项目应依法进行环境影响评价。</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项目选址满足生态环境保护法律法规、规划和“三线一单”生态环境分区管控的要求，环境影响评价进行中。</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集中购存设施不应选在生态保护红线区域、永久基本农田和其他需要特别保护的区域内，不应建在溶洞区或易遭受洪水、滑坡、泥石流、潮汐等严重自然灾害影响的地区。</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项目不涉及生态保护红线区域、永久基本农田和其他需要特别保护的区域；不处于溶洞区或易遭受洪水、滑坡、泥石流、潮汐等严重自然灾害影响的地区。</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贮存设施不应选在江河、湖泊、运河、渠道、水库及其最高水位线以下的滩地和岸坡，以及法律法规规定禁止贮存危险废物的其他地点。</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项目在现有项目厂内建设，不在江河、湖泊、运河、渠道、水库及其最高水位线以下的滩地和岸坡，以及法律法规规定禁止贮存危险废物的其他地点。</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贮存设施场址的位置以及其与周围环境敏感目标的距离应依据环境影响评价文件确定。</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本项目在现有厂区内建设，在采取相应污染治理措施及风险防范措施后，贮存期间项目对周边敏感目标的影响可接受。</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贮存设施污染控制要求</w:t>
                  </w: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贮存设施应根据危险废物的形态、物理化学性质、包装形式和污染物迁移途径，采取必要的防风、防晒、防雨、防漏、防渗、防腐以及其他环境污染防治措施，不应露天堆放危险废物。</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项目贮存区采取了必要的防风、防晒、防雨、防漏、防渗、防腐以及其他环境污染防治措施，露天区域不堆放危险废物。</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贮存设施应根据危险废物的类别、数量、形态、物理化学性质和污染防治等要求设置必要的贮存分区，避免不相容的危险废物接触、混合。</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项目按危险废物类别、特性等划分储存区，不相容的危险废物不接触、不混合。</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贮存设施或贮存分区内地面、墙面裙脚、堵截泄漏的围堰、接触危险废物的隔板和墙体等应采用坚固的材料建造，表面无裂缝。</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项目储存区地面、墙面裙脚、堵截泄漏的围堰、接触危险废物的隔板和墙体等应采用坚固的材料建造。</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层（渗透系数不大于10</w:t>
                  </w:r>
                  <w:r>
                    <w:rPr>
                      <w:rFonts w:hint="eastAsia"/>
                      <w:color w:val="auto"/>
                      <w:szCs w:val="21"/>
                      <w:vertAlign w:val="superscript"/>
                    </w:rPr>
                    <w:t>-</w:t>
                  </w:r>
                  <w:r>
                    <w:rPr>
                      <w:color w:val="auto"/>
                      <w:szCs w:val="21"/>
                      <w:vertAlign w:val="superscript"/>
                    </w:rPr>
                    <w:t>7</w:t>
                  </w:r>
                  <w:r>
                    <w:rPr>
                      <w:rFonts w:hint="eastAsia"/>
                      <w:color w:val="auto"/>
                      <w:szCs w:val="21"/>
                    </w:rPr>
                    <w:t>cm/s），或至少2mm厚高密度聚乙烯膜等人工防渗材料（渗透系数不大于10</w:t>
                  </w:r>
                  <w:r>
                    <w:rPr>
                      <w:rFonts w:hint="eastAsia"/>
                      <w:color w:val="auto"/>
                      <w:szCs w:val="21"/>
                      <w:vertAlign w:val="superscript"/>
                    </w:rPr>
                    <w:t>-10</w:t>
                  </w:r>
                  <w:r>
                    <w:rPr>
                      <w:rFonts w:hint="eastAsia"/>
                      <w:color w:val="auto"/>
                      <w:szCs w:val="21"/>
                    </w:rPr>
                    <w:t>cm/s），或其他防渗性能等效的材料。</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项目贮存措施拟分别采取防渗及防渗+防腐措施，具体措施详见后文。</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同一贮存设施宜采用相同的防渗、防腐工艺（包括防渗、防腐结构或材料），防渗、防腐材料应覆盖所有可能与废物及其渗滤液、渗漏液等接触的构筑物表面：采用不同防渗、防腐工艺应分别建设贮存分区。</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项目储存区划分可确保临近区域采相同的防腐防渗措施。</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贮存设施应采取技术和管理措施防止无关人员进入。</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项目采取监控及相关管理措施防止无关人员进入。</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贮存库内不同贮存分区之间应采取隔离措施。隔离措施可根据危险废物特性采用过道、隔板或隔墙等方式。</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贮存库内不同贮存分区之间拟采取隔离措施。隔离措施可根据危险废物特性采用过道、隔板或隔墙等方式。</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在贮存库内或通过贮存分区方式购存液态危险废物的，应具有液体泄漏堵截设施，堵截设施最小容积不应低于对应贮存区域最大液态废物容器容积或液态废物总储量1/10（二者取较大者）用于存可能产生渗滤液的危险废物的贮存库或贮存分区应设计渗滤液收集设施，收集设施容积应满足渗滤液的收集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项目针对废酸、废碱、有机液体区域采取了围堰及渗滤液收集池以防止渗滤液污染环境。</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贮存易产生粉尘、VOC、酸雾、有毒有害大气污染物和刺激性气味气体的危险废物贮存库，应设置气体收集装置和气体净化设施；气体净化设施的排气简高度应符合GB</w:t>
                  </w:r>
                  <w:r>
                    <w:rPr>
                      <w:rFonts w:hint="eastAsia"/>
                      <w:color w:val="auto"/>
                      <w:szCs w:val="21"/>
                      <w:lang w:eastAsia="zh-CN"/>
                    </w:rPr>
                    <w:t>*****</w:t>
                  </w:r>
                  <w:r>
                    <w:rPr>
                      <w:rFonts w:hint="eastAsia"/>
                      <w:color w:val="auto"/>
                      <w:szCs w:val="21"/>
                    </w:rPr>
                    <w:t xml:space="preserve"> 要求</w:t>
                  </w:r>
                </w:p>
              </w:tc>
              <w:tc>
                <w:tcPr>
                  <w:tcW w:w="3168" w:type="dxa"/>
                  <w:shd w:val="clear" w:color="auto" w:fill="auto"/>
                  <w:vAlign w:val="center"/>
                </w:tcPr>
                <w:p>
                  <w:pPr>
                    <w:pStyle w:val="28"/>
                    <w:spacing w:line="360" w:lineRule="exact"/>
                    <w:ind w:firstLine="210" w:firstLineChars="100"/>
                    <w:jc w:val="both"/>
                    <w:rPr>
                      <w:color w:val="auto"/>
                      <w:szCs w:val="21"/>
                    </w:rPr>
                  </w:pPr>
                  <w:r>
                    <w:rPr>
                      <w:color w:val="auto"/>
                      <w:szCs w:val="21"/>
                    </w:rPr>
                    <w:t>针对小微企业危险废物贮存库区产生的废气，通过1套负压收集系统对其收集后，拟设置1套废气处理装置对其进行处理，处理后通过1根Φ0.68、高15m的排气筒（DA001）外排。</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贮存场应设置径流疏导系统，保证能防止当地重现期不小于 25 年的暴雨流入贮存区域，并采取措施防止雨水冲淋危险废物，避免增加渗滤液量。</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项目设置径流疏导系统，防止暴雨流入储存区。</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贮存场可整体或分区设计液体导流和收集设施，收集设施容积应保证在最不利条件下可以容纳对应贮存区域产生的渗滤液、废水等液态物质。</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项目针对废酸、废碱、有机液体区域拟采取收集沟及渗滤液收集池以防止渗滤液污染环境。</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贮存场应采取防止危险废物扬散、流失的措施。</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项目拟采取防渗、导流、渗滤液收集等措施防治危险废物扬散、流失。</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贮存池防渗层应覆盖整个池体，并应按照6.1.4 的要求进行基础防渗。</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项目池体拟整池防渗。</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贮存池应采取措施防止雨水、地面径流等进入，保证能防止当地重现期不小于25年的暴雨流入贮存池内。</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项目贮存池拟设置于地下并封闭或设置于储存区内，避免暴雨流入贮存池。</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贮存池应采取措施减少大气污染物的无组织排放。</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项目储存池仅事故状态使用，可及时清理事故状态渗滤液，减少无组织排放。</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贮存罐区罐体应设置在围堰内，围堰的防渗、防腐性能应满足6.1.4、6.1.5的要求。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项目贮存罐区罐体设置在围堰内，围堰的防渗、防腐性能应满足6.1.4、6.1.5的要求。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贮存罐区围堰容积应至少满足其内部最大贮存罐发生意外泄漏时所需要的危险废物收集容积要求。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项目贮存罐区为废矿物油贮存罐，罐区设置了同等规模的应急罐，并设置围堰及渗滤液收集池，作为贮存罐泄漏时的收集措施。</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贮存罐区围堰内收集的废液、废水和初期雨水应及时处理，不应直接排放。</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贮存罐区围堰内收集的废液及时收集处理、不排放。</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容器和包装物污染控制要求</w:t>
                  </w: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容器和包装物材质、内衬应与盛装的危险废物相容。</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选择容器和包装物材质、内衬与盛装的危险废物相容。</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针对不同类别、形态、物理化学性质的危险废物，其容器和包装物应满足相应的防渗、防漏、防腐和强度等要求。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项目针对不同类别污染物划分不同储存区，采取相应的防渗、防腐措施。</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硬质容器和包装物及其支护结构堆叠码放时不应有明显变形，无破损泄漏。柔性容器和包装物堆叠码放时应封口严密，无破损泄漏。</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合理选择硬质容器和包装物，柔性容器和包装物堆叠码放时封口严密，无破损泄漏。</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使用容器盛装液态、半固态危险废物时，容器内部应留有适当的空间，以适应因温度变化等可能引发的收缩和膨胀，防止其导致容器渗漏或永久变形。</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项目使用容器盛装液态、半固态危险废物时，应确保容器内部应留有适当的空间。</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容器和包装物外表面应保持清洁。</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项目运行过程中应保持容器和包装物外表面清洁。</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在常温常压下不易水解、不易挥发的固态危险废物可分类堆放贮存，其他固态危险废物应装入容器或包装物内贮存。</w:t>
                  </w:r>
                </w:p>
              </w:tc>
              <w:tc>
                <w:tcPr>
                  <w:tcW w:w="3168" w:type="dxa"/>
                  <w:vMerge w:val="restart"/>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项目已合理划分各类危险废物暂存区，并采取适当的包装、盛装方式</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液态危险废物应装入容器内贮存，或直接采用贮存池、贮存罐区贮存</w:t>
                  </w:r>
                </w:p>
              </w:tc>
              <w:tc>
                <w:tcPr>
                  <w:tcW w:w="3168" w:type="dxa"/>
                  <w:vMerge w:val="continue"/>
                  <w:shd w:val="clear" w:color="auto" w:fill="auto"/>
                  <w:vAlign w:val="center"/>
                </w:tcPr>
                <w:p>
                  <w:pPr>
                    <w:pStyle w:val="28"/>
                    <w:spacing w:line="360" w:lineRule="exact"/>
                    <w:ind w:firstLine="210" w:firstLineChars="100"/>
                    <w:jc w:val="both"/>
                    <w:rPr>
                      <w:color w:val="auto"/>
                      <w:szCs w:val="21"/>
                    </w:rPr>
                  </w:pP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半固态危险废物应装入容器或包装袋内贮存，或直接采用贮存池贮存</w:t>
                  </w:r>
                </w:p>
              </w:tc>
              <w:tc>
                <w:tcPr>
                  <w:tcW w:w="3168" w:type="dxa"/>
                  <w:vMerge w:val="continue"/>
                  <w:shd w:val="clear" w:color="auto" w:fill="auto"/>
                  <w:vAlign w:val="center"/>
                </w:tcPr>
                <w:p>
                  <w:pPr>
                    <w:pStyle w:val="28"/>
                    <w:spacing w:line="360" w:lineRule="exact"/>
                    <w:ind w:firstLine="210" w:firstLineChars="100"/>
                    <w:jc w:val="both"/>
                    <w:rPr>
                      <w:color w:val="auto"/>
                      <w:szCs w:val="21"/>
                    </w:rPr>
                  </w:pP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具有热塑性的危险废物应装入容器或包装袋内进行贮存。</w:t>
                  </w:r>
                </w:p>
              </w:tc>
              <w:tc>
                <w:tcPr>
                  <w:tcW w:w="3168" w:type="dxa"/>
                  <w:vMerge w:val="continue"/>
                  <w:shd w:val="clear" w:color="auto" w:fill="auto"/>
                  <w:vAlign w:val="center"/>
                </w:tcPr>
                <w:p>
                  <w:pPr>
                    <w:pStyle w:val="28"/>
                    <w:spacing w:line="360" w:lineRule="exact"/>
                    <w:ind w:firstLine="210" w:firstLineChars="100"/>
                    <w:jc w:val="both"/>
                    <w:rPr>
                      <w:color w:val="auto"/>
                      <w:szCs w:val="21"/>
                    </w:rPr>
                  </w:pP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易产生粉尘、VOCs、酸雾、有毒有害大气污染物和刺激性气味气体的危险废物应装入闭口容器或包装物内贮存。</w:t>
                  </w:r>
                </w:p>
              </w:tc>
              <w:tc>
                <w:tcPr>
                  <w:tcW w:w="3168" w:type="dxa"/>
                  <w:vMerge w:val="continue"/>
                  <w:shd w:val="clear" w:color="auto" w:fill="auto"/>
                  <w:vAlign w:val="center"/>
                </w:tcPr>
                <w:p>
                  <w:pPr>
                    <w:pStyle w:val="28"/>
                    <w:spacing w:line="360" w:lineRule="exact"/>
                    <w:ind w:firstLine="210" w:firstLineChars="100"/>
                    <w:jc w:val="both"/>
                    <w:rPr>
                      <w:color w:val="auto"/>
                      <w:szCs w:val="21"/>
                    </w:rPr>
                  </w:pP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危险废物贮存过程中易产生粉尘等无组织排放的，应采取抑尘等有效措施。</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项目入厂危险废物不拆包，无粉尘产生。</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危险废物存入贮存设施前应对危险废物类别和特性与危险废物标签等危险废物识别标志的一致性进行核验，不一致的或类别、特性不明的不应存入。</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危险废物存入贮存设施前要求对危险废物类别和特性与危险废物标签等危险废物识别标志的一致性进行核验，不一致的或类别、特性不明的不应存入。</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应定期检查危险废物的贮存状况，及时清理贮存设施地面，更换破损泄漏的危险废物贮存容器和包装物，保证堆存危险废物的防雨、防风、防扬尘等设施功能完好。</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要求建设单位定期检查危险废物的贮存状况，及时清理贮存设施地面，更换破损泄漏的危险废物贮存容器和包装物，保证堆存危险废物的防雨、防风、防扬尘等设施功能完好。</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作业设备及车辆等结束作业离开贮存设施时，应对其残留的危险废物进行清理，清理的废物或清洗废水应收集处理。</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作业设备及车辆等结束作业离开贮存设施时，建设单位应进行清理。</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贮存设施运行期间，应按国家有关标准和规定建立危险废物管理台账并保存。</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贮存设施运行期间，要求建设单位建立危险废物管理台账并保存。</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贮存设施所有者或运营者应建立贮存设施环境管理制度、管理人员岗位职责制度、设施运行操作制度、人员岗位培训制度等。</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要求建设单位建立贮存设施环境管理制度、管理人员岗位职责制度、设施运行操作制度、人员岗位培训制度等。</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贮存设施所有者或运营者应依据国家和地下水污染防治的有关规定，结合贮存设施特点建立土壤和地下水污染隐患排查制度，并定期开展隐患排查：发现隐患应及时采取措施消除隐患，并建立档案。</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建设单位应定期对防渗、放泄漏措施进行检查，排除隐患，并按监测计划定期进行监测，了解区域土壤和地下水变化情况。</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贮存设施所有者或运营者应建立贮存设施全部档案，包括设计、施工、验收、运行、监测和环境应急等，应按国家有关档案管理的法律法规进行整理和归档。</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项目应按规定完成验收、预案、环境监测等内容并存档。</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贮存点环境管理要求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项目为集中贮存单位，不属于单一企业贮存点。</w:t>
                  </w:r>
                </w:p>
              </w:tc>
              <w:tc>
                <w:tcPr>
                  <w:tcW w:w="641" w:type="dxa"/>
                  <w:shd w:val="clear" w:color="auto" w:fill="auto"/>
                  <w:vAlign w:val="center"/>
                </w:tcPr>
                <w:p>
                  <w:pPr>
                    <w:adjustRightInd w:val="0"/>
                    <w:jc w:val="center"/>
                  </w:pP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污染排放控制标准</w:t>
                  </w: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贮存设施产生的废水（包括存设施、作业设备、车辆等清洗废水，贮存罐区积存雨水，贮存事故废水等）应进行收集处理，废水排放应符合GB</w:t>
                  </w:r>
                  <w:r>
                    <w:rPr>
                      <w:rFonts w:hint="eastAsia"/>
                      <w:color w:val="auto"/>
                      <w:szCs w:val="21"/>
                      <w:lang w:eastAsia="zh-CN"/>
                    </w:rPr>
                    <w:t>****</w:t>
                  </w:r>
                  <w:r>
                    <w:rPr>
                      <w:rFonts w:hint="eastAsia"/>
                      <w:color w:val="auto"/>
                      <w:szCs w:val="21"/>
                    </w:rPr>
                    <w:t>规定的要求。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本项目不产生生活水，不新增生产废水。</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存设施产生的废气（含无组织废气）的排放应符合GB</w:t>
                  </w:r>
                  <w:r>
                    <w:rPr>
                      <w:rFonts w:hint="eastAsia"/>
                      <w:color w:val="auto"/>
                      <w:szCs w:val="21"/>
                      <w:lang w:eastAsia="zh-CN"/>
                    </w:rPr>
                    <w:t>*****</w:t>
                  </w:r>
                  <w:r>
                    <w:rPr>
                      <w:rFonts w:hint="eastAsia"/>
                      <w:color w:val="auto"/>
                      <w:szCs w:val="21"/>
                    </w:rPr>
                    <w:t>和GB</w:t>
                  </w:r>
                  <w:r>
                    <w:rPr>
                      <w:rFonts w:hint="eastAsia"/>
                      <w:color w:val="auto"/>
                      <w:szCs w:val="21"/>
                      <w:lang w:eastAsia="zh-CN"/>
                    </w:rPr>
                    <w:t>*****</w:t>
                  </w:r>
                  <w:r>
                    <w:rPr>
                      <w:rFonts w:hint="eastAsia"/>
                      <w:color w:val="auto"/>
                      <w:szCs w:val="21"/>
                    </w:rPr>
                    <w:t>规定的要求。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根据后文计算，项目无组织废气满足GB</w:t>
                  </w:r>
                  <w:r>
                    <w:rPr>
                      <w:rFonts w:hint="eastAsia"/>
                      <w:color w:val="auto"/>
                      <w:szCs w:val="21"/>
                      <w:lang w:eastAsia="zh-CN"/>
                    </w:rPr>
                    <w:t>*****</w:t>
                  </w:r>
                  <w:r>
                    <w:rPr>
                      <w:rFonts w:hint="eastAsia"/>
                      <w:color w:val="auto"/>
                      <w:szCs w:val="21"/>
                    </w:rPr>
                    <w:t>中项目要求。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贮存设施产生的恶臭气体的排放应符合GB</w:t>
                  </w:r>
                  <w:r>
                    <w:rPr>
                      <w:rFonts w:hint="eastAsia"/>
                      <w:color w:val="auto"/>
                      <w:szCs w:val="21"/>
                      <w:lang w:eastAsia="zh-CN"/>
                    </w:rPr>
                    <w:t>*****</w:t>
                  </w:r>
                  <w:r>
                    <w:rPr>
                      <w:rFonts w:hint="eastAsia"/>
                      <w:color w:val="auto"/>
                      <w:szCs w:val="21"/>
                    </w:rPr>
                    <w:t>规定的要求。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根据核算，项目恶臭气体排放满足GB</w:t>
                  </w:r>
                  <w:r>
                    <w:rPr>
                      <w:rFonts w:hint="eastAsia"/>
                      <w:color w:val="auto"/>
                      <w:szCs w:val="21"/>
                      <w:lang w:eastAsia="zh-CN"/>
                    </w:rPr>
                    <w:t>*****</w:t>
                  </w:r>
                  <w:r>
                    <w:rPr>
                      <w:rFonts w:hint="eastAsia"/>
                      <w:color w:val="auto"/>
                      <w:szCs w:val="21"/>
                    </w:rPr>
                    <w:t>规定的要求。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贮存设施内产生以及清理的固体废物应按固体废物分类管理要求妥善处理。</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项目产生的固体废物均要求置于相应暂存区并妥善处置。</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贮存设施排放的环境噪声应符合GB</w:t>
                  </w:r>
                  <w:r>
                    <w:rPr>
                      <w:rFonts w:hint="eastAsia"/>
                      <w:color w:val="auto"/>
                      <w:szCs w:val="21"/>
                      <w:lang w:eastAsia="zh-CN"/>
                    </w:rPr>
                    <w:t>*****</w:t>
                  </w:r>
                  <w:r>
                    <w:rPr>
                      <w:rFonts w:hint="eastAsia"/>
                      <w:color w:val="auto"/>
                      <w:szCs w:val="21"/>
                    </w:rPr>
                    <w:t>规定的要求。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根据后文预测，项目运行后，噪声符合GB</w:t>
                  </w:r>
                  <w:r>
                    <w:rPr>
                      <w:rFonts w:hint="eastAsia"/>
                      <w:color w:val="auto"/>
                      <w:szCs w:val="21"/>
                      <w:lang w:eastAsia="zh-CN"/>
                    </w:rPr>
                    <w:t>*****</w:t>
                  </w:r>
                  <w:r>
                    <w:rPr>
                      <w:rFonts w:hint="eastAsia"/>
                      <w:color w:val="auto"/>
                      <w:szCs w:val="21"/>
                    </w:rPr>
                    <w:t>规定的要求。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环境监测要求</w:t>
                  </w: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贮存设施的环境监测应纳入主体设施的环境监测计划。</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项目贮存设施即为主体设施，且已制定监测计划</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贮存设施所有者或运营者应依据《大气污染防治法》《水污染防治法》《土壤污染防治法》等有关法律、《排污许可管理条例》等行政法规和 HJ</w:t>
                  </w:r>
                  <w:r>
                    <w:rPr>
                      <w:rFonts w:hint="eastAsia"/>
                      <w:color w:val="auto"/>
                      <w:szCs w:val="21"/>
                      <w:lang w:eastAsia="zh-CN"/>
                    </w:rPr>
                    <w:t>***</w:t>
                  </w:r>
                  <w:r>
                    <w:rPr>
                      <w:rFonts w:hint="eastAsia"/>
                      <w:color w:val="auto"/>
                      <w:szCs w:val="21"/>
                    </w:rPr>
                    <w:t>、HJ</w:t>
                  </w:r>
                  <w:r>
                    <w:rPr>
                      <w:rFonts w:hint="eastAsia"/>
                      <w:color w:val="auto"/>
                      <w:szCs w:val="21"/>
                      <w:lang w:eastAsia="zh-CN"/>
                    </w:rPr>
                    <w:t>****</w:t>
                  </w:r>
                  <w:r>
                    <w:rPr>
                      <w:rFonts w:hint="eastAsia"/>
                      <w:color w:val="auto"/>
                      <w:szCs w:val="21"/>
                    </w:rPr>
                    <w:t>等规定制订监测方案，对贮存设施污染物排放状况开展自行监测，保存原始监测记录，并公布监测结果。</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已制定监测计划，运行阶段应按已制定的监测方案展开自行监测，保存原始监测记录，并公布监测结果。</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贮存设施废水污染物排放的监测方法和监测指标应符合国家相关标准要求</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本项目不产生生活水，不新增生产废水。</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H</w:t>
                  </w:r>
                  <w:r>
                    <w:rPr>
                      <w:color w:val="auto"/>
                      <w:szCs w:val="21"/>
                    </w:rPr>
                    <w:t>J</w:t>
                  </w:r>
                  <w:r>
                    <w:rPr>
                      <w:rFonts w:hint="eastAsia"/>
                      <w:color w:val="auto"/>
                      <w:szCs w:val="21"/>
                    </w:rPr>
                    <w:t>259 规定的危险废物环境重点监管单位贮存设施地下水环境监测点布设应符合HJ164要求监测因子应根据贮存废物的特性选择具有代表性且能表征危险废物特性的指标，地下水监测因子分析方法按照GB/T</w:t>
                  </w:r>
                  <w:r>
                    <w:rPr>
                      <w:rFonts w:hint="eastAsia"/>
                      <w:color w:val="auto"/>
                      <w:szCs w:val="21"/>
                      <w:lang w:eastAsia="zh-CN"/>
                    </w:rPr>
                    <w:t>*****</w:t>
                  </w:r>
                  <w:r>
                    <w:rPr>
                      <w:rFonts w:hint="eastAsia"/>
                      <w:color w:val="auto"/>
                      <w:szCs w:val="21"/>
                    </w:rPr>
                    <w:t>执行。</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项目已依据《工业企业土壤和地下水自行监测技术指南（试行）》（H</w:t>
                  </w:r>
                  <w:r>
                    <w:rPr>
                      <w:color w:val="auto"/>
                      <w:szCs w:val="21"/>
                    </w:rPr>
                    <w:t>J</w:t>
                  </w:r>
                  <w:r>
                    <w:rPr>
                      <w:rFonts w:hint="eastAsia"/>
                      <w:color w:val="auto"/>
                      <w:szCs w:val="21"/>
                      <w:lang w:eastAsia="zh-CN"/>
                    </w:rPr>
                    <w:t>****</w:t>
                  </w:r>
                  <w:r>
                    <w:rPr>
                      <w:color w:val="auto"/>
                      <w:szCs w:val="21"/>
                    </w:rPr>
                    <w:t>-2021</w:t>
                  </w:r>
                  <w:r>
                    <w:rPr>
                      <w:rFonts w:hint="eastAsia"/>
                      <w:color w:val="auto"/>
                      <w:szCs w:val="21"/>
                    </w:rPr>
                    <w:t>）制定地下水监测方案。</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配有收集净化系统的贮存设施大气污染物排放的监测采样应按GB/T</w:t>
                  </w:r>
                  <w:r>
                    <w:rPr>
                      <w:rFonts w:hint="eastAsia"/>
                      <w:color w:val="auto"/>
                      <w:szCs w:val="21"/>
                      <w:lang w:eastAsia="zh-CN"/>
                    </w:rPr>
                    <w:t>*****</w:t>
                  </w:r>
                  <w:r>
                    <w:rPr>
                      <w:rFonts w:hint="eastAsia"/>
                      <w:color w:val="auto"/>
                      <w:szCs w:val="21"/>
                    </w:rPr>
                    <w:t>、HJ/T397、HJ732的规定执行。</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项目新增废气处理系统采样监测要求按GB/T</w:t>
                  </w:r>
                  <w:r>
                    <w:rPr>
                      <w:rFonts w:hint="eastAsia"/>
                      <w:color w:val="auto"/>
                      <w:szCs w:val="21"/>
                      <w:lang w:eastAsia="zh-CN"/>
                    </w:rPr>
                    <w:t>*****</w:t>
                  </w:r>
                  <w:r>
                    <w:rPr>
                      <w:rFonts w:hint="eastAsia"/>
                      <w:color w:val="auto"/>
                      <w:szCs w:val="21"/>
                    </w:rPr>
                    <w:t>、HJ/T397、HJ732的要求进行。</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贮存设施无组织气体排放监测因子应根据贮存废物的特性选择具有代表性且能表征危险废物特性的指标：采样点布设、采样及监测方法可按 HJ/T 5的规定执行，VOCs的无组织排放监测还应符合GB</w:t>
                  </w:r>
                  <w:r>
                    <w:rPr>
                      <w:rFonts w:hint="eastAsia"/>
                      <w:color w:val="auto"/>
                      <w:szCs w:val="21"/>
                      <w:lang w:eastAsia="zh-CN"/>
                    </w:rPr>
                    <w:t>*****</w:t>
                  </w:r>
                  <w:r>
                    <w:rPr>
                      <w:rFonts w:hint="eastAsia"/>
                      <w:color w:val="auto"/>
                      <w:szCs w:val="21"/>
                    </w:rPr>
                    <w:t>的规定。</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项目已制定无组织废气监测计划，并满足相关标准要求。</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pStyle w:val="28"/>
                    <w:spacing w:line="360" w:lineRule="exact"/>
                    <w:rPr>
                      <w:color w:val="auto"/>
                      <w:kern w:val="0"/>
                      <w:szCs w:val="21"/>
                    </w:rP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贮存设施恶臭气体的排放监测应符合GB</w:t>
                  </w:r>
                  <w:r>
                    <w:rPr>
                      <w:rFonts w:hint="eastAsia"/>
                      <w:color w:val="auto"/>
                      <w:szCs w:val="21"/>
                      <w:lang w:eastAsia="zh-CN"/>
                    </w:rPr>
                    <w:t>*****</w:t>
                  </w:r>
                  <w:r>
                    <w:rPr>
                      <w:rFonts w:hint="eastAsia"/>
                      <w:color w:val="auto"/>
                      <w:szCs w:val="21"/>
                    </w:rPr>
                    <w:t>、HJ905的规定</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不涉及。</w:t>
                  </w:r>
                </w:p>
              </w:tc>
              <w:tc>
                <w:tcPr>
                  <w:tcW w:w="641" w:type="dxa"/>
                  <w:shd w:val="clear" w:color="auto" w:fill="auto"/>
                  <w:vAlign w:val="center"/>
                </w:tcPr>
                <w:p>
                  <w:pPr>
                    <w:adjustRightInd w:val="0"/>
                    <w:jc w:val="center"/>
                  </w:pP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环境应急要求</w:t>
                  </w: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贮存设施所有者或运营者应按照国家有关规定编制突发环境事件应急预案，定期开展必要的培训和环境应急演练，并做好培训、演练记录。</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项目运行前应完成应急预案的修订并备案。</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adjustRightInd w:val="0"/>
                    <w:jc w:val="cente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贮存设施所有者或运营者应配备满足其突发环境事件应急要求的应急人员、装备和物资，并应设置应急照明系统。</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项目运行前应按应急预案要求，完善应急人员、装备和物资的设置，并设置应急照明系统。</w:t>
                  </w:r>
                </w:p>
              </w:tc>
              <w:tc>
                <w:tcPr>
                  <w:tcW w:w="641" w:type="dxa"/>
                  <w:shd w:val="clear" w:color="auto" w:fill="auto"/>
                  <w:vAlign w:val="center"/>
                </w:tcPr>
                <w:p>
                  <w:pPr>
                    <w:adjustRightInd w:val="0"/>
                    <w:jc w:val="cente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6" w:type="dxa"/>
                  <w:vMerge w:val="continue"/>
                  <w:shd w:val="clear" w:color="auto" w:fill="auto"/>
                  <w:vAlign w:val="center"/>
                </w:tcPr>
                <w:p>
                  <w:pPr>
                    <w:adjustRightInd w:val="0"/>
                    <w:jc w:val="center"/>
                  </w:pPr>
                </w:p>
              </w:tc>
              <w:tc>
                <w:tcPr>
                  <w:tcW w:w="4203"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相关部门发布自然灾害或恶劣天气预警后，贮存设施所有者或运营者应启动相应防控措施，若有必要可将危险废物转移至其他具有防护条件的地点贮存。</w:t>
                  </w:r>
                </w:p>
              </w:tc>
              <w:tc>
                <w:tcPr>
                  <w:tcW w:w="3168" w:type="dxa"/>
                  <w:shd w:val="clear" w:color="auto" w:fill="auto"/>
                  <w:vAlign w:val="center"/>
                </w:tcPr>
                <w:p>
                  <w:pPr>
                    <w:pStyle w:val="28"/>
                    <w:spacing w:line="360" w:lineRule="exact"/>
                    <w:ind w:firstLine="210" w:firstLineChars="100"/>
                    <w:jc w:val="both"/>
                    <w:rPr>
                      <w:color w:val="auto"/>
                      <w:szCs w:val="21"/>
                    </w:rPr>
                  </w:pPr>
                  <w:r>
                    <w:rPr>
                      <w:rFonts w:hint="eastAsia"/>
                      <w:color w:val="auto"/>
                      <w:szCs w:val="21"/>
                    </w:rPr>
                    <w:t>相关部门发布自然灾害或恶劣天气预警后，建设单位应启动相应防控措施，若有必要可将危险废物转移至其他具有防护条件的地点贮存。</w:t>
                  </w:r>
                </w:p>
              </w:tc>
              <w:tc>
                <w:tcPr>
                  <w:tcW w:w="641" w:type="dxa"/>
                  <w:shd w:val="clear" w:color="auto" w:fill="auto"/>
                  <w:vAlign w:val="center"/>
                </w:tcPr>
                <w:p>
                  <w:pPr>
                    <w:adjustRightInd w:val="0"/>
                    <w:jc w:val="center"/>
                  </w:pPr>
                  <w:r>
                    <w:rPr>
                      <w:rFonts w:hint="eastAsia"/>
                    </w:rPr>
                    <w:t>符合</w:t>
                  </w:r>
                </w:p>
              </w:tc>
            </w:tr>
          </w:tbl>
          <w:p>
            <w:pPr>
              <w:spacing w:beforeLines="50" w:line="360" w:lineRule="auto"/>
              <w:ind w:firstLine="360" w:firstLineChars="150"/>
              <w:outlineLvl w:val="0"/>
              <w:rPr>
                <w:rFonts w:ascii="Times New Roman" w:hAnsi="Times New Roman" w:cs="Times New Roman"/>
                <w:sz w:val="24"/>
                <w:szCs w:val="24"/>
              </w:rPr>
            </w:pPr>
            <w:r>
              <w:rPr>
                <w:rFonts w:hint="eastAsia" w:ascii="Times New Roman" w:hAnsi="Times New Roman" w:cs="Times New Roman"/>
                <w:sz w:val="24"/>
                <w:szCs w:val="24"/>
              </w:rPr>
              <w:t>综上，项目建设符合《危险废物贮存污染控制标准》（GB</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w:t>
            </w:r>
            <w:r>
              <w:rPr>
                <w:rFonts w:ascii="Times New Roman" w:hAnsi="Times New Roman" w:cs="Times New Roman"/>
                <w:sz w:val="24"/>
                <w:szCs w:val="24"/>
              </w:rPr>
              <w:t>23</w:t>
            </w:r>
            <w:r>
              <w:rPr>
                <w:rFonts w:hint="eastAsia" w:ascii="Times New Roman" w:hAnsi="Times New Roman" w:cs="Times New Roman"/>
                <w:sz w:val="24"/>
                <w:szCs w:val="24"/>
              </w:rPr>
              <w:t>）的相关要求。</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（8）与《危险废物收集 贮存 运输技术规范》（</w:t>
            </w:r>
            <w:r>
              <w:rPr>
                <w:rFonts w:ascii="Times New Roman" w:hAnsi="Times New Roman" w:cs="Times New Roman"/>
                <w:b/>
                <w:sz w:val="24"/>
                <w:szCs w:val="24"/>
              </w:rPr>
              <w:t>HJ 2025-2012</w:t>
            </w:r>
            <w:r>
              <w:rPr>
                <w:rFonts w:hint="eastAsia" w:ascii="Times New Roman" w:hAnsi="Times New Roman" w:cs="Times New Roman"/>
                <w:b/>
                <w:sz w:val="24"/>
                <w:szCs w:val="24"/>
              </w:rPr>
              <w:t>）符合性分析</w:t>
            </w:r>
          </w:p>
          <w:p>
            <w:pPr>
              <w:spacing w:line="360" w:lineRule="auto"/>
              <w:ind w:firstLine="360" w:firstLineChars="150"/>
              <w:outlineLvl w:val="0"/>
              <w:rPr>
                <w:rFonts w:ascii="Times New Roman" w:hAnsi="Times New Roman" w:cs="Times New Roman"/>
                <w:sz w:val="24"/>
                <w:szCs w:val="24"/>
              </w:rPr>
            </w:pPr>
            <w:r>
              <w:rPr>
                <w:rFonts w:hint="eastAsia" w:ascii="Times New Roman" w:hAnsi="Times New Roman" w:cs="Times New Roman"/>
                <w:sz w:val="24"/>
                <w:szCs w:val="24"/>
              </w:rPr>
              <w:t>项目与《危险废物收集 贮存 运输技术规范》（</w:t>
            </w:r>
            <w:r>
              <w:rPr>
                <w:rFonts w:ascii="Times New Roman" w:hAnsi="Times New Roman" w:cs="Times New Roman"/>
                <w:sz w:val="24"/>
                <w:szCs w:val="24"/>
              </w:rPr>
              <w:t>HJ 2025-2012</w:t>
            </w:r>
            <w:r>
              <w:rPr>
                <w:rFonts w:hint="eastAsia" w:ascii="Times New Roman" w:hAnsi="Times New Roman" w:cs="Times New Roman"/>
                <w:sz w:val="24"/>
                <w:szCs w:val="24"/>
              </w:rPr>
              <w:t>）的相符性分析内容见下表。</w:t>
            </w:r>
          </w:p>
          <w:p>
            <w:pPr>
              <w:jc w:val="center"/>
              <w:rPr>
                <w:rFonts w:ascii="Times New Roman" w:hAnsi="Times New Roman" w:cs="Times New Roman"/>
                <w:b/>
              </w:rPr>
            </w:pPr>
            <w:r>
              <w:rPr>
                <w:rFonts w:hint="eastAsia" w:ascii="Times New Roman" w:hAnsi="Times New Roman" w:cs="Times New Roman"/>
                <w:b/>
              </w:rPr>
              <w:t>表1-9 与《危险废物收集 贮存 运输技术规范》（</w:t>
            </w:r>
            <w:r>
              <w:rPr>
                <w:rFonts w:ascii="Times New Roman" w:hAnsi="Times New Roman" w:cs="Times New Roman"/>
                <w:b/>
              </w:rPr>
              <w:t>HJ 2025-2012</w:t>
            </w:r>
            <w:r>
              <w:rPr>
                <w:rFonts w:hint="eastAsia" w:ascii="Times New Roman" w:hAnsi="Times New Roman" w:cs="Times New Roman"/>
                <w:b/>
              </w:rPr>
              <w:t>）符合性分析</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0"/>
              <w:gridCol w:w="4095"/>
              <w:gridCol w:w="3402"/>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8"/>
                    <w:spacing w:line="360" w:lineRule="exact"/>
                    <w:rPr>
                      <w:color w:val="auto"/>
                      <w:kern w:val="0"/>
                      <w:szCs w:val="21"/>
                    </w:rPr>
                  </w:pPr>
                  <w:r>
                    <w:rPr>
                      <w:rFonts w:hint="eastAsia"/>
                      <w:color w:val="auto"/>
                      <w:kern w:val="0"/>
                      <w:szCs w:val="21"/>
                    </w:rPr>
                    <w:t>序号</w:t>
                  </w:r>
                </w:p>
              </w:tc>
              <w:tc>
                <w:tcPr>
                  <w:tcW w:w="4095" w:type="dxa"/>
                  <w:vAlign w:val="center"/>
                </w:tcPr>
                <w:p>
                  <w:pPr>
                    <w:pStyle w:val="28"/>
                    <w:spacing w:line="360" w:lineRule="exact"/>
                    <w:rPr>
                      <w:color w:val="auto"/>
                      <w:kern w:val="0"/>
                      <w:szCs w:val="21"/>
                    </w:rPr>
                  </w:pPr>
                  <w:r>
                    <w:rPr>
                      <w:rFonts w:hint="eastAsia"/>
                      <w:color w:val="auto"/>
                      <w:kern w:val="0"/>
                      <w:szCs w:val="21"/>
                    </w:rPr>
                    <w:t>《危险废物收集 贮存 运输技术规范》（</w:t>
                  </w:r>
                  <w:r>
                    <w:rPr>
                      <w:color w:val="auto"/>
                      <w:kern w:val="0"/>
                      <w:szCs w:val="21"/>
                    </w:rPr>
                    <w:t>HJ 2025-2012</w:t>
                  </w:r>
                  <w:r>
                    <w:rPr>
                      <w:rFonts w:hint="eastAsia"/>
                      <w:color w:val="auto"/>
                      <w:kern w:val="0"/>
                      <w:szCs w:val="21"/>
                    </w:rPr>
                    <w:t>）要求</w:t>
                  </w:r>
                </w:p>
              </w:tc>
              <w:tc>
                <w:tcPr>
                  <w:tcW w:w="3402" w:type="dxa"/>
                  <w:vAlign w:val="center"/>
                </w:tcPr>
                <w:p>
                  <w:pPr>
                    <w:pStyle w:val="28"/>
                    <w:spacing w:line="360" w:lineRule="exact"/>
                    <w:rPr>
                      <w:color w:val="auto"/>
                      <w:kern w:val="0"/>
                      <w:szCs w:val="21"/>
                    </w:rPr>
                  </w:pPr>
                  <w:r>
                    <w:rPr>
                      <w:rFonts w:hint="eastAsia"/>
                      <w:color w:val="auto"/>
                      <w:kern w:val="0"/>
                      <w:szCs w:val="21"/>
                    </w:rPr>
                    <w:t>该项目实际情况</w:t>
                  </w:r>
                </w:p>
              </w:tc>
              <w:tc>
                <w:tcPr>
                  <w:tcW w:w="641" w:type="dxa"/>
                  <w:vAlign w:val="center"/>
                </w:tcPr>
                <w:p>
                  <w:pPr>
                    <w:pStyle w:val="28"/>
                    <w:spacing w:line="360" w:lineRule="exact"/>
                    <w:rPr>
                      <w:color w:val="auto"/>
                      <w:kern w:val="0"/>
                      <w:szCs w:val="21"/>
                    </w:rPr>
                  </w:pPr>
                  <w:r>
                    <w:rPr>
                      <w:rFonts w:hint="eastAsia"/>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8"/>
                    <w:spacing w:line="360" w:lineRule="exact"/>
                    <w:rPr>
                      <w:color w:val="auto"/>
                      <w:kern w:val="0"/>
                      <w:szCs w:val="21"/>
                    </w:rPr>
                  </w:pPr>
                  <w:r>
                    <w:rPr>
                      <w:rFonts w:hint="eastAsia"/>
                      <w:color w:val="auto"/>
                      <w:kern w:val="0"/>
                      <w:szCs w:val="21"/>
                    </w:rPr>
                    <w:t>1</w:t>
                  </w:r>
                </w:p>
              </w:tc>
              <w:tc>
                <w:tcPr>
                  <w:tcW w:w="4095" w:type="dxa"/>
                  <w:vAlign w:val="center"/>
                </w:tcPr>
                <w:p>
                  <w:pPr>
                    <w:pStyle w:val="28"/>
                    <w:spacing w:line="360" w:lineRule="exact"/>
                    <w:ind w:firstLine="210" w:firstLineChars="100"/>
                    <w:jc w:val="both"/>
                    <w:rPr>
                      <w:color w:val="auto"/>
                      <w:szCs w:val="21"/>
                    </w:rPr>
                  </w:pPr>
                  <w:r>
                    <w:rPr>
                      <w:color w:val="auto"/>
                      <w:szCs w:val="21"/>
                    </w:rPr>
                    <w:t xml:space="preserve">4.1 </w:t>
                  </w:r>
                  <w:r>
                    <w:rPr>
                      <w:rFonts w:hint="eastAsia"/>
                      <w:color w:val="auto"/>
                      <w:szCs w:val="21"/>
                    </w:rPr>
                    <w:t>从事危险废物收集、贮存、运输经营活动的单位应具有危险废物经营许可证。在收集、贮存、运输危险废物时，应根据危险废物收集、贮存、处置经营许可证核发的有关规定建立应的规章制度和污染防治措施，包括危险废物分析管理制度、安全管理制度、污染防治措施等；危险废物产生单位内部自行从事的危险废物收集、贮存、运输活动应遵照国家相关管理规定，建立健全规章制度及操作流程，确保该过程的安全、可靠。</w:t>
                  </w:r>
                </w:p>
              </w:tc>
              <w:tc>
                <w:tcPr>
                  <w:tcW w:w="3402" w:type="dxa"/>
                  <w:vAlign w:val="center"/>
                </w:tcPr>
                <w:p>
                  <w:pPr>
                    <w:pStyle w:val="28"/>
                    <w:spacing w:line="360" w:lineRule="exact"/>
                    <w:ind w:firstLine="210" w:firstLineChars="100"/>
                    <w:jc w:val="both"/>
                    <w:rPr>
                      <w:color w:val="auto"/>
                      <w:szCs w:val="21"/>
                    </w:rPr>
                  </w:pPr>
                  <w:r>
                    <w:rPr>
                      <w:color w:val="auto"/>
                      <w:szCs w:val="21"/>
                    </w:rPr>
                    <w:t>该项目属于小微企业危险废物收集试点项目</w:t>
                  </w:r>
                  <w:r>
                    <w:rPr>
                      <w:rFonts w:hint="eastAsia"/>
                      <w:color w:val="auto"/>
                      <w:szCs w:val="21"/>
                    </w:rPr>
                    <w:t>，根据《云南省生态环境厅关于印发云南省小微企业危险废物收集试点工作方案的通知》（云环通【2022】168号）的要求，该项目提交</w:t>
                  </w:r>
                  <w:r>
                    <w:rPr>
                      <w:color w:val="auto"/>
                      <w:szCs w:val="21"/>
                    </w:rPr>
                    <w:t>本方案所明确的试点条件准备申请材料，向所在州（市）生态环境局申请危险废物收集经营许可证</w:t>
                  </w:r>
                  <w:r>
                    <w:rPr>
                      <w:rFonts w:hint="eastAsia"/>
                      <w:color w:val="auto"/>
                      <w:szCs w:val="21"/>
                    </w:rPr>
                    <w:t>后，方可开展收集工作。并采取环评提出的污染防治措施，建立规章制度和明确操作流程。</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8"/>
                    <w:spacing w:line="360" w:lineRule="exact"/>
                    <w:rPr>
                      <w:color w:val="auto"/>
                      <w:szCs w:val="21"/>
                    </w:rPr>
                  </w:pPr>
                  <w:r>
                    <w:rPr>
                      <w:rFonts w:hint="eastAsia"/>
                      <w:color w:val="auto"/>
                      <w:szCs w:val="21"/>
                    </w:rPr>
                    <w:t>2</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4.2 </w:t>
                  </w:r>
                  <w:r>
                    <w:rPr>
                      <w:rFonts w:hint="eastAsia" w:ascii="Times New Roman" w:hAnsi="Times New Roman" w:eastAsia="宋体" w:cs="Times New Roman"/>
                      <w:bCs/>
                      <w:snapToGrid w:val="0"/>
                      <w:kern w:val="32"/>
                      <w:lang w:val="zh-CN"/>
                    </w:rPr>
                    <w:t>危险废物转移过程应按《危险废物转移联单管理办法》执行。</w:t>
                  </w:r>
                </w:p>
              </w:tc>
              <w:tc>
                <w:tcPr>
                  <w:tcW w:w="3402"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建设单位将严格执行《危险废物转移联单管理办法》的相关要求。</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3</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4.3 </w:t>
                  </w:r>
                  <w:r>
                    <w:rPr>
                      <w:rFonts w:hint="eastAsia" w:ascii="Times New Roman" w:hAnsi="Times New Roman" w:eastAsia="宋体" w:cs="Times New Roman"/>
                      <w:bCs/>
                      <w:snapToGrid w:val="0"/>
                      <w:kern w:val="32"/>
                      <w:lang w:val="zh-CN"/>
                    </w:rPr>
                    <w:t>危险废物收集、贮存、运输单位应建立规范的管理和技术人员培训制度，定期针对管理和技术人员进行培训。培训内容至少应包括危险废物鉴别要求、危险废物经营许可证管理、危险废物转移联单管理、危险废物包装和标识、危险废物运输要求、危险废物事故应急方法等。</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建设单位已规范要求制定了管理和技术人员培训制度。</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8"/>
                    <w:spacing w:line="360" w:lineRule="exact"/>
                    <w:rPr>
                      <w:color w:val="auto"/>
                      <w:szCs w:val="21"/>
                    </w:rPr>
                  </w:pPr>
                  <w:r>
                    <w:rPr>
                      <w:rFonts w:hint="eastAsia"/>
                      <w:color w:val="auto"/>
                      <w:szCs w:val="21"/>
                    </w:rPr>
                    <w:t>4</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4.4 </w:t>
                  </w:r>
                  <w:r>
                    <w:rPr>
                      <w:rFonts w:hint="eastAsia" w:ascii="Times New Roman" w:hAnsi="Times New Roman" w:eastAsia="宋体" w:cs="Times New Roman"/>
                      <w:bCs/>
                      <w:snapToGrid w:val="0"/>
                      <w:kern w:val="32"/>
                      <w:lang w:val="zh-CN"/>
                    </w:rPr>
                    <w:t>危险废物收集、贮存、运输单位应编制应急预案。应急预案编制可参照《危险废物经营单位编制应急预案指南》，涉及运输的相关内容还应符合交通行政主管部门的有关规定。针对危险废物收集、贮存、运输过程中的事故易发环节应定期组织应急演练。</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项目建成后将严格制定应急预案，并危险废物收集、贮存、运输过程中的事故易发环节应定期组织应急演练。</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8"/>
                    <w:spacing w:line="360" w:lineRule="exact"/>
                    <w:rPr>
                      <w:color w:val="auto"/>
                      <w:szCs w:val="21"/>
                    </w:rPr>
                  </w:pPr>
                  <w:r>
                    <w:rPr>
                      <w:rFonts w:hint="eastAsia"/>
                      <w:color w:val="auto"/>
                      <w:szCs w:val="21"/>
                    </w:rPr>
                    <w:t>5</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4.5 </w:t>
                  </w:r>
                  <w:r>
                    <w:rPr>
                      <w:rFonts w:hint="eastAsia" w:ascii="Times New Roman" w:hAnsi="Times New Roman" w:eastAsia="宋体" w:cs="Times New Roman"/>
                      <w:bCs/>
                      <w:snapToGrid w:val="0"/>
                      <w:kern w:val="32"/>
                      <w:lang w:val="zh-CN"/>
                    </w:rPr>
                    <w:t>危险废物收集、贮存、运输过程中一旦发生意外事故，收集、贮存、运输单位及相关部门应根据风险程度采取如下措施：</w:t>
                  </w:r>
                </w:p>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w:t>
                  </w:r>
                  <w:r>
                    <w:rPr>
                      <w:rFonts w:hint="eastAsia" w:ascii="Times New Roman" w:hAnsi="Times New Roman" w:eastAsia="宋体" w:cs="Times New Roman"/>
                      <w:bCs/>
                      <w:snapToGrid w:val="0"/>
                      <w:kern w:val="32"/>
                      <w:lang w:val="zh-CN"/>
                    </w:rPr>
                    <w:t>设立事故警戒线，启动应急预案，并按《环境保护行政主管部门突发环境事件信息报告办法</w:t>
                  </w:r>
                  <w:r>
                    <w:rPr>
                      <w:rFonts w:ascii="Times New Roman" w:hAnsi="Times New Roman" w:eastAsia="宋体" w:cs="Times New Roman"/>
                      <w:bCs/>
                      <w:snapToGrid w:val="0"/>
                      <w:kern w:val="32"/>
                      <w:lang w:val="zh-CN"/>
                    </w:rPr>
                    <w:t>(</w:t>
                  </w:r>
                  <w:r>
                    <w:rPr>
                      <w:rFonts w:hint="eastAsia" w:ascii="Times New Roman" w:hAnsi="Times New Roman" w:eastAsia="宋体" w:cs="Times New Roman"/>
                      <w:bCs/>
                      <w:snapToGrid w:val="0"/>
                      <w:kern w:val="32"/>
                      <w:lang w:val="zh-CN"/>
                    </w:rPr>
                    <w:t>试行</w:t>
                  </w:r>
                  <w:r>
                    <w:rPr>
                      <w:rFonts w:ascii="Times New Roman" w:hAnsi="Times New Roman" w:eastAsia="宋体" w:cs="Times New Roman"/>
                      <w:bCs/>
                      <w:snapToGrid w:val="0"/>
                      <w:kern w:val="32"/>
                      <w:lang w:val="zh-CN"/>
                    </w:rPr>
                    <w:t>)</w:t>
                  </w:r>
                  <w:r>
                    <w:rPr>
                      <w:rFonts w:hint="eastAsia" w:ascii="Times New Roman" w:hAnsi="Times New Roman" w:eastAsia="宋体" w:cs="Times New Roman"/>
                      <w:bCs/>
                      <w:snapToGrid w:val="0"/>
                      <w:kern w:val="32"/>
                      <w:lang w:val="zh-CN"/>
                    </w:rPr>
                    <w:t>》（环发</w:t>
                  </w:r>
                  <w:r>
                    <w:rPr>
                      <w:rFonts w:ascii="Times New Roman" w:hAnsi="Times New Roman" w:eastAsia="宋体" w:cs="Times New Roman"/>
                      <w:bCs/>
                      <w:snapToGrid w:val="0"/>
                      <w:kern w:val="32"/>
                      <w:lang w:val="zh-CN"/>
                    </w:rPr>
                    <w:t>[2006]50</w:t>
                  </w:r>
                  <w:r>
                    <w:rPr>
                      <w:rFonts w:hint="eastAsia" w:ascii="Times New Roman" w:hAnsi="Times New Roman" w:eastAsia="宋体" w:cs="Times New Roman"/>
                      <w:bCs/>
                      <w:snapToGrid w:val="0"/>
                      <w:kern w:val="32"/>
                      <w:lang w:val="zh-CN"/>
                    </w:rPr>
                    <w:t>号）要求进行报告。</w:t>
                  </w:r>
                </w:p>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w:t>
                  </w:r>
                  <w:r>
                    <w:rPr>
                      <w:rFonts w:hint="eastAsia" w:ascii="Times New Roman" w:hAnsi="Times New Roman" w:eastAsia="宋体" w:cs="Times New Roman"/>
                      <w:bCs/>
                      <w:snapToGrid w:val="0"/>
                      <w:kern w:val="32"/>
                      <w:lang w:val="zh-CN"/>
                    </w:rPr>
                    <w:t>若造成事故的危险废物具有剧毒性、易燃性、爆炸性或高传染性，应立即疏散人群，并请求环境保护、消防、医疗、公安等相关部门支援。</w:t>
                  </w:r>
                </w:p>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(3)</w:t>
                  </w:r>
                  <w:r>
                    <w:rPr>
                      <w:rFonts w:hint="eastAsia" w:ascii="Times New Roman" w:hAnsi="Times New Roman" w:eastAsia="宋体" w:cs="Times New Roman"/>
                      <w:bCs/>
                      <w:snapToGrid w:val="0"/>
                      <w:kern w:val="32"/>
                      <w:lang w:val="zh-CN"/>
                    </w:rPr>
                    <w:t>对事故现场受到污染的土壤和水体等环境介质应进行相应的清理和修复。</w:t>
                  </w:r>
                </w:p>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(4)</w:t>
                  </w:r>
                  <w:r>
                    <w:rPr>
                      <w:rFonts w:hint="eastAsia" w:ascii="Times New Roman" w:hAnsi="Times New Roman" w:eastAsia="宋体" w:cs="Times New Roman"/>
                      <w:bCs/>
                      <w:snapToGrid w:val="0"/>
                      <w:kern w:val="32"/>
                      <w:lang w:val="zh-CN"/>
                    </w:rPr>
                    <w:t>清理过程中产生的所有废物均应按危险废物进行管理和处置。</w:t>
                  </w:r>
                </w:p>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(5)</w:t>
                  </w:r>
                  <w:r>
                    <w:rPr>
                      <w:rFonts w:hint="eastAsia" w:ascii="Times New Roman" w:hAnsi="Times New Roman" w:eastAsia="宋体" w:cs="Times New Roman"/>
                      <w:bCs/>
                      <w:snapToGrid w:val="0"/>
                      <w:kern w:val="32"/>
                      <w:lang w:val="zh-CN"/>
                    </w:rPr>
                    <w:t>进入现场清理和包装危险废物的人员应受过专业培训，穿着防护服，并佩戴相应的防护用具。</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若危险废物贮存过程中发生意外事故，将严格执行相关措施。</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0" w:type="dxa"/>
                  <w:vAlign w:val="center"/>
                </w:tcPr>
                <w:p>
                  <w:pPr>
                    <w:pStyle w:val="28"/>
                    <w:spacing w:line="360" w:lineRule="exact"/>
                    <w:rPr>
                      <w:color w:val="auto"/>
                      <w:szCs w:val="21"/>
                    </w:rPr>
                  </w:pPr>
                  <w:r>
                    <w:rPr>
                      <w:rFonts w:hint="eastAsia"/>
                      <w:color w:val="auto"/>
                      <w:szCs w:val="21"/>
                    </w:rPr>
                    <w:t>6</w:t>
                  </w:r>
                </w:p>
              </w:tc>
              <w:tc>
                <w:tcPr>
                  <w:tcW w:w="4095" w:type="dxa"/>
                  <w:vAlign w:val="center"/>
                </w:tcPr>
                <w:p>
                  <w:pPr>
                    <w:pStyle w:val="28"/>
                    <w:spacing w:line="360" w:lineRule="exact"/>
                    <w:ind w:firstLine="210" w:firstLineChars="100"/>
                    <w:jc w:val="both"/>
                    <w:rPr>
                      <w:color w:val="auto"/>
                      <w:szCs w:val="21"/>
                    </w:rPr>
                  </w:pPr>
                  <w:r>
                    <w:rPr>
                      <w:color w:val="auto"/>
                      <w:szCs w:val="21"/>
                    </w:rPr>
                    <w:t xml:space="preserve">4.6 </w:t>
                  </w:r>
                  <w:r>
                    <w:rPr>
                      <w:rFonts w:hint="eastAsia"/>
                      <w:color w:val="auto"/>
                      <w:szCs w:val="21"/>
                    </w:rPr>
                    <w:t>危险废物收集、贮存、运输时应按腐蚀性、毒性、易燃性、反应性和感染性等危险特性对危险废物进行分类、包装并设置相应的标志及标签。危险废物特性应根据其产生源特性及</w:t>
                  </w:r>
                  <w:r>
                    <w:rPr>
                      <w:color w:val="auto"/>
                      <w:szCs w:val="21"/>
                    </w:rPr>
                    <w:t>GB</w:t>
                  </w:r>
                  <w:r>
                    <w:rPr>
                      <w:rFonts w:hint="eastAsia"/>
                      <w:color w:val="auto"/>
                      <w:szCs w:val="21"/>
                      <w:lang w:eastAsia="zh-CN"/>
                    </w:rPr>
                    <w:t>****</w:t>
                  </w:r>
                  <w:r>
                    <w:rPr>
                      <w:color w:val="auto"/>
                      <w:szCs w:val="21"/>
                    </w:rPr>
                    <w:t>.1-7</w:t>
                  </w:r>
                  <w:r>
                    <w:rPr>
                      <w:rFonts w:hint="eastAsia"/>
                      <w:color w:val="auto"/>
                      <w:szCs w:val="21"/>
                    </w:rPr>
                    <w:t>、</w:t>
                  </w:r>
                  <w:r>
                    <w:rPr>
                      <w:color w:val="auto"/>
                      <w:szCs w:val="21"/>
                    </w:rPr>
                    <w:t>HJ/T298</w:t>
                  </w:r>
                  <w:r>
                    <w:rPr>
                      <w:rFonts w:hint="eastAsia"/>
                      <w:color w:val="auto"/>
                      <w:szCs w:val="21"/>
                    </w:rPr>
                    <w:t>进行鉴别。</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项目将危险废物进行分类贮存。</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8</w:t>
                  </w:r>
                </w:p>
              </w:tc>
              <w:tc>
                <w:tcPr>
                  <w:tcW w:w="4095" w:type="dxa"/>
                  <w:vAlign w:val="center"/>
                </w:tcPr>
                <w:p>
                  <w:pPr>
                    <w:pStyle w:val="28"/>
                    <w:spacing w:line="360" w:lineRule="exact"/>
                    <w:ind w:firstLine="210" w:firstLineChars="100"/>
                    <w:jc w:val="both"/>
                    <w:rPr>
                      <w:color w:val="auto"/>
                      <w:szCs w:val="21"/>
                    </w:rPr>
                  </w:pPr>
                  <w:r>
                    <w:rPr>
                      <w:color w:val="auto"/>
                      <w:szCs w:val="21"/>
                    </w:rPr>
                    <w:t xml:space="preserve">6.2 </w:t>
                  </w:r>
                  <w:r>
                    <w:rPr>
                      <w:rFonts w:hint="eastAsia"/>
                      <w:color w:val="auto"/>
                      <w:szCs w:val="21"/>
                    </w:rPr>
                    <w:t>危险废物贮存设施的选址、设计、建设、运行管理应满足</w:t>
                  </w:r>
                  <w:r>
                    <w:rPr>
                      <w:color w:val="auto"/>
                      <w:szCs w:val="21"/>
                    </w:rPr>
                    <w:t>GB</w:t>
                  </w:r>
                  <w:r>
                    <w:rPr>
                      <w:rFonts w:hint="eastAsia"/>
                      <w:color w:val="auto"/>
                      <w:szCs w:val="21"/>
                      <w:lang w:eastAsia="zh-CN"/>
                    </w:rPr>
                    <w:t>*****</w:t>
                  </w:r>
                  <w:r>
                    <w:rPr>
                      <w:rFonts w:hint="eastAsia"/>
                      <w:color w:val="auto"/>
                      <w:szCs w:val="21"/>
                    </w:rPr>
                    <w:t>、</w:t>
                  </w:r>
                  <w:r>
                    <w:rPr>
                      <w:color w:val="auto"/>
                      <w:szCs w:val="21"/>
                    </w:rPr>
                    <w:t>GBZ1</w:t>
                  </w:r>
                  <w:r>
                    <w:rPr>
                      <w:rFonts w:hint="eastAsia"/>
                      <w:color w:val="auto"/>
                      <w:szCs w:val="21"/>
                    </w:rPr>
                    <w:t>和</w:t>
                  </w:r>
                  <w:r>
                    <w:rPr>
                      <w:color w:val="auto"/>
                      <w:szCs w:val="21"/>
                    </w:rPr>
                    <w:t>GBZ2</w:t>
                  </w:r>
                  <w:r>
                    <w:rPr>
                      <w:rFonts w:hint="eastAsia"/>
                      <w:color w:val="auto"/>
                      <w:szCs w:val="21"/>
                    </w:rPr>
                    <w:t>的有关要求。</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项目选址、设计、建设、运行管理满足《危险废物贮存污染控制标准》（GB</w:t>
                  </w:r>
                  <w:r>
                    <w:rPr>
                      <w:rFonts w:hint="eastAsia"/>
                      <w:color w:val="auto"/>
                      <w:szCs w:val="21"/>
                      <w:lang w:eastAsia="zh-CN"/>
                    </w:rPr>
                    <w:t>*****</w:t>
                  </w:r>
                  <w:r>
                    <w:rPr>
                      <w:rFonts w:hint="eastAsia"/>
                      <w:color w:val="auto"/>
                      <w:szCs w:val="21"/>
                    </w:rPr>
                    <w:t>-2023）的要求。</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9</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6.3 </w:t>
                  </w:r>
                  <w:r>
                    <w:rPr>
                      <w:rFonts w:hint="eastAsia" w:ascii="Times New Roman" w:hAnsi="Times New Roman" w:eastAsia="宋体" w:cs="Times New Roman"/>
                      <w:bCs/>
                      <w:snapToGrid w:val="0"/>
                      <w:kern w:val="32"/>
                      <w:lang w:val="zh-CN"/>
                    </w:rPr>
                    <w:t>危险废物贮存设施应配备通讯设备、照明设施和消防设施。</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项目区拟配套设置通讯设备、照明设施和消防设施。</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10</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6.4 </w:t>
                  </w:r>
                  <w:r>
                    <w:rPr>
                      <w:rFonts w:hint="eastAsia" w:ascii="Times New Roman" w:hAnsi="Times New Roman" w:eastAsia="宋体" w:cs="Times New Roman"/>
                      <w:bCs/>
                      <w:snapToGrid w:val="0"/>
                      <w:kern w:val="32"/>
                      <w:lang w:val="zh-CN"/>
                    </w:rPr>
                    <w:t>贮存危险废物时应按危险废物的种类和特性进行分区贮存，每个贮存区域之间宜设置挡墙间隔，并应设置防雨、防火、防雷、防扬尘装置。</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项目每个贮存区拟设置挡墙间隔，且库房具备防雨、防扬尘要求，并安装防火、防雷装置。</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11</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6.5 </w:t>
                  </w:r>
                  <w:r>
                    <w:rPr>
                      <w:rFonts w:hint="eastAsia" w:ascii="Times New Roman" w:hAnsi="Times New Roman" w:eastAsia="宋体" w:cs="Times New Roman"/>
                      <w:bCs/>
                      <w:snapToGrid w:val="0"/>
                      <w:kern w:val="32"/>
                      <w:lang w:val="zh-CN"/>
                    </w:rPr>
                    <w:t>贮存易燃易爆危险废物应配置有机气体报警、火灾报警装置和导出静电的接地装置。</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项目贮存库拟配套设置</w:t>
                  </w:r>
                  <w:r>
                    <w:rPr>
                      <w:rFonts w:hint="eastAsia"/>
                      <w:bCs w:val="0"/>
                      <w:color w:val="auto"/>
                    </w:rPr>
                    <w:t>配置有机气体报警、火灾报警装置和导出静电的接地装置。</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13</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6.7 </w:t>
                  </w:r>
                  <w:r>
                    <w:rPr>
                      <w:rFonts w:hint="eastAsia" w:ascii="Times New Roman" w:hAnsi="Times New Roman" w:eastAsia="宋体" w:cs="Times New Roman"/>
                      <w:bCs/>
                      <w:snapToGrid w:val="0"/>
                      <w:kern w:val="32"/>
                      <w:lang w:val="zh-CN"/>
                    </w:rPr>
                    <w:t>危险废物贮存期限应符合《中华人民共和国固体废物污染环境防治法》的有关规定。</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项目贮存期限最长不超过1年。</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14</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6.8 </w:t>
                  </w:r>
                  <w:r>
                    <w:rPr>
                      <w:rFonts w:hint="eastAsia" w:ascii="Times New Roman" w:hAnsi="Times New Roman" w:eastAsia="宋体" w:cs="Times New Roman"/>
                      <w:bCs/>
                      <w:snapToGrid w:val="0"/>
                      <w:kern w:val="32"/>
                      <w:lang w:val="zh-CN"/>
                    </w:rPr>
                    <w:t>危险废物贮存单位应建立危险废物贮存的台帐制度，危险废物出入库交接记录内容应参照本标准附录</w:t>
                  </w:r>
                  <w:r>
                    <w:rPr>
                      <w:rFonts w:ascii="Times New Roman" w:hAnsi="Times New Roman" w:eastAsia="宋体" w:cs="Times New Roman"/>
                      <w:bCs/>
                      <w:snapToGrid w:val="0"/>
                      <w:kern w:val="32"/>
                      <w:lang w:val="zh-CN"/>
                    </w:rPr>
                    <w:t>C</w:t>
                  </w:r>
                  <w:r>
                    <w:rPr>
                      <w:rFonts w:hint="eastAsia" w:ascii="Times New Roman" w:hAnsi="Times New Roman" w:eastAsia="宋体" w:cs="Times New Roman"/>
                      <w:bCs/>
                      <w:snapToGrid w:val="0"/>
                      <w:kern w:val="32"/>
                      <w:lang w:val="zh-CN"/>
                    </w:rPr>
                    <w:t>执行。</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项目将严格执行危险废物贮存台帐制度。</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15</w:t>
                  </w:r>
                </w:p>
              </w:tc>
              <w:tc>
                <w:tcPr>
                  <w:tcW w:w="4095" w:type="dxa"/>
                  <w:vAlign w:val="center"/>
                </w:tcPr>
                <w:p>
                  <w:pPr>
                    <w:autoSpaceDE w:val="0"/>
                    <w:autoSpaceDN w:val="0"/>
                    <w:adjustRightInd w:val="0"/>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 xml:space="preserve">6.9 </w:t>
                  </w:r>
                  <w:r>
                    <w:rPr>
                      <w:rFonts w:hint="eastAsia" w:ascii="Times New Roman" w:hAnsi="Times New Roman" w:eastAsia="宋体" w:cs="Times New Roman"/>
                      <w:bCs/>
                      <w:snapToGrid w:val="0"/>
                      <w:kern w:val="32"/>
                      <w:lang w:val="zh-CN"/>
                    </w:rPr>
                    <w:t>危险废物贮存设施应根据贮存的废物种类和特性按照</w:t>
                  </w:r>
                  <w:r>
                    <w:rPr>
                      <w:rFonts w:ascii="Times New Roman" w:hAnsi="Times New Roman" w:eastAsia="宋体" w:cs="Times New Roman"/>
                      <w:bCs/>
                      <w:snapToGrid w:val="0"/>
                      <w:kern w:val="32"/>
                      <w:lang w:val="zh-CN"/>
                    </w:rPr>
                    <w:t>GB</w:t>
                  </w:r>
                  <w:r>
                    <w:rPr>
                      <w:rFonts w:hint="eastAsia" w:ascii="Times New Roman" w:hAnsi="Times New Roman" w:eastAsia="宋体" w:cs="Times New Roman"/>
                      <w:bCs/>
                      <w:snapToGrid w:val="0"/>
                      <w:kern w:val="32"/>
                      <w:lang w:val="zh-CN"/>
                    </w:rPr>
                    <w:t>*****附录</w:t>
                  </w:r>
                  <w:r>
                    <w:rPr>
                      <w:rFonts w:ascii="Times New Roman" w:hAnsi="Times New Roman" w:eastAsia="宋体" w:cs="Times New Roman"/>
                      <w:bCs/>
                      <w:snapToGrid w:val="0"/>
                      <w:kern w:val="32"/>
                      <w:lang w:val="zh-CN"/>
                    </w:rPr>
                    <w:t>A</w:t>
                  </w:r>
                  <w:r>
                    <w:rPr>
                      <w:rFonts w:hint="eastAsia" w:ascii="Times New Roman" w:hAnsi="Times New Roman" w:eastAsia="宋体" w:cs="Times New Roman"/>
                      <w:bCs/>
                      <w:snapToGrid w:val="0"/>
                      <w:kern w:val="32"/>
                      <w:lang w:val="zh-CN"/>
                    </w:rPr>
                    <w:t>设置标志。</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项目将安装规范的标识标牌。</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0" w:type="dxa"/>
                  <w:vAlign w:val="center"/>
                </w:tcPr>
                <w:p>
                  <w:pPr>
                    <w:pStyle w:val="28"/>
                    <w:spacing w:line="360" w:lineRule="exact"/>
                    <w:rPr>
                      <w:color w:val="auto"/>
                      <w:szCs w:val="21"/>
                    </w:rPr>
                  </w:pPr>
                  <w:r>
                    <w:rPr>
                      <w:rFonts w:hint="eastAsia"/>
                      <w:color w:val="auto"/>
                      <w:szCs w:val="21"/>
                    </w:rPr>
                    <w:t>16</w:t>
                  </w:r>
                </w:p>
              </w:tc>
              <w:tc>
                <w:tcPr>
                  <w:tcW w:w="4095" w:type="dxa"/>
                  <w:vAlign w:val="center"/>
                </w:tcPr>
                <w:p>
                  <w:pPr>
                    <w:pStyle w:val="28"/>
                    <w:spacing w:line="360" w:lineRule="exact"/>
                    <w:ind w:firstLine="210" w:firstLineChars="100"/>
                    <w:jc w:val="both"/>
                    <w:rPr>
                      <w:color w:val="auto"/>
                      <w:szCs w:val="21"/>
                    </w:rPr>
                  </w:pPr>
                  <w:r>
                    <w:rPr>
                      <w:color w:val="auto"/>
                      <w:szCs w:val="21"/>
                    </w:rPr>
                    <w:t xml:space="preserve">6.10 </w:t>
                  </w:r>
                  <w:r>
                    <w:rPr>
                      <w:rFonts w:hint="eastAsia"/>
                      <w:color w:val="auto"/>
                      <w:szCs w:val="21"/>
                    </w:rPr>
                    <w:t>危险废物贮存设施的关闭应按照</w:t>
                  </w:r>
                  <w:r>
                    <w:rPr>
                      <w:color w:val="auto"/>
                      <w:szCs w:val="21"/>
                    </w:rPr>
                    <w:t>GB</w:t>
                  </w:r>
                  <w:r>
                    <w:rPr>
                      <w:rFonts w:hint="eastAsia"/>
                      <w:color w:val="auto"/>
                      <w:szCs w:val="21"/>
                      <w:lang w:eastAsia="zh-CN"/>
                    </w:rPr>
                    <w:t>*****</w:t>
                  </w:r>
                  <w:r>
                    <w:rPr>
                      <w:color w:val="auto"/>
                      <w:szCs w:val="21"/>
                    </w:rPr>
                    <w:t xml:space="preserve"> </w:t>
                  </w:r>
                  <w:r>
                    <w:rPr>
                      <w:rFonts w:hint="eastAsia"/>
                      <w:color w:val="auto"/>
                      <w:szCs w:val="21"/>
                    </w:rPr>
                    <w:t>和《危险废物经营许可证管理办法》的有关规定执行。</w:t>
                  </w:r>
                </w:p>
              </w:tc>
              <w:tc>
                <w:tcPr>
                  <w:tcW w:w="3402" w:type="dxa"/>
                  <w:vAlign w:val="center"/>
                </w:tcPr>
                <w:p>
                  <w:pPr>
                    <w:pStyle w:val="28"/>
                    <w:spacing w:line="360" w:lineRule="exact"/>
                    <w:ind w:firstLine="210" w:firstLineChars="100"/>
                    <w:jc w:val="both"/>
                    <w:rPr>
                      <w:color w:val="auto"/>
                      <w:szCs w:val="21"/>
                    </w:rPr>
                  </w:pPr>
                  <w:r>
                    <w:rPr>
                      <w:rFonts w:hint="eastAsia"/>
                      <w:color w:val="auto"/>
                      <w:szCs w:val="21"/>
                    </w:rPr>
                    <w:t>项目关闭时将严格执行</w:t>
                  </w:r>
                  <w:r>
                    <w:rPr>
                      <w:color w:val="auto"/>
                      <w:szCs w:val="21"/>
                    </w:rPr>
                    <w:t>GB</w:t>
                  </w:r>
                  <w:r>
                    <w:rPr>
                      <w:rFonts w:hint="eastAsia"/>
                      <w:color w:val="auto"/>
                      <w:szCs w:val="21"/>
                      <w:lang w:eastAsia="zh-CN"/>
                    </w:rPr>
                    <w:t>*****</w:t>
                  </w:r>
                  <w:r>
                    <w:rPr>
                      <w:color w:val="auto"/>
                      <w:szCs w:val="21"/>
                    </w:rPr>
                    <w:t xml:space="preserve"> </w:t>
                  </w:r>
                  <w:r>
                    <w:rPr>
                      <w:rFonts w:hint="eastAsia"/>
                      <w:color w:val="auto"/>
                      <w:szCs w:val="21"/>
                    </w:rPr>
                    <w:t>和《危险废物经营许可证管理办法》的有关规定。</w:t>
                  </w:r>
                </w:p>
              </w:tc>
              <w:tc>
                <w:tcPr>
                  <w:tcW w:w="641" w:type="dxa"/>
                  <w:vAlign w:val="center"/>
                </w:tcPr>
                <w:p>
                  <w:pPr>
                    <w:pStyle w:val="28"/>
                    <w:spacing w:line="360" w:lineRule="exact"/>
                    <w:rPr>
                      <w:color w:val="auto"/>
                      <w:kern w:val="0"/>
                      <w:szCs w:val="21"/>
                    </w:rPr>
                  </w:pPr>
                  <w:r>
                    <w:rPr>
                      <w:rFonts w:hint="eastAsia"/>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由上表可知，项目建设符合《危险废物收集 贮存 运输技术规范》（</w:t>
            </w:r>
            <w:r>
              <w:rPr>
                <w:rFonts w:ascii="Times New Roman" w:hAnsi="Times New Roman" w:cs="Times New Roman"/>
                <w:sz w:val="24"/>
                <w:szCs w:val="24"/>
              </w:rPr>
              <w:t>HJ 2025-2012</w:t>
            </w:r>
            <w:r>
              <w:rPr>
                <w:rFonts w:hint="eastAsia" w:ascii="Times New Roman" w:hAnsi="Times New Roman" w:cs="Times New Roman"/>
                <w:sz w:val="24"/>
                <w:szCs w:val="24"/>
              </w:rPr>
              <w:t>）的相关规定。</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（9）项目与</w:t>
            </w:r>
            <w:bookmarkStart w:id="2" w:name="_Hlk137333144"/>
            <w:r>
              <w:rPr>
                <w:rFonts w:hint="eastAsia" w:ascii="Times New Roman" w:hAnsi="Times New Roman" w:cs="Times New Roman"/>
                <w:b/>
                <w:sz w:val="24"/>
                <w:szCs w:val="24"/>
              </w:rPr>
              <w:t>《废矿物油回收利用污染控制技术规范》（HJ607-2011）</w:t>
            </w:r>
            <w:bookmarkEnd w:id="2"/>
            <w:r>
              <w:rPr>
                <w:rFonts w:hint="eastAsia" w:ascii="Times New Roman" w:hAnsi="Times New Roman" w:cs="Times New Roman"/>
                <w:b/>
                <w:sz w:val="24"/>
                <w:szCs w:val="24"/>
              </w:rPr>
              <w:t>的符合性分析</w:t>
            </w:r>
          </w:p>
          <w:p>
            <w:pPr>
              <w:spacing w:line="360" w:lineRule="auto"/>
              <w:ind w:firstLine="360" w:firstLineChars="150"/>
              <w:outlineLvl w:val="0"/>
              <w:rPr>
                <w:rFonts w:ascii="Times New Roman" w:hAnsi="Times New Roman" w:cs="Times New Roman"/>
                <w:sz w:val="24"/>
                <w:szCs w:val="24"/>
              </w:rPr>
            </w:pPr>
            <w:r>
              <w:rPr>
                <w:rFonts w:hint="eastAsia" w:ascii="Times New Roman" w:hAnsi="Times New Roman" w:cs="Times New Roman"/>
                <w:sz w:val="24"/>
                <w:szCs w:val="24"/>
              </w:rPr>
              <w:t>项目与《废矿物油回收利用污染控制技术规范》（HJ607-2011）的相符性分析内容见下表。</w:t>
            </w:r>
          </w:p>
          <w:p>
            <w:pPr>
              <w:jc w:val="center"/>
              <w:rPr>
                <w:rFonts w:ascii="Times New Roman" w:hAnsi="Times New Roman" w:cs="Times New Roman"/>
                <w:b/>
              </w:rPr>
            </w:pPr>
            <w:r>
              <w:rPr>
                <w:rFonts w:hint="eastAsia" w:ascii="Times New Roman" w:hAnsi="Times New Roman" w:cs="Times New Roman"/>
                <w:b/>
              </w:rPr>
              <w:t>表1-10 与废矿物油回收利用污染控制技术规范相关要求的符合性分析</w:t>
            </w:r>
          </w:p>
          <w:tbl>
            <w:tblPr>
              <w:tblStyle w:val="1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39"/>
              <w:gridCol w:w="3868"/>
              <w:gridCol w:w="3562"/>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 w:hRule="atLeast"/>
                <w:jc w:val="center"/>
              </w:trPr>
              <w:tc>
                <w:tcPr>
                  <w:tcW w:w="4407" w:type="dxa"/>
                  <w:gridSpan w:val="2"/>
                  <w:vAlign w:val="center"/>
                </w:tcPr>
                <w:p>
                  <w:pPr>
                    <w:pStyle w:val="28"/>
                    <w:spacing w:line="360" w:lineRule="exact"/>
                    <w:rPr>
                      <w:color w:val="auto"/>
                      <w:kern w:val="0"/>
                      <w:szCs w:val="21"/>
                    </w:rPr>
                  </w:pPr>
                  <w:r>
                    <w:rPr>
                      <w:color w:val="auto"/>
                      <w:kern w:val="0"/>
                      <w:szCs w:val="21"/>
                    </w:rPr>
                    <w:t>技术规范要求</w:t>
                  </w:r>
                </w:p>
              </w:tc>
              <w:tc>
                <w:tcPr>
                  <w:tcW w:w="3562" w:type="dxa"/>
                  <w:vAlign w:val="center"/>
                </w:tcPr>
                <w:p>
                  <w:pPr>
                    <w:pStyle w:val="28"/>
                    <w:spacing w:line="360" w:lineRule="exact"/>
                    <w:rPr>
                      <w:color w:val="auto"/>
                      <w:kern w:val="0"/>
                      <w:szCs w:val="21"/>
                    </w:rPr>
                  </w:pPr>
                  <w:r>
                    <w:rPr>
                      <w:color w:val="auto"/>
                      <w:kern w:val="0"/>
                      <w:szCs w:val="21"/>
                    </w:rPr>
                    <w:t>项目情况</w:t>
                  </w:r>
                </w:p>
              </w:tc>
              <w:tc>
                <w:tcPr>
                  <w:tcW w:w="643" w:type="dxa"/>
                  <w:vAlign w:val="center"/>
                </w:tcPr>
                <w:p>
                  <w:pPr>
                    <w:pStyle w:val="28"/>
                    <w:spacing w:line="360" w:lineRule="exact"/>
                    <w:rPr>
                      <w:color w:val="auto"/>
                      <w:kern w:val="0"/>
                      <w:szCs w:val="21"/>
                    </w:rPr>
                  </w:pPr>
                  <w:r>
                    <w:rPr>
                      <w:color w:val="auto"/>
                      <w:kern w:val="0"/>
                      <w:szCs w:val="21"/>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restart"/>
                  <w:vAlign w:val="center"/>
                </w:tcPr>
                <w:p>
                  <w:pPr>
                    <w:pStyle w:val="28"/>
                    <w:spacing w:line="360" w:lineRule="exact"/>
                    <w:rPr>
                      <w:color w:val="auto"/>
                      <w:kern w:val="0"/>
                      <w:szCs w:val="21"/>
                    </w:rPr>
                  </w:pPr>
                  <w:r>
                    <w:rPr>
                      <w:color w:val="auto"/>
                      <w:kern w:val="0"/>
                      <w:szCs w:val="21"/>
                    </w:rPr>
                    <w:t>收集要求</w:t>
                  </w:r>
                </w:p>
              </w:tc>
              <w:tc>
                <w:tcPr>
                  <w:tcW w:w="3868" w:type="dxa"/>
                  <w:vAlign w:val="center"/>
                </w:tcPr>
                <w:p>
                  <w:pPr>
                    <w:pStyle w:val="28"/>
                    <w:spacing w:line="360" w:lineRule="exact"/>
                    <w:ind w:firstLine="210" w:firstLineChars="100"/>
                    <w:jc w:val="both"/>
                    <w:rPr>
                      <w:color w:val="auto"/>
                      <w:szCs w:val="21"/>
                    </w:rPr>
                  </w:pPr>
                  <w:r>
                    <w:rPr>
                      <w:color w:val="auto"/>
                      <w:szCs w:val="21"/>
                    </w:rPr>
                    <w:t>废矿物油收集容器应完好无损，没有腐蚀、污染、损毁或其他能导致其使用效能减弱的缺陷。</w:t>
                  </w:r>
                </w:p>
              </w:tc>
              <w:tc>
                <w:tcPr>
                  <w:tcW w:w="3562" w:type="dxa"/>
                  <w:tcBorders>
                    <w:bottom w:val="single" w:color="auto" w:sz="4" w:space="0"/>
                  </w:tcBorders>
                  <w:vAlign w:val="center"/>
                </w:tcPr>
                <w:p>
                  <w:pPr>
                    <w:pStyle w:val="28"/>
                    <w:spacing w:line="360" w:lineRule="exact"/>
                    <w:ind w:firstLine="210" w:firstLineChars="100"/>
                    <w:jc w:val="both"/>
                    <w:rPr>
                      <w:color w:val="auto"/>
                      <w:szCs w:val="21"/>
                    </w:rPr>
                  </w:pPr>
                  <w:r>
                    <w:rPr>
                      <w:color w:val="auto"/>
                      <w:szCs w:val="21"/>
                    </w:rPr>
                    <w:t>项目采用完好无损的合格容器收集废矿物油。</w:t>
                  </w:r>
                </w:p>
              </w:tc>
              <w:tc>
                <w:tcPr>
                  <w:tcW w:w="643" w:type="dxa"/>
                  <w:vMerge w:val="restart"/>
                  <w:vAlign w:val="center"/>
                </w:tcPr>
                <w:p>
                  <w:pPr>
                    <w:pStyle w:val="28"/>
                    <w:spacing w:line="360" w:lineRule="exact"/>
                    <w:rPr>
                      <w:color w:val="auto"/>
                      <w:kern w:val="0"/>
                      <w:szCs w:val="21"/>
                    </w:rPr>
                  </w:pPr>
                  <w:r>
                    <w:rPr>
                      <w:color w:val="auto"/>
                      <w:kern w:val="0"/>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tcBorders>
                    <w:bottom w:val="single" w:color="auto" w:sz="4" w:space="0"/>
                  </w:tcBorders>
                  <w:vAlign w:val="center"/>
                </w:tcPr>
                <w:p>
                  <w:pPr>
                    <w:pStyle w:val="28"/>
                    <w:spacing w:line="360" w:lineRule="exact"/>
                    <w:ind w:firstLine="210" w:firstLineChars="100"/>
                    <w:jc w:val="both"/>
                    <w:rPr>
                      <w:color w:val="auto"/>
                      <w:szCs w:val="21"/>
                    </w:rPr>
                  </w:pPr>
                  <w:r>
                    <w:rPr>
                      <w:color w:val="auto"/>
                      <w:szCs w:val="21"/>
                    </w:rPr>
                    <w:t>废矿物油收集过程产生的废旧容器应按照危险废物进行处置，仍可转作他用的，应经过消除污染的处理。</w:t>
                  </w:r>
                </w:p>
              </w:tc>
              <w:tc>
                <w:tcPr>
                  <w:tcW w:w="3562" w:type="dxa"/>
                  <w:tcBorders>
                    <w:top w:val="single" w:color="auto" w:sz="4" w:space="0"/>
                    <w:bottom w:val="single" w:color="auto" w:sz="4" w:space="0"/>
                  </w:tcBorders>
                  <w:vAlign w:val="center"/>
                </w:tcPr>
                <w:p>
                  <w:pPr>
                    <w:pStyle w:val="28"/>
                    <w:spacing w:line="360" w:lineRule="exact"/>
                    <w:ind w:firstLine="210" w:firstLineChars="100"/>
                    <w:jc w:val="both"/>
                    <w:rPr>
                      <w:color w:val="auto"/>
                      <w:szCs w:val="21"/>
                    </w:rPr>
                  </w:pPr>
                  <w:r>
                    <w:rPr>
                      <w:color w:val="auto"/>
                      <w:szCs w:val="21"/>
                    </w:rPr>
                    <w:t>项目弃用的废旧容器</w:t>
                  </w:r>
                  <w:r>
                    <w:rPr>
                      <w:rFonts w:hint="eastAsia"/>
                      <w:color w:val="auto"/>
                      <w:szCs w:val="21"/>
                    </w:rPr>
                    <w:t>属于危险废物，严格按照</w:t>
                  </w:r>
                  <w:r>
                    <w:rPr>
                      <w:color w:val="auto"/>
                      <w:szCs w:val="21"/>
                    </w:rPr>
                    <w:t>危险废物委托资质单位处置。</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tcBorders>
                    <w:top w:val="single" w:color="auto" w:sz="4" w:space="0"/>
                    <w:bottom w:val="single" w:color="auto" w:sz="4" w:space="0"/>
                  </w:tcBorders>
                  <w:vAlign w:val="center"/>
                </w:tcPr>
                <w:p>
                  <w:pPr>
                    <w:pStyle w:val="28"/>
                    <w:spacing w:line="360" w:lineRule="exact"/>
                    <w:ind w:firstLine="210" w:firstLineChars="100"/>
                    <w:jc w:val="both"/>
                    <w:rPr>
                      <w:color w:val="auto"/>
                      <w:szCs w:val="21"/>
                    </w:rPr>
                  </w:pPr>
                  <w:r>
                    <w:rPr>
                      <w:color w:val="auto"/>
                      <w:szCs w:val="21"/>
                    </w:rPr>
                    <w:t>废矿物油应在产生源收集，不宜在产生源收集的应设置专用设施集中收集。</w:t>
                  </w:r>
                </w:p>
              </w:tc>
              <w:tc>
                <w:tcPr>
                  <w:tcW w:w="3562" w:type="dxa"/>
                  <w:tcBorders>
                    <w:top w:val="single" w:color="auto" w:sz="4" w:space="0"/>
                    <w:bottom w:val="single" w:color="auto" w:sz="4" w:space="0"/>
                  </w:tcBorders>
                  <w:vAlign w:val="center"/>
                </w:tcPr>
                <w:p>
                  <w:pPr>
                    <w:pStyle w:val="28"/>
                    <w:spacing w:line="360" w:lineRule="exact"/>
                    <w:ind w:firstLine="210" w:firstLineChars="100"/>
                    <w:jc w:val="both"/>
                    <w:rPr>
                      <w:color w:val="auto"/>
                      <w:szCs w:val="21"/>
                    </w:rPr>
                  </w:pPr>
                  <w:r>
                    <w:rPr>
                      <w:color w:val="auto"/>
                      <w:szCs w:val="21"/>
                    </w:rPr>
                    <w:t>项目收集的废矿物油均由建设单位到各产生单位进行收集。</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tcBorders>
                    <w:top w:val="single" w:color="auto" w:sz="4" w:space="0"/>
                  </w:tcBorders>
                  <w:vAlign w:val="center"/>
                </w:tcPr>
                <w:p>
                  <w:pPr>
                    <w:pStyle w:val="28"/>
                    <w:spacing w:line="360" w:lineRule="exact"/>
                    <w:ind w:firstLine="210" w:firstLineChars="100"/>
                    <w:jc w:val="both"/>
                    <w:rPr>
                      <w:color w:val="auto"/>
                      <w:szCs w:val="21"/>
                    </w:rPr>
                  </w:pPr>
                  <w:r>
                    <w:rPr>
                      <w:color w:val="auto"/>
                      <w:szCs w:val="21"/>
                    </w:rPr>
                    <w:t>废矿物油收集过程产生的含油棉、含油毡等含废矿物油废物应一并收集。</w:t>
                  </w:r>
                </w:p>
              </w:tc>
              <w:tc>
                <w:tcPr>
                  <w:tcW w:w="3562" w:type="dxa"/>
                  <w:tcBorders>
                    <w:top w:val="single" w:color="auto" w:sz="4" w:space="0"/>
                  </w:tcBorders>
                  <w:vAlign w:val="center"/>
                </w:tcPr>
                <w:p>
                  <w:pPr>
                    <w:pStyle w:val="28"/>
                    <w:spacing w:line="360" w:lineRule="exact"/>
                    <w:ind w:firstLine="210" w:firstLineChars="100"/>
                    <w:jc w:val="both"/>
                    <w:rPr>
                      <w:color w:val="auto"/>
                      <w:szCs w:val="21"/>
                    </w:rPr>
                  </w:pPr>
                  <w:r>
                    <w:rPr>
                      <w:color w:val="auto"/>
                      <w:szCs w:val="21"/>
                    </w:rPr>
                    <w:t>项目收集、转运贮存过程中产生的沾染废矿物油的抹布等物品均统一收集后处置。</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restart"/>
                  <w:vAlign w:val="center"/>
                </w:tcPr>
                <w:p>
                  <w:pPr>
                    <w:pStyle w:val="28"/>
                    <w:spacing w:line="360" w:lineRule="exact"/>
                    <w:rPr>
                      <w:color w:val="auto"/>
                      <w:kern w:val="0"/>
                      <w:szCs w:val="21"/>
                    </w:rPr>
                  </w:pPr>
                  <w:r>
                    <w:rPr>
                      <w:color w:val="auto"/>
                      <w:kern w:val="0"/>
                      <w:szCs w:val="21"/>
                    </w:rPr>
                    <w:t>运输要求</w:t>
                  </w:r>
                </w:p>
              </w:tc>
              <w:tc>
                <w:tcPr>
                  <w:tcW w:w="3868" w:type="dxa"/>
                  <w:vAlign w:val="center"/>
                </w:tcPr>
                <w:p>
                  <w:pPr>
                    <w:pStyle w:val="28"/>
                    <w:spacing w:line="360" w:lineRule="exact"/>
                    <w:ind w:firstLine="210" w:firstLineChars="100"/>
                    <w:jc w:val="both"/>
                    <w:rPr>
                      <w:color w:val="auto"/>
                      <w:szCs w:val="21"/>
                    </w:rPr>
                  </w:pPr>
                  <w:r>
                    <w:rPr>
                      <w:color w:val="auto"/>
                      <w:szCs w:val="21"/>
                    </w:rPr>
                    <w:t>废矿物油的运输转移应按《道路危险货物运输管理规定》、《铁路危险货物运输管理规则》、《水路危险货物运输规则》等的规定执行。</w:t>
                  </w:r>
                </w:p>
              </w:tc>
              <w:tc>
                <w:tcPr>
                  <w:tcW w:w="3562" w:type="dxa"/>
                  <w:vAlign w:val="center"/>
                </w:tcPr>
                <w:p>
                  <w:pPr>
                    <w:pStyle w:val="28"/>
                    <w:spacing w:line="360" w:lineRule="exact"/>
                    <w:ind w:firstLine="210" w:firstLineChars="100"/>
                    <w:jc w:val="both"/>
                    <w:rPr>
                      <w:color w:val="auto"/>
                      <w:szCs w:val="21"/>
                    </w:rPr>
                  </w:pPr>
                  <w:r>
                    <w:rPr>
                      <w:color w:val="auto"/>
                      <w:szCs w:val="21"/>
                    </w:rPr>
                    <w:t>项目废矿物油只由道路转运，按《道路危险货物运输管理规定》的要求执行。</w:t>
                  </w:r>
                </w:p>
              </w:tc>
              <w:tc>
                <w:tcPr>
                  <w:tcW w:w="643" w:type="dxa"/>
                  <w:vMerge w:val="restart"/>
                  <w:vAlign w:val="center"/>
                </w:tcPr>
                <w:p>
                  <w:pPr>
                    <w:pStyle w:val="28"/>
                    <w:spacing w:line="360" w:lineRule="exact"/>
                    <w:rPr>
                      <w:color w:val="auto"/>
                      <w:kern w:val="0"/>
                      <w:szCs w:val="21"/>
                    </w:rPr>
                  </w:pPr>
                  <w:r>
                    <w:rPr>
                      <w:color w:val="auto"/>
                      <w:kern w:val="0"/>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废矿物油的运输转移过程控制应按《危险废物转移联单管理办法》的规定执行。</w:t>
                  </w:r>
                </w:p>
              </w:tc>
              <w:tc>
                <w:tcPr>
                  <w:tcW w:w="3562" w:type="dxa"/>
                  <w:vAlign w:val="center"/>
                </w:tcPr>
                <w:p>
                  <w:pPr>
                    <w:pStyle w:val="28"/>
                    <w:spacing w:line="360" w:lineRule="exact"/>
                    <w:ind w:firstLine="210" w:firstLineChars="100"/>
                    <w:jc w:val="both"/>
                    <w:rPr>
                      <w:color w:val="auto"/>
                      <w:szCs w:val="21"/>
                    </w:rPr>
                  </w:pPr>
                  <w:r>
                    <w:rPr>
                      <w:color w:val="auto"/>
                      <w:szCs w:val="21"/>
                    </w:rPr>
                    <w:t>项目废矿物油转运过程控制按</w:t>
                  </w:r>
                  <w:r>
                    <w:rPr>
                      <w:rFonts w:hint="eastAsia"/>
                      <w:color w:val="auto"/>
                      <w:szCs w:val="21"/>
                    </w:rPr>
                    <w:t>《危险废物转移管理办法》</w:t>
                  </w:r>
                  <w:r>
                    <w:rPr>
                      <w:color w:val="auto"/>
                      <w:szCs w:val="21"/>
                    </w:rPr>
                    <w:t>的有关要求执行。</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废矿物油转运前应检查危险废物转移联单，核对品名、数量和标志等。</w:t>
                  </w:r>
                </w:p>
              </w:tc>
              <w:tc>
                <w:tcPr>
                  <w:tcW w:w="3562" w:type="dxa"/>
                  <w:vAlign w:val="center"/>
                </w:tcPr>
                <w:p>
                  <w:pPr>
                    <w:pStyle w:val="28"/>
                    <w:spacing w:line="360" w:lineRule="exact"/>
                    <w:ind w:firstLine="210" w:firstLineChars="100"/>
                    <w:jc w:val="both"/>
                    <w:rPr>
                      <w:color w:val="auto"/>
                      <w:szCs w:val="21"/>
                    </w:rPr>
                  </w:pPr>
                  <w:r>
                    <w:rPr>
                      <w:color w:val="auto"/>
                      <w:szCs w:val="21"/>
                    </w:rPr>
                    <w:t>项目废矿物油转运前检查危险废物转移联单，核对品名、数量和标志等。</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废矿物油转运前应制定突发环境事件应急预案。</w:t>
                  </w:r>
                </w:p>
              </w:tc>
              <w:tc>
                <w:tcPr>
                  <w:tcW w:w="3562" w:type="dxa"/>
                  <w:vAlign w:val="center"/>
                </w:tcPr>
                <w:p>
                  <w:pPr>
                    <w:pStyle w:val="28"/>
                    <w:spacing w:line="360" w:lineRule="exact"/>
                    <w:ind w:firstLine="210" w:firstLineChars="100"/>
                    <w:jc w:val="both"/>
                    <w:rPr>
                      <w:color w:val="auto"/>
                      <w:szCs w:val="21"/>
                    </w:rPr>
                  </w:pPr>
                  <w:r>
                    <w:rPr>
                      <w:color w:val="auto"/>
                      <w:szCs w:val="21"/>
                    </w:rPr>
                    <w:t>针对可能发生的环境污染事件，</w:t>
                  </w:r>
                  <w:r>
                    <w:rPr>
                      <w:rFonts w:hint="eastAsia"/>
                      <w:color w:val="auto"/>
                      <w:szCs w:val="21"/>
                    </w:rPr>
                    <w:t>现有项目已制定应急预案，项目建成后，应进行修订</w:t>
                  </w:r>
                  <w:r>
                    <w:rPr>
                      <w:color w:val="auto"/>
                      <w:szCs w:val="21"/>
                    </w:rPr>
                    <w:t>并向项目所在地县级环境保护主管部门备案。</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矿物油转运前应检查转运设备和盛装容器的稳定性、严密性，确保运输途中不会破裂、倾倒和溢流。</w:t>
                  </w:r>
                </w:p>
              </w:tc>
              <w:tc>
                <w:tcPr>
                  <w:tcW w:w="3562" w:type="dxa"/>
                  <w:vAlign w:val="center"/>
                </w:tcPr>
                <w:p>
                  <w:pPr>
                    <w:pStyle w:val="28"/>
                    <w:spacing w:line="360" w:lineRule="exact"/>
                    <w:ind w:firstLine="210" w:firstLineChars="100"/>
                    <w:jc w:val="both"/>
                    <w:rPr>
                      <w:color w:val="auto"/>
                      <w:szCs w:val="21"/>
                    </w:rPr>
                  </w:pPr>
                  <w:r>
                    <w:rPr>
                      <w:color w:val="auto"/>
                      <w:szCs w:val="21"/>
                    </w:rPr>
                    <w:t>项目转运废矿物油期前对转运设备、容器等进行检查，确保正常后方开始转运作业。</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废矿物油在转运过程中应设专人看护。</w:t>
                  </w:r>
                </w:p>
              </w:tc>
              <w:tc>
                <w:tcPr>
                  <w:tcW w:w="3562" w:type="dxa"/>
                  <w:tcBorders>
                    <w:bottom w:val="single" w:color="auto" w:sz="4" w:space="0"/>
                  </w:tcBorders>
                  <w:vAlign w:val="center"/>
                </w:tcPr>
                <w:p>
                  <w:pPr>
                    <w:pStyle w:val="28"/>
                    <w:spacing w:line="360" w:lineRule="exact"/>
                    <w:ind w:firstLine="210" w:firstLineChars="100"/>
                    <w:jc w:val="both"/>
                    <w:rPr>
                      <w:color w:val="auto"/>
                      <w:szCs w:val="21"/>
                    </w:rPr>
                  </w:pPr>
                  <w:r>
                    <w:rPr>
                      <w:color w:val="auto"/>
                      <w:szCs w:val="21"/>
                    </w:rPr>
                    <w:t>项目废矿物油转运过程中应设专人看护。</w:t>
                  </w:r>
                </w:p>
              </w:tc>
              <w:tc>
                <w:tcPr>
                  <w:tcW w:w="643" w:type="dxa"/>
                  <w:vMerge w:val="continue"/>
                  <w:tcBorders>
                    <w:bottom w:val="single" w:color="auto" w:sz="4" w:space="0"/>
                  </w:tcBorders>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restart"/>
                  <w:vAlign w:val="center"/>
                </w:tcPr>
                <w:p>
                  <w:pPr>
                    <w:pStyle w:val="28"/>
                    <w:spacing w:line="360" w:lineRule="exact"/>
                    <w:rPr>
                      <w:color w:val="auto"/>
                      <w:kern w:val="0"/>
                      <w:szCs w:val="21"/>
                    </w:rPr>
                  </w:pPr>
                  <w:r>
                    <w:rPr>
                      <w:color w:val="auto"/>
                      <w:kern w:val="0"/>
                      <w:szCs w:val="21"/>
                    </w:rPr>
                    <w:t>贮存要求</w:t>
                  </w:r>
                </w:p>
              </w:tc>
              <w:tc>
                <w:tcPr>
                  <w:tcW w:w="3868" w:type="dxa"/>
                  <w:vAlign w:val="center"/>
                </w:tcPr>
                <w:p>
                  <w:pPr>
                    <w:pStyle w:val="28"/>
                    <w:spacing w:line="360" w:lineRule="exact"/>
                    <w:ind w:firstLine="210" w:firstLineChars="100"/>
                    <w:jc w:val="both"/>
                    <w:rPr>
                      <w:color w:val="auto"/>
                      <w:szCs w:val="21"/>
                    </w:rPr>
                  </w:pPr>
                  <w:r>
                    <w:rPr>
                      <w:color w:val="auto"/>
                      <w:szCs w:val="21"/>
                    </w:rPr>
                    <w:t>废矿物油贮存污染控制应符合GB</w:t>
                  </w:r>
                  <w:r>
                    <w:rPr>
                      <w:rFonts w:hint="eastAsia"/>
                      <w:color w:val="auto"/>
                      <w:szCs w:val="21"/>
                      <w:lang w:eastAsia="zh-CN"/>
                    </w:rPr>
                    <w:t>*****</w:t>
                  </w:r>
                  <w:r>
                    <w:rPr>
                      <w:color w:val="auto"/>
                      <w:szCs w:val="21"/>
                    </w:rPr>
                    <w:t>中的有关规定。</w:t>
                  </w:r>
                </w:p>
              </w:tc>
              <w:tc>
                <w:tcPr>
                  <w:tcW w:w="3562" w:type="dxa"/>
                  <w:tcBorders>
                    <w:bottom w:val="single" w:color="auto" w:sz="4" w:space="0"/>
                  </w:tcBorders>
                  <w:vAlign w:val="center"/>
                </w:tcPr>
                <w:p>
                  <w:pPr>
                    <w:pStyle w:val="28"/>
                    <w:spacing w:line="360" w:lineRule="exact"/>
                    <w:ind w:firstLine="210" w:firstLineChars="100"/>
                    <w:jc w:val="both"/>
                    <w:rPr>
                      <w:color w:val="auto"/>
                      <w:szCs w:val="21"/>
                    </w:rPr>
                  </w:pPr>
                  <w:r>
                    <w:rPr>
                      <w:color w:val="auto"/>
                      <w:szCs w:val="21"/>
                    </w:rPr>
                    <w:t>项目废矿物油贮存符合</w:t>
                  </w:r>
                  <w:r>
                    <w:rPr>
                      <w:rFonts w:hint="eastAsia"/>
                      <w:color w:val="auto"/>
                      <w:szCs w:val="21"/>
                    </w:rPr>
                    <w:t>《危险废物贮存污染控制标准》（GB</w:t>
                  </w:r>
                  <w:r>
                    <w:rPr>
                      <w:rFonts w:hint="eastAsia"/>
                      <w:color w:val="auto"/>
                      <w:szCs w:val="21"/>
                      <w:lang w:eastAsia="zh-CN"/>
                    </w:rPr>
                    <w:t>*****</w:t>
                  </w:r>
                  <w:r>
                    <w:rPr>
                      <w:rFonts w:hint="eastAsia"/>
                      <w:color w:val="auto"/>
                      <w:szCs w:val="21"/>
                    </w:rPr>
                    <w:t>-2023）</w:t>
                  </w:r>
                  <w:r>
                    <w:rPr>
                      <w:color w:val="auto"/>
                      <w:szCs w:val="21"/>
                    </w:rPr>
                    <w:t>中的有关规定。</w:t>
                  </w:r>
                </w:p>
              </w:tc>
              <w:tc>
                <w:tcPr>
                  <w:tcW w:w="643" w:type="dxa"/>
                  <w:vMerge w:val="restart"/>
                  <w:vAlign w:val="center"/>
                </w:tcPr>
                <w:p>
                  <w:pPr>
                    <w:pStyle w:val="28"/>
                    <w:spacing w:line="360" w:lineRule="exact"/>
                    <w:rPr>
                      <w:color w:val="auto"/>
                      <w:kern w:val="0"/>
                      <w:szCs w:val="21"/>
                    </w:rPr>
                  </w:pPr>
                  <w:r>
                    <w:rPr>
                      <w:color w:val="auto"/>
                      <w:kern w:val="0"/>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废矿物油贮存设施的设计、建设除符合危险废物贮存设计原则外，还应符合有关消防和危险品贮存设计规范。</w:t>
                  </w:r>
                </w:p>
              </w:tc>
              <w:tc>
                <w:tcPr>
                  <w:tcW w:w="3562" w:type="dxa"/>
                  <w:tcBorders>
                    <w:top w:val="single" w:color="auto" w:sz="4" w:space="0"/>
                    <w:bottom w:val="single" w:color="auto" w:sz="4" w:space="0"/>
                  </w:tcBorders>
                  <w:vAlign w:val="center"/>
                </w:tcPr>
                <w:p>
                  <w:pPr>
                    <w:pStyle w:val="28"/>
                    <w:spacing w:line="360" w:lineRule="exact"/>
                    <w:ind w:firstLine="210" w:firstLineChars="100"/>
                    <w:jc w:val="both"/>
                    <w:rPr>
                      <w:color w:val="auto"/>
                      <w:szCs w:val="21"/>
                    </w:rPr>
                  </w:pPr>
                  <w:r>
                    <w:rPr>
                      <w:rFonts w:hint="eastAsia"/>
                      <w:color w:val="auto"/>
                      <w:szCs w:val="21"/>
                    </w:rPr>
                    <w:t>废矿物油贮存设施的设计、建设符合危险废物贮存设计原则以及有关消防和危险品贮存设计规范。</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废矿物油贮存设施应远离火源，并避免高温和阳光直射。</w:t>
                  </w:r>
                </w:p>
              </w:tc>
              <w:tc>
                <w:tcPr>
                  <w:tcW w:w="3562" w:type="dxa"/>
                  <w:tcBorders>
                    <w:top w:val="single" w:color="auto" w:sz="4" w:space="0"/>
                  </w:tcBorders>
                  <w:vAlign w:val="center"/>
                </w:tcPr>
                <w:p>
                  <w:pPr>
                    <w:pStyle w:val="28"/>
                    <w:spacing w:line="360" w:lineRule="exact"/>
                    <w:ind w:firstLine="210" w:firstLineChars="100"/>
                    <w:jc w:val="both"/>
                    <w:rPr>
                      <w:color w:val="auto"/>
                      <w:szCs w:val="21"/>
                    </w:rPr>
                  </w:pPr>
                  <w:r>
                    <w:rPr>
                      <w:color w:val="auto"/>
                      <w:szCs w:val="21"/>
                    </w:rPr>
                    <w:t>项目废矿物油贮存于仓库内，远离火源，无高温和阳光直射。</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废矿物油应使用专用设施贮存，贮存前应进行检验，不应与不相容的废物混合，实行分类存放。</w:t>
                  </w:r>
                </w:p>
              </w:tc>
              <w:tc>
                <w:tcPr>
                  <w:tcW w:w="3562" w:type="dxa"/>
                  <w:vAlign w:val="center"/>
                </w:tcPr>
                <w:p>
                  <w:pPr>
                    <w:pStyle w:val="28"/>
                    <w:spacing w:line="360" w:lineRule="exact"/>
                    <w:ind w:firstLine="210" w:firstLineChars="100"/>
                    <w:jc w:val="both"/>
                    <w:rPr>
                      <w:color w:val="auto"/>
                      <w:szCs w:val="21"/>
                    </w:rPr>
                  </w:pPr>
                  <w:r>
                    <w:rPr>
                      <w:color w:val="auto"/>
                      <w:szCs w:val="21"/>
                    </w:rPr>
                    <w:t>项目设置专门的废矿物油仓储区，采用合格油罐</w:t>
                  </w:r>
                  <w:r>
                    <w:rPr>
                      <w:rFonts w:hint="eastAsia"/>
                      <w:color w:val="auto"/>
                      <w:szCs w:val="21"/>
                    </w:rPr>
                    <w:t>，</w:t>
                  </w:r>
                  <w:r>
                    <w:rPr>
                      <w:color w:val="auto"/>
                      <w:szCs w:val="21"/>
                    </w:rPr>
                    <w:t>贮存前进行检验</w:t>
                  </w:r>
                  <w:r>
                    <w:rPr>
                      <w:rFonts w:hint="eastAsia"/>
                      <w:color w:val="auto"/>
                      <w:szCs w:val="21"/>
                    </w:rPr>
                    <w:t>，不</w:t>
                  </w:r>
                  <w:r>
                    <w:rPr>
                      <w:color w:val="auto"/>
                      <w:szCs w:val="21"/>
                    </w:rPr>
                    <w:t>与不相容的废物混合，实行分类存放。</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废矿物油贮存设施内地面应作防渗处理，并建设废矿物油收集和导流系统，用于收集不慎泄漏的废矿物油。</w:t>
                  </w:r>
                </w:p>
              </w:tc>
              <w:tc>
                <w:tcPr>
                  <w:tcW w:w="3562" w:type="dxa"/>
                  <w:vAlign w:val="center"/>
                </w:tcPr>
                <w:p>
                  <w:pPr>
                    <w:pStyle w:val="28"/>
                    <w:spacing w:line="360" w:lineRule="exact"/>
                    <w:ind w:firstLine="210" w:firstLineChars="100"/>
                    <w:jc w:val="both"/>
                    <w:rPr>
                      <w:color w:val="auto"/>
                      <w:szCs w:val="21"/>
                    </w:rPr>
                  </w:pPr>
                  <w:r>
                    <w:rPr>
                      <w:color w:val="auto"/>
                      <w:szCs w:val="21"/>
                    </w:rPr>
                    <w:t>项目废矿物油仓储区</w:t>
                  </w:r>
                  <w:r>
                    <w:rPr>
                      <w:rFonts w:hint="eastAsia"/>
                      <w:color w:val="auto"/>
                      <w:szCs w:val="21"/>
                    </w:rPr>
                    <w:t>地面</w:t>
                  </w:r>
                  <w:r>
                    <w:rPr>
                      <w:color w:val="auto"/>
                      <w:szCs w:val="21"/>
                    </w:rPr>
                    <w:t>进行防渗</w:t>
                  </w:r>
                  <w:r>
                    <w:rPr>
                      <w:rFonts w:hint="eastAsia"/>
                      <w:color w:val="auto"/>
                      <w:szCs w:val="21"/>
                    </w:rPr>
                    <w:t>处理</w:t>
                  </w:r>
                  <w:r>
                    <w:rPr>
                      <w:color w:val="auto"/>
                      <w:szCs w:val="21"/>
                    </w:rPr>
                    <w:t>，设置围堰及导流系统，设置废矿物油收集池。</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废矿物油容器盛装液体废矿物油时，应留有足够的膨胀余量，预留容积应不少于总容积的5%。</w:t>
                  </w:r>
                </w:p>
              </w:tc>
              <w:tc>
                <w:tcPr>
                  <w:tcW w:w="3562" w:type="dxa"/>
                  <w:vAlign w:val="center"/>
                </w:tcPr>
                <w:p>
                  <w:pPr>
                    <w:pStyle w:val="28"/>
                    <w:spacing w:line="360" w:lineRule="exact"/>
                    <w:ind w:firstLine="210" w:firstLineChars="100"/>
                    <w:jc w:val="both"/>
                    <w:rPr>
                      <w:color w:val="auto"/>
                      <w:szCs w:val="21"/>
                    </w:rPr>
                  </w:pPr>
                  <w:r>
                    <w:rPr>
                      <w:color w:val="auto"/>
                      <w:szCs w:val="21"/>
                    </w:rPr>
                    <w:t>项目废矿物油</w:t>
                  </w:r>
                  <w:r>
                    <w:rPr>
                      <w:rFonts w:hint="eastAsia"/>
                      <w:color w:val="auto"/>
                      <w:szCs w:val="21"/>
                    </w:rPr>
                    <w:t>最大</w:t>
                  </w:r>
                  <w:r>
                    <w:rPr>
                      <w:color w:val="auto"/>
                      <w:szCs w:val="21"/>
                    </w:rPr>
                    <w:t>贮存量为贮存设施</w:t>
                  </w:r>
                  <w:r>
                    <w:rPr>
                      <w:rFonts w:hint="eastAsia"/>
                      <w:color w:val="auto"/>
                      <w:szCs w:val="21"/>
                    </w:rPr>
                    <w:t>（储罐）</w:t>
                  </w:r>
                  <w:r>
                    <w:rPr>
                      <w:color w:val="auto"/>
                      <w:szCs w:val="21"/>
                    </w:rPr>
                    <w:t>的</w:t>
                  </w:r>
                  <w:r>
                    <w:rPr>
                      <w:rFonts w:hint="eastAsia"/>
                      <w:color w:val="auto"/>
                      <w:szCs w:val="21"/>
                    </w:rPr>
                    <w:t>90</w:t>
                  </w:r>
                  <w:r>
                    <w:rPr>
                      <w:color w:val="auto"/>
                      <w:szCs w:val="21"/>
                    </w:rPr>
                    <w:t>%。</w:t>
                  </w:r>
                </w:p>
              </w:tc>
              <w:tc>
                <w:tcPr>
                  <w:tcW w:w="643" w:type="dxa"/>
                  <w:vMerge w:val="continue"/>
                </w:tcPr>
                <w:p>
                  <w:pPr>
                    <w:pStyle w:val="28"/>
                    <w:spacing w:line="360" w:lineRule="exact"/>
                    <w:rPr>
                      <w:color w:val="auto"/>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39" w:type="dxa"/>
                  <w:vMerge w:val="continue"/>
                  <w:vAlign w:val="center"/>
                </w:tcPr>
                <w:p>
                  <w:pPr>
                    <w:pStyle w:val="28"/>
                    <w:spacing w:line="360" w:lineRule="exact"/>
                    <w:rPr>
                      <w:color w:val="auto"/>
                      <w:kern w:val="0"/>
                      <w:szCs w:val="21"/>
                    </w:rPr>
                  </w:pPr>
                </w:p>
              </w:tc>
              <w:tc>
                <w:tcPr>
                  <w:tcW w:w="3868" w:type="dxa"/>
                  <w:vAlign w:val="center"/>
                </w:tcPr>
                <w:p>
                  <w:pPr>
                    <w:pStyle w:val="28"/>
                    <w:spacing w:line="360" w:lineRule="exact"/>
                    <w:ind w:firstLine="210" w:firstLineChars="100"/>
                    <w:jc w:val="both"/>
                    <w:rPr>
                      <w:color w:val="auto"/>
                      <w:szCs w:val="21"/>
                    </w:rPr>
                  </w:pPr>
                  <w:r>
                    <w:rPr>
                      <w:color w:val="auto"/>
                      <w:szCs w:val="21"/>
                    </w:rPr>
                    <w:t>已盛装废矿物油的容器应密封，贮油油罐应设置呼吸孔，防止气体膨胀，并安装防护罩，防止杂质落入。</w:t>
                  </w:r>
                </w:p>
              </w:tc>
              <w:tc>
                <w:tcPr>
                  <w:tcW w:w="3562" w:type="dxa"/>
                  <w:vAlign w:val="center"/>
                </w:tcPr>
                <w:p>
                  <w:pPr>
                    <w:pStyle w:val="28"/>
                    <w:spacing w:line="360" w:lineRule="exact"/>
                    <w:ind w:firstLine="210" w:firstLineChars="100"/>
                    <w:jc w:val="both"/>
                    <w:rPr>
                      <w:color w:val="auto"/>
                      <w:szCs w:val="21"/>
                    </w:rPr>
                  </w:pPr>
                  <w:r>
                    <w:rPr>
                      <w:color w:val="auto"/>
                      <w:szCs w:val="21"/>
                    </w:rPr>
                    <w:t>项目废矿物油暂存容器为密封储油罐，设有呼吸孔及防护罩。</w:t>
                  </w:r>
                </w:p>
              </w:tc>
              <w:tc>
                <w:tcPr>
                  <w:tcW w:w="643" w:type="dxa"/>
                  <w:vMerge w:val="continue"/>
                </w:tcPr>
                <w:p>
                  <w:pPr>
                    <w:pStyle w:val="28"/>
                    <w:spacing w:line="360" w:lineRule="exact"/>
                    <w:rPr>
                      <w:color w:val="auto"/>
                      <w:kern w:val="0"/>
                      <w:szCs w:val="21"/>
                    </w:rPr>
                  </w:pPr>
                </w:p>
              </w:tc>
            </w:tr>
          </w:tbl>
          <w:p>
            <w:pPr>
              <w:spacing w:beforeLines="50" w:line="360" w:lineRule="auto"/>
              <w:ind w:firstLine="480" w:firstLineChars="200"/>
              <w:rPr>
                <w:rFonts w:ascii="Times New Roman" w:cs="Times New Roman"/>
                <w:sz w:val="24"/>
              </w:rPr>
            </w:pPr>
            <w:r>
              <w:rPr>
                <w:rFonts w:ascii="Times New Roman" w:cs="Times New Roman"/>
                <w:sz w:val="24"/>
              </w:rPr>
              <w:t>综上，项目废矿物油在收集、暂时贮存、运输环节均可满足《废矿物油回收利用污染控制技术规范》（HJ607-2011）相关要求。</w:t>
            </w:r>
          </w:p>
          <w:p>
            <w:pPr>
              <w:spacing w:line="360" w:lineRule="auto"/>
              <w:ind w:firstLine="361" w:firstLineChars="150"/>
              <w:outlineLvl w:val="0"/>
              <w:rPr>
                <w:rFonts w:ascii="Times New Roman" w:hAnsi="Times New Roman" w:cs="Times New Roman"/>
                <w:b/>
                <w:sz w:val="24"/>
                <w:szCs w:val="24"/>
              </w:rPr>
            </w:pPr>
            <w:r>
              <w:rPr>
                <w:rFonts w:ascii="Times New Roman" w:hAnsi="Times New Roman" w:cs="Times New Roman"/>
                <w:b/>
                <w:sz w:val="24"/>
                <w:szCs w:val="24"/>
              </w:rPr>
              <w:t>（10）项目与《云南省小微企业危险废物收集试点工作方案》符合性分析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根据《云南省生态环境厅关于印发云南省小微企业危险废物收集试点工作方案的通知》（云环通【2022】168号），项目建设与《云南省小微企业危险废物收集试点工作方案》的符合性分析如下表所示。</w:t>
            </w:r>
          </w:p>
          <w:p>
            <w:pPr>
              <w:jc w:val="center"/>
              <w:rPr>
                <w:rFonts w:ascii="Times New Roman" w:hAnsi="Times New Roman" w:cs="Times New Roman"/>
                <w:b/>
              </w:rPr>
            </w:pPr>
            <w:r>
              <w:rPr>
                <w:rFonts w:hint="eastAsia" w:ascii="Times New Roman" w:hAnsi="Times New Roman" w:cs="Times New Roman"/>
                <w:b/>
              </w:rPr>
              <w:t>表1-11 与云南省小微企业危险废物收集试点工作方案符合性分析</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3"/>
              <w:gridCol w:w="3950"/>
              <w:gridCol w:w="3543"/>
              <w:gridCol w:w="6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8"/>
                    <w:spacing w:line="360" w:lineRule="exact"/>
                    <w:rPr>
                      <w:color w:val="auto"/>
                      <w:kern w:val="0"/>
                      <w:szCs w:val="21"/>
                    </w:rPr>
                  </w:pPr>
                  <w:r>
                    <w:rPr>
                      <w:rFonts w:hint="eastAsia"/>
                      <w:color w:val="auto"/>
                      <w:kern w:val="0"/>
                      <w:szCs w:val="21"/>
                    </w:rPr>
                    <w:t>序号</w:t>
                  </w:r>
                </w:p>
              </w:tc>
              <w:tc>
                <w:tcPr>
                  <w:tcW w:w="3950" w:type="dxa"/>
                  <w:vAlign w:val="center"/>
                </w:tcPr>
                <w:p>
                  <w:pPr>
                    <w:pStyle w:val="28"/>
                    <w:spacing w:line="360" w:lineRule="exact"/>
                    <w:rPr>
                      <w:color w:val="auto"/>
                      <w:kern w:val="0"/>
                      <w:szCs w:val="21"/>
                    </w:rPr>
                  </w:pPr>
                  <w:r>
                    <w:rPr>
                      <w:rFonts w:hint="eastAsia"/>
                      <w:color w:val="auto"/>
                      <w:kern w:val="0"/>
                      <w:szCs w:val="21"/>
                    </w:rPr>
                    <w:t>云南省小微企业危险废物收集试点工作方案的要求</w:t>
                  </w:r>
                </w:p>
              </w:tc>
              <w:tc>
                <w:tcPr>
                  <w:tcW w:w="3543" w:type="dxa"/>
                  <w:vAlign w:val="center"/>
                </w:tcPr>
                <w:p>
                  <w:pPr>
                    <w:pStyle w:val="28"/>
                    <w:spacing w:line="360" w:lineRule="exact"/>
                    <w:rPr>
                      <w:color w:val="auto"/>
                      <w:kern w:val="0"/>
                      <w:szCs w:val="21"/>
                    </w:rPr>
                  </w:pPr>
                  <w:r>
                    <w:rPr>
                      <w:rFonts w:hint="eastAsia"/>
                      <w:color w:val="auto"/>
                      <w:kern w:val="0"/>
                      <w:szCs w:val="21"/>
                    </w:rPr>
                    <w:t>该项目实际情况</w:t>
                  </w:r>
                </w:p>
              </w:tc>
              <w:tc>
                <w:tcPr>
                  <w:tcW w:w="642" w:type="dxa"/>
                  <w:vAlign w:val="center"/>
                </w:tcPr>
                <w:p>
                  <w:pPr>
                    <w:pStyle w:val="28"/>
                    <w:spacing w:line="360" w:lineRule="exact"/>
                    <w:rPr>
                      <w:color w:val="auto"/>
                      <w:kern w:val="0"/>
                      <w:szCs w:val="21"/>
                    </w:rPr>
                  </w:pPr>
                  <w:r>
                    <w:rPr>
                      <w:rFonts w:hint="eastAsia"/>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8"/>
                    <w:spacing w:line="360" w:lineRule="exact"/>
                    <w:rPr>
                      <w:color w:val="auto"/>
                      <w:kern w:val="0"/>
                      <w:szCs w:val="21"/>
                    </w:rPr>
                  </w:pPr>
                  <w:r>
                    <w:rPr>
                      <w:rFonts w:hint="eastAsia"/>
                      <w:color w:val="auto"/>
                      <w:kern w:val="0"/>
                      <w:szCs w:val="21"/>
                    </w:rPr>
                    <w:t>1</w:t>
                  </w:r>
                </w:p>
              </w:tc>
              <w:tc>
                <w:tcPr>
                  <w:tcW w:w="3950" w:type="dxa"/>
                  <w:vAlign w:val="center"/>
                </w:tcPr>
                <w:p>
                  <w:pPr>
                    <w:pStyle w:val="28"/>
                    <w:spacing w:line="360" w:lineRule="exact"/>
                    <w:ind w:firstLine="210" w:firstLineChars="100"/>
                    <w:jc w:val="both"/>
                    <w:rPr>
                      <w:color w:val="auto"/>
                      <w:szCs w:val="21"/>
                    </w:rPr>
                  </w:pPr>
                  <w:r>
                    <w:rPr>
                      <w:rFonts w:hint="eastAsia"/>
                      <w:color w:val="auto"/>
                      <w:szCs w:val="21"/>
                    </w:rPr>
                    <w:t>收集对象：</w:t>
                  </w:r>
                  <w:r>
                    <w:rPr>
                      <w:color w:val="auto"/>
                      <w:szCs w:val="21"/>
                    </w:rPr>
                    <w:t>危险废物年产生总量在10吨以下（含10吨）的工业企业、机关事业单位、科研院所、学校、分析检测机构及自动监测站点、移动基站、机动车维修、报废车拆解等小微企业或社会源。</w:t>
                  </w:r>
                </w:p>
              </w:tc>
              <w:tc>
                <w:tcPr>
                  <w:tcW w:w="3543" w:type="dxa"/>
                  <w:vAlign w:val="center"/>
                </w:tcPr>
                <w:p>
                  <w:pPr>
                    <w:pStyle w:val="28"/>
                    <w:spacing w:line="360" w:lineRule="exact"/>
                    <w:ind w:firstLine="210" w:firstLineChars="100"/>
                    <w:jc w:val="both"/>
                    <w:rPr>
                      <w:color w:val="auto"/>
                      <w:szCs w:val="21"/>
                    </w:rPr>
                  </w:pPr>
                  <w:r>
                    <w:rPr>
                      <w:rFonts w:hint="eastAsia"/>
                      <w:color w:val="auto"/>
                      <w:szCs w:val="21"/>
                    </w:rPr>
                    <w:t>项目将严格按照《云南省小微企业危险废物收集试点工作方案》的要求，对小微企业产生的危险废物进行收集。</w:t>
                  </w:r>
                </w:p>
              </w:tc>
              <w:tc>
                <w:tcPr>
                  <w:tcW w:w="642"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8"/>
                    <w:spacing w:line="360" w:lineRule="exact"/>
                    <w:rPr>
                      <w:color w:val="auto"/>
                      <w:kern w:val="0"/>
                      <w:szCs w:val="21"/>
                    </w:rPr>
                  </w:pPr>
                  <w:r>
                    <w:rPr>
                      <w:rFonts w:hint="eastAsia"/>
                      <w:color w:val="auto"/>
                      <w:kern w:val="0"/>
                      <w:szCs w:val="21"/>
                    </w:rPr>
                    <w:t>2</w:t>
                  </w:r>
                </w:p>
              </w:tc>
              <w:tc>
                <w:tcPr>
                  <w:tcW w:w="3950" w:type="dxa"/>
                  <w:vAlign w:val="center"/>
                </w:tcPr>
                <w:p>
                  <w:pPr>
                    <w:pStyle w:val="28"/>
                    <w:spacing w:line="360" w:lineRule="exact"/>
                    <w:ind w:firstLine="210" w:firstLineChars="100"/>
                    <w:jc w:val="both"/>
                    <w:rPr>
                      <w:color w:val="auto"/>
                      <w:szCs w:val="21"/>
                    </w:rPr>
                  </w:pPr>
                  <w:r>
                    <w:rPr>
                      <w:rFonts w:hint="eastAsia"/>
                      <w:color w:val="auto"/>
                      <w:szCs w:val="21"/>
                    </w:rPr>
                    <w:t>收集类别：</w:t>
                  </w:r>
                  <w:r>
                    <w:rPr>
                      <w:color w:val="auto"/>
                      <w:szCs w:val="21"/>
                    </w:rPr>
                    <w:t>废矿物油及其沾染物、废试剂、实验室废物、在线监测废液、废荧光灯管、废活性炭、废催化剂、废药品、精（蒸）馆残渣、染料</w:t>
                  </w:r>
                  <w:r>
                    <w:rPr>
                      <w:rFonts w:hint="eastAsia"/>
                      <w:color w:val="auto"/>
                      <w:szCs w:val="21"/>
                    </w:rPr>
                    <w:t>/</w:t>
                  </w:r>
                  <w:r>
                    <w:rPr>
                      <w:color w:val="auto"/>
                      <w:szCs w:val="21"/>
                    </w:rPr>
                    <w:t>涂料废物、废树脂、废水处理污泥等（附件1），以及年产废总量10吨以上企业产生的少量上述危险废物。各州（市）可结合区域实际收集需求和试点单位能力合理选择确定危险废物类别。</w:t>
                  </w:r>
                </w:p>
                <w:p>
                  <w:pPr>
                    <w:pStyle w:val="28"/>
                    <w:spacing w:line="360" w:lineRule="exact"/>
                    <w:ind w:firstLine="210" w:firstLineChars="100"/>
                    <w:jc w:val="both"/>
                    <w:rPr>
                      <w:color w:val="auto"/>
                      <w:szCs w:val="21"/>
                    </w:rPr>
                  </w:pPr>
                  <w:r>
                    <w:rPr>
                      <w:color w:val="auto"/>
                      <w:szCs w:val="21"/>
                    </w:rPr>
                    <w:t>不包含以下危险废物类别：</w:t>
                  </w:r>
                </w:p>
                <w:p>
                  <w:pPr>
                    <w:pStyle w:val="28"/>
                    <w:spacing w:line="360" w:lineRule="exact"/>
                    <w:ind w:firstLine="210" w:firstLineChars="100"/>
                    <w:jc w:val="both"/>
                    <w:rPr>
                      <w:color w:val="auto"/>
                      <w:szCs w:val="21"/>
                    </w:rPr>
                  </w:pPr>
                  <w:r>
                    <w:rPr>
                      <w:color w:val="auto"/>
                      <w:szCs w:val="21"/>
                    </w:rPr>
                    <w:t>1.常温常压下易燃、易爆及排放有毒气体的危险废物；</w:t>
                  </w:r>
                </w:p>
                <w:p>
                  <w:pPr>
                    <w:pStyle w:val="28"/>
                    <w:spacing w:line="360" w:lineRule="exact"/>
                    <w:ind w:firstLine="210" w:firstLineChars="100"/>
                    <w:jc w:val="both"/>
                    <w:rPr>
                      <w:color w:val="auto"/>
                      <w:szCs w:val="21"/>
                    </w:rPr>
                  </w:pPr>
                  <w:r>
                    <w:rPr>
                      <w:color w:val="auto"/>
                      <w:szCs w:val="21"/>
                    </w:rPr>
                    <w:t>2.感染性、损伤性、病理性医疗废物；</w:t>
                  </w:r>
                </w:p>
                <w:p>
                  <w:pPr>
                    <w:pStyle w:val="28"/>
                    <w:spacing w:line="360" w:lineRule="exact"/>
                    <w:ind w:firstLine="210" w:firstLineChars="100"/>
                    <w:jc w:val="both"/>
                    <w:rPr>
                      <w:color w:val="auto"/>
                      <w:szCs w:val="21"/>
                    </w:rPr>
                  </w:pPr>
                  <w:r>
                    <w:rPr>
                      <w:color w:val="auto"/>
                      <w:szCs w:val="21"/>
                    </w:rPr>
                    <w:t>3.成分不明或者无明确利用处置去向的危险废物；</w:t>
                  </w:r>
                </w:p>
                <w:p>
                  <w:pPr>
                    <w:pStyle w:val="28"/>
                    <w:spacing w:line="360" w:lineRule="exact"/>
                    <w:ind w:firstLine="210" w:firstLineChars="100"/>
                    <w:jc w:val="both"/>
                    <w:rPr>
                      <w:color w:val="auto"/>
                      <w:szCs w:val="21"/>
                    </w:rPr>
                  </w:pPr>
                  <w:r>
                    <w:rPr>
                      <w:color w:val="auto"/>
                      <w:szCs w:val="21"/>
                    </w:rPr>
                    <w:t>4.相关法律法规另有规定必须单独收集的，从其规定；</w:t>
                  </w:r>
                </w:p>
                <w:p>
                  <w:pPr>
                    <w:pStyle w:val="28"/>
                    <w:spacing w:line="360" w:lineRule="exact"/>
                    <w:ind w:firstLine="210" w:firstLineChars="100"/>
                    <w:jc w:val="both"/>
                    <w:rPr>
                      <w:color w:val="auto"/>
                      <w:szCs w:val="21"/>
                    </w:rPr>
                  </w:pPr>
                  <w:r>
                    <w:rPr>
                      <w:color w:val="auto"/>
                      <w:szCs w:val="21"/>
                    </w:rPr>
                    <w:t>5.行政管理部门认为不宜集中收集、贮存的危险废物。</w:t>
                  </w:r>
                </w:p>
              </w:tc>
              <w:tc>
                <w:tcPr>
                  <w:tcW w:w="3543" w:type="dxa"/>
                  <w:vAlign w:val="center"/>
                </w:tcPr>
                <w:p>
                  <w:pPr>
                    <w:pStyle w:val="28"/>
                    <w:spacing w:line="360" w:lineRule="exact"/>
                    <w:ind w:firstLine="210" w:firstLineChars="100"/>
                    <w:jc w:val="both"/>
                    <w:rPr>
                      <w:color w:val="auto"/>
                      <w:szCs w:val="21"/>
                    </w:rPr>
                  </w:pPr>
                  <w:r>
                    <w:rPr>
                      <w:rFonts w:hint="eastAsia"/>
                      <w:color w:val="auto"/>
                      <w:szCs w:val="21"/>
                    </w:rPr>
                    <w:t>《云南省小微企业危险废物收集试点工作方案》附件1已明确的可收集危险废物包括83类，而建设单位结合服务区域（东川、寻甸）的实际情况，拟收集83类中的65类危险废物。</w:t>
                  </w:r>
                </w:p>
              </w:tc>
              <w:tc>
                <w:tcPr>
                  <w:tcW w:w="642"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8"/>
                    <w:spacing w:line="360" w:lineRule="exact"/>
                    <w:rPr>
                      <w:color w:val="auto"/>
                      <w:kern w:val="0"/>
                      <w:szCs w:val="21"/>
                    </w:rPr>
                  </w:pPr>
                  <w:r>
                    <w:rPr>
                      <w:rFonts w:hint="eastAsia"/>
                      <w:color w:val="auto"/>
                      <w:kern w:val="0"/>
                      <w:szCs w:val="21"/>
                    </w:rPr>
                    <w:t>3</w:t>
                  </w:r>
                </w:p>
              </w:tc>
              <w:tc>
                <w:tcPr>
                  <w:tcW w:w="3950" w:type="dxa"/>
                  <w:vAlign w:val="center"/>
                </w:tcPr>
                <w:p>
                  <w:pPr>
                    <w:pStyle w:val="28"/>
                    <w:spacing w:line="360" w:lineRule="exact"/>
                    <w:ind w:firstLine="210" w:firstLineChars="100"/>
                    <w:jc w:val="both"/>
                    <w:rPr>
                      <w:color w:val="auto"/>
                      <w:szCs w:val="21"/>
                    </w:rPr>
                  </w:pPr>
                  <w:r>
                    <w:rPr>
                      <w:color w:val="auto"/>
                      <w:szCs w:val="21"/>
                    </w:rPr>
                    <w:t>收集规模</w:t>
                  </w:r>
                  <w:r>
                    <w:rPr>
                      <w:rFonts w:hint="eastAsia"/>
                      <w:color w:val="auto"/>
                      <w:szCs w:val="21"/>
                    </w:rPr>
                    <w:t>：</w:t>
                  </w:r>
                  <w:r>
                    <w:rPr>
                      <w:color w:val="auto"/>
                      <w:szCs w:val="21"/>
                    </w:rPr>
                    <w:t>试点单位应根据服务区域危险废物收集需求</w:t>
                  </w:r>
                  <w:r>
                    <w:rPr>
                      <w:rFonts w:hint="eastAsia"/>
                      <w:color w:val="auto"/>
                      <w:szCs w:val="21"/>
                    </w:rPr>
                    <w:t>、</w:t>
                  </w:r>
                  <w:r>
                    <w:rPr>
                      <w:color w:val="auto"/>
                      <w:szCs w:val="21"/>
                    </w:rPr>
                    <w:t>收集贮存能力，合理申请危险废物收集规模。每个试点单位收集规模原则上不大于5000吨</w:t>
                  </w:r>
                  <w:r>
                    <w:rPr>
                      <w:rFonts w:hint="eastAsia"/>
                      <w:color w:val="auto"/>
                      <w:szCs w:val="21"/>
                    </w:rPr>
                    <w:t>/</w:t>
                  </w:r>
                  <w:r>
                    <w:rPr>
                      <w:color w:val="auto"/>
                      <w:szCs w:val="21"/>
                    </w:rPr>
                    <w:t>年，每个贮存点单次最大贮存量不超过500吨（单一类别最大贮存量不超过100吨）。</w:t>
                  </w:r>
                </w:p>
              </w:tc>
              <w:tc>
                <w:tcPr>
                  <w:tcW w:w="3543" w:type="dxa"/>
                  <w:vAlign w:val="center"/>
                </w:tcPr>
                <w:p>
                  <w:pPr>
                    <w:pStyle w:val="28"/>
                    <w:spacing w:line="360" w:lineRule="exact"/>
                    <w:ind w:firstLine="210" w:firstLineChars="100"/>
                    <w:jc w:val="both"/>
                    <w:rPr>
                      <w:color w:val="auto"/>
                      <w:szCs w:val="21"/>
                    </w:rPr>
                  </w:pPr>
                  <w:r>
                    <w:rPr>
                      <w:rFonts w:hint="eastAsia"/>
                      <w:color w:val="auto"/>
                      <w:szCs w:val="21"/>
                    </w:rPr>
                    <w:t>根据《</w:t>
                  </w:r>
                  <w:r>
                    <w:rPr>
                      <w:color w:val="auto"/>
                      <w:szCs w:val="21"/>
                    </w:rPr>
                    <w:t>昆明旭鑫环保科技有限公司开展小微企业危险废物收集试点</w:t>
                  </w:r>
                  <w:r>
                    <w:rPr>
                      <w:rFonts w:hint="eastAsia"/>
                      <w:color w:val="auto"/>
                      <w:szCs w:val="21"/>
                    </w:rPr>
                    <w:t>实施方案》，试点项目网点由东川网点（即本项目）和寻甸网点（寻甸烨龙再生资源有限公司收集点）组成，其中东川网点申请收集规模为</w:t>
                  </w:r>
                  <w:r>
                    <w:rPr>
                      <w:color w:val="auto"/>
                      <w:szCs w:val="21"/>
                    </w:rPr>
                    <w:t>5000吨</w:t>
                  </w:r>
                  <w:r>
                    <w:rPr>
                      <w:rFonts w:hint="eastAsia"/>
                      <w:color w:val="auto"/>
                      <w:szCs w:val="21"/>
                    </w:rPr>
                    <w:t>/</w:t>
                  </w:r>
                  <w:r>
                    <w:rPr>
                      <w:color w:val="auto"/>
                      <w:szCs w:val="21"/>
                    </w:rPr>
                    <w:t>年</w:t>
                  </w:r>
                  <w:r>
                    <w:rPr>
                      <w:rFonts w:hint="eastAsia"/>
                      <w:color w:val="auto"/>
                      <w:szCs w:val="21"/>
                    </w:rPr>
                    <w:t>，拟设置</w:t>
                  </w:r>
                  <w:r>
                    <w:rPr>
                      <w:color w:val="auto"/>
                      <w:szCs w:val="21"/>
                    </w:rPr>
                    <w:t>1000m²</w:t>
                  </w:r>
                  <w:r>
                    <w:rPr>
                      <w:rFonts w:hint="eastAsia"/>
                      <w:color w:val="auto"/>
                      <w:szCs w:val="21"/>
                    </w:rPr>
                    <w:t>的贮存库，各类危险废物最大暂存量为416.66t，单一类别最大贮存量98.33t；而寻甸网点仅对废铅蓄电池和废电路板进行收集，该网点收集及贮存按照其环评及排污许可证要求执行，其中废铅蓄电池最大贮存能力为1000t，废电路板最大贮存能力为500t。</w:t>
                  </w:r>
                </w:p>
              </w:tc>
              <w:tc>
                <w:tcPr>
                  <w:tcW w:w="642" w:type="dxa"/>
                  <w:vAlign w:val="center"/>
                </w:tcPr>
                <w:p>
                  <w:pPr>
                    <w:pStyle w:val="28"/>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dxa"/>
                  <w:vAlign w:val="center"/>
                </w:tcPr>
                <w:p>
                  <w:pPr>
                    <w:pStyle w:val="28"/>
                    <w:spacing w:line="360" w:lineRule="exact"/>
                    <w:rPr>
                      <w:color w:val="auto"/>
                      <w:kern w:val="0"/>
                      <w:szCs w:val="21"/>
                    </w:rPr>
                  </w:pPr>
                  <w:r>
                    <w:rPr>
                      <w:rFonts w:hint="eastAsia"/>
                      <w:color w:val="auto"/>
                      <w:kern w:val="0"/>
                      <w:szCs w:val="21"/>
                    </w:rPr>
                    <w:t>4</w:t>
                  </w:r>
                </w:p>
              </w:tc>
              <w:tc>
                <w:tcPr>
                  <w:tcW w:w="3950" w:type="dxa"/>
                  <w:vAlign w:val="center"/>
                </w:tcPr>
                <w:p>
                  <w:pPr>
                    <w:pStyle w:val="28"/>
                    <w:spacing w:line="360" w:lineRule="exact"/>
                    <w:ind w:firstLine="210" w:firstLineChars="100"/>
                    <w:jc w:val="both"/>
                    <w:rPr>
                      <w:color w:val="auto"/>
                      <w:szCs w:val="21"/>
                    </w:rPr>
                  </w:pPr>
                  <w:r>
                    <w:rPr>
                      <w:color w:val="auto"/>
                      <w:szCs w:val="21"/>
                    </w:rPr>
                    <w:t>贮存期限</w:t>
                  </w:r>
                  <w:r>
                    <w:rPr>
                      <w:rFonts w:hint="eastAsia"/>
                      <w:color w:val="auto"/>
                      <w:szCs w:val="21"/>
                    </w:rPr>
                    <w:t>：</w:t>
                  </w:r>
                  <w:r>
                    <w:rPr>
                      <w:color w:val="auto"/>
                      <w:szCs w:val="21"/>
                    </w:rPr>
                    <w:t>收集贮存的危险废物应在90个工作日内提供或者委托利用处置单位进行利用处置。超过法定贮存期限，确需延期贮存的，需经颁发危险废物收集经营许可证的州（市）生态环境局批准。</w:t>
                  </w:r>
                </w:p>
              </w:tc>
              <w:tc>
                <w:tcPr>
                  <w:tcW w:w="3543" w:type="dxa"/>
                  <w:vAlign w:val="center"/>
                </w:tcPr>
                <w:p>
                  <w:pPr>
                    <w:pStyle w:val="28"/>
                    <w:spacing w:line="360" w:lineRule="exact"/>
                    <w:ind w:firstLine="210" w:firstLineChars="100"/>
                    <w:jc w:val="both"/>
                    <w:rPr>
                      <w:color w:val="auto"/>
                      <w:szCs w:val="21"/>
                    </w:rPr>
                  </w:pPr>
                  <w:r>
                    <w:rPr>
                      <w:rFonts w:hint="eastAsia"/>
                      <w:color w:val="auto"/>
                      <w:szCs w:val="21"/>
                    </w:rPr>
                    <w:t>建设单位实际运营中将严格按照实施方案要求，收集到各类危险废物后，在90个工作日内委托有利用处置资质的单位进行处理。</w:t>
                  </w:r>
                </w:p>
              </w:tc>
              <w:tc>
                <w:tcPr>
                  <w:tcW w:w="642" w:type="dxa"/>
                  <w:vAlign w:val="center"/>
                </w:tcPr>
                <w:p>
                  <w:pPr>
                    <w:pStyle w:val="28"/>
                    <w:spacing w:line="360" w:lineRule="exact"/>
                    <w:rPr>
                      <w:color w:val="auto"/>
                      <w:kern w:val="0"/>
                      <w:szCs w:val="21"/>
                    </w:rPr>
                  </w:pPr>
                  <w:r>
                    <w:rPr>
                      <w:rFonts w:hint="eastAsia"/>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综上，项目建设符合《云南省小微企业危险废物收集试点工作方案》的相关要求。</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二、建设项目工程分析</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为了</w:t>
            </w:r>
            <w:r>
              <w:rPr>
                <w:rFonts w:ascii="Times New Roman" w:hAnsi="Times New Roman" w:cs="Times New Roman"/>
                <w:sz w:val="24"/>
                <w:szCs w:val="24"/>
              </w:rPr>
              <w:t>规范完善危险废物收集体系，加快补齐危险废物收集能力短板，建立健全小微企业危险废物收集转运体系</w:t>
            </w:r>
            <w:r>
              <w:rPr>
                <w:rFonts w:hint="eastAsia" w:ascii="Times New Roman" w:hAnsi="Times New Roman" w:cs="Times New Roman"/>
                <w:sz w:val="24"/>
                <w:szCs w:val="24"/>
              </w:rPr>
              <w:t>，</w:t>
            </w:r>
            <w:r>
              <w:rPr>
                <w:rFonts w:ascii="Times New Roman" w:hAnsi="Times New Roman" w:cs="Times New Roman"/>
                <w:sz w:val="24"/>
                <w:szCs w:val="24"/>
              </w:rPr>
              <w:t>切实解决小微企业急难愁盼的危险废物收集处理问题，</w:t>
            </w:r>
            <w:r>
              <w:rPr>
                <w:rFonts w:hint="eastAsia" w:ascii="Times New Roman" w:hAnsi="Times New Roman" w:cs="Times New Roman"/>
                <w:sz w:val="24"/>
                <w:szCs w:val="24"/>
              </w:rPr>
              <w:t>2022年11月17日，云南省生态环境厅印发了《云南省小微企业危险废物收集试点工作方案的通知》（云环通【2022】168号），该工作方案的主要要求为：在</w:t>
            </w:r>
            <w:r>
              <w:rPr>
                <w:rFonts w:ascii="Times New Roman" w:hAnsi="Times New Roman" w:cs="Times New Roman"/>
                <w:sz w:val="24"/>
                <w:szCs w:val="24"/>
              </w:rPr>
              <w:t>昆明市、曲靖市、玉溪市、大理州、丽江市率先开展小微企业危险废物收集试点工作，到2023年底，全省试点建成一批专业化、智慧化、规模化危险废物收集单位</w:t>
            </w:r>
            <w:r>
              <w:rPr>
                <w:rFonts w:hint="eastAsia" w:ascii="Times New Roman" w:hAnsi="Times New Roman" w:cs="Times New Roman"/>
                <w:sz w:val="24"/>
                <w:szCs w:val="24"/>
              </w:rPr>
              <w:t>，</w:t>
            </w:r>
            <w:r>
              <w:rPr>
                <w:rFonts w:ascii="Times New Roman" w:hAnsi="Times New Roman" w:cs="Times New Roman"/>
                <w:sz w:val="24"/>
                <w:szCs w:val="24"/>
              </w:rPr>
              <w:t>小微企业和社会源危险废物收集规范化、信息化水平提升</w:t>
            </w:r>
            <w:r>
              <w:rPr>
                <w:rFonts w:hint="eastAsia" w:ascii="Times New Roman" w:hAnsi="Times New Roman" w:cs="Times New Roman"/>
                <w:sz w:val="24"/>
                <w:szCs w:val="24"/>
              </w:rPr>
              <w:t>，</w:t>
            </w:r>
            <w:r>
              <w:rPr>
                <w:rFonts w:ascii="Times New Roman" w:hAnsi="Times New Roman" w:cs="Times New Roman"/>
                <w:sz w:val="24"/>
                <w:szCs w:val="24"/>
              </w:rPr>
              <w:t>小微企业危险废物环境风险得到有效管控。试点单位服务区域内小微企业危险废物集中收集率达到90%以上。</w:t>
            </w:r>
            <w:r>
              <w:rPr>
                <w:rFonts w:hint="eastAsia" w:ascii="Times New Roman" w:hAnsi="Times New Roman" w:cs="Times New Roman"/>
                <w:sz w:val="24"/>
                <w:szCs w:val="24"/>
              </w:rPr>
              <w:t>根据该工作方案的要求，昆明市生态环境局经资格审核，同意6家企业开展试点工作，昆明旭鑫环保科技有限公司为其中一家，其重点服务保障区域为东川区和寻甸县，而寻甸烨龙再生资源有限公司作为</w:t>
            </w:r>
            <w:r>
              <w:rPr>
                <w:rFonts w:ascii="Times New Roman" w:hAnsi="Times New Roman" w:cs="Times New Roman"/>
                <w:sz w:val="24"/>
                <w:szCs w:val="24"/>
              </w:rPr>
              <w:t>昆明旭鑫环保科技有限公司</w:t>
            </w:r>
            <w:r>
              <w:rPr>
                <w:rFonts w:hint="eastAsia" w:ascii="Times New Roman" w:hAnsi="Times New Roman" w:cs="Times New Roman"/>
                <w:sz w:val="24"/>
                <w:szCs w:val="24"/>
              </w:rPr>
              <w:t>的一个收集网点（寻甸网点）开展试点工作。</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w:t>
            </w:r>
            <w:r>
              <w:rPr>
                <w:rFonts w:ascii="Times New Roman" w:hAnsi="Times New Roman" w:cs="Times New Roman"/>
                <w:sz w:val="24"/>
                <w:szCs w:val="24"/>
              </w:rPr>
              <w:t>昆明旭鑫环保科技有限公司</w:t>
            </w:r>
            <w:r>
              <w:rPr>
                <w:rFonts w:hint="eastAsia" w:ascii="Times New Roman" w:hAnsi="Times New Roman" w:cs="Times New Roman"/>
                <w:sz w:val="24"/>
                <w:szCs w:val="24"/>
              </w:rPr>
              <w:t>向昆明市生态环境局提交的《</w:t>
            </w:r>
            <w:r>
              <w:rPr>
                <w:rFonts w:ascii="Times New Roman" w:hAnsi="Times New Roman" w:cs="Times New Roman"/>
                <w:sz w:val="24"/>
                <w:szCs w:val="24"/>
              </w:rPr>
              <w:t>昆明旭鑫环保科技有限公司开展小微企业危险废物收集试点</w:t>
            </w:r>
            <w:r>
              <w:rPr>
                <w:rFonts w:hint="eastAsia" w:ascii="Times New Roman" w:hAnsi="Times New Roman" w:cs="Times New Roman"/>
                <w:sz w:val="24"/>
                <w:szCs w:val="24"/>
              </w:rPr>
              <w:t>实施方案》，试点项目网点由东川网点（即本项目）和寻甸网点（寻甸烨龙再生资源有限公司收集点）组成，其中东川网点申请收集规模为</w:t>
            </w:r>
            <w:r>
              <w:rPr>
                <w:rFonts w:ascii="Times New Roman" w:hAnsi="Times New Roman" w:cs="Times New Roman"/>
                <w:sz w:val="24"/>
                <w:szCs w:val="24"/>
              </w:rPr>
              <w:t>5000吨</w:t>
            </w:r>
            <w:r>
              <w:rPr>
                <w:rFonts w:hint="eastAsia" w:ascii="Times New Roman" w:hAnsi="Times New Roman" w:cs="Times New Roman"/>
                <w:sz w:val="24"/>
                <w:szCs w:val="24"/>
              </w:rPr>
              <w:t>/</w:t>
            </w:r>
            <w:r>
              <w:rPr>
                <w:rFonts w:ascii="Times New Roman" w:hAnsi="Times New Roman" w:cs="Times New Roman"/>
                <w:sz w:val="24"/>
                <w:szCs w:val="24"/>
              </w:rPr>
              <w:t>年</w:t>
            </w:r>
            <w:r>
              <w:rPr>
                <w:rFonts w:hint="eastAsia" w:ascii="Times New Roman" w:hAnsi="Times New Roman" w:cs="Times New Roman"/>
                <w:sz w:val="24"/>
                <w:szCs w:val="24"/>
              </w:rPr>
              <w:t>，拟设置</w:t>
            </w:r>
            <w:r>
              <w:rPr>
                <w:rFonts w:ascii="Times New Roman" w:hAnsi="Times New Roman" w:cs="Times New Roman"/>
                <w:sz w:val="24"/>
                <w:szCs w:val="24"/>
              </w:rPr>
              <w:t>1000m²</w:t>
            </w:r>
            <w:r>
              <w:rPr>
                <w:rFonts w:hint="eastAsia" w:ascii="Times New Roman" w:hAnsi="Times New Roman" w:cs="Times New Roman"/>
                <w:sz w:val="24"/>
                <w:szCs w:val="24"/>
              </w:rPr>
              <w:t>的贮存库，各类危险废物最大暂存量为416.66t，单一类别最大贮存量98.33t；而寻甸网点仅对废铅蓄电池和废电路板进行收集，根据调查，寻甸网点项目已于2</w:t>
            </w:r>
            <w:r>
              <w:rPr>
                <w:rFonts w:ascii="Times New Roman" w:hAnsi="Times New Roman" w:cs="Times New Roman"/>
                <w:sz w:val="24"/>
                <w:szCs w:val="24"/>
              </w:rPr>
              <w:t>021</w:t>
            </w:r>
            <w:r>
              <w:rPr>
                <w:rFonts w:hint="eastAsia" w:ascii="Times New Roman" w:hAnsi="Times New Roman" w:cs="Times New Roman"/>
                <w:sz w:val="24"/>
                <w:szCs w:val="24"/>
              </w:rPr>
              <w:t>年4月8日取得昆明市生态环境局寻甸分局关于对《寻甸烨龙再生资源有限公司电子产品回收扩建项目环境影响报告表的批复》（昆生环寻【2</w:t>
            </w:r>
            <w:r>
              <w:rPr>
                <w:rFonts w:ascii="Times New Roman" w:hAnsi="Times New Roman" w:cs="Times New Roman"/>
                <w:sz w:val="24"/>
                <w:szCs w:val="24"/>
              </w:rPr>
              <w:t>021</w:t>
            </w:r>
            <w:r>
              <w:rPr>
                <w:rFonts w:hint="eastAsia" w:ascii="Times New Roman" w:hAnsi="Times New Roman" w:cs="Times New Roman"/>
                <w:sz w:val="24"/>
                <w:szCs w:val="24"/>
              </w:rPr>
              <w:t>】7</w:t>
            </w:r>
            <w:r>
              <w:rPr>
                <w:rFonts w:ascii="Times New Roman" w:hAnsi="Times New Roman" w:cs="Times New Roman"/>
                <w:sz w:val="24"/>
                <w:szCs w:val="24"/>
              </w:rPr>
              <w:t>6</w:t>
            </w:r>
            <w:r>
              <w:rPr>
                <w:rFonts w:hint="eastAsia" w:ascii="Times New Roman" w:hAnsi="Times New Roman" w:cs="Times New Roman"/>
                <w:sz w:val="24"/>
                <w:szCs w:val="24"/>
              </w:rPr>
              <w:t>号），寻甸网点收集及贮存按照其环评及排污许可证要求执行，其废铅蓄电池最大贮存能力为1000t，废电路板最大贮存能力为500t，此次开展小微企业危险废物收集试点工作，寻甸网点危险废物的收集、贮存种类和规模不会发生变化，因此本次环评不对寻甸网点进行评价，仅对东川网点进行评价。</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w:t>
            </w:r>
            <w:r>
              <w:rPr>
                <w:rFonts w:hint="eastAsia" w:ascii="Times New Roman" w:hAnsi="Times New Roman" w:cs="Times New Roman"/>
                <w:sz w:val="24"/>
                <w:szCs w:val="24"/>
              </w:rPr>
              <w:t>拟</w:t>
            </w:r>
            <w:r>
              <w:rPr>
                <w:rFonts w:ascii="Times New Roman" w:hAnsi="Times New Roman" w:cs="Times New Roman"/>
                <w:sz w:val="24"/>
                <w:szCs w:val="24"/>
              </w:rPr>
              <w:t>利用昆明旭鑫环保科技有限公司</w:t>
            </w:r>
            <w:r>
              <w:rPr>
                <w:rFonts w:hint="eastAsia" w:ascii="Times New Roman" w:hAnsi="Times New Roman" w:cs="Times New Roman"/>
                <w:sz w:val="24"/>
                <w:szCs w:val="24"/>
              </w:rPr>
              <w:t>现有</w:t>
            </w:r>
            <w:r>
              <w:rPr>
                <w:rFonts w:ascii="Times New Roman" w:hAnsi="Times New Roman" w:cs="Times New Roman"/>
                <w:sz w:val="24"/>
                <w:szCs w:val="24"/>
              </w:rPr>
              <w:t>原料暂存库项目中1000m²区域开展小微企业危险废物收集试点东川网点项目</w:t>
            </w:r>
            <w:r>
              <w:rPr>
                <w:rFonts w:hint="eastAsia" w:ascii="Times New Roman" w:hAnsi="Times New Roman" w:cs="Times New Roman"/>
                <w:sz w:val="24"/>
                <w:szCs w:val="24"/>
              </w:rPr>
              <w:t>建设，该项目东川网点建成后对东川区和寻甸县境内的18大类（H</w:t>
            </w:r>
            <w:r>
              <w:rPr>
                <w:rFonts w:ascii="Times New Roman" w:hAnsi="Times New Roman" w:cs="Times New Roman"/>
                <w:sz w:val="24"/>
                <w:szCs w:val="24"/>
              </w:rPr>
              <w:t>W03</w:t>
            </w:r>
            <w:r>
              <w:rPr>
                <w:rFonts w:hint="eastAsia" w:ascii="Times New Roman" w:hAnsi="Times New Roman" w:cs="Times New Roman"/>
                <w:sz w:val="24"/>
                <w:szCs w:val="24"/>
              </w:rPr>
              <w:t>、H</w:t>
            </w:r>
            <w:r>
              <w:rPr>
                <w:rFonts w:ascii="Times New Roman" w:hAnsi="Times New Roman" w:cs="Times New Roman"/>
                <w:sz w:val="24"/>
                <w:szCs w:val="24"/>
              </w:rPr>
              <w:t>W04</w:t>
            </w:r>
            <w:r>
              <w:rPr>
                <w:rFonts w:hint="eastAsia" w:ascii="Times New Roman" w:hAnsi="Times New Roman" w:cs="Times New Roman"/>
                <w:sz w:val="24"/>
                <w:szCs w:val="24"/>
              </w:rPr>
              <w:t>、H</w:t>
            </w:r>
            <w:r>
              <w:rPr>
                <w:rFonts w:ascii="Times New Roman" w:hAnsi="Times New Roman" w:cs="Times New Roman"/>
                <w:sz w:val="24"/>
                <w:szCs w:val="24"/>
              </w:rPr>
              <w:t>W06</w:t>
            </w:r>
            <w:r>
              <w:rPr>
                <w:rFonts w:hint="eastAsia" w:ascii="Times New Roman" w:hAnsi="Times New Roman" w:cs="Times New Roman"/>
                <w:sz w:val="24"/>
                <w:szCs w:val="24"/>
              </w:rPr>
              <w:t>、H</w:t>
            </w:r>
            <w:r>
              <w:rPr>
                <w:rFonts w:ascii="Times New Roman" w:hAnsi="Times New Roman" w:cs="Times New Roman"/>
                <w:sz w:val="24"/>
                <w:szCs w:val="24"/>
              </w:rPr>
              <w:t>W08</w:t>
            </w:r>
            <w:r>
              <w:rPr>
                <w:rFonts w:hint="eastAsia" w:ascii="Times New Roman" w:hAnsi="Times New Roman" w:cs="Times New Roman"/>
                <w:sz w:val="24"/>
                <w:szCs w:val="24"/>
              </w:rPr>
              <w:t>、H</w:t>
            </w:r>
            <w:r>
              <w:rPr>
                <w:rFonts w:ascii="Times New Roman" w:hAnsi="Times New Roman" w:cs="Times New Roman"/>
                <w:sz w:val="24"/>
                <w:szCs w:val="24"/>
              </w:rPr>
              <w:t>W09</w:t>
            </w:r>
            <w:r>
              <w:rPr>
                <w:rFonts w:hint="eastAsia" w:ascii="Times New Roman" w:hAnsi="Times New Roman" w:cs="Times New Roman"/>
                <w:sz w:val="24"/>
                <w:szCs w:val="24"/>
              </w:rPr>
              <w:t>、H</w:t>
            </w:r>
            <w:r>
              <w:rPr>
                <w:rFonts w:ascii="Times New Roman" w:hAnsi="Times New Roman" w:cs="Times New Roman"/>
                <w:sz w:val="24"/>
                <w:szCs w:val="24"/>
              </w:rPr>
              <w:t>W11</w:t>
            </w:r>
            <w:r>
              <w:rPr>
                <w:rFonts w:hint="eastAsia" w:ascii="Times New Roman" w:hAnsi="Times New Roman" w:cs="Times New Roman"/>
                <w:sz w:val="24"/>
                <w:szCs w:val="24"/>
              </w:rPr>
              <w:t>、H</w:t>
            </w:r>
            <w:r>
              <w:rPr>
                <w:rFonts w:ascii="Times New Roman" w:hAnsi="Times New Roman" w:cs="Times New Roman"/>
                <w:sz w:val="24"/>
                <w:szCs w:val="24"/>
              </w:rPr>
              <w:t>W12</w:t>
            </w:r>
            <w:r>
              <w:rPr>
                <w:rFonts w:hint="eastAsia" w:ascii="Times New Roman" w:hAnsi="Times New Roman" w:cs="Times New Roman"/>
                <w:sz w:val="24"/>
                <w:szCs w:val="24"/>
              </w:rPr>
              <w:t>、H</w:t>
            </w:r>
            <w:r>
              <w:rPr>
                <w:rFonts w:ascii="Times New Roman" w:hAnsi="Times New Roman" w:cs="Times New Roman"/>
                <w:sz w:val="24"/>
                <w:szCs w:val="24"/>
              </w:rPr>
              <w:t>W13</w:t>
            </w:r>
            <w:r>
              <w:rPr>
                <w:rFonts w:hint="eastAsia" w:ascii="Times New Roman" w:hAnsi="Times New Roman" w:cs="Times New Roman"/>
                <w:sz w:val="24"/>
                <w:szCs w:val="24"/>
              </w:rPr>
              <w:t>、H</w:t>
            </w:r>
            <w:r>
              <w:rPr>
                <w:rFonts w:ascii="Times New Roman" w:hAnsi="Times New Roman" w:cs="Times New Roman"/>
                <w:sz w:val="24"/>
                <w:szCs w:val="24"/>
              </w:rPr>
              <w:t>W16</w:t>
            </w:r>
            <w:r>
              <w:rPr>
                <w:rFonts w:hint="eastAsia" w:ascii="Times New Roman" w:hAnsi="Times New Roman" w:cs="Times New Roman"/>
                <w:sz w:val="24"/>
                <w:szCs w:val="24"/>
              </w:rPr>
              <w:t>、H</w:t>
            </w:r>
            <w:r>
              <w:rPr>
                <w:rFonts w:ascii="Times New Roman" w:hAnsi="Times New Roman" w:cs="Times New Roman"/>
                <w:sz w:val="24"/>
                <w:szCs w:val="24"/>
              </w:rPr>
              <w:t>W17</w:t>
            </w:r>
            <w:r>
              <w:rPr>
                <w:rFonts w:hint="eastAsia" w:ascii="Times New Roman" w:hAnsi="Times New Roman" w:cs="Times New Roman"/>
                <w:sz w:val="24"/>
                <w:szCs w:val="24"/>
              </w:rPr>
              <w:t>、H</w:t>
            </w:r>
            <w:r>
              <w:rPr>
                <w:rFonts w:ascii="Times New Roman" w:hAnsi="Times New Roman" w:cs="Times New Roman"/>
                <w:sz w:val="24"/>
                <w:szCs w:val="24"/>
              </w:rPr>
              <w:t>W23</w:t>
            </w:r>
            <w:r>
              <w:rPr>
                <w:rFonts w:hint="eastAsia" w:ascii="Times New Roman" w:hAnsi="Times New Roman" w:cs="Times New Roman"/>
                <w:sz w:val="24"/>
                <w:szCs w:val="24"/>
              </w:rPr>
              <w:t>、H</w:t>
            </w:r>
            <w:r>
              <w:rPr>
                <w:rFonts w:ascii="Times New Roman" w:hAnsi="Times New Roman" w:cs="Times New Roman"/>
                <w:sz w:val="24"/>
                <w:szCs w:val="24"/>
              </w:rPr>
              <w:t>W29</w:t>
            </w:r>
            <w:r>
              <w:rPr>
                <w:rFonts w:hint="eastAsia" w:ascii="Times New Roman" w:hAnsi="Times New Roman" w:cs="Times New Roman"/>
                <w:sz w:val="24"/>
                <w:szCs w:val="24"/>
              </w:rPr>
              <w:t>、H</w:t>
            </w:r>
            <w:r>
              <w:rPr>
                <w:rFonts w:ascii="Times New Roman" w:hAnsi="Times New Roman" w:cs="Times New Roman"/>
                <w:sz w:val="24"/>
                <w:szCs w:val="24"/>
              </w:rPr>
              <w:t>W34</w:t>
            </w:r>
            <w:r>
              <w:rPr>
                <w:rFonts w:hint="eastAsia" w:ascii="Times New Roman" w:hAnsi="Times New Roman" w:cs="Times New Roman"/>
                <w:sz w:val="24"/>
                <w:szCs w:val="24"/>
              </w:rPr>
              <w:t>、H</w:t>
            </w:r>
            <w:r>
              <w:rPr>
                <w:rFonts w:ascii="Times New Roman" w:hAnsi="Times New Roman" w:cs="Times New Roman"/>
                <w:sz w:val="24"/>
                <w:szCs w:val="24"/>
              </w:rPr>
              <w:t>W35</w:t>
            </w:r>
            <w:r>
              <w:rPr>
                <w:rFonts w:hint="eastAsia" w:ascii="Times New Roman" w:hAnsi="Times New Roman" w:cs="Times New Roman"/>
                <w:sz w:val="24"/>
                <w:szCs w:val="24"/>
              </w:rPr>
              <w:t>、H</w:t>
            </w:r>
            <w:r>
              <w:rPr>
                <w:rFonts w:ascii="Times New Roman" w:hAnsi="Times New Roman" w:cs="Times New Roman"/>
                <w:sz w:val="24"/>
                <w:szCs w:val="24"/>
              </w:rPr>
              <w:t>W36</w:t>
            </w:r>
            <w:r>
              <w:rPr>
                <w:rFonts w:hint="eastAsia" w:ascii="Times New Roman" w:hAnsi="Times New Roman" w:cs="Times New Roman"/>
                <w:sz w:val="24"/>
                <w:szCs w:val="24"/>
              </w:rPr>
              <w:t>、H</w:t>
            </w:r>
            <w:r>
              <w:rPr>
                <w:rFonts w:ascii="Times New Roman" w:hAnsi="Times New Roman" w:cs="Times New Roman"/>
                <w:sz w:val="24"/>
                <w:szCs w:val="24"/>
              </w:rPr>
              <w:t>W46</w:t>
            </w:r>
            <w:r>
              <w:rPr>
                <w:rFonts w:hint="eastAsia" w:ascii="Times New Roman" w:hAnsi="Times New Roman" w:cs="Times New Roman"/>
                <w:sz w:val="24"/>
                <w:szCs w:val="24"/>
              </w:rPr>
              <w:t>、H</w:t>
            </w:r>
            <w:r>
              <w:rPr>
                <w:rFonts w:ascii="Times New Roman" w:hAnsi="Times New Roman" w:cs="Times New Roman"/>
                <w:sz w:val="24"/>
                <w:szCs w:val="24"/>
              </w:rPr>
              <w:t>W49</w:t>
            </w:r>
            <w:r>
              <w:rPr>
                <w:rFonts w:hint="eastAsia" w:ascii="Times New Roman" w:hAnsi="Times New Roman" w:cs="Times New Roman"/>
                <w:sz w:val="24"/>
                <w:szCs w:val="24"/>
              </w:rPr>
              <w:t>、H</w:t>
            </w:r>
            <w:r>
              <w:rPr>
                <w:rFonts w:ascii="Times New Roman" w:hAnsi="Times New Roman" w:cs="Times New Roman"/>
                <w:sz w:val="24"/>
                <w:szCs w:val="24"/>
              </w:rPr>
              <w:t>W50</w:t>
            </w:r>
            <w:r>
              <w:rPr>
                <w:rFonts w:hint="eastAsia" w:ascii="Times New Roman" w:hAnsi="Times New Roman" w:cs="Times New Roman"/>
                <w:sz w:val="24"/>
                <w:szCs w:val="24"/>
              </w:rPr>
              <w:t>）中6</w:t>
            </w:r>
            <w:r>
              <w:rPr>
                <w:rFonts w:ascii="Times New Roman" w:hAnsi="Times New Roman" w:cs="Times New Roman"/>
                <w:sz w:val="24"/>
                <w:szCs w:val="24"/>
              </w:rPr>
              <w:t>5</w:t>
            </w:r>
            <w:r>
              <w:rPr>
                <w:rFonts w:hint="eastAsia" w:ascii="Times New Roman" w:hAnsi="Times New Roman" w:cs="Times New Roman"/>
                <w:sz w:val="24"/>
                <w:szCs w:val="24"/>
              </w:rPr>
              <w:t>小类进行收集、贮存；建成后收集规模为</w:t>
            </w:r>
            <w:r>
              <w:rPr>
                <w:rFonts w:ascii="Times New Roman" w:hAnsi="Times New Roman" w:cs="Times New Roman"/>
                <w:sz w:val="24"/>
                <w:szCs w:val="24"/>
              </w:rPr>
              <w:t>5000吨</w:t>
            </w:r>
            <w:r>
              <w:rPr>
                <w:rFonts w:hint="eastAsia" w:ascii="Times New Roman" w:hAnsi="Times New Roman" w:cs="Times New Roman"/>
                <w:sz w:val="24"/>
                <w:szCs w:val="24"/>
              </w:rPr>
              <w:t>/</w:t>
            </w:r>
            <w:r>
              <w:rPr>
                <w:rFonts w:ascii="Times New Roman" w:hAnsi="Times New Roman" w:cs="Times New Roman"/>
                <w:sz w:val="24"/>
                <w:szCs w:val="24"/>
              </w:rPr>
              <w:t>年</w:t>
            </w:r>
            <w:r>
              <w:rPr>
                <w:rFonts w:hint="eastAsia" w:ascii="Times New Roman" w:hAnsi="Times New Roman" w:cs="Times New Roman"/>
                <w:sz w:val="24"/>
                <w:szCs w:val="24"/>
              </w:rPr>
              <w:t>，各类危险废物最大暂存量为416.66t，单一类别最大贮存量98.33t。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（2）建设内容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该项目占地面积为1000m²，</w:t>
            </w:r>
            <w:r>
              <w:rPr>
                <w:rFonts w:hint="eastAsia" w:ascii="Times New Roman" w:hAnsi="Times New Roman" w:cs="Times New Roman"/>
                <w:sz w:val="24"/>
                <w:szCs w:val="24"/>
              </w:rPr>
              <w:t>该项目</w:t>
            </w:r>
            <w:r>
              <w:rPr>
                <w:rFonts w:ascii="Times New Roman" w:hAnsi="Times New Roman" w:cs="Times New Roman"/>
                <w:sz w:val="24"/>
                <w:szCs w:val="24"/>
              </w:rPr>
              <w:t>利用昆明旭鑫环保科技有限公司现有原料暂存库项目中1000m²区域</w:t>
            </w:r>
            <w:r>
              <w:rPr>
                <w:rFonts w:hint="eastAsia" w:ascii="Times New Roman" w:hAnsi="Times New Roman" w:cs="Times New Roman"/>
                <w:sz w:val="24"/>
                <w:szCs w:val="24"/>
              </w:rPr>
              <w:t>进行改建后，</w:t>
            </w:r>
            <w:r>
              <w:rPr>
                <w:rFonts w:ascii="Times New Roman" w:hAnsi="Times New Roman" w:cs="Times New Roman"/>
                <w:sz w:val="24"/>
                <w:szCs w:val="24"/>
              </w:rPr>
              <w:t>开展小微企业危险废物收集试点</w:t>
            </w:r>
            <w:r>
              <w:rPr>
                <w:rFonts w:hint="eastAsia" w:ascii="Times New Roman" w:hAnsi="Times New Roman" w:cs="Times New Roman"/>
                <w:sz w:val="24"/>
                <w:szCs w:val="24"/>
              </w:rPr>
              <w:t>工作</w:t>
            </w:r>
            <w:r>
              <w:rPr>
                <w:rFonts w:ascii="Times New Roman" w:hAnsi="Times New Roman" w:cs="Times New Roman"/>
                <w:sz w:val="24"/>
                <w:szCs w:val="24"/>
              </w:rPr>
              <w:t>，</w:t>
            </w:r>
            <w:r>
              <w:rPr>
                <w:rFonts w:hint="eastAsia" w:ascii="Times New Roman" w:hAnsi="Times New Roman" w:cs="Times New Roman"/>
                <w:sz w:val="24"/>
                <w:szCs w:val="24"/>
              </w:rPr>
              <w:t>主要建设内容为对该区域局部再进行防渗处理，对该贮存库进行区域划分，建设各类危险废物储罐、桶等分类贮存设施，并配套建设微负压废气吸附过滤装置，安装监控系统，标识标牌等。办公室生活设施全部依托</w:t>
            </w:r>
            <w:r>
              <w:rPr>
                <w:rFonts w:ascii="Times New Roman" w:hAnsi="Times New Roman" w:cs="Times New Roman"/>
                <w:sz w:val="24"/>
                <w:szCs w:val="24"/>
              </w:rPr>
              <w:t>昆明旭鑫环保科技有限公司</w:t>
            </w:r>
            <w:r>
              <w:rPr>
                <w:rFonts w:hint="eastAsia" w:ascii="Times New Roman" w:hAnsi="Times New Roman" w:cs="Times New Roman"/>
                <w:sz w:val="24"/>
                <w:szCs w:val="24"/>
              </w:rPr>
              <w:t>现有设施。</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该项目东川网点拟申报收集的危险废物18大类、65小类，项目共分8个贮存单元，每个贮存单元采用墙体隔离，贮存单元内又按废物代码设置贮存分区，每个贮存分区采用过道隔离，各危险废物根据其形态及属性分别采用储罐、桶和吨袋等进行密闭贮存；具体贮存设置建设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表2.1-1 项目建设内容组成一览表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21"/>
              <w:gridCol w:w="982"/>
              <w:gridCol w:w="538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pStyle w:val="28"/>
                    <w:spacing w:line="360" w:lineRule="exact"/>
                    <w:rPr>
                      <w:color w:val="auto"/>
                      <w:szCs w:val="21"/>
                    </w:rPr>
                  </w:pPr>
                  <w:r>
                    <w:rPr>
                      <w:color w:val="auto"/>
                      <w:szCs w:val="21"/>
                    </w:rPr>
                    <w:t>类别</w:t>
                  </w:r>
                </w:p>
              </w:tc>
              <w:tc>
                <w:tcPr>
                  <w:tcW w:w="1703" w:type="dxa"/>
                  <w:gridSpan w:val="2"/>
                  <w:vAlign w:val="center"/>
                </w:tcPr>
                <w:p>
                  <w:pPr>
                    <w:pStyle w:val="28"/>
                    <w:spacing w:line="360" w:lineRule="exact"/>
                    <w:rPr>
                      <w:color w:val="auto"/>
                      <w:szCs w:val="21"/>
                    </w:rPr>
                  </w:pPr>
                  <w:r>
                    <w:rPr>
                      <w:color w:val="auto"/>
                      <w:szCs w:val="21"/>
                    </w:rPr>
                    <w:t>工程内容</w:t>
                  </w:r>
                </w:p>
              </w:tc>
              <w:tc>
                <w:tcPr>
                  <w:tcW w:w="5386" w:type="dxa"/>
                  <w:vAlign w:val="center"/>
                </w:tcPr>
                <w:p>
                  <w:pPr>
                    <w:pStyle w:val="28"/>
                    <w:spacing w:line="360" w:lineRule="exact"/>
                    <w:rPr>
                      <w:color w:val="auto"/>
                      <w:szCs w:val="21"/>
                    </w:rPr>
                  </w:pPr>
                  <w:r>
                    <w:rPr>
                      <w:color w:val="auto"/>
                      <w:szCs w:val="21"/>
                    </w:rPr>
                    <w:t>建筑内容及规模</w:t>
                  </w:r>
                </w:p>
              </w:tc>
              <w:tc>
                <w:tcPr>
                  <w:tcW w:w="783" w:type="dxa"/>
                  <w:vAlign w:val="center"/>
                </w:tcPr>
                <w:p>
                  <w:pPr>
                    <w:pStyle w:val="28"/>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pPr>
                    <w:pStyle w:val="28"/>
                    <w:spacing w:line="360" w:lineRule="exact"/>
                    <w:rPr>
                      <w:color w:val="auto"/>
                      <w:szCs w:val="21"/>
                    </w:rPr>
                  </w:pPr>
                  <w:r>
                    <w:rPr>
                      <w:color w:val="auto"/>
                      <w:szCs w:val="21"/>
                    </w:rPr>
                    <w:t>主体工程</w:t>
                  </w:r>
                </w:p>
              </w:tc>
              <w:tc>
                <w:tcPr>
                  <w:tcW w:w="721" w:type="dxa"/>
                  <w:vMerge w:val="restart"/>
                  <w:vAlign w:val="center"/>
                </w:tcPr>
                <w:p>
                  <w:pPr>
                    <w:pStyle w:val="28"/>
                    <w:spacing w:line="360" w:lineRule="exact"/>
                    <w:rPr>
                      <w:color w:val="auto"/>
                      <w:szCs w:val="21"/>
                    </w:rPr>
                  </w:pPr>
                  <w:r>
                    <w:rPr>
                      <w:rFonts w:hint="eastAsia"/>
                      <w:color w:val="auto"/>
                      <w:szCs w:val="21"/>
                    </w:rPr>
                    <w:t>小微企业危险废物贮存库</w:t>
                  </w:r>
                </w:p>
              </w:tc>
              <w:tc>
                <w:tcPr>
                  <w:tcW w:w="982" w:type="dxa"/>
                  <w:vAlign w:val="center"/>
                </w:tcPr>
                <w:p>
                  <w:pPr>
                    <w:pStyle w:val="28"/>
                    <w:spacing w:line="360" w:lineRule="exact"/>
                    <w:rPr>
                      <w:color w:val="auto"/>
                      <w:szCs w:val="21"/>
                    </w:rPr>
                  </w:pPr>
                  <w:r>
                    <w:rPr>
                      <w:rFonts w:hint="eastAsia"/>
                      <w:color w:val="auto"/>
                      <w:szCs w:val="21"/>
                    </w:rPr>
                    <w:t>1#贮存区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根据实施方案，该项目1#贮存区建筑面积为247.4</w:t>
                  </w:r>
                  <w:r>
                    <w:rPr>
                      <w:color w:val="auto"/>
                      <w:szCs w:val="24"/>
                      <w:lang w:val="en-US"/>
                    </w:rPr>
                    <w:t>m²</w:t>
                  </w:r>
                  <w:r>
                    <w:rPr>
                      <w:rFonts w:hint="eastAsia"/>
                      <w:color w:val="auto"/>
                      <w:szCs w:val="24"/>
                      <w:lang w:val="en-US"/>
                    </w:rPr>
                    <w:t>，该区域主要对危险废物代码</w:t>
                  </w:r>
                  <w:r>
                    <w:rPr>
                      <w:color w:val="auto"/>
                      <w:szCs w:val="24"/>
                      <w:lang w:val="en-US"/>
                    </w:rPr>
                    <w:t>HW08</w:t>
                  </w:r>
                  <w:r>
                    <w:rPr>
                      <w:rFonts w:hint="eastAsia"/>
                      <w:color w:val="auto"/>
                      <w:szCs w:val="24"/>
                      <w:lang w:val="en-US"/>
                    </w:rPr>
                    <w:t>（</w:t>
                  </w:r>
                  <w:r>
                    <w:rPr>
                      <w:color w:val="auto"/>
                      <w:szCs w:val="24"/>
                      <w:lang w:val="en-US"/>
                    </w:rPr>
                    <w:t>900-199-08</w:t>
                  </w:r>
                  <w:r>
                    <w:rPr>
                      <w:rFonts w:hint="eastAsia"/>
                      <w:color w:val="auto"/>
                      <w:szCs w:val="24"/>
                      <w:lang w:val="en-US"/>
                    </w:rPr>
                    <w:t>、</w:t>
                  </w:r>
                  <w:r>
                    <w:rPr>
                      <w:color w:val="auto"/>
                      <w:szCs w:val="24"/>
                      <w:lang w:val="en-US"/>
                    </w:rPr>
                    <w:t>900-200-08</w:t>
                  </w:r>
                  <w:r>
                    <w:rPr>
                      <w:rFonts w:hint="eastAsia"/>
                      <w:color w:val="auto"/>
                      <w:szCs w:val="24"/>
                      <w:lang w:val="en-US"/>
                    </w:rPr>
                    <w:t>、</w:t>
                  </w:r>
                  <w:r>
                    <w:rPr>
                      <w:color w:val="auto"/>
                      <w:szCs w:val="24"/>
                      <w:lang w:val="en-US"/>
                    </w:rPr>
                    <w:t>900-201-08</w:t>
                  </w:r>
                  <w:r>
                    <w:rPr>
                      <w:rFonts w:hint="eastAsia"/>
                      <w:color w:val="auto"/>
                      <w:szCs w:val="24"/>
                      <w:lang w:val="en-US"/>
                    </w:rPr>
                    <w:t>、</w:t>
                  </w:r>
                  <w:r>
                    <w:rPr>
                      <w:color w:val="auto"/>
                      <w:szCs w:val="24"/>
                      <w:lang w:val="en-US"/>
                    </w:rPr>
                    <w:t>900-204-08</w:t>
                  </w:r>
                  <w:r>
                    <w:rPr>
                      <w:rFonts w:hint="eastAsia"/>
                      <w:color w:val="auto"/>
                      <w:szCs w:val="24"/>
                      <w:lang w:val="en-US"/>
                    </w:rPr>
                    <w:t>、</w:t>
                  </w:r>
                  <w:r>
                    <w:rPr>
                      <w:color w:val="auto"/>
                      <w:szCs w:val="24"/>
                      <w:lang w:val="en-US"/>
                    </w:rPr>
                    <w:t>900-209-08</w:t>
                  </w:r>
                  <w:r>
                    <w:rPr>
                      <w:rFonts w:hint="eastAsia"/>
                      <w:color w:val="auto"/>
                      <w:szCs w:val="24"/>
                      <w:lang w:val="en-US"/>
                    </w:rPr>
                    <w:t>、</w:t>
                  </w:r>
                  <w:r>
                    <w:rPr>
                      <w:color w:val="auto"/>
                      <w:szCs w:val="24"/>
                      <w:lang w:val="en-US"/>
                    </w:rPr>
                    <w:t>900-210-08</w:t>
                  </w:r>
                  <w:r>
                    <w:rPr>
                      <w:rFonts w:hint="eastAsia"/>
                      <w:color w:val="auto"/>
                      <w:szCs w:val="24"/>
                      <w:lang w:val="en-US"/>
                    </w:rPr>
                    <w:t>、</w:t>
                  </w:r>
                  <w:r>
                    <w:rPr>
                      <w:color w:val="auto"/>
                      <w:szCs w:val="24"/>
                      <w:lang w:val="en-US"/>
                    </w:rPr>
                    <w:t>900-213-08</w:t>
                  </w:r>
                  <w:r>
                    <w:rPr>
                      <w:rFonts w:hint="eastAsia"/>
                      <w:color w:val="auto"/>
                      <w:szCs w:val="24"/>
                      <w:lang w:val="en-US"/>
                    </w:rPr>
                    <w:t>、</w:t>
                  </w:r>
                  <w:r>
                    <w:rPr>
                      <w:color w:val="auto"/>
                      <w:szCs w:val="24"/>
                      <w:lang w:val="en-US"/>
                    </w:rPr>
                    <w:t>900-214-08</w:t>
                  </w:r>
                  <w:r>
                    <w:rPr>
                      <w:rFonts w:hint="eastAsia"/>
                      <w:color w:val="auto"/>
                      <w:szCs w:val="24"/>
                      <w:lang w:val="en-US"/>
                    </w:rPr>
                    <w:t>、</w:t>
                  </w:r>
                  <w:r>
                    <w:rPr>
                      <w:color w:val="auto"/>
                      <w:szCs w:val="24"/>
                      <w:lang w:val="en-US"/>
                    </w:rPr>
                    <w:t>900-215-08</w:t>
                  </w:r>
                  <w:r>
                    <w:rPr>
                      <w:rFonts w:hint="eastAsia"/>
                      <w:color w:val="auto"/>
                      <w:szCs w:val="24"/>
                      <w:lang w:val="en-US"/>
                    </w:rPr>
                    <w:t>、</w:t>
                  </w:r>
                  <w:r>
                    <w:rPr>
                      <w:color w:val="auto"/>
                      <w:szCs w:val="24"/>
                      <w:lang w:val="en-US"/>
                    </w:rPr>
                    <w:t>900-217-08</w:t>
                  </w:r>
                  <w:r>
                    <w:rPr>
                      <w:rFonts w:hint="eastAsia"/>
                      <w:color w:val="auto"/>
                      <w:szCs w:val="24"/>
                      <w:lang w:val="en-US"/>
                    </w:rPr>
                    <w:t>、</w:t>
                  </w:r>
                  <w:r>
                    <w:rPr>
                      <w:color w:val="auto"/>
                      <w:szCs w:val="24"/>
                      <w:lang w:val="en-US"/>
                    </w:rPr>
                    <w:t>900-218-08</w:t>
                  </w:r>
                  <w:r>
                    <w:rPr>
                      <w:rFonts w:hint="eastAsia"/>
                      <w:color w:val="auto"/>
                      <w:szCs w:val="24"/>
                      <w:lang w:val="en-US"/>
                    </w:rPr>
                    <w:t>、</w:t>
                  </w:r>
                  <w:r>
                    <w:rPr>
                      <w:color w:val="auto"/>
                      <w:szCs w:val="24"/>
                      <w:lang w:val="en-US"/>
                    </w:rPr>
                    <w:t>900-219-08</w:t>
                  </w:r>
                  <w:r>
                    <w:rPr>
                      <w:rFonts w:hint="eastAsia"/>
                      <w:color w:val="auto"/>
                      <w:szCs w:val="24"/>
                      <w:lang w:val="en-US"/>
                    </w:rPr>
                    <w:t>、</w:t>
                  </w:r>
                  <w:r>
                    <w:rPr>
                      <w:color w:val="auto"/>
                      <w:szCs w:val="24"/>
                      <w:lang w:val="en-US"/>
                    </w:rPr>
                    <w:t>900-220-08</w:t>
                  </w:r>
                  <w:r>
                    <w:rPr>
                      <w:rFonts w:hint="eastAsia"/>
                      <w:color w:val="auto"/>
                      <w:szCs w:val="24"/>
                      <w:lang w:val="en-US"/>
                    </w:rPr>
                    <w:t>、</w:t>
                  </w:r>
                  <w:r>
                    <w:rPr>
                      <w:color w:val="auto"/>
                      <w:szCs w:val="24"/>
                      <w:lang w:val="en-US"/>
                    </w:rPr>
                    <w:t>900-221-08</w:t>
                  </w:r>
                  <w:r>
                    <w:rPr>
                      <w:rFonts w:hint="eastAsia"/>
                      <w:color w:val="auto"/>
                      <w:szCs w:val="24"/>
                      <w:lang w:val="en-US"/>
                    </w:rPr>
                    <w:t>、</w:t>
                  </w:r>
                  <w:r>
                    <w:rPr>
                      <w:color w:val="auto"/>
                      <w:szCs w:val="24"/>
                      <w:lang w:val="en-US"/>
                    </w:rPr>
                    <w:t>900-249-08</w:t>
                  </w:r>
                  <w:r>
                    <w:rPr>
                      <w:rFonts w:hint="eastAsia"/>
                      <w:color w:val="auto"/>
                      <w:szCs w:val="24"/>
                      <w:lang w:val="en-US"/>
                    </w:rPr>
                    <w:t>）和</w:t>
                  </w:r>
                  <w:r>
                    <w:rPr>
                      <w:color w:val="auto"/>
                      <w:szCs w:val="24"/>
                      <w:lang w:val="en-US"/>
                    </w:rPr>
                    <w:t>HW11</w:t>
                  </w:r>
                  <w:r>
                    <w:rPr>
                      <w:rFonts w:hint="eastAsia"/>
                      <w:color w:val="auto"/>
                      <w:szCs w:val="24"/>
                      <w:lang w:val="en-US"/>
                    </w:rPr>
                    <w:t>（</w:t>
                  </w:r>
                  <w:r>
                    <w:rPr>
                      <w:color w:val="auto"/>
                      <w:szCs w:val="24"/>
                      <w:lang w:val="en-US"/>
                    </w:rPr>
                    <w:t>900-013-11</w:t>
                  </w:r>
                  <w:r>
                    <w:rPr>
                      <w:rFonts w:hint="eastAsia"/>
                      <w:color w:val="auto"/>
                      <w:szCs w:val="24"/>
                      <w:lang w:val="en-US"/>
                    </w:rPr>
                    <w:t>）的2个大类、16小类危险废物进行贮存。每1小类危险废物设置1个贮存分区，每个分区采用过道隔开，分区内的各危险废物根据其形态及属性分别采用储罐、铁桶和吨袋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2#贮存区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根据实施方案，该项目2#贮存区建筑面积为</w:t>
                  </w:r>
                  <w:r>
                    <w:rPr>
                      <w:color w:val="auto"/>
                      <w:szCs w:val="24"/>
                      <w:lang w:val="en-US"/>
                    </w:rPr>
                    <w:t>186.3m²</w:t>
                  </w:r>
                  <w:r>
                    <w:rPr>
                      <w:rFonts w:hint="eastAsia"/>
                      <w:color w:val="auto"/>
                      <w:szCs w:val="24"/>
                      <w:lang w:val="en-US"/>
                    </w:rPr>
                    <w:t>，该区域主要对危险废物代码</w:t>
                  </w:r>
                  <w:r>
                    <w:rPr>
                      <w:color w:val="auto"/>
                      <w:szCs w:val="24"/>
                      <w:lang w:val="en-US"/>
                    </w:rPr>
                    <w:t>HW06</w:t>
                  </w:r>
                  <w:r>
                    <w:rPr>
                      <w:rFonts w:hint="eastAsia"/>
                      <w:color w:val="auto"/>
                      <w:szCs w:val="24"/>
                      <w:lang w:val="en-US"/>
                    </w:rPr>
                    <w:t>（</w:t>
                  </w:r>
                  <w:r>
                    <w:rPr>
                      <w:color w:val="auto"/>
                      <w:szCs w:val="24"/>
                      <w:lang w:val="en-US"/>
                    </w:rPr>
                    <w:t>900-401-06</w:t>
                  </w:r>
                  <w:r>
                    <w:rPr>
                      <w:rFonts w:hint="eastAsia"/>
                      <w:color w:val="auto"/>
                      <w:szCs w:val="24"/>
                      <w:lang w:val="en-US"/>
                    </w:rPr>
                    <w:t>、</w:t>
                  </w:r>
                  <w:r>
                    <w:rPr>
                      <w:color w:val="auto"/>
                      <w:szCs w:val="24"/>
                      <w:lang w:val="en-US"/>
                    </w:rPr>
                    <w:t>900-402-06</w:t>
                  </w:r>
                  <w:r>
                    <w:rPr>
                      <w:rFonts w:hint="eastAsia"/>
                      <w:color w:val="auto"/>
                      <w:szCs w:val="24"/>
                      <w:lang w:val="en-US"/>
                    </w:rPr>
                    <w:t>、</w:t>
                  </w:r>
                  <w:r>
                    <w:rPr>
                      <w:color w:val="auto"/>
                      <w:szCs w:val="24"/>
                      <w:lang w:val="en-US"/>
                    </w:rPr>
                    <w:t>900-404-06</w:t>
                  </w:r>
                  <w:r>
                    <w:rPr>
                      <w:rFonts w:hint="eastAsia"/>
                      <w:color w:val="auto"/>
                      <w:szCs w:val="24"/>
                      <w:lang w:val="en-US"/>
                    </w:rPr>
                    <w:t>、</w:t>
                  </w:r>
                  <w:r>
                    <w:rPr>
                      <w:color w:val="auto"/>
                      <w:szCs w:val="24"/>
                      <w:lang w:val="en-US"/>
                    </w:rPr>
                    <w:t>900-405-06</w:t>
                  </w:r>
                  <w:r>
                    <w:rPr>
                      <w:rFonts w:hint="eastAsia"/>
                      <w:color w:val="auto"/>
                      <w:szCs w:val="24"/>
                      <w:lang w:val="en-US"/>
                    </w:rPr>
                    <w:t>、</w:t>
                  </w:r>
                  <w:r>
                    <w:rPr>
                      <w:color w:val="auto"/>
                      <w:szCs w:val="24"/>
                      <w:lang w:val="en-US"/>
                    </w:rPr>
                    <w:t>900-407-06</w:t>
                  </w:r>
                  <w:r>
                    <w:rPr>
                      <w:rFonts w:hint="eastAsia"/>
                      <w:color w:val="auto"/>
                      <w:szCs w:val="24"/>
                      <w:lang w:val="en-US"/>
                    </w:rPr>
                    <w:t>、</w:t>
                  </w:r>
                  <w:r>
                    <w:rPr>
                      <w:color w:val="auto"/>
                      <w:szCs w:val="24"/>
                      <w:lang w:val="en-US"/>
                    </w:rPr>
                    <w:t>900-409-06</w:t>
                  </w:r>
                  <w:r>
                    <w:rPr>
                      <w:rFonts w:hint="eastAsia"/>
                      <w:color w:val="auto"/>
                      <w:szCs w:val="24"/>
                      <w:lang w:val="en-US"/>
                    </w:rPr>
                    <w:t>）、</w:t>
                  </w:r>
                  <w:r>
                    <w:rPr>
                      <w:color w:val="auto"/>
                      <w:szCs w:val="24"/>
                      <w:lang w:val="en-US"/>
                    </w:rPr>
                    <w:t>HW09</w:t>
                  </w:r>
                  <w:r>
                    <w:rPr>
                      <w:rFonts w:hint="eastAsia"/>
                      <w:color w:val="auto"/>
                      <w:szCs w:val="24"/>
                      <w:lang w:val="en-US"/>
                    </w:rPr>
                    <w:t>（</w:t>
                  </w:r>
                  <w:r>
                    <w:rPr>
                      <w:color w:val="auto"/>
                      <w:szCs w:val="24"/>
                      <w:lang w:val="en-US"/>
                    </w:rPr>
                    <w:t>900-005-09</w:t>
                  </w:r>
                  <w:r>
                    <w:rPr>
                      <w:rFonts w:hint="eastAsia"/>
                      <w:color w:val="auto"/>
                      <w:szCs w:val="24"/>
                      <w:lang w:val="en-US"/>
                    </w:rPr>
                    <w:t>、</w:t>
                  </w:r>
                  <w:r>
                    <w:rPr>
                      <w:color w:val="auto"/>
                      <w:szCs w:val="24"/>
                      <w:lang w:val="en-US"/>
                    </w:rPr>
                    <w:t>900-006-09</w:t>
                  </w:r>
                  <w:r>
                    <w:rPr>
                      <w:rFonts w:hint="eastAsia"/>
                      <w:color w:val="auto"/>
                      <w:szCs w:val="24"/>
                      <w:lang w:val="en-US"/>
                    </w:rPr>
                    <w:t>、</w:t>
                  </w:r>
                  <w:r>
                    <w:rPr>
                      <w:color w:val="auto"/>
                      <w:szCs w:val="24"/>
                      <w:lang w:val="en-US"/>
                    </w:rPr>
                    <w:t>900-007-09</w:t>
                  </w:r>
                  <w:r>
                    <w:rPr>
                      <w:rFonts w:hint="eastAsia"/>
                      <w:color w:val="auto"/>
                      <w:szCs w:val="24"/>
                      <w:lang w:val="en-US"/>
                    </w:rPr>
                    <w:t>）、</w:t>
                  </w:r>
                  <w:r>
                    <w:rPr>
                      <w:color w:val="auto"/>
                      <w:szCs w:val="24"/>
                      <w:lang w:val="en-US"/>
                    </w:rPr>
                    <w:t>HW12</w:t>
                  </w:r>
                  <w:r>
                    <w:rPr>
                      <w:rFonts w:hint="eastAsia"/>
                      <w:color w:val="auto"/>
                      <w:szCs w:val="24"/>
                      <w:lang w:val="en-US"/>
                    </w:rPr>
                    <w:t>（</w:t>
                  </w:r>
                  <w:r>
                    <w:rPr>
                      <w:color w:val="auto"/>
                      <w:szCs w:val="24"/>
                      <w:lang w:val="en-US"/>
                    </w:rPr>
                    <w:t>264-009-12</w:t>
                  </w:r>
                  <w:r>
                    <w:rPr>
                      <w:rFonts w:hint="eastAsia"/>
                      <w:color w:val="auto"/>
                      <w:szCs w:val="24"/>
                      <w:lang w:val="en-US"/>
                    </w:rPr>
                    <w:t>、</w:t>
                  </w:r>
                  <w:r>
                    <w:rPr>
                      <w:color w:val="auto"/>
                      <w:szCs w:val="24"/>
                      <w:lang w:val="en-US"/>
                    </w:rPr>
                    <w:t>264-013-12</w:t>
                  </w:r>
                  <w:r>
                    <w:rPr>
                      <w:rFonts w:hint="eastAsia"/>
                      <w:color w:val="auto"/>
                      <w:szCs w:val="24"/>
                      <w:lang w:val="en-US"/>
                    </w:rPr>
                    <w:t>、</w:t>
                  </w:r>
                  <w:r>
                    <w:rPr>
                      <w:color w:val="auto"/>
                      <w:szCs w:val="24"/>
                      <w:lang w:val="en-US"/>
                    </w:rPr>
                    <w:t>900-250-12</w:t>
                  </w:r>
                  <w:r>
                    <w:rPr>
                      <w:rFonts w:hint="eastAsia"/>
                      <w:color w:val="auto"/>
                      <w:szCs w:val="24"/>
                      <w:lang w:val="en-US"/>
                    </w:rPr>
                    <w:t>、</w:t>
                  </w:r>
                  <w:r>
                    <w:rPr>
                      <w:color w:val="auto"/>
                      <w:szCs w:val="24"/>
                      <w:lang w:val="en-US"/>
                    </w:rPr>
                    <w:t>900-251-12</w:t>
                  </w:r>
                  <w:r>
                    <w:rPr>
                      <w:rFonts w:hint="eastAsia"/>
                      <w:color w:val="auto"/>
                      <w:szCs w:val="24"/>
                      <w:lang w:val="en-US"/>
                    </w:rPr>
                    <w:t>、</w:t>
                  </w:r>
                  <w:r>
                    <w:rPr>
                      <w:color w:val="auto"/>
                      <w:szCs w:val="24"/>
                      <w:lang w:val="en-US"/>
                    </w:rPr>
                    <w:t>900-252-12</w:t>
                  </w:r>
                  <w:r>
                    <w:rPr>
                      <w:rFonts w:hint="eastAsia"/>
                      <w:color w:val="auto"/>
                      <w:szCs w:val="24"/>
                      <w:lang w:val="en-US"/>
                    </w:rPr>
                    <w:t>、</w:t>
                  </w:r>
                  <w:r>
                    <w:rPr>
                      <w:color w:val="auto"/>
                      <w:szCs w:val="24"/>
                      <w:lang w:val="en-US"/>
                    </w:rPr>
                    <w:t>900-253-12</w:t>
                  </w:r>
                  <w:r>
                    <w:rPr>
                      <w:rFonts w:hint="eastAsia"/>
                      <w:color w:val="auto"/>
                      <w:szCs w:val="24"/>
                      <w:lang w:val="en-US"/>
                    </w:rPr>
                    <w:t>、</w:t>
                  </w:r>
                  <w:r>
                    <w:rPr>
                      <w:color w:val="auto"/>
                      <w:szCs w:val="24"/>
                      <w:lang w:val="en-US"/>
                    </w:rPr>
                    <w:t>900-255-12</w:t>
                  </w:r>
                  <w:r>
                    <w:rPr>
                      <w:rFonts w:hint="eastAsia"/>
                      <w:color w:val="auto"/>
                      <w:szCs w:val="24"/>
                      <w:lang w:val="en-US"/>
                    </w:rPr>
                    <w:t>、</w:t>
                  </w:r>
                  <w:r>
                    <w:rPr>
                      <w:color w:val="auto"/>
                      <w:szCs w:val="24"/>
                      <w:lang w:val="en-US"/>
                    </w:rPr>
                    <w:t>900-256-12</w:t>
                  </w:r>
                  <w:r>
                    <w:rPr>
                      <w:rFonts w:hint="eastAsia"/>
                      <w:color w:val="auto"/>
                      <w:szCs w:val="24"/>
                      <w:lang w:val="en-US"/>
                    </w:rPr>
                    <w:t>、</w:t>
                  </w:r>
                  <w:r>
                    <w:rPr>
                      <w:color w:val="auto"/>
                      <w:szCs w:val="24"/>
                      <w:lang w:val="en-US"/>
                    </w:rPr>
                    <w:t>900-299-12</w:t>
                  </w:r>
                  <w:r>
                    <w:rPr>
                      <w:rFonts w:hint="eastAsia"/>
                      <w:color w:val="auto"/>
                      <w:szCs w:val="24"/>
                      <w:lang w:val="en-US"/>
                    </w:rPr>
                    <w:t>）、</w:t>
                  </w:r>
                  <w:r>
                    <w:rPr>
                      <w:color w:val="auto"/>
                      <w:szCs w:val="24"/>
                      <w:lang w:val="en-US"/>
                    </w:rPr>
                    <w:t>HW13</w:t>
                  </w:r>
                  <w:r>
                    <w:rPr>
                      <w:rFonts w:hint="eastAsia"/>
                      <w:color w:val="auto"/>
                      <w:szCs w:val="24"/>
                      <w:lang w:val="en-US"/>
                    </w:rPr>
                    <w:t>（</w:t>
                  </w:r>
                  <w:r>
                    <w:rPr>
                      <w:color w:val="auto"/>
                      <w:szCs w:val="24"/>
                      <w:lang w:val="en-US"/>
                    </w:rPr>
                    <w:t>900-014-13</w:t>
                  </w:r>
                  <w:r>
                    <w:rPr>
                      <w:rFonts w:hint="eastAsia"/>
                      <w:color w:val="auto"/>
                      <w:szCs w:val="24"/>
                      <w:lang w:val="en-US"/>
                    </w:rPr>
                    <w:t>、</w:t>
                  </w:r>
                  <w:r>
                    <w:rPr>
                      <w:color w:val="auto"/>
                      <w:szCs w:val="24"/>
                      <w:lang w:val="en-US"/>
                    </w:rPr>
                    <w:t>900-015-13</w:t>
                  </w:r>
                  <w:r>
                    <w:rPr>
                      <w:rFonts w:hint="eastAsia"/>
                      <w:color w:val="auto"/>
                      <w:szCs w:val="24"/>
                      <w:lang w:val="en-US"/>
                    </w:rPr>
                    <w:t>）的4个大类、20小类危险废物进行贮存。每1小类危险废物设置1个贮存分区，每个分区采用过道隔开，分区内的各危险废物根据其形态及属性分别采用</w:t>
                  </w:r>
                  <w:r>
                    <w:rPr>
                      <w:rFonts w:hint="eastAsia"/>
                      <w:color w:val="auto"/>
                      <w:szCs w:val="21"/>
                    </w:rPr>
                    <w:t>塑料桶、铁桶</w:t>
                  </w:r>
                  <w:r>
                    <w:rPr>
                      <w:rFonts w:hint="eastAsia"/>
                      <w:color w:val="auto"/>
                      <w:szCs w:val="24"/>
                      <w:lang w:val="en-US"/>
                    </w:rPr>
                    <w:t>和吨袋等进行密闭贮存，贮存后委托有资质的单位进行处置。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3#贮存区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根据实施方案，该项目3#贮存区建筑面积为</w:t>
                  </w:r>
                  <w:r>
                    <w:rPr>
                      <w:color w:val="auto"/>
                      <w:szCs w:val="24"/>
                      <w:lang w:val="en-US"/>
                    </w:rPr>
                    <w:t>86.5m²</w:t>
                  </w:r>
                  <w:r>
                    <w:rPr>
                      <w:rFonts w:hint="eastAsia"/>
                      <w:color w:val="auto"/>
                      <w:szCs w:val="24"/>
                      <w:lang w:val="en-US"/>
                    </w:rPr>
                    <w:t>，该区域主要对危险废物代码</w:t>
                  </w:r>
                  <w:r>
                    <w:rPr>
                      <w:color w:val="auto"/>
                      <w:szCs w:val="24"/>
                      <w:lang w:val="en-US"/>
                    </w:rPr>
                    <w:t>HW03</w:t>
                  </w:r>
                  <w:r>
                    <w:rPr>
                      <w:rFonts w:hint="eastAsia"/>
                      <w:color w:val="auto"/>
                      <w:szCs w:val="24"/>
                      <w:lang w:val="en-US"/>
                    </w:rPr>
                    <w:t>（</w:t>
                  </w:r>
                  <w:r>
                    <w:rPr>
                      <w:color w:val="auto"/>
                      <w:szCs w:val="24"/>
                      <w:lang w:val="en-US"/>
                    </w:rPr>
                    <w:t>900-002-03</w:t>
                  </w:r>
                  <w:r>
                    <w:rPr>
                      <w:rFonts w:hint="eastAsia"/>
                      <w:color w:val="auto"/>
                      <w:szCs w:val="24"/>
                      <w:lang w:val="en-US"/>
                    </w:rPr>
                    <w:t>）、</w:t>
                  </w:r>
                  <w:r>
                    <w:rPr>
                      <w:color w:val="auto"/>
                      <w:szCs w:val="24"/>
                      <w:lang w:val="en-US"/>
                    </w:rPr>
                    <w:t>HW04</w:t>
                  </w:r>
                  <w:r>
                    <w:rPr>
                      <w:rFonts w:hint="eastAsia"/>
                      <w:color w:val="auto"/>
                      <w:szCs w:val="24"/>
                      <w:lang w:val="en-US"/>
                    </w:rPr>
                    <w:t>（</w:t>
                  </w:r>
                  <w:r>
                    <w:rPr>
                      <w:color w:val="auto"/>
                      <w:szCs w:val="24"/>
                      <w:lang w:val="en-US"/>
                    </w:rPr>
                    <w:t>900-003-04</w:t>
                  </w:r>
                  <w:r>
                    <w:rPr>
                      <w:rFonts w:hint="eastAsia"/>
                      <w:color w:val="auto"/>
                      <w:szCs w:val="24"/>
                      <w:lang w:val="en-US"/>
                    </w:rPr>
                    <w:t>）的2个大类、2小类危险废物进行贮存。每1小类危险废物设置1个贮存分区，每个分区采用过道隔开，分区内的各危险废物根据其形态及属性分别采用</w:t>
                  </w:r>
                  <w:r>
                    <w:rPr>
                      <w:rFonts w:hint="eastAsia"/>
                      <w:color w:val="auto"/>
                      <w:szCs w:val="21"/>
                    </w:rPr>
                    <w:t>塑料桶、吨袋</w:t>
                  </w:r>
                  <w:r>
                    <w:rPr>
                      <w:rFonts w:hint="eastAsia"/>
                      <w:color w:val="auto"/>
                      <w:szCs w:val="24"/>
                      <w:lang w:val="en-US"/>
                    </w:rPr>
                    <w:t>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4#贮存区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根据实施方案，该项目4#贮存区建筑面积为</w:t>
                  </w:r>
                  <w:r>
                    <w:rPr>
                      <w:color w:val="auto"/>
                      <w:szCs w:val="24"/>
                      <w:lang w:val="en-US"/>
                    </w:rPr>
                    <w:t>89.4m²</w:t>
                  </w:r>
                  <w:r>
                    <w:rPr>
                      <w:rFonts w:hint="eastAsia"/>
                      <w:color w:val="auto"/>
                      <w:szCs w:val="24"/>
                      <w:lang w:val="en-US"/>
                    </w:rPr>
                    <w:t>，该区域主要对危险废物代码</w:t>
                  </w:r>
                  <w:r>
                    <w:rPr>
                      <w:color w:val="auto"/>
                      <w:szCs w:val="24"/>
                      <w:lang w:val="en-US"/>
                    </w:rPr>
                    <w:t>HW16</w:t>
                  </w:r>
                  <w:r>
                    <w:rPr>
                      <w:rFonts w:hint="eastAsia"/>
                      <w:color w:val="auto"/>
                      <w:szCs w:val="24"/>
                      <w:lang w:val="en-US"/>
                    </w:rPr>
                    <w:t>（</w:t>
                  </w:r>
                  <w:r>
                    <w:rPr>
                      <w:color w:val="auto"/>
                      <w:szCs w:val="24"/>
                      <w:lang w:val="en-US"/>
                    </w:rPr>
                    <w:t>231-001-16</w:t>
                  </w:r>
                  <w:r>
                    <w:rPr>
                      <w:rFonts w:hint="eastAsia"/>
                      <w:color w:val="auto"/>
                      <w:szCs w:val="24"/>
                      <w:lang w:val="en-US"/>
                    </w:rPr>
                    <w:t>、</w:t>
                  </w:r>
                  <w:r>
                    <w:rPr>
                      <w:color w:val="auto"/>
                      <w:szCs w:val="24"/>
                      <w:lang w:val="en-US"/>
                    </w:rPr>
                    <w:t>231-002-16</w:t>
                  </w:r>
                  <w:r>
                    <w:rPr>
                      <w:rFonts w:hint="eastAsia"/>
                      <w:color w:val="auto"/>
                      <w:szCs w:val="24"/>
                      <w:lang w:val="en-US"/>
                    </w:rPr>
                    <w:t>、</w:t>
                  </w:r>
                  <w:r>
                    <w:rPr>
                      <w:color w:val="auto"/>
                      <w:szCs w:val="24"/>
                      <w:lang w:val="en-US"/>
                    </w:rPr>
                    <w:t>900-019-16</w:t>
                  </w:r>
                  <w:r>
                    <w:rPr>
                      <w:rFonts w:hint="eastAsia"/>
                      <w:color w:val="auto"/>
                      <w:szCs w:val="24"/>
                      <w:lang w:val="en-US"/>
                    </w:rPr>
                    <w:t>）、</w:t>
                  </w:r>
                  <w:r>
                    <w:rPr>
                      <w:color w:val="auto"/>
                      <w:szCs w:val="24"/>
                      <w:lang w:val="en-US"/>
                    </w:rPr>
                    <w:t>HW34</w:t>
                  </w:r>
                  <w:r>
                    <w:rPr>
                      <w:rFonts w:hint="eastAsia"/>
                      <w:color w:val="auto"/>
                      <w:szCs w:val="24"/>
                      <w:lang w:val="en-US"/>
                    </w:rPr>
                    <w:t>（</w:t>
                  </w:r>
                  <w:r>
                    <w:rPr>
                      <w:color w:val="auto"/>
                      <w:szCs w:val="24"/>
                      <w:lang w:val="en-US"/>
                    </w:rPr>
                    <w:t>900-349-34</w:t>
                  </w:r>
                  <w:r>
                    <w:rPr>
                      <w:rFonts w:hint="eastAsia"/>
                      <w:color w:val="auto"/>
                      <w:szCs w:val="24"/>
                      <w:lang w:val="en-US"/>
                    </w:rPr>
                    <w:t>）的2个大类、4小类危险废物进行贮存。每1小类危险废物设置1个贮存分区，每个分区采用过道隔开，分区内的各危险废物根据其形态及属性分别采用</w:t>
                  </w:r>
                  <w:r>
                    <w:rPr>
                      <w:rFonts w:hint="eastAsia"/>
                      <w:color w:val="auto"/>
                      <w:szCs w:val="21"/>
                    </w:rPr>
                    <w:t>塑料桶</w:t>
                  </w:r>
                  <w:r>
                    <w:rPr>
                      <w:rFonts w:hint="eastAsia"/>
                      <w:color w:val="auto"/>
                      <w:szCs w:val="24"/>
                      <w:lang w:val="en-US"/>
                    </w:rPr>
                    <w:t>和吨袋等进行密闭贮存，贮存后委托有资质的单位进行处置。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5#贮存区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根据实施方案，该项目5#贮存区建筑面积为</w:t>
                  </w:r>
                  <w:r>
                    <w:rPr>
                      <w:color w:val="auto"/>
                      <w:szCs w:val="24"/>
                      <w:lang w:val="en-US"/>
                    </w:rPr>
                    <w:t>89.6m²</w:t>
                  </w:r>
                  <w:r>
                    <w:rPr>
                      <w:rFonts w:hint="eastAsia"/>
                      <w:color w:val="auto"/>
                      <w:szCs w:val="24"/>
                      <w:lang w:val="en-US"/>
                    </w:rPr>
                    <w:t>，该区域主要对危险废物代码</w:t>
                  </w:r>
                  <w:r>
                    <w:rPr>
                      <w:color w:val="auto"/>
                      <w:szCs w:val="24"/>
                      <w:lang w:val="en-US"/>
                    </w:rPr>
                    <w:t>HW49</w:t>
                  </w:r>
                  <w:r>
                    <w:rPr>
                      <w:rFonts w:hint="eastAsia"/>
                      <w:color w:val="auto"/>
                      <w:szCs w:val="24"/>
                      <w:lang w:val="en-US"/>
                    </w:rPr>
                    <w:t>（</w:t>
                  </w:r>
                  <w:r>
                    <w:rPr>
                      <w:color w:val="auto"/>
                      <w:szCs w:val="24"/>
                      <w:lang w:val="en-US"/>
                    </w:rPr>
                    <w:t>900-039-49</w:t>
                  </w:r>
                  <w:r>
                    <w:rPr>
                      <w:rFonts w:hint="eastAsia"/>
                      <w:color w:val="auto"/>
                      <w:szCs w:val="24"/>
                      <w:lang w:val="en-US"/>
                    </w:rPr>
                    <w:t>、</w:t>
                  </w:r>
                  <w:r>
                    <w:rPr>
                      <w:color w:val="auto"/>
                      <w:szCs w:val="24"/>
                      <w:lang w:val="en-US"/>
                    </w:rPr>
                    <w:t>900-041-49</w:t>
                  </w:r>
                  <w:r>
                    <w:rPr>
                      <w:rFonts w:hint="eastAsia"/>
                      <w:color w:val="auto"/>
                      <w:szCs w:val="24"/>
                      <w:lang w:val="en-US"/>
                    </w:rPr>
                    <w:t>、</w:t>
                  </w:r>
                  <w:r>
                    <w:rPr>
                      <w:color w:val="auto"/>
                      <w:szCs w:val="24"/>
                      <w:lang w:val="en-US"/>
                    </w:rPr>
                    <w:t>900-042-49</w:t>
                  </w:r>
                  <w:r>
                    <w:rPr>
                      <w:rFonts w:hint="eastAsia"/>
                      <w:color w:val="auto"/>
                      <w:szCs w:val="24"/>
                      <w:lang w:val="en-US"/>
                    </w:rPr>
                    <w:t>、</w:t>
                  </w:r>
                  <w:r>
                    <w:rPr>
                      <w:color w:val="auto"/>
                      <w:szCs w:val="24"/>
                      <w:lang w:val="en-US"/>
                    </w:rPr>
                    <w:t>900-044-49</w:t>
                  </w:r>
                  <w:r>
                    <w:rPr>
                      <w:rFonts w:hint="eastAsia"/>
                      <w:color w:val="auto"/>
                      <w:szCs w:val="24"/>
                      <w:lang w:val="en-US"/>
                    </w:rPr>
                    <w:t>、</w:t>
                  </w:r>
                  <w:r>
                    <w:rPr>
                      <w:color w:val="auto"/>
                      <w:szCs w:val="24"/>
                      <w:lang w:val="en-US"/>
                    </w:rPr>
                    <w:t>900-045-49</w:t>
                  </w:r>
                  <w:r>
                    <w:rPr>
                      <w:rFonts w:hint="eastAsia"/>
                      <w:color w:val="auto"/>
                      <w:szCs w:val="24"/>
                      <w:lang w:val="en-US"/>
                    </w:rPr>
                    <w:t>、</w:t>
                  </w:r>
                  <w:r>
                    <w:rPr>
                      <w:color w:val="auto"/>
                      <w:szCs w:val="24"/>
                      <w:lang w:val="en-US"/>
                    </w:rPr>
                    <w:t>900-046-49</w:t>
                  </w:r>
                  <w:r>
                    <w:rPr>
                      <w:rFonts w:hint="eastAsia"/>
                      <w:color w:val="auto"/>
                      <w:szCs w:val="24"/>
                      <w:lang w:val="en-US"/>
                    </w:rPr>
                    <w:t>、</w:t>
                  </w:r>
                  <w:r>
                    <w:rPr>
                      <w:color w:val="auto"/>
                      <w:szCs w:val="24"/>
                      <w:lang w:val="en-US"/>
                    </w:rPr>
                    <w:t>900-047-49</w:t>
                  </w:r>
                  <w:r>
                    <w:rPr>
                      <w:rFonts w:hint="eastAsia"/>
                      <w:color w:val="auto"/>
                      <w:szCs w:val="24"/>
                      <w:lang w:val="en-US"/>
                    </w:rPr>
                    <w:t>）的1个大类、7小类危险废物进行贮存。每1小类危险废物设置1个贮存分区，每个分区采用过道隔开，分区内的各危险废物根据其形态及属性分别采用</w:t>
                  </w:r>
                  <w:r>
                    <w:rPr>
                      <w:rFonts w:hint="eastAsia"/>
                      <w:color w:val="auto"/>
                      <w:szCs w:val="21"/>
                    </w:rPr>
                    <w:t>铁桶、塑料桶</w:t>
                  </w:r>
                  <w:r>
                    <w:rPr>
                      <w:rFonts w:hint="eastAsia"/>
                      <w:color w:val="auto"/>
                      <w:szCs w:val="24"/>
                      <w:lang w:val="en-US"/>
                    </w:rPr>
                    <w:t>和吨袋等进行密闭贮存，贮存后委托有资质的单位进行处置。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6#贮存区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根据实施方案，该项目6#贮存区建筑面积为</w:t>
                  </w:r>
                  <w:r>
                    <w:rPr>
                      <w:color w:val="auto"/>
                      <w:szCs w:val="24"/>
                      <w:lang w:val="en-US"/>
                    </w:rPr>
                    <w:t>102.4m²</w:t>
                  </w:r>
                  <w:r>
                    <w:rPr>
                      <w:rFonts w:hint="eastAsia"/>
                      <w:color w:val="auto"/>
                      <w:szCs w:val="24"/>
                      <w:lang w:val="en-US"/>
                    </w:rPr>
                    <w:t>，该区域主要对危险废物代码</w:t>
                  </w:r>
                  <w:r>
                    <w:rPr>
                      <w:color w:val="auto"/>
                      <w:szCs w:val="24"/>
                      <w:lang w:val="en-US"/>
                    </w:rPr>
                    <w:t>HW17</w:t>
                  </w:r>
                  <w:r>
                    <w:rPr>
                      <w:rFonts w:hint="eastAsia"/>
                      <w:color w:val="auto"/>
                      <w:szCs w:val="24"/>
                      <w:lang w:val="en-US"/>
                    </w:rPr>
                    <w:t>（</w:t>
                  </w:r>
                  <w:r>
                    <w:rPr>
                      <w:color w:val="auto"/>
                      <w:szCs w:val="24"/>
                      <w:lang w:val="en-US"/>
                    </w:rPr>
                    <w:t>336-063-17</w:t>
                  </w:r>
                  <w:r>
                    <w:rPr>
                      <w:rFonts w:hint="eastAsia"/>
                      <w:color w:val="auto"/>
                      <w:szCs w:val="24"/>
                      <w:lang w:val="en-US"/>
                    </w:rPr>
                    <w:t>、</w:t>
                  </w:r>
                  <w:r>
                    <w:rPr>
                      <w:color w:val="auto"/>
                      <w:szCs w:val="24"/>
                      <w:lang w:val="en-US"/>
                    </w:rPr>
                    <w:t>336-064-17</w:t>
                  </w:r>
                  <w:r>
                    <w:rPr>
                      <w:rFonts w:hint="eastAsia"/>
                      <w:color w:val="auto"/>
                      <w:szCs w:val="24"/>
                      <w:lang w:val="en-US"/>
                    </w:rPr>
                    <w:t>）、</w:t>
                  </w:r>
                  <w:r>
                    <w:rPr>
                      <w:color w:val="auto"/>
                      <w:szCs w:val="24"/>
                      <w:lang w:val="en-US"/>
                    </w:rPr>
                    <w:t>HW35</w:t>
                  </w:r>
                  <w:r>
                    <w:rPr>
                      <w:rFonts w:hint="eastAsia"/>
                      <w:color w:val="auto"/>
                      <w:szCs w:val="24"/>
                      <w:lang w:val="en-US"/>
                    </w:rPr>
                    <w:t>（</w:t>
                  </w:r>
                  <w:r>
                    <w:rPr>
                      <w:color w:val="auto"/>
                      <w:szCs w:val="24"/>
                      <w:lang w:val="en-US"/>
                    </w:rPr>
                    <w:t>900-352-35</w:t>
                  </w:r>
                  <w:r>
                    <w:rPr>
                      <w:rFonts w:hint="eastAsia"/>
                      <w:color w:val="auto"/>
                      <w:szCs w:val="24"/>
                      <w:lang w:val="en-US"/>
                    </w:rPr>
                    <w:t>、</w:t>
                  </w:r>
                  <w:r>
                    <w:rPr>
                      <w:color w:val="auto"/>
                      <w:szCs w:val="24"/>
                      <w:lang w:val="en-US"/>
                    </w:rPr>
                    <w:t>900-354-35</w:t>
                  </w:r>
                  <w:r>
                    <w:rPr>
                      <w:rFonts w:hint="eastAsia"/>
                      <w:color w:val="auto"/>
                      <w:szCs w:val="24"/>
                      <w:lang w:val="en-US"/>
                    </w:rPr>
                    <w:t>、</w:t>
                  </w:r>
                  <w:r>
                    <w:rPr>
                      <w:color w:val="auto"/>
                      <w:szCs w:val="24"/>
                      <w:lang w:val="en-US"/>
                    </w:rPr>
                    <w:t>900-399-35</w:t>
                  </w:r>
                  <w:r>
                    <w:rPr>
                      <w:rFonts w:hint="eastAsia"/>
                      <w:color w:val="auto"/>
                      <w:szCs w:val="24"/>
                      <w:lang w:val="en-US"/>
                    </w:rPr>
                    <w:t>）、</w:t>
                  </w:r>
                  <w:r>
                    <w:rPr>
                      <w:color w:val="auto"/>
                      <w:szCs w:val="24"/>
                      <w:lang w:val="en-US"/>
                    </w:rPr>
                    <w:t>HW50</w:t>
                  </w:r>
                  <w:r>
                    <w:rPr>
                      <w:rFonts w:hint="eastAsia"/>
                      <w:color w:val="auto"/>
                      <w:szCs w:val="24"/>
                      <w:lang w:val="en-US"/>
                    </w:rPr>
                    <w:t>（</w:t>
                  </w:r>
                  <w:r>
                    <w:rPr>
                      <w:color w:val="auto"/>
                      <w:szCs w:val="24"/>
                      <w:lang w:val="en-US"/>
                    </w:rPr>
                    <w:t>900-048-50</w:t>
                  </w:r>
                  <w:r>
                    <w:rPr>
                      <w:rFonts w:hint="eastAsia"/>
                      <w:color w:val="auto"/>
                      <w:szCs w:val="24"/>
                      <w:lang w:val="en-US"/>
                    </w:rPr>
                    <w:t>、</w:t>
                  </w:r>
                  <w:r>
                    <w:rPr>
                      <w:color w:val="auto"/>
                      <w:szCs w:val="24"/>
                      <w:lang w:val="en-US"/>
                    </w:rPr>
                    <w:t>900-049-50</w:t>
                  </w:r>
                  <w:r>
                    <w:rPr>
                      <w:rFonts w:hint="eastAsia"/>
                      <w:color w:val="auto"/>
                      <w:szCs w:val="24"/>
                      <w:lang w:val="en-US"/>
                    </w:rPr>
                    <w:t>）的3个大类、7小类危险废物进行贮存。每1小类危险废物设置1个贮存分区，每个分区采用过道隔开，分区内的各危险废物根据其形态及属性分别采用</w:t>
                  </w:r>
                  <w:r>
                    <w:rPr>
                      <w:rFonts w:hint="eastAsia"/>
                      <w:color w:val="auto"/>
                      <w:szCs w:val="21"/>
                    </w:rPr>
                    <w:t>塑料桶、吨桶</w:t>
                  </w:r>
                  <w:r>
                    <w:rPr>
                      <w:rFonts w:hint="eastAsia"/>
                      <w:color w:val="auto"/>
                      <w:szCs w:val="24"/>
                      <w:lang w:val="en-US"/>
                    </w:rPr>
                    <w:t>和吨袋等进行密闭贮存，贮存后委托有资质的单位进行处置。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7#贮存区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根据实施方案，该项目7#贮存区建筑面积为</w:t>
                  </w:r>
                  <w:r>
                    <w:rPr>
                      <w:color w:val="auto"/>
                      <w:szCs w:val="24"/>
                      <w:lang w:val="en-US"/>
                    </w:rPr>
                    <w:t>111.6m²</w:t>
                  </w:r>
                  <w:r>
                    <w:rPr>
                      <w:rFonts w:hint="eastAsia"/>
                      <w:color w:val="auto"/>
                      <w:szCs w:val="24"/>
                      <w:lang w:val="en-US"/>
                    </w:rPr>
                    <w:t>，该区域主要对危险废物代码</w:t>
                  </w:r>
                  <w:r>
                    <w:rPr>
                      <w:color w:val="auto"/>
                      <w:szCs w:val="24"/>
                      <w:lang w:val="en-US"/>
                    </w:rPr>
                    <w:t>HW23</w:t>
                  </w:r>
                  <w:r>
                    <w:rPr>
                      <w:rFonts w:hint="eastAsia"/>
                      <w:color w:val="auto"/>
                      <w:szCs w:val="24"/>
                      <w:lang w:val="en-US"/>
                    </w:rPr>
                    <w:t>（</w:t>
                  </w:r>
                  <w:r>
                    <w:rPr>
                      <w:color w:val="auto"/>
                      <w:szCs w:val="24"/>
                      <w:lang w:val="en-US"/>
                    </w:rPr>
                    <w:t>900-021-23</w:t>
                  </w:r>
                  <w:r>
                    <w:rPr>
                      <w:rFonts w:hint="eastAsia"/>
                      <w:color w:val="auto"/>
                      <w:szCs w:val="24"/>
                      <w:lang w:val="en-US"/>
                    </w:rPr>
                    <w:t>）、</w:t>
                  </w:r>
                  <w:r>
                    <w:rPr>
                      <w:color w:val="auto"/>
                      <w:szCs w:val="24"/>
                      <w:lang w:val="en-US"/>
                    </w:rPr>
                    <w:t>HW29</w:t>
                  </w:r>
                  <w:r>
                    <w:rPr>
                      <w:rFonts w:hint="eastAsia"/>
                      <w:color w:val="auto"/>
                      <w:szCs w:val="24"/>
                      <w:lang w:val="en-US"/>
                    </w:rPr>
                    <w:t>（</w:t>
                  </w:r>
                  <w:r>
                    <w:rPr>
                      <w:color w:val="auto"/>
                      <w:szCs w:val="24"/>
                      <w:lang w:val="en-US"/>
                    </w:rPr>
                    <w:t>900-022-29</w:t>
                  </w:r>
                  <w:r>
                    <w:rPr>
                      <w:rFonts w:hint="eastAsia"/>
                      <w:color w:val="auto"/>
                      <w:szCs w:val="24"/>
                      <w:lang w:val="en-US"/>
                    </w:rPr>
                    <w:t>、</w:t>
                  </w:r>
                  <w:r>
                    <w:rPr>
                      <w:color w:val="auto"/>
                      <w:szCs w:val="24"/>
                      <w:lang w:val="en-US"/>
                    </w:rPr>
                    <w:t>900-023-29</w:t>
                  </w:r>
                  <w:r>
                    <w:rPr>
                      <w:rFonts w:hint="eastAsia"/>
                      <w:color w:val="auto"/>
                      <w:szCs w:val="24"/>
                      <w:lang w:val="en-US"/>
                    </w:rPr>
                    <w:t>、</w:t>
                  </w:r>
                  <w:r>
                    <w:rPr>
                      <w:color w:val="auto"/>
                      <w:szCs w:val="24"/>
                      <w:lang w:val="en-US"/>
                    </w:rPr>
                    <w:t>900-024-29</w:t>
                  </w:r>
                  <w:r>
                    <w:rPr>
                      <w:rFonts w:hint="eastAsia"/>
                      <w:color w:val="auto"/>
                      <w:szCs w:val="24"/>
                      <w:lang w:val="en-US"/>
                    </w:rPr>
                    <w:t>、</w:t>
                  </w:r>
                  <w:r>
                    <w:rPr>
                      <w:color w:val="auto"/>
                      <w:szCs w:val="24"/>
                      <w:lang w:val="en-US"/>
                    </w:rPr>
                    <w:t>900-452-29</w:t>
                  </w:r>
                  <w:r>
                    <w:rPr>
                      <w:rFonts w:hint="eastAsia"/>
                      <w:color w:val="auto"/>
                      <w:szCs w:val="24"/>
                      <w:lang w:val="en-US"/>
                    </w:rPr>
                    <w:t>）、</w:t>
                  </w:r>
                  <w:r>
                    <w:rPr>
                      <w:color w:val="auto"/>
                      <w:szCs w:val="24"/>
                      <w:lang w:val="en-US"/>
                    </w:rPr>
                    <w:t>HW46</w:t>
                  </w:r>
                  <w:r>
                    <w:rPr>
                      <w:rFonts w:hint="eastAsia"/>
                      <w:color w:val="auto"/>
                      <w:szCs w:val="24"/>
                      <w:lang w:val="en-US"/>
                    </w:rPr>
                    <w:t>（</w:t>
                  </w:r>
                  <w:r>
                    <w:rPr>
                      <w:color w:val="auto"/>
                      <w:szCs w:val="24"/>
                      <w:lang w:val="en-US"/>
                    </w:rPr>
                    <w:t>900-037-46</w:t>
                  </w:r>
                  <w:r>
                    <w:rPr>
                      <w:rFonts w:hint="eastAsia"/>
                      <w:color w:val="auto"/>
                      <w:szCs w:val="24"/>
                      <w:lang w:val="en-US"/>
                    </w:rPr>
                    <w:t>）的3个大类、6小类危险废物进行贮存。每1小类危险废物设置1个贮存分区，每个分区采用过道隔开，分区内的各危险废物根据其形态及属性分别采用</w:t>
                  </w:r>
                  <w:r>
                    <w:rPr>
                      <w:rFonts w:hint="eastAsia"/>
                      <w:color w:val="auto"/>
                      <w:szCs w:val="21"/>
                    </w:rPr>
                    <w:t>塑料桶</w:t>
                  </w:r>
                  <w:r>
                    <w:rPr>
                      <w:rFonts w:hint="eastAsia"/>
                      <w:color w:val="auto"/>
                      <w:szCs w:val="24"/>
                      <w:lang w:val="en-US"/>
                    </w:rPr>
                    <w:t>和吨袋等进行密闭贮存，贮存后委托有资质的单位进行处置。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8#贮存区</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根据实施方案，该项目8#贮存区建筑面积为</w:t>
                  </w:r>
                  <w:r>
                    <w:rPr>
                      <w:color w:val="auto"/>
                      <w:szCs w:val="24"/>
                      <w:lang w:val="en-US"/>
                    </w:rPr>
                    <w:t>86.8m²</w:t>
                  </w:r>
                  <w:r>
                    <w:rPr>
                      <w:rFonts w:hint="eastAsia"/>
                      <w:color w:val="auto"/>
                      <w:szCs w:val="24"/>
                      <w:lang w:val="en-US"/>
                    </w:rPr>
                    <w:t>，该区域主要对危险废物代码</w:t>
                  </w:r>
                  <w:r>
                    <w:rPr>
                      <w:color w:val="auto"/>
                      <w:szCs w:val="24"/>
                      <w:lang w:val="en-US"/>
                    </w:rPr>
                    <w:t>HW36</w:t>
                  </w:r>
                  <w:r>
                    <w:rPr>
                      <w:rFonts w:hint="eastAsia"/>
                      <w:color w:val="auto"/>
                      <w:szCs w:val="24"/>
                      <w:lang w:val="en-US"/>
                    </w:rPr>
                    <w:t>（</w:t>
                  </w:r>
                  <w:r>
                    <w:rPr>
                      <w:color w:val="auto"/>
                      <w:szCs w:val="24"/>
                      <w:lang w:val="en-US"/>
                    </w:rPr>
                    <w:t>900-030-36</w:t>
                  </w:r>
                  <w:r>
                    <w:rPr>
                      <w:rFonts w:hint="eastAsia"/>
                      <w:color w:val="auto"/>
                      <w:szCs w:val="24"/>
                      <w:lang w:val="en-US"/>
                    </w:rPr>
                    <w:t>、</w:t>
                  </w:r>
                  <w:r>
                    <w:rPr>
                      <w:color w:val="auto"/>
                      <w:szCs w:val="24"/>
                      <w:lang w:val="en-US"/>
                    </w:rPr>
                    <w:t>900-031-36</w:t>
                  </w:r>
                  <w:r>
                    <w:rPr>
                      <w:rFonts w:hint="eastAsia"/>
                      <w:color w:val="auto"/>
                      <w:szCs w:val="24"/>
                      <w:lang w:val="en-US"/>
                    </w:rPr>
                    <w:t>、</w:t>
                  </w:r>
                  <w:r>
                    <w:rPr>
                      <w:color w:val="auto"/>
                      <w:szCs w:val="24"/>
                      <w:lang w:val="en-US"/>
                    </w:rPr>
                    <w:t>900-032-36</w:t>
                  </w:r>
                  <w:r>
                    <w:rPr>
                      <w:rFonts w:hint="eastAsia"/>
                      <w:color w:val="auto"/>
                      <w:szCs w:val="24"/>
                      <w:lang w:val="en-US"/>
                    </w:rPr>
                    <w:t>）的1个大类、3小类危险废物进行贮存。每1小类危险废物设置1个贮存分区，每个分区采用过道隔开，分区内的各危险废物分别采用吨袋等进行密闭贮存，贮存后委托有资质的单位进行处置。</w:t>
                  </w:r>
                </w:p>
              </w:tc>
              <w:tc>
                <w:tcPr>
                  <w:tcW w:w="783" w:type="dxa"/>
                  <w:vAlign w:val="center"/>
                </w:tcPr>
                <w:p>
                  <w:pPr>
                    <w:pStyle w:val="28"/>
                    <w:spacing w:line="360" w:lineRule="exact"/>
                    <w:rPr>
                      <w:color w:val="auto"/>
                      <w:szCs w:val="21"/>
                    </w:rPr>
                  </w:pPr>
                  <w:r>
                    <w:rPr>
                      <w:rFonts w:hint="eastAsia"/>
                      <w:color w:val="auto"/>
                      <w:szCs w:val="21"/>
                    </w:rPr>
                    <w:t>利用现有设施改造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1703" w:type="dxa"/>
                  <w:gridSpan w:val="2"/>
                  <w:vAlign w:val="center"/>
                </w:tcPr>
                <w:p>
                  <w:pPr>
                    <w:pStyle w:val="28"/>
                    <w:spacing w:line="360" w:lineRule="exact"/>
                    <w:rPr>
                      <w:color w:val="auto"/>
                      <w:szCs w:val="21"/>
                    </w:rPr>
                  </w:pPr>
                  <w:r>
                    <w:rPr>
                      <w:color w:val="auto"/>
                      <w:szCs w:val="21"/>
                    </w:rPr>
                    <w:t>昆明旭鑫环保科技有限公司原料暂存库</w:t>
                  </w:r>
                </w:p>
              </w:tc>
              <w:tc>
                <w:tcPr>
                  <w:tcW w:w="5386" w:type="dxa"/>
                  <w:vAlign w:val="center"/>
                </w:tcPr>
                <w:p>
                  <w:pPr>
                    <w:pStyle w:val="28"/>
                    <w:spacing w:line="360" w:lineRule="exact"/>
                    <w:ind w:firstLine="210" w:firstLineChars="100"/>
                    <w:jc w:val="both"/>
                    <w:rPr>
                      <w:color w:val="auto"/>
                      <w:szCs w:val="21"/>
                    </w:rPr>
                  </w:pPr>
                  <w:r>
                    <w:rPr>
                      <w:rFonts w:hint="eastAsia"/>
                      <w:color w:val="auto"/>
                      <w:szCs w:val="21"/>
                    </w:rPr>
                    <w:t>根据调查，</w:t>
                  </w:r>
                  <w:r>
                    <w:rPr>
                      <w:color w:val="auto"/>
                      <w:szCs w:val="21"/>
                    </w:rPr>
                    <w:t>昆明旭鑫环保科技有限公司原料暂存库</w:t>
                  </w:r>
                  <w:r>
                    <w:rPr>
                      <w:rFonts w:hint="eastAsia"/>
                      <w:color w:val="auto"/>
                      <w:szCs w:val="21"/>
                    </w:rPr>
                    <w:t>原建筑面积为3000</w:t>
                  </w:r>
                  <w:r>
                    <w:rPr>
                      <w:color w:val="auto"/>
                      <w:szCs w:val="21"/>
                    </w:rPr>
                    <w:t>m²</w:t>
                  </w:r>
                  <w:r>
                    <w:rPr>
                      <w:rFonts w:hint="eastAsia"/>
                      <w:color w:val="auto"/>
                      <w:szCs w:val="21"/>
                    </w:rPr>
                    <w:t>，划出</w:t>
                  </w:r>
                  <w:r>
                    <w:rPr>
                      <w:color w:val="auto"/>
                      <w:szCs w:val="21"/>
                    </w:rPr>
                    <w:t>1000m²</w:t>
                  </w:r>
                  <w:r>
                    <w:rPr>
                      <w:rFonts w:hint="eastAsia"/>
                      <w:color w:val="auto"/>
                      <w:szCs w:val="21"/>
                    </w:rPr>
                    <w:t>建设小微企业危险废物贮存库后，剩余的2000</w:t>
                  </w:r>
                  <w:r>
                    <w:rPr>
                      <w:color w:val="auto"/>
                      <w:szCs w:val="21"/>
                    </w:rPr>
                    <w:t>m²</w:t>
                  </w:r>
                  <w:r>
                    <w:rPr>
                      <w:rFonts w:hint="eastAsia"/>
                      <w:color w:val="auto"/>
                      <w:szCs w:val="21"/>
                    </w:rPr>
                    <w:t>，作为以后的</w:t>
                  </w:r>
                  <w:r>
                    <w:rPr>
                      <w:color w:val="auto"/>
                      <w:szCs w:val="21"/>
                    </w:rPr>
                    <w:t>昆明旭鑫环保科技有限公司原料暂存库</w:t>
                  </w:r>
                  <w:r>
                    <w:rPr>
                      <w:rFonts w:hint="eastAsia"/>
                      <w:color w:val="auto"/>
                      <w:szCs w:val="21"/>
                    </w:rPr>
                    <w:t>使用，该原料库贮存面积减少1/3，根据业主提供的资料，该原料库投入使用至今，其实际使用率不到总库存的5</w:t>
                  </w:r>
                  <w:r>
                    <w:rPr>
                      <w:color w:val="auto"/>
                      <w:szCs w:val="21"/>
                    </w:rPr>
                    <w:t>0%</w:t>
                  </w:r>
                  <w:r>
                    <w:rPr>
                      <w:rFonts w:hint="eastAsia"/>
                      <w:color w:val="auto"/>
                      <w:szCs w:val="21"/>
                    </w:rPr>
                    <w:t>，因此划出1</w:t>
                  </w:r>
                  <w:r>
                    <w:rPr>
                      <w:color w:val="auto"/>
                      <w:szCs w:val="21"/>
                    </w:rPr>
                    <w:t>000m²</w:t>
                  </w:r>
                  <w:r>
                    <w:rPr>
                      <w:rFonts w:hint="eastAsia"/>
                      <w:color w:val="auto"/>
                      <w:szCs w:val="21"/>
                    </w:rPr>
                    <w:t>后，该原料库依然可满足</w:t>
                  </w:r>
                  <w:r>
                    <w:rPr>
                      <w:color w:val="auto"/>
                      <w:szCs w:val="21"/>
                    </w:rPr>
                    <w:t>昆明旭鑫环保科技有限公司</w:t>
                  </w:r>
                  <w:r>
                    <w:rPr>
                      <w:rFonts w:hint="eastAsia"/>
                      <w:color w:val="auto"/>
                      <w:szCs w:val="21"/>
                    </w:rPr>
                    <w:t>原料分类暂存需求。</w:t>
                  </w:r>
                </w:p>
                <w:p>
                  <w:pPr>
                    <w:pStyle w:val="28"/>
                    <w:spacing w:line="360" w:lineRule="exact"/>
                    <w:ind w:firstLine="210" w:firstLineChars="100"/>
                    <w:jc w:val="both"/>
                    <w:rPr>
                      <w:color w:val="auto"/>
                      <w:szCs w:val="21"/>
                    </w:rPr>
                  </w:pPr>
                  <w:r>
                    <w:rPr>
                      <w:rFonts w:hint="eastAsia"/>
                      <w:color w:val="auto"/>
                      <w:szCs w:val="21"/>
                    </w:rPr>
                    <w:t>根据调查，该</w:t>
                  </w:r>
                  <w:r>
                    <w:rPr>
                      <w:color w:val="auto"/>
                      <w:szCs w:val="21"/>
                    </w:rPr>
                    <w:t>昆明旭鑫环保科技有限公司原料暂存库</w:t>
                  </w:r>
                  <w:r>
                    <w:rPr>
                      <w:rFonts w:hint="eastAsia"/>
                      <w:color w:val="auto"/>
                      <w:szCs w:val="21"/>
                    </w:rPr>
                    <w:t>环保措施可满足环保要求，划出1</w:t>
                  </w:r>
                  <w:r>
                    <w:rPr>
                      <w:color w:val="auto"/>
                      <w:szCs w:val="21"/>
                    </w:rPr>
                    <w:t>000m²</w:t>
                  </w:r>
                  <w:r>
                    <w:rPr>
                      <w:rFonts w:hint="eastAsia"/>
                      <w:color w:val="auto"/>
                      <w:szCs w:val="21"/>
                    </w:rPr>
                    <w:t>后，拟对2000</w:t>
                  </w:r>
                  <w:r>
                    <w:rPr>
                      <w:color w:val="auto"/>
                      <w:szCs w:val="21"/>
                    </w:rPr>
                    <w:t>m²</w:t>
                  </w:r>
                  <w:r>
                    <w:rPr>
                      <w:rFonts w:hint="eastAsia"/>
                      <w:color w:val="auto"/>
                      <w:szCs w:val="21"/>
                    </w:rPr>
                    <w:t>进行重新分区，对昆明旭鑫环保科技有限公司生产所需的铅渣、铋渣等11类（</w:t>
                  </w:r>
                  <w:r>
                    <w:rPr>
                      <w:color w:val="auto"/>
                      <w:szCs w:val="21"/>
                    </w:rPr>
                    <w:t>321-002-48</w:t>
                  </w:r>
                  <w:r>
                    <w:rPr>
                      <w:rFonts w:hint="eastAsia"/>
                      <w:color w:val="auto"/>
                      <w:szCs w:val="21"/>
                    </w:rPr>
                    <w:t>、</w:t>
                  </w:r>
                  <w:r>
                    <w:rPr>
                      <w:color w:val="auto"/>
                      <w:szCs w:val="21"/>
                    </w:rPr>
                    <w:t>321-013-48</w:t>
                  </w:r>
                  <w:r>
                    <w:rPr>
                      <w:rFonts w:hint="eastAsia"/>
                      <w:color w:val="auto"/>
                      <w:szCs w:val="21"/>
                    </w:rPr>
                    <w:t>、</w:t>
                  </w:r>
                  <w:r>
                    <w:rPr>
                      <w:color w:val="auto"/>
                      <w:szCs w:val="21"/>
                    </w:rPr>
                    <w:t>304-002-31、384-004-31</w:t>
                  </w:r>
                  <w:r>
                    <w:rPr>
                      <w:rFonts w:hint="eastAsia"/>
                      <w:color w:val="auto"/>
                      <w:szCs w:val="21"/>
                    </w:rPr>
                    <w:t>、</w:t>
                  </w:r>
                  <w:r>
                    <w:rPr>
                      <w:color w:val="auto"/>
                      <w:szCs w:val="21"/>
                    </w:rPr>
                    <w:t>321-004-48、321-008-48</w:t>
                  </w:r>
                  <w:r>
                    <w:rPr>
                      <w:rFonts w:hint="eastAsia"/>
                      <w:color w:val="auto"/>
                      <w:szCs w:val="21"/>
                    </w:rPr>
                    <w:t>、</w:t>
                  </w:r>
                  <w:r>
                    <w:rPr>
                      <w:color w:val="auto"/>
                      <w:szCs w:val="21"/>
                    </w:rPr>
                    <w:t>321-010-48</w:t>
                  </w:r>
                  <w:r>
                    <w:rPr>
                      <w:rFonts w:hint="eastAsia"/>
                      <w:color w:val="auto"/>
                      <w:szCs w:val="21"/>
                    </w:rPr>
                    <w:t>、</w:t>
                  </w:r>
                  <w:r>
                    <w:rPr>
                      <w:color w:val="auto"/>
                      <w:szCs w:val="21"/>
                    </w:rPr>
                    <w:t>321-019-48</w:t>
                  </w:r>
                  <w:r>
                    <w:rPr>
                      <w:rFonts w:hint="eastAsia"/>
                      <w:color w:val="auto"/>
                      <w:szCs w:val="21"/>
                    </w:rPr>
                    <w:t>、</w:t>
                  </w:r>
                  <w:r>
                    <w:rPr>
                      <w:color w:val="auto"/>
                      <w:szCs w:val="21"/>
                    </w:rPr>
                    <w:t>321-021-48</w:t>
                  </w:r>
                  <w:r>
                    <w:rPr>
                      <w:rFonts w:hint="eastAsia"/>
                      <w:color w:val="auto"/>
                      <w:szCs w:val="21"/>
                    </w:rPr>
                    <w:t>、</w:t>
                  </w:r>
                  <w:r>
                    <w:rPr>
                      <w:color w:val="auto"/>
                      <w:szCs w:val="21"/>
                    </w:rPr>
                    <w:t>321-014-48</w:t>
                  </w:r>
                  <w:r>
                    <w:rPr>
                      <w:rFonts w:hint="eastAsia"/>
                      <w:color w:val="auto"/>
                      <w:szCs w:val="21"/>
                    </w:rPr>
                    <w:t>、</w:t>
                  </w:r>
                  <w:r>
                    <w:rPr>
                      <w:color w:val="auto"/>
                      <w:szCs w:val="21"/>
                    </w:rPr>
                    <w:t>321-029-48</w:t>
                  </w:r>
                  <w:r>
                    <w:rPr>
                      <w:rFonts w:hint="eastAsia"/>
                      <w:color w:val="auto"/>
                      <w:szCs w:val="21"/>
                    </w:rPr>
                    <w:t xml:space="preserve">）危险废物原料进行分类暂存。 </w:t>
                  </w:r>
                </w:p>
              </w:tc>
              <w:tc>
                <w:tcPr>
                  <w:tcW w:w="783" w:type="dxa"/>
                  <w:vAlign w:val="center"/>
                </w:tcPr>
                <w:p>
                  <w:pPr>
                    <w:pStyle w:val="28"/>
                    <w:spacing w:line="360" w:lineRule="exact"/>
                    <w:rPr>
                      <w:color w:val="auto"/>
                      <w:szCs w:val="21"/>
                    </w:rPr>
                  </w:pPr>
                  <w:r>
                    <w:rPr>
                      <w:rFonts w:hint="eastAsia"/>
                      <w:color w:val="auto"/>
                      <w:szCs w:val="21"/>
                    </w:rPr>
                    <w:t>已建，拟调整分区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pStyle w:val="28"/>
                    <w:spacing w:line="360" w:lineRule="exact"/>
                    <w:rPr>
                      <w:color w:val="auto"/>
                      <w:szCs w:val="21"/>
                    </w:rPr>
                  </w:pPr>
                  <w:r>
                    <w:rPr>
                      <w:rFonts w:hint="eastAsia"/>
                      <w:color w:val="auto"/>
                      <w:szCs w:val="21"/>
                    </w:rPr>
                    <w:t>辅助工程</w:t>
                  </w:r>
                </w:p>
              </w:tc>
              <w:tc>
                <w:tcPr>
                  <w:tcW w:w="1703" w:type="dxa"/>
                  <w:gridSpan w:val="2"/>
                  <w:vAlign w:val="center"/>
                </w:tcPr>
                <w:p>
                  <w:pPr>
                    <w:pStyle w:val="28"/>
                    <w:spacing w:line="360" w:lineRule="exact"/>
                    <w:rPr>
                      <w:color w:val="auto"/>
                      <w:szCs w:val="21"/>
                    </w:rPr>
                  </w:pPr>
                  <w:r>
                    <w:rPr>
                      <w:rFonts w:hint="eastAsia"/>
                      <w:color w:val="auto"/>
                      <w:szCs w:val="21"/>
                    </w:rPr>
                    <w:t>警报系统</w:t>
                  </w:r>
                </w:p>
              </w:tc>
              <w:tc>
                <w:tcPr>
                  <w:tcW w:w="5386" w:type="dxa"/>
                  <w:vAlign w:val="center"/>
                </w:tcPr>
                <w:p>
                  <w:pPr>
                    <w:pStyle w:val="28"/>
                    <w:spacing w:line="360" w:lineRule="exact"/>
                    <w:ind w:firstLine="210" w:firstLineChars="100"/>
                    <w:jc w:val="both"/>
                    <w:rPr>
                      <w:color w:val="auto"/>
                      <w:szCs w:val="21"/>
                      <w:lang w:val="en-US"/>
                    </w:rPr>
                  </w:pPr>
                  <w:r>
                    <w:rPr>
                      <w:rFonts w:hint="eastAsia"/>
                      <w:color w:val="auto"/>
                      <w:szCs w:val="21"/>
                    </w:rPr>
                    <w:t>按照《危险废物收集、贮存、运输技术规范》（HJ2025-2012）中“6.5贮存易燃易爆危险废物应配置有机气体报警、火灾报警装置和导出静电的接地装置。”要求，拟对项目各贮存区域均配置有机气体报警器、火灾报警装置和导出静电的接地装置，以确保泄漏事故或火灾等情况发生时可及时进行处理及处置。</w:t>
                  </w:r>
                </w:p>
              </w:tc>
              <w:tc>
                <w:tcPr>
                  <w:tcW w:w="783" w:type="dxa"/>
                  <w:vAlign w:val="center"/>
                </w:tcPr>
                <w:p>
                  <w:pPr>
                    <w:pStyle w:val="28"/>
                    <w:spacing w:line="360" w:lineRule="exact"/>
                    <w:rPr>
                      <w:color w:val="auto"/>
                      <w:szCs w:val="21"/>
                    </w:rPr>
                  </w:pPr>
                  <w:r>
                    <w:rPr>
                      <w:rFonts w:hint="eastAsia"/>
                      <w:color w:val="auto"/>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33" w:type="dxa"/>
                  <w:vAlign w:val="center"/>
                </w:tcPr>
                <w:p>
                  <w:pPr>
                    <w:pStyle w:val="28"/>
                    <w:spacing w:line="360" w:lineRule="exact"/>
                    <w:rPr>
                      <w:color w:val="auto"/>
                      <w:szCs w:val="21"/>
                    </w:rPr>
                  </w:pPr>
                  <w:r>
                    <w:rPr>
                      <w:color w:val="auto"/>
                      <w:szCs w:val="21"/>
                    </w:rPr>
                    <w:t>储运工程</w:t>
                  </w:r>
                </w:p>
              </w:tc>
              <w:tc>
                <w:tcPr>
                  <w:tcW w:w="1703" w:type="dxa"/>
                  <w:gridSpan w:val="2"/>
                  <w:vAlign w:val="center"/>
                </w:tcPr>
                <w:p>
                  <w:pPr>
                    <w:pStyle w:val="28"/>
                    <w:spacing w:line="360" w:lineRule="exact"/>
                    <w:rPr>
                      <w:color w:val="auto"/>
                      <w:szCs w:val="21"/>
                    </w:rPr>
                  </w:pPr>
                  <w:r>
                    <w:rPr>
                      <w:rFonts w:hint="eastAsia"/>
                      <w:color w:val="auto"/>
                      <w:szCs w:val="21"/>
                    </w:rPr>
                    <w:t>危险废物运输</w:t>
                  </w:r>
                </w:p>
              </w:tc>
              <w:tc>
                <w:tcPr>
                  <w:tcW w:w="5386" w:type="dxa"/>
                  <w:vAlign w:val="center"/>
                </w:tcPr>
                <w:p>
                  <w:pPr>
                    <w:pStyle w:val="28"/>
                    <w:spacing w:line="360" w:lineRule="exact"/>
                    <w:ind w:firstLine="210" w:firstLineChars="100"/>
                    <w:jc w:val="both"/>
                    <w:rPr>
                      <w:color w:val="auto"/>
                      <w:szCs w:val="21"/>
                    </w:rPr>
                  </w:pPr>
                  <w:r>
                    <w:rPr>
                      <w:rFonts w:hint="eastAsia"/>
                      <w:color w:val="auto"/>
                      <w:szCs w:val="21"/>
                    </w:rPr>
                    <w:t>根据实施方案，项目各类危险废物的</w:t>
                  </w:r>
                  <w:r>
                    <w:rPr>
                      <w:color w:val="auto"/>
                      <w:szCs w:val="21"/>
                    </w:rPr>
                    <w:t>运输均委托具备危险废物运输资质的单位进行运输。</w:t>
                  </w:r>
                </w:p>
              </w:tc>
              <w:tc>
                <w:tcPr>
                  <w:tcW w:w="783" w:type="dxa"/>
                  <w:vAlign w:val="center"/>
                </w:tcPr>
                <w:p>
                  <w:pPr>
                    <w:pStyle w:val="28"/>
                    <w:spacing w:line="360" w:lineRule="exact"/>
                    <w:rPr>
                      <w:color w:val="auto"/>
                      <w:szCs w:val="21"/>
                    </w:rPr>
                  </w:pPr>
                  <w:r>
                    <w:rPr>
                      <w:rFonts w:hint="eastAsia"/>
                      <w:color w:val="auto"/>
                      <w:szCs w:val="21"/>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3" w:type="dxa"/>
                  <w:vAlign w:val="center"/>
                </w:tcPr>
                <w:p>
                  <w:pPr>
                    <w:pStyle w:val="28"/>
                    <w:spacing w:line="360" w:lineRule="exact"/>
                    <w:rPr>
                      <w:color w:val="auto"/>
                      <w:szCs w:val="21"/>
                    </w:rPr>
                  </w:pPr>
                  <w:r>
                    <w:rPr>
                      <w:rFonts w:hint="eastAsia"/>
                      <w:color w:val="auto"/>
                      <w:szCs w:val="21"/>
                    </w:rPr>
                    <w:t>依托工程</w:t>
                  </w:r>
                </w:p>
              </w:tc>
              <w:tc>
                <w:tcPr>
                  <w:tcW w:w="1703" w:type="dxa"/>
                  <w:gridSpan w:val="2"/>
                  <w:vAlign w:val="center"/>
                </w:tcPr>
                <w:p>
                  <w:pPr>
                    <w:pStyle w:val="28"/>
                    <w:spacing w:line="360" w:lineRule="exact"/>
                    <w:rPr>
                      <w:color w:val="auto"/>
                      <w:szCs w:val="21"/>
                    </w:rPr>
                  </w:pPr>
                  <w:r>
                    <w:rPr>
                      <w:color w:val="auto"/>
                      <w:szCs w:val="21"/>
                    </w:rPr>
                    <w:t>办公生活设施</w:t>
                  </w:r>
                </w:p>
              </w:tc>
              <w:tc>
                <w:tcPr>
                  <w:tcW w:w="5386" w:type="dxa"/>
                  <w:vAlign w:val="center"/>
                </w:tcPr>
                <w:p>
                  <w:pPr>
                    <w:pStyle w:val="28"/>
                    <w:spacing w:line="360" w:lineRule="exact"/>
                    <w:ind w:firstLine="210" w:firstLineChars="100"/>
                    <w:jc w:val="both"/>
                    <w:rPr>
                      <w:color w:val="auto"/>
                      <w:szCs w:val="21"/>
                    </w:rPr>
                  </w:pPr>
                  <w:r>
                    <w:rPr>
                      <w:color w:val="auto"/>
                      <w:szCs w:val="21"/>
                    </w:rPr>
                    <w:t>根据调查，建设单位为解决全厂员工的办公食宿问题，建设单位已在厂区外单独建设办公生活区，该生活区属于厂区主体项目的配套项目，不属于该项目的附属工程，该项目依托使用。该办公生活区厨房已配套设置了1个油烟去除效率不低于60%的油烟净化器，该生活区的厨房油烟经油烟净化器处理达到《饮食业油烟排放标准》（GB</w:t>
                  </w:r>
                  <w:r>
                    <w:rPr>
                      <w:rFonts w:hint="eastAsia"/>
                      <w:color w:val="auto"/>
                      <w:szCs w:val="21"/>
                      <w:lang w:eastAsia="zh-CN"/>
                    </w:rPr>
                    <w:t>*****</w:t>
                  </w:r>
                  <w:r>
                    <w:rPr>
                      <w:color w:val="auto"/>
                      <w:szCs w:val="21"/>
                    </w:rPr>
                    <w:t>-2001）（试行）小型标准后通过1.5m的烟道外排；针对该办公生活区的生活污水设置了1个0.5m³的隔油池，办公生活区配套设置了1个10m³的化粪池，厨房废水先经1个0.5m³的隔油池预处理后和其他生活污水一起进入1个10m³的化粪池处理，处理达到《污水排入城镇下水道水质标准》（GB/T</w:t>
                  </w:r>
                  <w:r>
                    <w:rPr>
                      <w:rFonts w:hint="eastAsia"/>
                      <w:color w:val="auto"/>
                      <w:szCs w:val="21"/>
                      <w:lang w:eastAsia="zh-CN"/>
                    </w:rPr>
                    <w:t>*****</w:t>
                  </w:r>
                  <w:r>
                    <w:rPr>
                      <w:color w:val="auto"/>
                      <w:szCs w:val="21"/>
                    </w:rPr>
                    <w:t>-2015）的B等级标准，通过园区污水管网进入四方地与碧谷园区污水处理厂处理。因此依托可行。</w:t>
                  </w:r>
                </w:p>
              </w:tc>
              <w:tc>
                <w:tcPr>
                  <w:tcW w:w="783" w:type="dxa"/>
                  <w:vAlign w:val="center"/>
                </w:tcPr>
                <w:p>
                  <w:pPr>
                    <w:pStyle w:val="28"/>
                    <w:spacing w:line="360" w:lineRule="exact"/>
                    <w:rPr>
                      <w:color w:val="auto"/>
                      <w:szCs w:val="21"/>
                    </w:rPr>
                  </w:pPr>
                  <w:r>
                    <w:rPr>
                      <w:rFonts w:hint="eastAsia"/>
                      <w:color w:val="auto"/>
                      <w:szCs w:val="21"/>
                    </w:rPr>
                    <w:t>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pPr>
                    <w:pStyle w:val="28"/>
                    <w:spacing w:line="360" w:lineRule="exact"/>
                    <w:rPr>
                      <w:color w:val="auto"/>
                      <w:szCs w:val="21"/>
                    </w:rPr>
                  </w:pPr>
                  <w:r>
                    <w:rPr>
                      <w:color w:val="auto"/>
                      <w:szCs w:val="21"/>
                    </w:rPr>
                    <w:t>公用工程</w:t>
                  </w:r>
                </w:p>
              </w:tc>
              <w:tc>
                <w:tcPr>
                  <w:tcW w:w="1703" w:type="dxa"/>
                  <w:gridSpan w:val="2"/>
                  <w:vAlign w:val="center"/>
                </w:tcPr>
                <w:p>
                  <w:pPr>
                    <w:pStyle w:val="28"/>
                    <w:spacing w:line="360" w:lineRule="exact"/>
                    <w:rPr>
                      <w:color w:val="auto"/>
                      <w:szCs w:val="21"/>
                    </w:rPr>
                  </w:pPr>
                  <w:r>
                    <w:rPr>
                      <w:color w:val="auto"/>
                      <w:szCs w:val="21"/>
                    </w:rPr>
                    <w:t>供电</w:t>
                  </w:r>
                </w:p>
              </w:tc>
              <w:tc>
                <w:tcPr>
                  <w:tcW w:w="5386" w:type="dxa"/>
                  <w:vAlign w:val="center"/>
                </w:tcPr>
                <w:p>
                  <w:pPr>
                    <w:pStyle w:val="28"/>
                    <w:spacing w:line="360" w:lineRule="exact"/>
                    <w:ind w:firstLine="210" w:firstLineChars="100"/>
                    <w:jc w:val="both"/>
                    <w:rPr>
                      <w:color w:val="auto"/>
                      <w:szCs w:val="21"/>
                    </w:rPr>
                  </w:pPr>
                  <w:r>
                    <w:rPr>
                      <w:color w:val="auto"/>
                      <w:szCs w:val="21"/>
                    </w:rPr>
                    <w:t>项目各系统均采用电能，供电由</w:t>
                  </w:r>
                  <w:r>
                    <w:rPr>
                      <w:rFonts w:hint="eastAsia"/>
                      <w:color w:val="auto"/>
                      <w:szCs w:val="21"/>
                    </w:rPr>
                    <w:t>园区统一</w:t>
                  </w:r>
                  <w:r>
                    <w:rPr>
                      <w:color w:val="auto"/>
                      <w:szCs w:val="21"/>
                    </w:rPr>
                    <w:t>供给</w:t>
                  </w:r>
                  <w:r>
                    <w:rPr>
                      <w:rFonts w:hint="eastAsia"/>
                      <w:color w:val="auto"/>
                      <w:szCs w:val="21"/>
                    </w:rPr>
                    <w:t>。</w:t>
                  </w:r>
                </w:p>
              </w:tc>
              <w:tc>
                <w:tcPr>
                  <w:tcW w:w="783" w:type="dxa"/>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1703" w:type="dxa"/>
                  <w:gridSpan w:val="2"/>
                  <w:vAlign w:val="center"/>
                </w:tcPr>
                <w:p>
                  <w:pPr>
                    <w:pStyle w:val="28"/>
                    <w:spacing w:line="360" w:lineRule="exact"/>
                    <w:rPr>
                      <w:color w:val="auto"/>
                      <w:szCs w:val="21"/>
                    </w:rPr>
                  </w:pPr>
                  <w:r>
                    <w:rPr>
                      <w:color w:val="auto"/>
                      <w:szCs w:val="21"/>
                    </w:rPr>
                    <w:t>给水</w:t>
                  </w:r>
                </w:p>
              </w:tc>
              <w:tc>
                <w:tcPr>
                  <w:tcW w:w="5386" w:type="dxa"/>
                  <w:vAlign w:val="center"/>
                </w:tcPr>
                <w:p>
                  <w:pPr>
                    <w:pStyle w:val="28"/>
                    <w:spacing w:line="360" w:lineRule="exact"/>
                    <w:ind w:firstLine="210" w:firstLineChars="100"/>
                    <w:jc w:val="both"/>
                    <w:rPr>
                      <w:color w:val="auto"/>
                      <w:szCs w:val="21"/>
                    </w:rPr>
                  </w:pPr>
                  <w:r>
                    <w:rPr>
                      <w:rFonts w:hint="eastAsia"/>
                      <w:color w:val="auto"/>
                      <w:szCs w:val="21"/>
                    </w:rPr>
                    <w:t>①</w:t>
                  </w:r>
                  <w:r>
                    <w:rPr>
                      <w:color w:val="auto"/>
                      <w:szCs w:val="21"/>
                    </w:rPr>
                    <w:t>生产用水</w:t>
                  </w:r>
                </w:p>
                <w:p>
                  <w:pPr>
                    <w:pStyle w:val="28"/>
                    <w:spacing w:line="360" w:lineRule="exact"/>
                    <w:ind w:firstLine="210" w:firstLineChars="100"/>
                    <w:jc w:val="both"/>
                    <w:rPr>
                      <w:color w:val="auto"/>
                      <w:szCs w:val="21"/>
                    </w:rPr>
                  </w:pPr>
                  <w:r>
                    <w:rPr>
                      <w:rFonts w:hint="eastAsia"/>
                      <w:color w:val="auto"/>
                      <w:szCs w:val="21"/>
                    </w:rPr>
                    <w:t>根据实施方案，项目地面清洁及收集桶清洁主要采取抹布擦拭的方式，不采用水清洗，项目主要用水环节为废气处理装置中的碱喷淋工艺</w:t>
                  </w:r>
                  <w:r>
                    <w:rPr>
                      <w:rFonts w:hint="eastAsia"/>
                      <w:color w:val="auto"/>
                      <w:szCs w:val="24"/>
                      <w:lang w:val="en-US"/>
                    </w:rPr>
                    <w:t>。</w:t>
                  </w:r>
                </w:p>
                <w:p>
                  <w:pPr>
                    <w:pStyle w:val="28"/>
                    <w:spacing w:line="360" w:lineRule="exact"/>
                    <w:ind w:firstLine="210" w:firstLineChars="100"/>
                    <w:jc w:val="both"/>
                    <w:rPr>
                      <w:color w:val="auto"/>
                      <w:szCs w:val="21"/>
                    </w:rPr>
                  </w:pPr>
                  <w:r>
                    <w:rPr>
                      <w:rFonts w:hint="eastAsia"/>
                      <w:color w:val="auto"/>
                      <w:szCs w:val="21"/>
                    </w:rPr>
                    <w:t>②</w:t>
                  </w:r>
                  <w:r>
                    <w:rPr>
                      <w:color w:val="auto"/>
                      <w:szCs w:val="21"/>
                    </w:rPr>
                    <w:t>生活用水</w:t>
                  </w:r>
                </w:p>
                <w:p>
                  <w:pPr>
                    <w:pStyle w:val="28"/>
                    <w:spacing w:line="360" w:lineRule="exact"/>
                    <w:ind w:firstLine="210" w:firstLineChars="100"/>
                    <w:jc w:val="both"/>
                    <w:rPr>
                      <w:color w:val="auto"/>
                      <w:szCs w:val="21"/>
                    </w:rPr>
                  </w:pPr>
                  <w:r>
                    <w:rPr>
                      <w:rFonts w:hint="eastAsia"/>
                      <w:color w:val="auto"/>
                      <w:szCs w:val="21"/>
                    </w:rPr>
                    <w:t>项目员工生活依托现有设施，因此本项目无生活用水产生。</w:t>
                  </w:r>
                </w:p>
              </w:tc>
              <w:tc>
                <w:tcPr>
                  <w:tcW w:w="783" w:type="dxa"/>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1703" w:type="dxa"/>
                  <w:gridSpan w:val="2"/>
                  <w:vAlign w:val="center"/>
                </w:tcPr>
                <w:p>
                  <w:pPr>
                    <w:pStyle w:val="28"/>
                    <w:spacing w:line="360" w:lineRule="exact"/>
                    <w:rPr>
                      <w:color w:val="auto"/>
                      <w:szCs w:val="21"/>
                    </w:rPr>
                  </w:pPr>
                  <w:r>
                    <w:rPr>
                      <w:color w:val="auto"/>
                      <w:szCs w:val="21"/>
                    </w:rPr>
                    <w:t>排水</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设计，碱喷淋工艺使用水不断调整pH值循环使用，每季度更换1次，更换后的碱喷淋废液属于含有或沾染毒性、感染性危险废物的过滤介质，按危险废物处理，不按废水进行管理，因此，项目无生产废水和生活污水的产生及排放，项目排水主要为雨水，根据调查，厂区内已设置了雨水沟和在厂区东北侧地势最低处建设了1座容积为6</w:t>
                  </w:r>
                  <w:r>
                    <w:rPr>
                      <w:color w:val="auto"/>
                      <w:szCs w:val="24"/>
                      <w:lang w:val="en-US"/>
                    </w:rPr>
                    <w:t>80m³初期雨水收集池</w:t>
                  </w:r>
                  <w:r>
                    <w:rPr>
                      <w:rFonts w:hint="eastAsia"/>
                      <w:color w:val="auto"/>
                      <w:szCs w:val="24"/>
                      <w:lang w:val="en-US"/>
                    </w:rPr>
                    <w:t>。</w:t>
                  </w:r>
                </w:p>
                <w:p>
                  <w:pPr>
                    <w:pStyle w:val="28"/>
                    <w:spacing w:line="360" w:lineRule="exact"/>
                    <w:ind w:firstLine="210" w:firstLineChars="100"/>
                    <w:jc w:val="both"/>
                    <w:rPr>
                      <w:color w:val="auto"/>
                      <w:szCs w:val="24"/>
                      <w:lang w:val="en-US"/>
                    </w:rPr>
                  </w:pPr>
                  <w:r>
                    <w:rPr>
                      <w:rFonts w:hint="eastAsia"/>
                      <w:color w:val="auto"/>
                      <w:szCs w:val="24"/>
                      <w:lang w:val="en-US"/>
                    </w:rPr>
                    <w:t>根据调查，初期雨水收集疏导后进入</w:t>
                  </w:r>
                  <w:r>
                    <w:rPr>
                      <w:color w:val="auto"/>
                      <w:szCs w:val="24"/>
                      <w:lang w:val="en-US"/>
                    </w:rPr>
                    <w:t>初期雨水收集池</w:t>
                  </w:r>
                  <w:r>
                    <w:rPr>
                      <w:rFonts w:hint="eastAsia"/>
                      <w:color w:val="auto"/>
                      <w:szCs w:val="24"/>
                      <w:lang w:val="en-US"/>
                    </w:rPr>
                    <w:t>并处理后回用于厂区生产，后期雨水排入园区雨水沟。</w:t>
                  </w:r>
                </w:p>
              </w:tc>
              <w:tc>
                <w:tcPr>
                  <w:tcW w:w="783" w:type="dxa"/>
                  <w:vAlign w:val="center"/>
                </w:tcPr>
                <w:p>
                  <w:pPr>
                    <w:pStyle w:val="28"/>
                    <w:spacing w:line="360" w:lineRule="exact"/>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pPr>
                    <w:pStyle w:val="28"/>
                    <w:spacing w:line="360" w:lineRule="exact"/>
                    <w:rPr>
                      <w:color w:val="auto"/>
                      <w:szCs w:val="21"/>
                    </w:rPr>
                  </w:pPr>
                  <w:r>
                    <w:rPr>
                      <w:color w:val="auto"/>
                      <w:szCs w:val="21"/>
                    </w:rPr>
                    <w:t>环保工程</w:t>
                  </w:r>
                </w:p>
              </w:tc>
              <w:tc>
                <w:tcPr>
                  <w:tcW w:w="721" w:type="dxa"/>
                  <w:vMerge w:val="restart"/>
                  <w:vAlign w:val="center"/>
                </w:tcPr>
                <w:p>
                  <w:pPr>
                    <w:pStyle w:val="28"/>
                    <w:spacing w:line="360" w:lineRule="exact"/>
                    <w:rPr>
                      <w:color w:val="auto"/>
                      <w:szCs w:val="21"/>
                    </w:rPr>
                  </w:pPr>
                  <w:r>
                    <w:rPr>
                      <w:rFonts w:hint="eastAsia"/>
                      <w:color w:val="auto"/>
                      <w:szCs w:val="21"/>
                    </w:rPr>
                    <w:t>废气</w:t>
                  </w:r>
                </w:p>
              </w:tc>
              <w:tc>
                <w:tcPr>
                  <w:tcW w:w="982" w:type="dxa"/>
                  <w:vAlign w:val="center"/>
                </w:tcPr>
                <w:p>
                  <w:pPr>
                    <w:pStyle w:val="28"/>
                    <w:spacing w:line="360" w:lineRule="exact"/>
                    <w:rPr>
                      <w:color w:val="auto"/>
                      <w:szCs w:val="21"/>
                    </w:rPr>
                  </w:pPr>
                  <w:r>
                    <w:rPr>
                      <w:color w:val="auto"/>
                      <w:szCs w:val="21"/>
                    </w:rPr>
                    <w:t>原料暂存库全封闭</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根据调查，</w:t>
                  </w:r>
                  <w:r>
                    <w:rPr>
                      <w:color w:val="auto"/>
                      <w:szCs w:val="24"/>
                      <w:lang w:val="en-US"/>
                    </w:rPr>
                    <w:t>该项目</w:t>
                  </w:r>
                  <w:r>
                    <w:rPr>
                      <w:rFonts w:hint="eastAsia"/>
                      <w:color w:val="auto"/>
                      <w:szCs w:val="24"/>
                      <w:lang w:val="en-US"/>
                    </w:rPr>
                    <w:t>拟</w:t>
                  </w:r>
                  <w:r>
                    <w:rPr>
                      <w:color w:val="auto"/>
                      <w:szCs w:val="24"/>
                      <w:lang w:val="en-US"/>
                    </w:rPr>
                    <w:t>利用</w:t>
                  </w:r>
                  <w:r>
                    <w:rPr>
                      <w:rFonts w:hint="eastAsia"/>
                      <w:color w:val="auto"/>
                      <w:szCs w:val="24"/>
                      <w:lang w:val="en-US"/>
                    </w:rPr>
                    <w:t>的</w:t>
                  </w:r>
                  <w:r>
                    <w:rPr>
                      <w:color w:val="auto"/>
                      <w:szCs w:val="24"/>
                      <w:lang w:val="en-US"/>
                    </w:rPr>
                    <w:t>昆明旭鑫环保科技有限公司</w:t>
                  </w:r>
                  <w:r>
                    <w:rPr>
                      <w:rFonts w:hint="eastAsia"/>
                      <w:color w:val="auto"/>
                      <w:szCs w:val="24"/>
                      <w:lang w:val="en-US"/>
                    </w:rPr>
                    <w:t>现有</w:t>
                  </w:r>
                  <w:r>
                    <w:rPr>
                      <w:color w:val="auto"/>
                      <w:szCs w:val="24"/>
                      <w:lang w:val="en-US"/>
                    </w:rPr>
                    <w:t>原料暂存库</w:t>
                  </w:r>
                  <w:r>
                    <w:rPr>
                      <w:rFonts w:hint="eastAsia"/>
                      <w:color w:val="auto"/>
                      <w:szCs w:val="24"/>
                      <w:lang w:val="en-US"/>
                    </w:rPr>
                    <w:t>为钢结构彩钢瓦型，并已进行了全封闭，满足“防风、防雨、防晒”要求。</w:t>
                  </w:r>
                </w:p>
              </w:tc>
              <w:tc>
                <w:tcPr>
                  <w:tcW w:w="783" w:type="dxa"/>
                  <w:vAlign w:val="center"/>
                </w:tcPr>
                <w:p>
                  <w:pPr>
                    <w:pStyle w:val="28"/>
                    <w:spacing w:line="360" w:lineRule="exact"/>
                    <w:rPr>
                      <w:color w:val="auto"/>
                      <w:szCs w:val="21"/>
                    </w:rPr>
                  </w:pPr>
                  <w:r>
                    <w:rPr>
                      <w:rFonts w:hint="eastAsia"/>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负压收集系统</w:t>
                  </w:r>
                </w:p>
              </w:tc>
              <w:tc>
                <w:tcPr>
                  <w:tcW w:w="5386" w:type="dxa"/>
                  <w:vAlign w:val="center"/>
                </w:tcPr>
                <w:p>
                  <w:pPr>
                    <w:pStyle w:val="28"/>
                    <w:spacing w:line="360" w:lineRule="exact"/>
                    <w:ind w:firstLine="210" w:firstLineChars="100"/>
                    <w:jc w:val="both"/>
                    <w:rPr>
                      <w:color w:val="auto"/>
                      <w:szCs w:val="24"/>
                      <w:lang w:val="en-US"/>
                    </w:rPr>
                  </w:pPr>
                  <w:r>
                    <w:rPr>
                      <w:color w:val="auto"/>
                      <w:szCs w:val="24"/>
                      <w:lang w:val="en-US"/>
                    </w:rPr>
                    <w:t>根据实施方案，针对小微企业危险废物贮存库区，项目拟设置1套负压收集系统，负压收集系统由集气罩和输送管道组成，每个贮存单元内设置1个集气罩，将各贮存单位产生的废气收集后通过管道输送至</w:t>
                  </w:r>
                  <w:r>
                    <w:rPr>
                      <w:rFonts w:hint="eastAsia"/>
                      <w:color w:val="auto"/>
                      <w:szCs w:val="24"/>
                      <w:lang w:val="en-US"/>
                    </w:rPr>
                    <w:t>废气处理装置</w:t>
                  </w:r>
                  <w:r>
                    <w:rPr>
                      <w:color w:val="auto"/>
                      <w:szCs w:val="24"/>
                      <w:lang w:val="en-US"/>
                    </w:rPr>
                    <w:t>进行处置，集气罩的风机风量为2000m³/</w:t>
                  </w:r>
                  <w:r>
                    <w:rPr>
                      <w:rFonts w:hint="eastAsia"/>
                      <w:color w:val="auto"/>
                      <w:szCs w:val="24"/>
                      <w:lang w:val="en-US"/>
                    </w:rPr>
                    <w:t>h·</w:t>
                  </w:r>
                  <w:r>
                    <w:rPr>
                      <w:color w:val="auto"/>
                      <w:szCs w:val="24"/>
                      <w:lang w:val="en-US"/>
                    </w:rPr>
                    <w:t>个，合计风量为</w:t>
                  </w:r>
                  <w:r>
                    <w:rPr>
                      <w:rFonts w:hint="eastAsia"/>
                      <w:color w:val="auto"/>
                      <w:szCs w:val="24"/>
                      <w:lang w:val="en-US"/>
                    </w:rPr>
                    <w:t>16</w:t>
                  </w:r>
                  <w:r>
                    <w:rPr>
                      <w:color w:val="auto"/>
                      <w:szCs w:val="24"/>
                      <w:lang w:val="en-US"/>
                    </w:rPr>
                    <w:t>000m³</w:t>
                  </w:r>
                  <w:r>
                    <w:rPr>
                      <w:rFonts w:hint="eastAsia"/>
                      <w:color w:val="auto"/>
                      <w:szCs w:val="24"/>
                      <w:lang w:val="en-US"/>
                    </w:rPr>
                    <w:t>/h</w:t>
                  </w:r>
                  <w:r>
                    <w:rPr>
                      <w:color w:val="auto"/>
                      <w:szCs w:val="24"/>
                      <w:lang w:val="en-US"/>
                    </w:rPr>
                    <w:t>，集气效率约为80%。</w:t>
                  </w:r>
                </w:p>
              </w:tc>
              <w:tc>
                <w:tcPr>
                  <w:tcW w:w="783" w:type="dxa"/>
                  <w:vAlign w:val="center"/>
                </w:tcPr>
                <w:p>
                  <w:pPr>
                    <w:pStyle w:val="28"/>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废气处理装置</w:t>
                  </w:r>
                </w:p>
              </w:tc>
              <w:tc>
                <w:tcPr>
                  <w:tcW w:w="5386" w:type="dxa"/>
                  <w:vAlign w:val="center"/>
                </w:tcPr>
                <w:p>
                  <w:pPr>
                    <w:pStyle w:val="28"/>
                    <w:spacing w:line="360" w:lineRule="exact"/>
                    <w:ind w:firstLine="210" w:firstLineChars="100"/>
                    <w:jc w:val="both"/>
                    <w:rPr>
                      <w:color w:val="auto"/>
                      <w:szCs w:val="24"/>
                      <w:lang w:val="en-US"/>
                    </w:rPr>
                  </w:pPr>
                  <w:r>
                    <w:rPr>
                      <w:color w:val="auto"/>
                      <w:szCs w:val="24"/>
                      <w:lang w:val="en-US"/>
                    </w:rPr>
                    <w:t>根据实施方案，</w:t>
                  </w:r>
                  <w:r>
                    <w:rPr>
                      <w:rFonts w:hint="eastAsia"/>
                      <w:color w:val="auto"/>
                      <w:szCs w:val="24"/>
                      <w:lang w:val="en-US"/>
                    </w:rPr>
                    <w:t>针对小微企业危险废物贮存库区产生的废气，通过1套负压收集系统对其收集后，拟设置1套废气处理装置对其进行处理，该项目废气处理装置由活性炭吸附+碱喷淋工艺组成，根据设计参数，该装置有机废气（非甲烷总烃）的处理效率约为30%，</w:t>
                  </w:r>
                  <w:r>
                    <w:rPr>
                      <w:color w:val="auto"/>
                      <w:szCs w:val="24"/>
                      <w:lang w:val="en-US"/>
                    </w:rPr>
                    <w:t>酸性</w:t>
                  </w:r>
                  <w:r>
                    <w:rPr>
                      <w:rFonts w:hint="eastAsia"/>
                      <w:color w:val="auto"/>
                      <w:szCs w:val="24"/>
                      <w:lang w:val="en-US"/>
                    </w:rPr>
                    <w:t>废气（HCl）处理效率约为95%，恶臭废气（氨、硫化氢和臭气浓度）处理效率约为60%。</w:t>
                  </w:r>
                </w:p>
              </w:tc>
              <w:tc>
                <w:tcPr>
                  <w:tcW w:w="783" w:type="dxa"/>
                  <w:vAlign w:val="center"/>
                </w:tcPr>
                <w:p>
                  <w:pPr>
                    <w:pStyle w:val="28"/>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排气筒</w:t>
                  </w:r>
                </w:p>
              </w:tc>
              <w:tc>
                <w:tcPr>
                  <w:tcW w:w="5386" w:type="dxa"/>
                  <w:vAlign w:val="center"/>
                </w:tcPr>
                <w:p>
                  <w:pPr>
                    <w:pStyle w:val="28"/>
                    <w:spacing w:line="360" w:lineRule="exact"/>
                    <w:ind w:firstLine="210" w:firstLineChars="100"/>
                    <w:jc w:val="both"/>
                    <w:rPr>
                      <w:color w:val="auto"/>
                      <w:szCs w:val="24"/>
                      <w:lang w:val="en-US"/>
                    </w:rPr>
                  </w:pPr>
                  <w:r>
                    <w:rPr>
                      <w:color w:val="auto"/>
                      <w:szCs w:val="24"/>
                      <w:lang w:val="en-US"/>
                    </w:rPr>
                    <w:t>根据实施方案，</w:t>
                  </w:r>
                  <w:r>
                    <w:rPr>
                      <w:rFonts w:hint="eastAsia"/>
                      <w:color w:val="auto"/>
                      <w:szCs w:val="24"/>
                      <w:lang w:val="en-US"/>
                    </w:rPr>
                    <w:t>项目拟设置</w:t>
                  </w:r>
                  <w:r>
                    <w:rPr>
                      <w:color w:val="auto"/>
                      <w:szCs w:val="24"/>
                      <w:lang w:val="en-US"/>
                    </w:rPr>
                    <w:t>1根Φ0.68、高15m的排气筒(DA001)对废气处理装置</w:t>
                  </w:r>
                  <w:r>
                    <w:rPr>
                      <w:rFonts w:hint="eastAsia"/>
                      <w:color w:val="auto"/>
                      <w:szCs w:val="24"/>
                      <w:lang w:val="en-US"/>
                    </w:rPr>
                    <w:t>处理后的废气外排。</w:t>
                  </w:r>
                </w:p>
              </w:tc>
              <w:tc>
                <w:tcPr>
                  <w:tcW w:w="783" w:type="dxa"/>
                  <w:vAlign w:val="center"/>
                </w:tcPr>
                <w:p>
                  <w:pPr>
                    <w:pStyle w:val="28"/>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rPr>
                  </w:pPr>
                </w:p>
              </w:tc>
              <w:tc>
                <w:tcPr>
                  <w:tcW w:w="721" w:type="dxa"/>
                  <w:vAlign w:val="center"/>
                </w:tcPr>
                <w:p>
                  <w:pPr>
                    <w:pStyle w:val="28"/>
                    <w:spacing w:line="360" w:lineRule="exact"/>
                    <w:rPr>
                      <w:color w:val="auto"/>
                      <w:szCs w:val="21"/>
                    </w:rPr>
                  </w:pPr>
                  <w:r>
                    <w:rPr>
                      <w:color w:val="auto"/>
                      <w:szCs w:val="21"/>
                    </w:rPr>
                    <w:t>废水</w:t>
                  </w:r>
                </w:p>
              </w:tc>
              <w:tc>
                <w:tcPr>
                  <w:tcW w:w="982" w:type="dxa"/>
                  <w:vAlign w:val="center"/>
                </w:tcPr>
                <w:p>
                  <w:pPr>
                    <w:pStyle w:val="28"/>
                    <w:spacing w:line="360" w:lineRule="exact"/>
                    <w:rPr>
                      <w:color w:val="auto"/>
                      <w:szCs w:val="21"/>
                    </w:rPr>
                  </w:pPr>
                  <w:r>
                    <w:rPr>
                      <w:color w:val="auto"/>
                      <w:szCs w:val="21"/>
                    </w:rPr>
                    <w:t>雨污分流</w:t>
                  </w:r>
                </w:p>
              </w:tc>
              <w:tc>
                <w:tcPr>
                  <w:tcW w:w="5386" w:type="dxa"/>
                  <w:vAlign w:val="center"/>
                </w:tcPr>
                <w:p>
                  <w:pPr>
                    <w:pStyle w:val="28"/>
                    <w:spacing w:line="360" w:lineRule="exact"/>
                    <w:ind w:firstLine="210" w:firstLineChars="100"/>
                    <w:jc w:val="both"/>
                    <w:rPr>
                      <w:color w:val="auto"/>
                      <w:szCs w:val="24"/>
                      <w:lang w:val="en-US"/>
                    </w:rPr>
                  </w:pPr>
                  <w:r>
                    <w:rPr>
                      <w:rFonts w:hint="eastAsia"/>
                      <w:color w:val="auto"/>
                      <w:szCs w:val="24"/>
                      <w:lang w:val="en-US"/>
                    </w:rPr>
                    <w:t>根据调查，厂区内已设置雨水沟，初期雨水经收集疏导后进入厂区已建设的1座容积为6</w:t>
                  </w:r>
                  <w:r>
                    <w:rPr>
                      <w:color w:val="auto"/>
                      <w:szCs w:val="24"/>
                      <w:lang w:val="en-US"/>
                    </w:rPr>
                    <w:t>80m³初期雨水收集池收集</w:t>
                  </w:r>
                  <w:r>
                    <w:rPr>
                      <w:rFonts w:hint="eastAsia"/>
                      <w:color w:val="auto"/>
                      <w:szCs w:val="24"/>
                      <w:lang w:val="en-US"/>
                    </w:rPr>
                    <w:t>并处理后回用于厂区生产，后期雨水排入园区雨水沟。</w:t>
                  </w:r>
                </w:p>
                <w:p>
                  <w:pPr>
                    <w:pStyle w:val="28"/>
                    <w:spacing w:line="360" w:lineRule="exact"/>
                    <w:ind w:firstLine="210" w:firstLineChars="100"/>
                    <w:jc w:val="both"/>
                    <w:rPr>
                      <w:color w:val="auto"/>
                      <w:szCs w:val="24"/>
                      <w:lang w:val="en-US"/>
                    </w:rPr>
                  </w:pPr>
                  <w:r>
                    <w:rPr>
                      <w:rFonts w:hint="eastAsia"/>
                      <w:color w:val="auto"/>
                      <w:szCs w:val="24"/>
                      <w:lang w:val="en-US"/>
                    </w:rPr>
                    <w:t>确保雨水不能进入危险废物贮存库内。</w:t>
                  </w:r>
                </w:p>
              </w:tc>
              <w:tc>
                <w:tcPr>
                  <w:tcW w:w="783" w:type="dxa"/>
                  <w:vAlign w:val="center"/>
                </w:tcPr>
                <w:p>
                  <w:pPr>
                    <w:pStyle w:val="28"/>
                    <w:spacing w:line="360" w:lineRule="exact"/>
                    <w:rPr>
                      <w:color w:val="auto"/>
                      <w:szCs w:val="21"/>
                    </w:rPr>
                  </w:pPr>
                  <w:r>
                    <w:rPr>
                      <w:rFonts w:hint="eastAsia"/>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highlight w:val="yellow"/>
                    </w:rPr>
                  </w:pPr>
                </w:p>
              </w:tc>
              <w:tc>
                <w:tcPr>
                  <w:tcW w:w="721" w:type="dxa"/>
                  <w:vAlign w:val="center"/>
                </w:tcPr>
                <w:p>
                  <w:pPr>
                    <w:pStyle w:val="28"/>
                    <w:spacing w:line="360" w:lineRule="exact"/>
                    <w:rPr>
                      <w:color w:val="auto"/>
                      <w:szCs w:val="21"/>
                    </w:rPr>
                  </w:pPr>
                  <w:r>
                    <w:rPr>
                      <w:color w:val="auto"/>
                      <w:szCs w:val="21"/>
                    </w:rPr>
                    <w:t>地下水</w:t>
                  </w:r>
                  <w:r>
                    <w:rPr>
                      <w:rFonts w:hint="eastAsia"/>
                      <w:color w:val="auto"/>
                      <w:szCs w:val="21"/>
                    </w:rPr>
                    <w:t>、土壤</w:t>
                  </w:r>
                </w:p>
              </w:tc>
              <w:tc>
                <w:tcPr>
                  <w:tcW w:w="982" w:type="dxa"/>
                  <w:vAlign w:val="center"/>
                </w:tcPr>
                <w:p>
                  <w:pPr>
                    <w:pStyle w:val="28"/>
                    <w:spacing w:line="360" w:lineRule="exact"/>
                    <w:rPr>
                      <w:color w:val="auto"/>
                      <w:szCs w:val="21"/>
                    </w:rPr>
                  </w:pPr>
                  <w:r>
                    <w:rPr>
                      <w:rFonts w:hint="eastAsia"/>
                      <w:color w:val="auto"/>
                      <w:szCs w:val="21"/>
                    </w:rPr>
                    <w:t>重点防渗区</w:t>
                  </w:r>
                </w:p>
              </w:tc>
              <w:tc>
                <w:tcPr>
                  <w:tcW w:w="5386" w:type="dxa"/>
                  <w:vAlign w:val="center"/>
                </w:tcPr>
                <w:p>
                  <w:pPr>
                    <w:pStyle w:val="28"/>
                    <w:spacing w:line="360" w:lineRule="exact"/>
                    <w:ind w:firstLine="210" w:firstLineChars="100"/>
                    <w:jc w:val="both"/>
                    <w:rPr>
                      <w:rFonts w:eastAsiaTheme="minorEastAsia"/>
                      <w:color w:val="auto"/>
                      <w:szCs w:val="21"/>
                    </w:rPr>
                  </w:pPr>
                  <w:r>
                    <w:rPr>
                      <w:rFonts w:hint="eastAsia" w:eastAsiaTheme="minorEastAsia"/>
                      <w:color w:val="auto"/>
                      <w:szCs w:val="21"/>
                    </w:rPr>
                    <w:t>①地面防渗：根据分区防渗规范要求，项目整个区域均属于重点防渗区，根据调查，项目全部区域均采用复合土工膜防渗后，再浇筑混凝土；该复合土工膜防渗云南睿利能工程材料制造有限公司生产的土工膜，根据其检测报告，其防渗系数达到渗透系数≤2.3×10</w:t>
                  </w:r>
                  <w:r>
                    <w:rPr>
                      <w:rFonts w:hint="eastAsia" w:eastAsiaTheme="minorEastAsia"/>
                      <w:color w:val="auto"/>
                      <w:szCs w:val="21"/>
                      <w:vertAlign w:val="superscript"/>
                    </w:rPr>
                    <w:t>-12</w:t>
                  </w:r>
                  <w:r>
                    <w:rPr>
                      <w:rFonts w:eastAsiaTheme="minorEastAsia"/>
                      <w:color w:val="auto"/>
                      <w:szCs w:val="21"/>
                    </w:rPr>
                    <w:t>cm/s</w:t>
                  </w:r>
                  <w:r>
                    <w:rPr>
                      <w:rFonts w:hint="eastAsia" w:eastAsiaTheme="minorEastAsia"/>
                      <w:color w:val="auto"/>
                      <w:szCs w:val="21"/>
                    </w:rPr>
                    <w:t>，满足渗透系数≤</w:t>
                  </w:r>
                  <w:r>
                    <w:rPr>
                      <w:rFonts w:eastAsiaTheme="minorEastAsia"/>
                      <w:color w:val="auto"/>
                      <w:szCs w:val="21"/>
                    </w:rPr>
                    <w:t>10</w:t>
                  </w:r>
                  <w:r>
                    <w:rPr>
                      <w:rFonts w:hint="eastAsia" w:eastAsiaTheme="minorEastAsia"/>
                      <w:color w:val="auto"/>
                      <w:szCs w:val="21"/>
                      <w:vertAlign w:val="superscript"/>
                    </w:rPr>
                    <w:t>-10</w:t>
                  </w:r>
                  <w:r>
                    <w:rPr>
                      <w:rFonts w:eastAsiaTheme="minorEastAsia"/>
                      <w:color w:val="auto"/>
                      <w:szCs w:val="21"/>
                    </w:rPr>
                    <w:t>cm/s</w:t>
                  </w:r>
                  <w:r>
                    <w:rPr>
                      <w:rFonts w:hint="eastAsia" w:eastAsiaTheme="minorEastAsia"/>
                      <w:color w:val="auto"/>
                      <w:szCs w:val="21"/>
                    </w:rPr>
                    <w:t>的要求。</w:t>
                  </w:r>
                </w:p>
                <w:p>
                  <w:pPr>
                    <w:pStyle w:val="28"/>
                    <w:spacing w:line="360" w:lineRule="exact"/>
                    <w:ind w:firstLine="210" w:firstLineChars="100"/>
                    <w:jc w:val="both"/>
                    <w:rPr>
                      <w:color w:val="auto"/>
                      <w:szCs w:val="21"/>
                    </w:rPr>
                  </w:pPr>
                  <w:r>
                    <w:rPr>
                      <w:rFonts w:hint="eastAsia"/>
                      <w:color w:val="auto"/>
                      <w:szCs w:val="21"/>
                    </w:rPr>
                    <w:t>根据调查，项目</w:t>
                  </w:r>
                  <w:r>
                    <w:rPr>
                      <w:color w:val="auto"/>
                      <w:szCs w:val="21"/>
                    </w:rPr>
                    <w:t>该项目</w:t>
                  </w:r>
                  <w:r>
                    <w:rPr>
                      <w:rFonts w:hint="eastAsia"/>
                      <w:color w:val="auto"/>
                      <w:szCs w:val="21"/>
                    </w:rPr>
                    <w:t>拟</w:t>
                  </w:r>
                  <w:r>
                    <w:rPr>
                      <w:color w:val="auto"/>
                      <w:szCs w:val="21"/>
                    </w:rPr>
                    <w:t>利用</w:t>
                  </w:r>
                  <w:r>
                    <w:rPr>
                      <w:rFonts w:hint="eastAsia"/>
                      <w:color w:val="auto"/>
                      <w:szCs w:val="21"/>
                    </w:rPr>
                    <w:t>的</w:t>
                  </w:r>
                  <w:r>
                    <w:rPr>
                      <w:color w:val="auto"/>
                      <w:szCs w:val="21"/>
                    </w:rPr>
                    <w:t>昆明旭鑫环保科技有限公司</w:t>
                  </w:r>
                  <w:r>
                    <w:rPr>
                      <w:rFonts w:hint="eastAsia"/>
                      <w:color w:val="auto"/>
                      <w:szCs w:val="21"/>
                    </w:rPr>
                    <w:t>现有</w:t>
                  </w:r>
                  <w:r>
                    <w:rPr>
                      <w:color w:val="auto"/>
                      <w:szCs w:val="21"/>
                    </w:rPr>
                    <w:t>原料暂存库</w:t>
                  </w:r>
                  <w:r>
                    <w:rPr>
                      <w:rFonts w:hint="eastAsia"/>
                      <w:color w:val="auto"/>
                      <w:szCs w:val="21"/>
                    </w:rPr>
                    <w:t>已可满足重点防渗要求，但根据实施方案，项目拟对含油类及腐蚀性类液态类贮存区再次铺设土工防渗膜，确保危险废物在贮存及储运过程不对现有厂区地面进行污染。</w:t>
                  </w:r>
                </w:p>
                <w:p>
                  <w:pPr>
                    <w:pStyle w:val="28"/>
                    <w:spacing w:line="360" w:lineRule="exact"/>
                    <w:ind w:firstLine="210" w:firstLineChars="100"/>
                    <w:jc w:val="both"/>
                    <w:rPr>
                      <w:color w:val="auto"/>
                      <w:szCs w:val="21"/>
                    </w:rPr>
                  </w:pPr>
                  <w:r>
                    <w:rPr>
                      <w:rFonts w:hint="eastAsia"/>
                      <w:color w:val="auto"/>
                      <w:szCs w:val="21"/>
                    </w:rPr>
                    <w:t>②裙脚防渗：根据实施方案，项目危险废物贮存库内裙脚拟采用不低于2mm后的HDPE膜或其他人工防渗材料进行防渗，使其渗透系数≤</w:t>
                  </w:r>
                  <w:r>
                    <w:rPr>
                      <w:color w:val="auto"/>
                      <w:szCs w:val="21"/>
                    </w:rPr>
                    <w:t>10</w:t>
                  </w:r>
                  <w:r>
                    <w:rPr>
                      <w:rFonts w:hint="eastAsia"/>
                      <w:color w:val="auto"/>
                      <w:szCs w:val="21"/>
                      <w:vertAlign w:val="superscript"/>
                    </w:rPr>
                    <w:t>-10</w:t>
                  </w:r>
                  <w:r>
                    <w:rPr>
                      <w:color w:val="auto"/>
                      <w:szCs w:val="21"/>
                    </w:rPr>
                    <w:t>cm/s</w:t>
                  </w:r>
                  <w:r>
                    <w:rPr>
                      <w:rFonts w:hint="eastAsia"/>
                      <w:color w:val="auto"/>
                      <w:szCs w:val="21"/>
                    </w:rPr>
                    <w:t>，防渗高度不低于库内原料总堆高的1/5。</w:t>
                  </w:r>
                </w:p>
                <w:p>
                  <w:pPr>
                    <w:pStyle w:val="28"/>
                    <w:spacing w:line="360" w:lineRule="exact"/>
                    <w:ind w:firstLine="210" w:firstLineChars="100"/>
                    <w:jc w:val="both"/>
                    <w:rPr>
                      <w:color w:val="auto"/>
                      <w:szCs w:val="21"/>
                    </w:rPr>
                  </w:pPr>
                  <w:r>
                    <w:rPr>
                      <w:rFonts w:hint="eastAsia"/>
                      <w:color w:val="auto"/>
                      <w:szCs w:val="21"/>
                    </w:rPr>
                    <w:t>重点防渗区防腐防渗可满足</w:t>
                  </w:r>
                  <w:r>
                    <w:rPr>
                      <w:color w:val="auto"/>
                      <w:szCs w:val="21"/>
                    </w:rPr>
                    <w:t>《危险废物贮存污染控制标准》（GB</w:t>
                  </w:r>
                  <w:r>
                    <w:rPr>
                      <w:rFonts w:hint="eastAsia"/>
                      <w:color w:val="auto"/>
                      <w:szCs w:val="21"/>
                      <w:lang w:eastAsia="zh-CN"/>
                    </w:rPr>
                    <w:t>*****</w:t>
                  </w:r>
                  <w:r>
                    <w:rPr>
                      <w:color w:val="auto"/>
                      <w:szCs w:val="21"/>
                    </w:rPr>
                    <w:t>-2023）</w:t>
                  </w:r>
                  <w:r>
                    <w:rPr>
                      <w:rFonts w:hint="eastAsia"/>
                      <w:color w:val="auto"/>
                      <w:szCs w:val="21"/>
                    </w:rPr>
                    <w:t>的要求。</w:t>
                  </w:r>
                </w:p>
              </w:tc>
              <w:tc>
                <w:tcPr>
                  <w:tcW w:w="783" w:type="dxa"/>
                  <w:vAlign w:val="center"/>
                </w:tcPr>
                <w:p>
                  <w:pPr>
                    <w:pStyle w:val="28"/>
                    <w:spacing w:line="360" w:lineRule="exact"/>
                    <w:rPr>
                      <w:color w:val="auto"/>
                      <w:szCs w:val="21"/>
                    </w:rPr>
                  </w:pPr>
                  <w:r>
                    <w:rPr>
                      <w:rFonts w:hint="eastAsia"/>
                      <w:color w:val="auto"/>
                      <w:szCs w:val="21"/>
                    </w:rPr>
                    <w:t>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highlight w:val="yellow"/>
                    </w:rPr>
                  </w:pPr>
                </w:p>
              </w:tc>
              <w:tc>
                <w:tcPr>
                  <w:tcW w:w="721" w:type="dxa"/>
                  <w:vMerge w:val="restart"/>
                  <w:vAlign w:val="center"/>
                </w:tcPr>
                <w:p>
                  <w:pPr>
                    <w:pStyle w:val="28"/>
                    <w:spacing w:line="360" w:lineRule="exact"/>
                    <w:rPr>
                      <w:color w:val="auto"/>
                      <w:szCs w:val="21"/>
                    </w:rPr>
                  </w:pPr>
                  <w:r>
                    <w:rPr>
                      <w:rFonts w:hint="eastAsia"/>
                      <w:color w:val="auto"/>
                      <w:szCs w:val="21"/>
                    </w:rPr>
                    <w:t>环境风险</w:t>
                  </w:r>
                </w:p>
              </w:tc>
              <w:tc>
                <w:tcPr>
                  <w:tcW w:w="982" w:type="dxa"/>
                  <w:vAlign w:val="center"/>
                </w:tcPr>
                <w:p>
                  <w:pPr>
                    <w:pStyle w:val="28"/>
                    <w:spacing w:line="360" w:lineRule="exact"/>
                    <w:rPr>
                      <w:color w:val="auto"/>
                      <w:szCs w:val="21"/>
                    </w:rPr>
                  </w:pPr>
                  <w:r>
                    <w:rPr>
                      <w:rFonts w:hint="eastAsia"/>
                      <w:color w:val="auto"/>
                      <w:szCs w:val="21"/>
                    </w:rPr>
                    <w:t>导流渠</w:t>
                  </w:r>
                </w:p>
              </w:tc>
              <w:tc>
                <w:tcPr>
                  <w:tcW w:w="5386" w:type="dxa"/>
                  <w:vAlign w:val="center"/>
                </w:tcPr>
                <w:p>
                  <w:pPr>
                    <w:pStyle w:val="28"/>
                    <w:spacing w:line="360" w:lineRule="exact"/>
                    <w:ind w:firstLine="210" w:firstLineChars="100"/>
                    <w:jc w:val="both"/>
                    <w:rPr>
                      <w:color w:val="auto"/>
                      <w:szCs w:val="21"/>
                    </w:rPr>
                  </w:pPr>
                  <w:r>
                    <w:rPr>
                      <w:rFonts w:hint="eastAsia"/>
                      <w:color w:val="auto"/>
                      <w:szCs w:val="21"/>
                    </w:rPr>
                    <w:t>根据实施方案，项目共分8个分区对18大类、65小类危险废物进行贮存，危险废物形态包括液态、半固态和固态，液态及半固态危险废物可能会发生泄漏，半固态和固态危险废物若含有一定量的水分，长时间暂存会产生少量的渗滤液，因此项目拟对每个贮存分区均配套设置导流渠对非正常情况下可能产生的废液进行导流。</w:t>
                  </w:r>
                </w:p>
              </w:tc>
              <w:tc>
                <w:tcPr>
                  <w:tcW w:w="783" w:type="dxa"/>
                  <w:vAlign w:val="center"/>
                </w:tcPr>
                <w:p>
                  <w:pPr>
                    <w:pStyle w:val="28"/>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highlight w:val="yellow"/>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rFonts w:hint="eastAsia"/>
                      <w:color w:val="auto"/>
                      <w:szCs w:val="21"/>
                    </w:rPr>
                    <w:t>渗滤液收集池</w:t>
                  </w:r>
                </w:p>
              </w:tc>
              <w:tc>
                <w:tcPr>
                  <w:tcW w:w="5386" w:type="dxa"/>
                  <w:vAlign w:val="center"/>
                </w:tcPr>
                <w:p>
                  <w:pPr>
                    <w:pStyle w:val="28"/>
                    <w:spacing w:line="360" w:lineRule="exact"/>
                    <w:ind w:firstLine="210" w:firstLineChars="100"/>
                    <w:jc w:val="both"/>
                    <w:rPr>
                      <w:color w:val="auto"/>
                      <w:szCs w:val="21"/>
                    </w:rPr>
                  </w:pPr>
                  <w:r>
                    <w:rPr>
                      <w:rFonts w:hint="eastAsia"/>
                      <w:color w:val="auto"/>
                      <w:szCs w:val="21"/>
                    </w:rPr>
                    <w:t>根据实施方案，项目每个分区均配套设置1个1</w:t>
                  </w:r>
                  <w:r>
                    <w:rPr>
                      <w:color w:val="auto"/>
                      <w:szCs w:val="21"/>
                    </w:rPr>
                    <w:t>m³</w:t>
                  </w:r>
                  <w:r>
                    <w:rPr>
                      <w:rFonts w:hint="eastAsia"/>
                      <w:color w:val="auto"/>
                      <w:szCs w:val="21"/>
                    </w:rPr>
                    <w:t>渗滤液收集池对非正常情况可能产生的渗滤液进行收集，共设置8个渗滤液收集池，可满足</w:t>
                  </w:r>
                  <w:r>
                    <w:rPr>
                      <w:color w:val="auto"/>
                      <w:szCs w:val="21"/>
                    </w:rPr>
                    <w:t>《危险废物贮存污染控制标准》（GB</w:t>
                  </w:r>
                  <w:r>
                    <w:rPr>
                      <w:rFonts w:hint="eastAsia"/>
                      <w:color w:val="auto"/>
                      <w:szCs w:val="21"/>
                      <w:lang w:eastAsia="zh-CN"/>
                    </w:rPr>
                    <w:t>*****</w:t>
                  </w:r>
                  <w:r>
                    <w:rPr>
                      <w:color w:val="auto"/>
                      <w:szCs w:val="21"/>
                    </w:rPr>
                    <w:t>-2023）</w:t>
                  </w:r>
                  <w:r>
                    <w:rPr>
                      <w:rFonts w:hint="eastAsia"/>
                      <w:color w:val="auto"/>
                      <w:szCs w:val="21"/>
                    </w:rPr>
                    <w:t>的要求。</w:t>
                  </w:r>
                </w:p>
              </w:tc>
              <w:tc>
                <w:tcPr>
                  <w:tcW w:w="783" w:type="dxa"/>
                  <w:vAlign w:val="center"/>
                </w:tcPr>
                <w:p>
                  <w:pPr>
                    <w:pStyle w:val="28"/>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highlight w:val="yellow"/>
                    </w:rPr>
                  </w:pPr>
                </w:p>
              </w:tc>
              <w:tc>
                <w:tcPr>
                  <w:tcW w:w="721" w:type="dxa"/>
                  <w:vMerge w:val="continue"/>
                  <w:vAlign w:val="center"/>
                </w:tcPr>
                <w:p>
                  <w:pPr>
                    <w:pStyle w:val="28"/>
                    <w:spacing w:line="360" w:lineRule="exact"/>
                    <w:rPr>
                      <w:color w:val="auto"/>
                      <w:szCs w:val="21"/>
                    </w:rPr>
                  </w:pPr>
                </w:p>
              </w:tc>
              <w:tc>
                <w:tcPr>
                  <w:tcW w:w="982" w:type="dxa"/>
                  <w:vAlign w:val="center"/>
                </w:tcPr>
                <w:p>
                  <w:pPr>
                    <w:pStyle w:val="28"/>
                    <w:spacing w:line="360" w:lineRule="exact"/>
                    <w:rPr>
                      <w:color w:val="auto"/>
                      <w:szCs w:val="21"/>
                    </w:rPr>
                  </w:pPr>
                  <w:r>
                    <w:rPr>
                      <w:color w:val="auto"/>
                      <w:szCs w:val="21"/>
                    </w:rPr>
                    <w:t>通风系统</w:t>
                  </w:r>
                </w:p>
              </w:tc>
              <w:tc>
                <w:tcPr>
                  <w:tcW w:w="5386" w:type="dxa"/>
                  <w:vAlign w:val="center"/>
                </w:tcPr>
                <w:p>
                  <w:pPr>
                    <w:pStyle w:val="28"/>
                    <w:spacing w:line="360" w:lineRule="exact"/>
                    <w:ind w:firstLine="210" w:firstLineChars="100"/>
                    <w:jc w:val="both"/>
                    <w:rPr>
                      <w:color w:val="auto"/>
                      <w:szCs w:val="21"/>
                    </w:rPr>
                  </w:pPr>
                  <w:r>
                    <w:rPr>
                      <w:color w:val="auto"/>
                      <w:szCs w:val="21"/>
                    </w:rPr>
                    <w:t>为控制仓储区内</w:t>
                  </w:r>
                  <w:r>
                    <w:rPr>
                      <w:rFonts w:hint="eastAsia"/>
                      <w:color w:val="auto"/>
                      <w:szCs w:val="21"/>
                    </w:rPr>
                    <w:t>有机废气、刺激性废气</w:t>
                  </w:r>
                  <w:r>
                    <w:rPr>
                      <w:color w:val="auto"/>
                      <w:szCs w:val="21"/>
                    </w:rPr>
                    <w:t>的质量浓度，防止其发生环境风险，项目在满足全封闭厂房 “防风、防雨、防晒”要求的条件下，设置</w:t>
                  </w:r>
                  <w:r>
                    <w:rPr>
                      <w:rFonts w:hint="eastAsia"/>
                      <w:color w:val="auto"/>
                      <w:szCs w:val="21"/>
                    </w:rPr>
                    <w:t>了</w:t>
                  </w:r>
                  <w:r>
                    <w:rPr>
                      <w:color w:val="auto"/>
                      <w:szCs w:val="21"/>
                    </w:rPr>
                    <w:t>通风系统。</w:t>
                  </w:r>
                </w:p>
              </w:tc>
              <w:tc>
                <w:tcPr>
                  <w:tcW w:w="783" w:type="dxa"/>
                  <w:vAlign w:val="center"/>
                </w:tcPr>
                <w:p>
                  <w:pPr>
                    <w:pStyle w:val="28"/>
                    <w:spacing w:line="360" w:lineRule="exact"/>
                    <w:rPr>
                      <w:color w:val="auto"/>
                      <w:szCs w:val="21"/>
                    </w:rPr>
                  </w:pPr>
                  <w:r>
                    <w:rPr>
                      <w:rFonts w:hint="eastAsia"/>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pPr>
                    <w:pStyle w:val="28"/>
                    <w:spacing w:line="360" w:lineRule="exact"/>
                    <w:rPr>
                      <w:color w:val="auto"/>
                      <w:szCs w:val="21"/>
                      <w:highlight w:val="yellow"/>
                    </w:rPr>
                  </w:pPr>
                </w:p>
              </w:tc>
              <w:tc>
                <w:tcPr>
                  <w:tcW w:w="721" w:type="dxa"/>
                  <w:vAlign w:val="center"/>
                </w:tcPr>
                <w:p>
                  <w:pPr>
                    <w:pStyle w:val="28"/>
                    <w:spacing w:line="360" w:lineRule="exact"/>
                    <w:rPr>
                      <w:color w:val="auto"/>
                      <w:szCs w:val="21"/>
                    </w:rPr>
                  </w:pPr>
                  <w:r>
                    <w:rPr>
                      <w:color w:val="auto"/>
                      <w:szCs w:val="21"/>
                    </w:rPr>
                    <w:t>其他</w:t>
                  </w:r>
                </w:p>
              </w:tc>
              <w:tc>
                <w:tcPr>
                  <w:tcW w:w="982" w:type="dxa"/>
                  <w:vAlign w:val="center"/>
                </w:tcPr>
                <w:p>
                  <w:pPr>
                    <w:pStyle w:val="28"/>
                    <w:spacing w:line="360" w:lineRule="exact"/>
                    <w:rPr>
                      <w:color w:val="auto"/>
                      <w:szCs w:val="21"/>
                    </w:rPr>
                  </w:pPr>
                  <w:r>
                    <w:rPr>
                      <w:color w:val="auto"/>
                      <w:szCs w:val="21"/>
                    </w:rPr>
                    <w:t>标识牌</w:t>
                  </w:r>
                </w:p>
              </w:tc>
              <w:tc>
                <w:tcPr>
                  <w:tcW w:w="5386" w:type="dxa"/>
                  <w:vAlign w:val="center"/>
                </w:tcPr>
                <w:p>
                  <w:pPr>
                    <w:pStyle w:val="28"/>
                    <w:spacing w:line="360" w:lineRule="exact"/>
                    <w:ind w:firstLine="210" w:firstLineChars="100"/>
                    <w:jc w:val="both"/>
                    <w:rPr>
                      <w:color w:val="auto"/>
                      <w:szCs w:val="21"/>
                    </w:rPr>
                  </w:pPr>
                  <w:r>
                    <w:rPr>
                      <w:color w:val="auto"/>
                      <w:szCs w:val="21"/>
                    </w:rPr>
                    <w:t>建设单位按照规范要求，设置环境保护图形标志。</w:t>
                  </w:r>
                </w:p>
              </w:tc>
              <w:tc>
                <w:tcPr>
                  <w:tcW w:w="783" w:type="dxa"/>
                  <w:vAlign w:val="center"/>
                </w:tcPr>
                <w:p>
                  <w:pPr>
                    <w:pStyle w:val="28"/>
                    <w:spacing w:line="360" w:lineRule="exact"/>
                    <w:rPr>
                      <w:color w:val="auto"/>
                      <w:szCs w:val="21"/>
                    </w:rPr>
                  </w:pPr>
                  <w:r>
                    <w:rPr>
                      <w:color w:val="auto"/>
                      <w:szCs w:val="21"/>
                    </w:rPr>
                    <w:t>环评提出</w:t>
                  </w:r>
                </w:p>
              </w:tc>
            </w:tr>
          </w:tbl>
          <w:p>
            <w:pPr>
              <w:autoSpaceDE w:val="0"/>
              <w:autoSpaceDN w:val="0"/>
              <w:spacing w:beforeLines="50" w:line="360" w:lineRule="auto"/>
              <w:ind w:firstLine="241" w:firstLineChars="100"/>
              <w:rPr>
                <w:rFonts w:ascii="Times New Roman" w:hAnsi="Times New Roman" w:cs="Times New Roman"/>
                <w:b/>
                <w:sz w:val="24"/>
                <w:szCs w:val="24"/>
              </w:rPr>
            </w:pPr>
            <w:bookmarkStart w:id="3" w:name="_Toc493693536"/>
            <w:bookmarkStart w:id="4" w:name="_Toc433544969"/>
            <w:r>
              <w:rPr>
                <w:rFonts w:ascii="Times New Roman" w:hAnsi="Times New Roman" w:cs="Times New Roman"/>
                <w:b/>
                <w:sz w:val="24"/>
                <w:szCs w:val="24"/>
              </w:rPr>
              <w:t>2.2 总平面布置</w:t>
            </w:r>
            <w:bookmarkEnd w:id="3"/>
            <w:bookmarkEnd w:id="4"/>
            <w:r>
              <w:rPr>
                <w:rFonts w:ascii="Times New Roman" w:hAnsi="Times New Roman" w:cs="Times New Roman"/>
                <w:b/>
                <w:sz w:val="24"/>
                <w:szCs w:val="24"/>
              </w:rPr>
              <w:t>及其合理性</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根据实施方案，项目拟将</w:t>
            </w:r>
            <w:r>
              <w:rPr>
                <w:rFonts w:ascii="Times New Roman" w:hAnsi="Times New Roman" w:cs="Times New Roman"/>
                <w:sz w:val="24"/>
                <w:szCs w:val="24"/>
              </w:rPr>
              <w:t>利用昆明旭鑫环保科技有限公司现有原料暂存库项目中</w:t>
            </w:r>
            <w:r>
              <w:rPr>
                <w:rFonts w:hint="eastAsia" w:ascii="Times New Roman" w:hAnsi="Times New Roman" w:cs="Times New Roman"/>
                <w:sz w:val="24"/>
                <w:szCs w:val="24"/>
              </w:rPr>
              <w:t>西北侧</w:t>
            </w:r>
            <w:r>
              <w:rPr>
                <w:rFonts w:ascii="Times New Roman" w:hAnsi="Times New Roman" w:cs="Times New Roman"/>
                <w:sz w:val="24"/>
                <w:szCs w:val="24"/>
              </w:rPr>
              <w:t>1000m²区域</w:t>
            </w:r>
            <w:r>
              <w:rPr>
                <w:rFonts w:hint="eastAsia" w:ascii="Times New Roman" w:hAnsi="Times New Roman" w:cs="Times New Roman"/>
                <w:sz w:val="24"/>
                <w:szCs w:val="24"/>
              </w:rPr>
              <w:t>建设小微企业危险废物贮存库，而其他2000</w:t>
            </w:r>
            <w:r>
              <w:rPr>
                <w:rFonts w:ascii="Times New Roman" w:hAnsi="Times New Roman" w:cs="Times New Roman"/>
                <w:sz w:val="24"/>
                <w:szCs w:val="24"/>
              </w:rPr>
              <w:t>m²</w:t>
            </w:r>
            <w:r>
              <w:rPr>
                <w:rFonts w:hint="eastAsia" w:ascii="Times New Roman" w:hAnsi="Times New Roman" w:cs="Times New Roman"/>
                <w:sz w:val="24"/>
                <w:szCs w:val="24"/>
              </w:rPr>
              <w:t>区域依然作为</w:t>
            </w:r>
            <w:r>
              <w:rPr>
                <w:rFonts w:ascii="Times New Roman" w:hAnsi="Times New Roman" w:cs="Times New Roman"/>
                <w:sz w:val="24"/>
                <w:szCs w:val="24"/>
              </w:rPr>
              <w:t>昆明旭鑫环保科技有限公司原料暂存库</w:t>
            </w:r>
            <w:r>
              <w:rPr>
                <w:rFonts w:hint="eastAsia" w:ascii="Times New Roman" w:hAnsi="Times New Roman" w:cs="Times New Roman"/>
                <w:sz w:val="24"/>
                <w:szCs w:val="24"/>
              </w:rPr>
              <w:t>对其原料进行分类贮存；小微企业危险废物贮存库共分为8个贮存单元，各贮存单元均设置导流渠及废液收集池。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项目在厂区位置详见附图2-1  项目在厂区位置示意图；内部平面布置详见附图2-2  原料库内部平面布置示意图。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该项目属于小微企业危险废物收集试点项目，东川网点主要对东川区及寻甸境内的小微企业产生的18大类、65小类危险废物进行统一收集后，委托有资质的单位进行处理，不涉及危险废物处理及综合利用。因此不存在项目生产的产品及产能。</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w:t>
            </w:r>
            <w:r>
              <w:rPr>
                <w:rFonts w:ascii="Times New Roman" w:hAnsi="Times New Roman" w:cs="Times New Roman"/>
                <w:sz w:val="24"/>
                <w:szCs w:val="24"/>
              </w:rPr>
              <w:t>项目主要生产单元、主要工艺、生产设施及设施参数如下表所示。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表2.4-1 主要生产单元、主要工艺、生产设施及设施参数表</w:t>
            </w:r>
          </w:p>
          <w:tbl>
            <w:tblPr>
              <w:tblStyle w:val="1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850"/>
              <w:gridCol w:w="1418"/>
              <w:gridCol w:w="2972"/>
              <w:gridCol w:w="1001"/>
              <w:gridCol w:w="14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jc w:val="center"/>
              </w:trPr>
              <w:tc>
                <w:tcPr>
                  <w:tcW w:w="877" w:type="dxa"/>
                  <w:vAlign w:val="center"/>
                </w:tcPr>
                <w:p>
                  <w:pPr>
                    <w:pStyle w:val="28"/>
                    <w:spacing w:line="360" w:lineRule="exact"/>
                    <w:rPr>
                      <w:color w:val="auto"/>
                      <w:szCs w:val="21"/>
                    </w:rPr>
                  </w:pPr>
                  <w:r>
                    <w:rPr>
                      <w:color w:val="auto"/>
                      <w:szCs w:val="21"/>
                    </w:rPr>
                    <w:t>主要生产单元</w:t>
                  </w:r>
                </w:p>
              </w:tc>
              <w:tc>
                <w:tcPr>
                  <w:tcW w:w="850" w:type="dxa"/>
                  <w:vAlign w:val="center"/>
                </w:tcPr>
                <w:p>
                  <w:pPr>
                    <w:pStyle w:val="28"/>
                    <w:spacing w:line="360" w:lineRule="exact"/>
                    <w:rPr>
                      <w:color w:val="auto"/>
                      <w:szCs w:val="21"/>
                    </w:rPr>
                  </w:pPr>
                  <w:r>
                    <w:rPr>
                      <w:color w:val="auto"/>
                      <w:szCs w:val="21"/>
                    </w:rPr>
                    <w:t>主要工艺</w:t>
                  </w:r>
                </w:p>
              </w:tc>
              <w:tc>
                <w:tcPr>
                  <w:tcW w:w="1418" w:type="dxa"/>
                  <w:vAlign w:val="center"/>
                </w:tcPr>
                <w:p>
                  <w:pPr>
                    <w:pStyle w:val="28"/>
                    <w:spacing w:line="360" w:lineRule="exact"/>
                    <w:rPr>
                      <w:color w:val="auto"/>
                      <w:szCs w:val="21"/>
                    </w:rPr>
                  </w:pPr>
                  <w:r>
                    <w:rPr>
                      <w:color w:val="auto"/>
                      <w:szCs w:val="21"/>
                    </w:rPr>
                    <w:t>生产设施</w:t>
                  </w:r>
                </w:p>
              </w:tc>
              <w:tc>
                <w:tcPr>
                  <w:tcW w:w="2972" w:type="dxa"/>
                  <w:vAlign w:val="center"/>
                </w:tcPr>
                <w:p>
                  <w:pPr>
                    <w:pStyle w:val="28"/>
                    <w:spacing w:line="360" w:lineRule="exact"/>
                    <w:rPr>
                      <w:color w:val="auto"/>
                      <w:szCs w:val="21"/>
                    </w:rPr>
                  </w:pPr>
                  <w:r>
                    <w:rPr>
                      <w:color w:val="auto"/>
                      <w:szCs w:val="21"/>
                    </w:rPr>
                    <w:t>设施参数</w:t>
                  </w:r>
                </w:p>
              </w:tc>
              <w:tc>
                <w:tcPr>
                  <w:tcW w:w="1001" w:type="dxa"/>
                  <w:vAlign w:val="center"/>
                </w:tcPr>
                <w:p>
                  <w:pPr>
                    <w:pStyle w:val="28"/>
                    <w:spacing w:line="360" w:lineRule="exact"/>
                    <w:rPr>
                      <w:color w:val="auto"/>
                      <w:szCs w:val="21"/>
                    </w:rPr>
                  </w:pPr>
                  <w:r>
                    <w:rPr>
                      <w:color w:val="auto"/>
                      <w:szCs w:val="21"/>
                    </w:rPr>
                    <w:t>数量</w:t>
                  </w:r>
                </w:p>
              </w:tc>
              <w:tc>
                <w:tcPr>
                  <w:tcW w:w="1487" w:type="dxa"/>
                  <w:vAlign w:val="center"/>
                </w:tcPr>
                <w:p>
                  <w:pPr>
                    <w:pStyle w:val="28"/>
                    <w:spacing w:line="360" w:lineRule="exact"/>
                    <w:rPr>
                      <w:color w:val="auto"/>
                      <w:szCs w:val="21"/>
                    </w:rPr>
                  </w:pPr>
                  <w:r>
                    <w:rPr>
                      <w:rFonts w:hint="eastAsia"/>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restart"/>
                  <w:vAlign w:val="center"/>
                </w:tcPr>
                <w:p>
                  <w:pPr>
                    <w:pStyle w:val="28"/>
                    <w:spacing w:line="360" w:lineRule="exact"/>
                    <w:rPr>
                      <w:color w:val="auto"/>
                      <w:szCs w:val="21"/>
                    </w:rPr>
                  </w:pPr>
                  <w:r>
                    <w:rPr>
                      <w:color w:val="auto"/>
                      <w:szCs w:val="21"/>
                    </w:rPr>
                    <w:t>主体工程</w:t>
                  </w:r>
                </w:p>
              </w:tc>
              <w:tc>
                <w:tcPr>
                  <w:tcW w:w="850" w:type="dxa"/>
                  <w:vMerge w:val="restart"/>
                  <w:vAlign w:val="center"/>
                </w:tcPr>
                <w:p>
                  <w:pPr>
                    <w:pStyle w:val="28"/>
                    <w:spacing w:line="360" w:lineRule="exact"/>
                    <w:rPr>
                      <w:color w:val="auto"/>
                      <w:szCs w:val="21"/>
                    </w:rPr>
                  </w:pPr>
                  <w:r>
                    <w:rPr>
                      <w:color w:val="auto"/>
                      <w:szCs w:val="21"/>
                    </w:rPr>
                    <w:t>暂存</w:t>
                  </w:r>
                </w:p>
              </w:tc>
              <w:tc>
                <w:tcPr>
                  <w:tcW w:w="1418" w:type="dxa"/>
                  <w:vAlign w:val="center"/>
                </w:tcPr>
                <w:p>
                  <w:pPr>
                    <w:pStyle w:val="28"/>
                    <w:spacing w:line="360" w:lineRule="exact"/>
                    <w:rPr>
                      <w:color w:val="auto"/>
                      <w:szCs w:val="21"/>
                    </w:rPr>
                  </w:pPr>
                  <w:r>
                    <w:rPr>
                      <w:color w:val="auto"/>
                      <w:szCs w:val="21"/>
                    </w:rPr>
                    <w:t>智能电子秤</w:t>
                  </w:r>
                </w:p>
              </w:tc>
              <w:tc>
                <w:tcPr>
                  <w:tcW w:w="2972" w:type="dxa"/>
                  <w:vAlign w:val="center"/>
                </w:tcPr>
                <w:p>
                  <w:pPr>
                    <w:pStyle w:val="28"/>
                    <w:spacing w:line="360" w:lineRule="exact"/>
                    <w:ind w:firstLine="105" w:firstLineChars="50"/>
                    <w:jc w:val="both"/>
                    <w:rPr>
                      <w:color w:val="auto"/>
                      <w:szCs w:val="21"/>
                    </w:rPr>
                  </w:pPr>
                  <w:r>
                    <w:rPr>
                      <w:color w:val="auto"/>
                      <w:szCs w:val="21"/>
                    </w:rPr>
                    <w:t>--</w:t>
                  </w:r>
                </w:p>
              </w:tc>
              <w:tc>
                <w:tcPr>
                  <w:tcW w:w="1001" w:type="dxa"/>
                  <w:vAlign w:val="center"/>
                </w:tcPr>
                <w:p>
                  <w:pPr>
                    <w:pStyle w:val="28"/>
                    <w:spacing w:line="360" w:lineRule="exact"/>
                    <w:rPr>
                      <w:color w:val="auto"/>
                      <w:szCs w:val="21"/>
                    </w:rPr>
                  </w:pPr>
                  <w:r>
                    <w:rPr>
                      <w:color w:val="auto"/>
                      <w:szCs w:val="21"/>
                    </w:rPr>
                    <w:t>1杆</w:t>
                  </w:r>
                </w:p>
              </w:tc>
              <w:tc>
                <w:tcPr>
                  <w:tcW w:w="1487" w:type="dxa"/>
                  <w:vAlign w:val="center"/>
                </w:tcPr>
                <w:p>
                  <w:pPr>
                    <w:pStyle w:val="28"/>
                    <w:spacing w:line="360" w:lineRule="exact"/>
                    <w:rPr>
                      <w:color w:val="auto"/>
                      <w:szCs w:val="21"/>
                    </w:rPr>
                  </w:pP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Merge w:val="continue"/>
                  <w:vAlign w:val="center"/>
                </w:tcPr>
                <w:p>
                  <w:pPr>
                    <w:pStyle w:val="28"/>
                    <w:spacing w:line="360" w:lineRule="exact"/>
                    <w:rPr>
                      <w:color w:val="auto"/>
                      <w:szCs w:val="21"/>
                    </w:rPr>
                  </w:pPr>
                </w:p>
              </w:tc>
              <w:tc>
                <w:tcPr>
                  <w:tcW w:w="1418" w:type="dxa"/>
                  <w:vAlign w:val="center"/>
                </w:tcPr>
                <w:p>
                  <w:pPr>
                    <w:pStyle w:val="28"/>
                    <w:spacing w:line="360" w:lineRule="exact"/>
                    <w:rPr>
                      <w:color w:val="auto"/>
                      <w:szCs w:val="21"/>
                    </w:rPr>
                  </w:pPr>
                  <w:r>
                    <w:rPr>
                      <w:color w:val="auto"/>
                      <w:szCs w:val="21"/>
                    </w:rPr>
                    <w:t>储罐</w:t>
                  </w:r>
                </w:p>
              </w:tc>
              <w:tc>
                <w:tcPr>
                  <w:tcW w:w="2972" w:type="dxa"/>
                  <w:vAlign w:val="center"/>
                </w:tcPr>
                <w:p>
                  <w:pPr>
                    <w:pStyle w:val="28"/>
                    <w:spacing w:line="360" w:lineRule="exact"/>
                    <w:ind w:firstLine="105" w:firstLineChars="50"/>
                    <w:jc w:val="both"/>
                    <w:rPr>
                      <w:color w:val="auto"/>
                      <w:szCs w:val="21"/>
                    </w:rPr>
                  </w:pPr>
                  <w:r>
                    <w:rPr>
                      <w:rFonts w:hint="eastAsia"/>
                      <w:color w:val="auto"/>
                      <w:szCs w:val="21"/>
                    </w:rPr>
                    <w:t>有效容积：</w:t>
                  </w:r>
                  <w:r>
                    <w:rPr>
                      <w:color w:val="auto"/>
                      <w:szCs w:val="21"/>
                    </w:rPr>
                    <w:t>10m³</w:t>
                  </w:r>
                  <w:r>
                    <w:rPr>
                      <w:rFonts w:hint="eastAsia"/>
                      <w:color w:val="auto"/>
                      <w:szCs w:val="21"/>
                    </w:rPr>
                    <w:t>，材质：钢铁</w:t>
                  </w:r>
                </w:p>
              </w:tc>
              <w:tc>
                <w:tcPr>
                  <w:tcW w:w="1001" w:type="dxa"/>
                  <w:vAlign w:val="center"/>
                </w:tcPr>
                <w:p>
                  <w:pPr>
                    <w:pStyle w:val="28"/>
                    <w:spacing w:line="360" w:lineRule="exact"/>
                    <w:rPr>
                      <w:color w:val="auto"/>
                      <w:szCs w:val="21"/>
                    </w:rPr>
                  </w:pPr>
                  <w:r>
                    <w:rPr>
                      <w:color w:val="auto"/>
                      <w:szCs w:val="21"/>
                    </w:rPr>
                    <w:t>10个</w:t>
                  </w:r>
                </w:p>
              </w:tc>
              <w:tc>
                <w:tcPr>
                  <w:tcW w:w="1487" w:type="dxa"/>
                  <w:vAlign w:val="center"/>
                </w:tcPr>
                <w:p>
                  <w:pPr>
                    <w:pStyle w:val="28"/>
                    <w:spacing w:line="360" w:lineRule="exact"/>
                    <w:rPr>
                      <w:color w:val="auto"/>
                      <w:szCs w:val="21"/>
                    </w:rPr>
                  </w:pPr>
                  <w:r>
                    <w:rPr>
                      <w:color w:val="auto"/>
                      <w:szCs w:val="21"/>
                    </w:rPr>
                    <w:t>盛装液体废物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Merge w:val="continue"/>
                  <w:vAlign w:val="center"/>
                </w:tcPr>
                <w:p>
                  <w:pPr>
                    <w:pStyle w:val="28"/>
                    <w:spacing w:line="360" w:lineRule="exact"/>
                    <w:rPr>
                      <w:color w:val="auto"/>
                      <w:szCs w:val="21"/>
                    </w:rPr>
                  </w:pPr>
                </w:p>
              </w:tc>
              <w:tc>
                <w:tcPr>
                  <w:tcW w:w="1418" w:type="dxa"/>
                  <w:vAlign w:val="center"/>
                </w:tcPr>
                <w:p>
                  <w:pPr>
                    <w:pStyle w:val="28"/>
                    <w:spacing w:line="360" w:lineRule="exact"/>
                    <w:rPr>
                      <w:color w:val="auto"/>
                      <w:szCs w:val="21"/>
                    </w:rPr>
                  </w:pPr>
                  <w:r>
                    <w:rPr>
                      <w:color w:val="auto"/>
                      <w:szCs w:val="21"/>
                    </w:rPr>
                    <w:t>铁桶</w:t>
                  </w:r>
                </w:p>
              </w:tc>
              <w:tc>
                <w:tcPr>
                  <w:tcW w:w="2972" w:type="dxa"/>
                  <w:vAlign w:val="center"/>
                </w:tcPr>
                <w:p>
                  <w:pPr>
                    <w:pStyle w:val="28"/>
                    <w:spacing w:line="360" w:lineRule="exact"/>
                    <w:ind w:firstLine="105" w:firstLineChars="50"/>
                    <w:jc w:val="both"/>
                    <w:rPr>
                      <w:color w:val="auto"/>
                      <w:szCs w:val="21"/>
                    </w:rPr>
                  </w:pPr>
                  <w:r>
                    <w:rPr>
                      <w:rFonts w:hint="eastAsia"/>
                      <w:color w:val="auto"/>
                      <w:szCs w:val="21"/>
                    </w:rPr>
                    <w:t>有效容积：</w:t>
                  </w:r>
                  <w:r>
                    <w:rPr>
                      <w:color w:val="auto"/>
                      <w:szCs w:val="21"/>
                    </w:rPr>
                    <w:t>200L</w:t>
                  </w:r>
                  <w:r>
                    <w:rPr>
                      <w:rFonts w:hint="eastAsia"/>
                      <w:color w:val="auto"/>
                      <w:szCs w:val="21"/>
                    </w:rPr>
                    <w:t>，型号：</w:t>
                  </w:r>
                  <w:r>
                    <w:rPr>
                      <w:color w:val="auto"/>
                      <w:szCs w:val="21"/>
                    </w:rPr>
                    <w:t>Φ560×89mm，</w:t>
                  </w:r>
                  <w:r>
                    <w:rPr>
                      <w:rFonts w:hint="eastAsia"/>
                      <w:color w:val="auto"/>
                      <w:szCs w:val="21"/>
                    </w:rPr>
                    <w:t>材质：钢铁</w:t>
                  </w:r>
                </w:p>
              </w:tc>
              <w:tc>
                <w:tcPr>
                  <w:tcW w:w="1001" w:type="dxa"/>
                  <w:vAlign w:val="center"/>
                </w:tcPr>
                <w:p>
                  <w:pPr>
                    <w:pStyle w:val="28"/>
                    <w:spacing w:line="360" w:lineRule="exact"/>
                    <w:rPr>
                      <w:color w:val="auto"/>
                      <w:szCs w:val="21"/>
                    </w:rPr>
                  </w:pPr>
                  <w:r>
                    <w:rPr>
                      <w:color w:val="auto"/>
                      <w:szCs w:val="21"/>
                    </w:rPr>
                    <w:t>10个</w:t>
                  </w:r>
                </w:p>
              </w:tc>
              <w:tc>
                <w:tcPr>
                  <w:tcW w:w="1487" w:type="dxa"/>
                  <w:vAlign w:val="center"/>
                </w:tcPr>
                <w:p>
                  <w:pPr>
                    <w:pStyle w:val="28"/>
                    <w:spacing w:line="360" w:lineRule="exact"/>
                    <w:rPr>
                      <w:color w:val="auto"/>
                      <w:szCs w:val="21"/>
                    </w:rPr>
                  </w:pPr>
                  <w:r>
                    <w:rPr>
                      <w:color w:val="auto"/>
                      <w:szCs w:val="21"/>
                    </w:rPr>
                    <w:t>盛装液体废物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Merge w:val="continue"/>
                  <w:vAlign w:val="center"/>
                </w:tcPr>
                <w:p>
                  <w:pPr>
                    <w:pStyle w:val="28"/>
                    <w:spacing w:line="360" w:lineRule="exact"/>
                    <w:rPr>
                      <w:color w:val="auto"/>
                      <w:szCs w:val="21"/>
                    </w:rPr>
                  </w:pPr>
                </w:p>
              </w:tc>
              <w:tc>
                <w:tcPr>
                  <w:tcW w:w="1418" w:type="dxa"/>
                  <w:vMerge w:val="restart"/>
                  <w:vAlign w:val="center"/>
                </w:tcPr>
                <w:p>
                  <w:pPr>
                    <w:pStyle w:val="28"/>
                    <w:spacing w:line="360" w:lineRule="exact"/>
                    <w:rPr>
                      <w:color w:val="auto"/>
                      <w:szCs w:val="21"/>
                    </w:rPr>
                  </w:pPr>
                  <w:r>
                    <w:rPr>
                      <w:color w:val="auto"/>
                      <w:szCs w:val="21"/>
                    </w:rPr>
                    <w:t>塑料桶</w:t>
                  </w:r>
                </w:p>
              </w:tc>
              <w:tc>
                <w:tcPr>
                  <w:tcW w:w="2972" w:type="dxa"/>
                  <w:vAlign w:val="center"/>
                </w:tcPr>
                <w:p>
                  <w:pPr>
                    <w:pStyle w:val="28"/>
                    <w:spacing w:line="360" w:lineRule="exact"/>
                    <w:ind w:firstLine="105" w:firstLineChars="50"/>
                    <w:jc w:val="both"/>
                    <w:rPr>
                      <w:color w:val="auto"/>
                      <w:szCs w:val="21"/>
                    </w:rPr>
                  </w:pPr>
                  <w:r>
                    <w:rPr>
                      <w:rFonts w:hint="eastAsia"/>
                      <w:color w:val="auto"/>
                      <w:szCs w:val="21"/>
                    </w:rPr>
                    <w:t>有效容积：</w:t>
                  </w:r>
                  <w:r>
                    <w:rPr>
                      <w:color w:val="auto"/>
                      <w:szCs w:val="21"/>
                    </w:rPr>
                    <w:t>200L</w:t>
                  </w:r>
                  <w:r>
                    <w:rPr>
                      <w:rFonts w:hint="eastAsia"/>
                      <w:color w:val="auto"/>
                      <w:szCs w:val="21"/>
                    </w:rPr>
                    <w:t>，型号：</w:t>
                  </w:r>
                  <w:r>
                    <w:rPr>
                      <w:color w:val="auto"/>
                      <w:szCs w:val="21"/>
                    </w:rPr>
                    <w:t>Φ590×930mm，</w:t>
                  </w:r>
                  <w:r>
                    <w:rPr>
                      <w:rFonts w:hint="eastAsia"/>
                      <w:color w:val="auto"/>
                      <w:szCs w:val="21"/>
                    </w:rPr>
                    <w:t>材质：</w:t>
                  </w:r>
                  <w:r>
                    <w:rPr>
                      <w:color w:val="auto"/>
                      <w:szCs w:val="21"/>
                    </w:rPr>
                    <w:t>HDPE</w:t>
                  </w:r>
                </w:p>
              </w:tc>
              <w:tc>
                <w:tcPr>
                  <w:tcW w:w="1001" w:type="dxa"/>
                  <w:vAlign w:val="center"/>
                </w:tcPr>
                <w:p>
                  <w:pPr>
                    <w:pStyle w:val="28"/>
                    <w:spacing w:line="360" w:lineRule="exact"/>
                    <w:rPr>
                      <w:color w:val="auto"/>
                      <w:szCs w:val="21"/>
                    </w:rPr>
                  </w:pPr>
                  <w:r>
                    <w:rPr>
                      <w:color w:val="auto"/>
                      <w:szCs w:val="21"/>
                    </w:rPr>
                    <w:t>17个</w:t>
                  </w:r>
                </w:p>
              </w:tc>
              <w:tc>
                <w:tcPr>
                  <w:tcW w:w="1487" w:type="dxa"/>
                  <w:vAlign w:val="center"/>
                </w:tcPr>
                <w:p>
                  <w:pPr>
                    <w:pStyle w:val="28"/>
                    <w:spacing w:line="360" w:lineRule="exact"/>
                    <w:rPr>
                      <w:color w:val="auto"/>
                      <w:szCs w:val="21"/>
                    </w:rPr>
                  </w:pPr>
                  <w:r>
                    <w:rPr>
                      <w:color w:val="auto"/>
                      <w:szCs w:val="21"/>
                    </w:rPr>
                    <w:t>盛装液体</w:t>
                  </w:r>
                  <w:r>
                    <w:rPr>
                      <w:rFonts w:hint="eastAsia"/>
                      <w:color w:val="auto"/>
                      <w:szCs w:val="21"/>
                    </w:rPr>
                    <w:t>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Merge w:val="continue"/>
                  <w:vAlign w:val="center"/>
                </w:tcPr>
                <w:p>
                  <w:pPr>
                    <w:pStyle w:val="28"/>
                    <w:spacing w:line="360" w:lineRule="exact"/>
                    <w:rPr>
                      <w:color w:val="auto"/>
                      <w:szCs w:val="21"/>
                    </w:rPr>
                  </w:pPr>
                </w:p>
              </w:tc>
              <w:tc>
                <w:tcPr>
                  <w:tcW w:w="1418" w:type="dxa"/>
                  <w:vMerge w:val="continue"/>
                  <w:vAlign w:val="center"/>
                </w:tcPr>
                <w:p>
                  <w:pPr>
                    <w:pStyle w:val="28"/>
                    <w:spacing w:line="360" w:lineRule="exact"/>
                    <w:rPr>
                      <w:color w:val="auto"/>
                      <w:szCs w:val="21"/>
                    </w:rPr>
                  </w:pPr>
                </w:p>
              </w:tc>
              <w:tc>
                <w:tcPr>
                  <w:tcW w:w="2972" w:type="dxa"/>
                  <w:vAlign w:val="center"/>
                </w:tcPr>
                <w:p>
                  <w:pPr>
                    <w:pStyle w:val="28"/>
                    <w:spacing w:line="360" w:lineRule="exact"/>
                    <w:ind w:firstLine="105" w:firstLineChars="50"/>
                    <w:jc w:val="both"/>
                    <w:rPr>
                      <w:color w:val="auto"/>
                      <w:szCs w:val="21"/>
                    </w:rPr>
                  </w:pPr>
                  <w:r>
                    <w:rPr>
                      <w:rFonts w:hint="eastAsia"/>
                      <w:color w:val="auto"/>
                      <w:szCs w:val="21"/>
                    </w:rPr>
                    <w:t>有效容积：</w:t>
                  </w:r>
                  <w:r>
                    <w:rPr>
                      <w:color w:val="auto"/>
                      <w:szCs w:val="21"/>
                    </w:rPr>
                    <w:t>25L</w:t>
                  </w:r>
                  <w:r>
                    <w:rPr>
                      <w:rFonts w:hint="eastAsia"/>
                      <w:color w:val="auto"/>
                      <w:szCs w:val="21"/>
                    </w:rPr>
                    <w:t>，型号：</w:t>
                  </w:r>
                  <w:r>
                    <w:rPr>
                      <w:color w:val="auto"/>
                      <w:szCs w:val="21"/>
                    </w:rPr>
                    <w:t>Φ290×410mm，</w:t>
                  </w:r>
                  <w:r>
                    <w:rPr>
                      <w:rFonts w:hint="eastAsia"/>
                      <w:color w:val="auto"/>
                      <w:szCs w:val="21"/>
                    </w:rPr>
                    <w:t>材质：</w:t>
                  </w:r>
                  <w:r>
                    <w:rPr>
                      <w:color w:val="auto"/>
                      <w:szCs w:val="21"/>
                    </w:rPr>
                    <w:t>HDPE</w:t>
                  </w:r>
                </w:p>
              </w:tc>
              <w:tc>
                <w:tcPr>
                  <w:tcW w:w="1001" w:type="dxa"/>
                  <w:vAlign w:val="center"/>
                </w:tcPr>
                <w:p>
                  <w:pPr>
                    <w:pStyle w:val="28"/>
                    <w:spacing w:line="360" w:lineRule="exact"/>
                    <w:rPr>
                      <w:color w:val="auto"/>
                      <w:szCs w:val="21"/>
                    </w:rPr>
                  </w:pPr>
                  <w:r>
                    <w:rPr>
                      <w:rFonts w:hint="eastAsia"/>
                      <w:color w:val="auto"/>
                      <w:szCs w:val="21"/>
                    </w:rPr>
                    <w:t>34个</w:t>
                  </w:r>
                </w:p>
              </w:tc>
              <w:tc>
                <w:tcPr>
                  <w:tcW w:w="1487" w:type="dxa"/>
                  <w:vAlign w:val="center"/>
                </w:tcPr>
                <w:p>
                  <w:pPr>
                    <w:pStyle w:val="28"/>
                    <w:spacing w:line="360" w:lineRule="exact"/>
                    <w:rPr>
                      <w:color w:val="auto"/>
                      <w:szCs w:val="21"/>
                    </w:rPr>
                  </w:pPr>
                  <w:r>
                    <w:rPr>
                      <w:color w:val="auto"/>
                      <w:szCs w:val="21"/>
                    </w:rPr>
                    <w:t>盛装液体\</w:t>
                  </w:r>
                  <w:r>
                    <w:rPr>
                      <w:rFonts w:hint="eastAsia"/>
                      <w:color w:val="auto"/>
                      <w:szCs w:val="21"/>
                    </w:rPr>
                    <w:t>半</w:t>
                  </w:r>
                  <w:r>
                    <w:rPr>
                      <w:color w:val="auto"/>
                      <w:szCs w:val="21"/>
                    </w:rPr>
                    <w:t>固体废物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Merge w:val="continue"/>
                  <w:vAlign w:val="center"/>
                </w:tcPr>
                <w:p>
                  <w:pPr>
                    <w:pStyle w:val="28"/>
                    <w:spacing w:line="360" w:lineRule="exact"/>
                    <w:rPr>
                      <w:color w:val="auto"/>
                      <w:szCs w:val="21"/>
                    </w:rPr>
                  </w:pPr>
                </w:p>
              </w:tc>
              <w:tc>
                <w:tcPr>
                  <w:tcW w:w="1418" w:type="dxa"/>
                  <w:vMerge w:val="continue"/>
                  <w:vAlign w:val="center"/>
                </w:tcPr>
                <w:p>
                  <w:pPr>
                    <w:pStyle w:val="28"/>
                    <w:spacing w:line="360" w:lineRule="exact"/>
                    <w:rPr>
                      <w:color w:val="auto"/>
                      <w:szCs w:val="21"/>
                    </w:rPr>
                  </w:pPr>
                </w:p>
              </w:tc>
              <w:tc>
                <w:tcPr>
                  <w:tcW w:w="2972" w:type="dxa"/>
                  <w:vAlign w:val="center"/>
                </w:tcPr>
                <w:p>
                  <w:pPr>
                    <w:pStyle w:val="28"/>
                    <w:spacing w:line="360" w:lineRule="exact"/>
                    <w:ind w:firstLine="105" w:firstLineChars="50"/>
                    <w:jc w:val="both"/>
                    <w:rPr>
                      <w:color w:val="auto"/>
                      <w:szCs w:val="21"/>
                    </w:rPr>
                  </w:pPr>
                  <w:r>
                    <w:rPr>
                      <w:rFonts w:hint="eastAsia"/>
                      <w:color w:val="auto"/>
                      <w:szCs w:val="21"/>
                    </w:rPr>
                    <w:t>有效容积：1000</w:t>
                  </w:r>
                  <w:r>
                    <w:rPr>
                      <w:color w:val="auto"/>
                      <w:szCs w:val="21"/>
                    </w:rPr>
                    <w:t>L</w:t>
                  </w:r>
                  <w:r>
                    <w:rPr>
                      <w:rFonts w:hint="eastAsia"/>
                      <w:color w:val="auto"/>
                      <w:szCs w:val="21"/>
                    </w:rPr>
                    <w:t>，型号：</w:t>
                  </w:r>
                  <w:r>
                    <w:rPr>
                      <w:color w:val="auto"/>
                      <w:szCs w:val="21"/>
                    </w:rPr>
                    <w:t>Φ1200×1000×1150mm，</w:t>
                  </w:r>
                  <w:r>
                    <w:rPr>
                      <w:rFonts w:hint="eastAsia"/>
                      <w:color w:val="auto"/>
                      <w:szCs w:val="21"/>
                    </w:rPr>
                    <w:t>材质：</w:t>
                  </w:r>
                  <w:r>
                    <w:rPr>
                      <w:color w:val="auto"/>
                      <w:szCs w:val="21"/>
                    </w:rPr>
                    <w:t>HDPE</w:t>
                  </w:r>
                </w:p>
              </w:tc>
              <w:tc>
                <w:tcPr>
                  <w:tcW w:w="1001" w:type="dxa"/>
                  <w:vAlign w:val="center"/>
                </w:tcPr>
                <w:p>
                  <w:pPr>
                    <w:pStyle w:val="28"/>
                    <w:spacing w:line="360" w:lineRule="exact"/>
                    <w:rPr>
                      <w:color w:val="auto"/>
                      <w:szCs w:val="21"/>
                    </w:rPr>
                  </w:pPr>
                  <w:r>
                    <w:rPr>
                      <w:rFonts w:hint="eastAsia"/>
                      <w:color w:val="auto"/>
                      <w:szCs w:val="21"/>
                    </w:rPr>
                    <w:t>9个</w:t>
                  </w:r>
                </w:p>
              </w:tc>
              <w:tc>
                <w:tcPr>
                  <w:tcW w:w="1487" w:type="dxa"/>
                  <w:vAlign w:val="center"/>
                </w:tcPr>
                <w:p>
                  <w:pPr>
                    <w:pStyle w:val="28"/>
                    <w:spacing w:line="360" w:lineRule="exact"/>
                    <w:rPr>
                      <w:color w:val="auto"/>
                      <w:szCs w:val="21"/>
                    </w:rPr>
                  </w:pPr>
                  <w:r>
                    <w:rPr>
                      <w:color w:val="auto"/>
                      <w:szCs w:val="21"/>
                    </w:rPr>
                    <w:t>盛装液体\</w:t>
                  </w:r>
                  <w:r>
                    <w:rPr>
                      <w:rFonts w:hint="eastAsia"/>
                      <w:color w:val="auto"/>
                      <w:szCs w:val="21"/>
                    </w:rPr>
                    <w:t>半</w:t>
                  </w:r>
                  <w:r>
                    <w:rPr>
                      <w:color w:val="auto"/>
                      <w:szCs w:val="21"/>
                    </w:rPr>
                    <w:t>固体废物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Merge w:val="continue"/>
                  <w:vAlign w:val="center"/>
                </w:tcPr>
                <w:p>
                  <w:pPr>
                    <w:pStyle w:val="28"/>
                    <w:spacing w:line="360" w:lineRule="exact"/>
                    <w:rPr>
                      <w:color w:val="auto"/>
                      <w:szCs w:val="21"/>
                    </w:rPr>
                  </w:pPr>
                </w:p>
              </w:tc>
              <w:tc>
                <w:tcPr>
                  <w:tcW w:w="1418" w:type="dxa"/>
                  <w:vAlign w:val="center"/>
                </w:tcPr>
                <w:p>
                  <w:pPr>
                    <w:pStyle w:val="28"/>
                    <w:spacing w:line="360" w:lineRule="exact"/>
                    <w:rPr>
                      <w:color w:val="auto"/>
                      <w:szCs w:val="21"/>
                    </w:rPr>
                  </w:pPr>
                  <w:r>
                    <w:rPr>
                      <w:rFonts w:hint="eastAsia"/>
                      <w:color w:val="auto"/>
                      <w:sz w:val="20"/>
                      <w:szCs w:val="21"/>
                    </w:rPr>
                    <w:t>吨袋</w:t>
                  </w:r>
                  <w:r>
                    <w:rPr>
                      <w:rFonts w:hint="eastAsia"/>
                      <w:color w:val="auto"/>
                      <w:szCs w:val="21"/>
                    </w:rPr>
                    <w:t>（覆膜）</w:t>
                  </w:r>
                </w:p>
              </w:tc>
              <w:tc>
                <w:tcPr>
                  <w:tcW w:w="2972" w:type="dxa"/>
                  <w:vAlign w:val="center"/>
                </w:tcPr>
                <w:p>
                  <w:pPr>
                    <w:pStyle w:val="28"/>
                    <w:spacing w:line="360" w:lineRule="exact"/>
                    <w:ind w:firstLine="105" w:firstLineChars="50"/>
                    <w:jc w:val="both"/>
                    <w:rPr>
                      <w:color w:val="auto"/>
                      <w:szCs w:val="21"/>
                    </w:rPr>
                  </w:pPr>
                  <w:r>
                    <w:rPr>
                      <w:rFonts w:hint="eastAsia"/>
                      <w:color w:val="auto"/>
                      <w:szCs w:val="21"/>
                    </w:rPr>
                    <w:t>型号：</w:t>
                  </w:r>
                  <w:r>
                    <w:rPr>
                      <w:color w:val="auto"/>
                      <w:szCs w:val="21"/>
                    </w:rPr>
                    <w:t>1100×900×1100mm</w:t>
                  </w:r>
                  <w:r>
                    <w:rPr>
                      <w:rFonts w:hint="eastAsia"/>
                      <w:color w:val="auto"/>
                      <w:szCs w:val="21"/>
                    </w:rPr>
                    <w:t>，材质：</w:t>
                  </w:r>
                  <w:r>
                    <w:rPr>
                      <w:color w:val="auto"/>
                      <w:szCs w:val="21"/>
                    </w:rPr>
                    <w:t>PP</w:t>
                  </w:r>
                </w:p>
              </w:tc>
              <w:tc>
                <w:tcPr>
                  <w:tcW w:w="1001" w:type="dxa"/>
                  <w:vAlign w:val="center"/>
                </w:tcPr>
                <w:p>
                  <w:pPr>
                    <w:pStyle w:val="28"/>
                    <w:spacing w:line="360" w:lineRule="exact"/>
                    <w:rPr>
                      <w:color w:val="auto"/>
                      <w:szCs w:val="21"/>
                    </w:rPr>
                  </w:pPr>
                  <w:r>
                    <w:rPr>
                      <w:rFonts w:hint="eastAsia"/>
                      <w:color w:val="auto"/>
                      <w:szCs w:val="21"/>
                    </w:rPr>
                    <w:t>若干</w:t>
                  </w:r>
                </w:p>
              </w:tc>
              <w:tc>
                <w:tcPr>
                  <w:tcW w:w="1487" w:type="dxa"/>
                  <w:vAlign w:val="center"/>
                </w:tcPr>
                <w:p>
                  <w:pPr>
                    <w:pStyle w:val="28"/>
                    <w:spacing w:line="360" w:lineRule="exact"/>
                    <w:rPr>
                      <w:color w:val="auto"/>
                      <w:szCs w:val="21"/>
                    </w:rPr>
                  </w:pPr>
                  <w:r>
                    <w:rPr>
                      <w:color w:val="auto"/>
                      <w:szCs w:val="21"/>
                    </w:rPr>
                    <w:t>盛装固体废物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Merge w:val="continue"/>
                  <w:vAlign w:val="center"/>
                </w:tcPr>
                <w:p>
                  <w:pPr>
                    <w:pStyle w:val="28"/>
                    <w:spacing w:line="360" w:lineRule="exact"/>
                    <w:rPr>
                      <w:color w:val="auto"/>
                      <w:szCs w:val="21"/>
                    </w:rPr>
                  </w:pPr>
                </w:p>
              </w:tc>
              <w:tc>
                <w:tcPr>
                  <w:tcW w:w="1418" w:type="dxa"/>
                  <w:vAlign w:val="center"/>
                </w:tcPr>
                <w:p>
                  <w:pPr>
                    <w:pStyle w:val="28"/>
                    <w:spacing w:line="360" w:lineRule="exact"/>
                    <w:rPr>
                      <w:color w:val="auto"/>
                      <w:szCs w:val="21"/>
                    </w:rPr>
                  </w:pPr>
                  <w:r>
                    <w:rPr>
                      <w:color w:val="auto"/>
                      <w:szCs w:val="21"/>
                    </w:rPr>
                    <w:t>自吸泵</w:t>
                  </w:r>
                </w:p>
              </w:tc>
              <w:tc>
                <w:tcPr>
                  <w:tcW w:w="2972" w:type="dxa"/>
                  <w:vAlign w:val="center"/>
                </w:tcPr>
                <w:p>
                  <w:pPr>
                    <w:pStyle w:val="28"/>
                    <w:spacing w:line="360" w:lineRule="exact"/>
                    <w:ind w:firstLine="105" w:firstLineChars="50"/>
                    <w:jc w:val="both"/>
                    <w:rPr>
                      <w:color w:val="auto"/>
                      <w:szCs w:val="21"/>
                    </w:rPr>
                  </w:pPr>
                  <w:r>
                    <w:rPr>
                      <w:color w:val="auto"/>
                      <w:szCs w:val="21"/>
                    </w:rPr>
                    <w:t>--</w:t>
                  </w:r>
                </w:p>
              </w:tc>
              <w:tc>
                <w:tcPr>
                  <w:tcW w:w="1001" w:type="dxa"/>
                  <w:vAlign w:val="center"/>
                </w:tcPr>
                <w:p>
                  <w:pPr>
                    <w:pStyle w:val="28"/>
                    <w:spacing w:line="360" w:lineRule="exact"/>
                    <w:rPr>
                      <w:color w:val="auto"/>
                      <w:szCs w:val="21"/>
                    </w:rPr>
                  </w:pPr>
                  <w:r>
                    <w:rPr>
                      <w:color w:val="auto"/>
                      <w:szCs w:val="21"/>
                    </w:rPr>
                    <w:t>10台</w:t>
                  </w:r>
                </w:p>
              </w:tc>
              <w:tc>
                <w:tcPr>
                  <w:tcW w:w="1487" w:type="dxa"/>
                  <w:vAlign w:val="center"/>
                </w:tcPr>
                <w:p>
                  <w:pPr>
                    <w:pStyle w:val="28"/>
                    <w:spacing w:line="360" w:lineRule="exact"/>
                    <w:rPr>
                      <w:color w:val="auto"/>
                      <w:szCs w:val="21"/>
                    </w:rPr>
                  </w:pP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szCs w:val="21"/>
                    </w:rPr>
                  </w:pPr>
                </w:p>
              </w:tc>
              <w:tc>
                <w:tcPr>
                  <w:tcW w:w="850" w:type="dxa"/>
                  <w:vAlign w:val="center"/>
                </w:tcPr>
                <w:p>
                  <w:pPr>
                    <w:pStyle w:val="28"/>
                    <w:spacing w:line="360" w:lineRule="exact"/>
                    <w:rPr>
                      <w:color w:val="auto"/>
                      <w:szCs w:val="21"/>
                    </w:rPr>
                  </w:pPr>
                  <w:r>
                    <w:rPr>
                      <w:color w:val="auto"/>
                      <w:szCs w:val="21"/>
                    </w:rPr>
                    <w:t>装卸</w:t>
                  </w:r>
                </w:p>
              </w:tc>
              <w:tc>
                <w:tcPr>
                  <w:tcW w:w="1418" w:type="dxa"/>
                  <w:vAlign w:val="center"/>
                </w:tcPr>
                <w:p>
                  <w:pPr>
                    <w:pStyle w:val="28"/>
                    <w:spacing w:line="360" w:lineRule="exact"/>
                    <w:rPr>
                      <w:color w:val="auto"/>
                      <w:szCs w:val="21"/>
                    </w:rPr>
                  </w:pPr>
                  <w:r>
                    <w:rPr>
                      <w:color w:val="auto"/>
                      <w:szCs w:val="21"/>
                    </w:rPr>
                    <w:t>叉车</w:t>
                  </w:r>
                </w:p>
              </w:tc>
              <w:tc>
                <w:tcPr>
                  <w:tcW w:w="2972" w:type="dxa"/>
                  <w:vAlign w:val="center"/>
                </w:tcPr>
                <w:p>
                  <w:pPr>
                    <w:pStyle w:val="28"/>
                    <w:spacing w:line="360" w:lineRule="exact"/>
                    <w:ind w:firstLine="105" w:firstLineChars="50"/>
                    <w:jc w:val="both"/>
                    <w:rPr>
                      <w:color w:val="auto"/>
                      <w:szCs w:val="21"/>
                    </w:rPr>
                  </w:pPr>
                  <w:r>
                    <w:rPr>
                      <w:color w:val="auto"/>
                      <w:szCs w:val="21"/>
                    </w:rPr>
                    <w:t>2.5t</w:t>
                  </w:r>
                </w:p>
              </w:tc>
              <w:tc>
                <w:tcPr>
                  <w:tcW w:w="1001" w:type="dxa"/>
                  <w:vAlign w:val="center"/>
                </w:tcPr>
                <w:p>
                  <w:pPr>
                    <w:pStyle w:val="28"/>
                    <w:spacing w:line="360" w:lineRule="exact"/>
                    <w:rPr>
                      <w:color w:val="auto"/>
                      <w:szCs w:val="21"/>
                    </w:rPr>
                  </w:pPr>
                  <w:r>
                    <w:rPr>
                      <w:color w:val="auto"/>
                      <w:szCs w:val="21"/>
                    </w:rPr>
                    <w:t>2辆</w:t>
                  </w:r>
                </w:p>
              </w:tc>
              <w:tc>
                <w:tcPr>
                  <w:tcW w:w="1487" w:type="dxa"/>
                  <w:vAlign w:val="center"/>
                </w:tcPr>
                <w:p>
                  <w:pPr>
                    <w:pStyle w:val="28"/>
                    <w:spacing w:line="360" w:lineRule="exact"/>
                    <w:rPr>
                      <w:color w:val="auto"/>
                      <w:szCs w:val="21"/>
                    </w:rPr>
                  </w:pP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pStyle w:val="28"/>
                    <w:spacing w:line="360" w:lineRule="exact"/>
                    <w:rPr>
                      <w:color w:val="auto"/>
                      <w:szCs w:val="21"/>
                    </w:rPr>
                  </w:pPr>
                  <w:r>
                    <w:rPr>
                      <w:color w:val="auto"/>
                      <w:szCs w:val="21"/>
                    </w:rPr>
                    <w:t>储运工程</w:t>
                  </w:r>
                </w:p>
              </w:tc>
              <w:tc>
                <w:tcPr>
                  <w:tcW w:w="850" w:type="dxa"/>
                  <w:vAlign w:val="center"/>
                </w:tcPr>
                <w:p>
                  <w:pPr>
                    <w:pStyle w:val="28"/>
                    <w:spacing w:line="360" w:lineRule="exact"/>
                    <w:rPr>
                      <w:color w:val="auto"/>
                      <w:szCs w:val="21"/>
                    </w:rPr>
                  </w:pPr>
                  <w:r>
                    <w:rPr>
                      <w:color w:val="auto"/>
                      <w:szCs w:val="21"/>
                    </w:rPr>
                    <w:t>外部运输</w:t>
                  </w:r>
                </w:p>
              </w:tc>
              <w:tc>
                <w:tcPr>
                  <w:tcW w:w="6878" w:type="dxa"/>
                  <w:gridSpan w:val="4"/>
                  <w:vAlign w:val="center"/>
                </w:tcPr>
                <w:p>
                  <w:pPr>
                    <w:pStyle w:val="28"/>
                    <w:spacing w:line="360" w:lineRule="exact"/>
                    <w:ind w:firstLine="210" w:firstLineChars="100"/>
                    <w:jc w:val="left"/>
                    <w:rPr>
                      <w:color w:val="auto"/>
                      <w:szCs w:val="21"/>
                    </w:rPr>
                  </w:pPr>
                  <w:r>
                    <w:rPr>
                      <w:color w:val="auto"/>
                      <w:szCs w:val="21"/>
                    </w:rPr>
                    <w:t>委托具备危险废物运输资质的单位进行运输</w:t>
                  </w:r>
                </w:p>
              </w:tc>
            </w:tr>
          </w:tbl>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2.5</w:t>
            </w:r>
            <w:r>
              <w:rPr>
                <w:rFonts w:hint="eastAsia" w:ascii="Times New Roman" w:hAnsi="Times New Roman" w:cs="Times New Roman"/>
                <w:b/>
                <w:sz w:val="24"/>
                <w:szCs w:val="24"/>
              </w:rPr>
              <w:t xml:space="preserve"> </w:t>
            </w:r>
            <w:r>
              <w:rPr>
                <w:rFonts w:ascii="Times New Roman" w:hAnsi="Times New Roman" w:cs="Times New Roman"/>
                <w:b/>
                <w:sz w:val="24"/>
                <w:szCs w:val="24"/>
              </w:rPr>
              <w:t>原辅料用量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根据实施方案，东川网点主要对东川区及寻甸境内的小微企业产生的18大类、65小类危险废物进行统一收集后，委托有资质的单位进行处理，项目各类危险废物的收集贮存设施主要包括</w:t>
            </w:r>
            <w:r>
              <w:rPr>
                <w:rFonts w:ascii="Times New Roman" w:hAnsi="Times New Roman" w:cs="Times New Roman"/>
                <w:sz w:val="24"/>
                <w:szCs w:val="24"/>
              </w:rPr>
              <w:t>储罐</w:t>
            </w:r>
            <w:r>
              <w:rPr>
                <w:rFonts w:hint="eastAsia" w:ascii="Times New Roman" w:hAnsi="Times New Roman" w:cs="Times New Roman"/>
                <w:sz w:val="24"/>
                <w:szCs w:val="24"/>
              </w:rPr>
              <w:t>、铁桶、塑料桶和吨袋；塑料桶和吨袋存在损坏的情况，根据业主的经验数据，塑料桶需要补充量约为5个，吨袋年消耗量约为50kg。</w:t>
            </w:r>
          </w:p>
          <w:p>
            <w:pPr>
              <w:autoSpaceDE w:val="0"/>
              <w:autoSpaceDN w:val="0"/>
              <w:spacing w:line="360" w:lineRule="auto"/>
              <w:ind w:firstLine="241" w:firstLineChars="100"/>
              <w:rPr>
                <w:rFonts w:ascii="Times New Roman" w:hAnsi="Times New Roman" w:cs="Times New Roman"/>
                <w:b/>
                <w:sz w:val="24"/>
                <w:szCs w:val="24"/>
              </w:rPr>
            </w:pPr>
            <w:r>
              <w:rPr>
                <w:rFonts w:hint="eastAsia" w:ascii="Times New Roman" w:hAnsi="Times New Roman" w:cs="Times New Roman"/>
                <w:b/>
                <w:sz w:val="24"/>
                <w:szCs w:val="24"/>
              </w:rPr>
              <w:t>2.6 项目拟收集危险废物</w:t>
            </w:r>
            <w:r>
              <w:rPr>
                <w:rFonts w:ascii="Times New Roman" w:hAnsi="Times New Roman" w:cs="Times New Roman"/>
                <w:b/>
                <w:sz w:val="24"/>
                <w:szCs w:val="24"/>
              </w:rPr>
              <w:t>来源及性质</w:t>
            </w:r>
          </w:p>
          <w:p>
            <w:pPr>
              <w:autoSpaceDE w:val="0"/>
              <w:autoSpaceDN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2.6.1 收集危险废物的收集范围</w:t>
            </w:r>
          </w:p>
          <w:p>
            <w:pPr>
              <w:spacing w:line="360" w:lineRule="auto"/>
              <w:ind w:firstLine="480" w:firstLineChars="200"/>
              <w:rPr>
                <w:rFonts w:ascii="Times New Roman" w:hAnsi="Times New Roman" w:cs="Times New Roman"/>
                <w:sz w:val="24"/>
                <w:szCs w:val="24"/>
              </w:rPr>
            </w:pPr>
            <w:bookmarkStart w:id="5" w:name="_Hlk137320537"/>
            <w:r>
              <w:rPr>
                <w:rFonts w:hint="eastAsia" w:ascii="Times New Roman" w:hAnsi="Times New Roman" w:cs="Times New Roman"/>
                <w:sz w:val="24"/>
                <w:szCs w:val="24"/>
              </w:rPr>
              <w:t>根据《关于加强对昆明市小微企业危险废物收集试点单位监督管理工作的通知》（便函【</w:t>
            </w:r>
            <w:r>
              <w:rPr>
                <w:rFonts w:ascii="Times New Roman" w:hAnsi="Times New Roman" w:cs="Times New Roman"/>
                <w:sz w:val="24"/>
                <w:szCs w:val="24"/>
              </w:rPr>
              <w:t>2023</w:t>
            </w:r>
            <w:r>
              <w:rPr>
                <w:rFonts w:hint="eastAsia" w:ascii="Times New Roman" w:hAnsi="Times New Roman" w:cs="Times New Roman"/>
                <w:sz w:val="24"/>
                <w:szCs w:val="24"/>
              </w:rPr>
              <w:t>】7</w:t>
            </w:r>
            <w:r>
              <w:rPr>
                <w:rFonts w:ascii="Times New Roman" w:hAnsi="Times New Roman" w:cs="Times New Roman"/>
                <w:sz w:val="24"/>
                <w:szCs w:val="24"/>
              </w:rPr>
              <w:t>37</w:t>
            </w:r>
            <w:r>
              <w:rPr>
                <w:rFonts w:hint="eastAsia" w:ascii="Times New Roman" w:hAnsi="Times New Roman" w:cs="Times New Roman"/>
                <w:sz w:val="24"/>
                <w:szCs w:val="24"/>
              </w:rPr>
              <w:t>号）</w:t>
            </w:r>
            <w:bookmarkEnd w:id="5"/>
            <w:r>
              <w:rPr>
                <w:rFonts w:hint="eastAsia" w:ascii="Times New Roman" w:hAnsi="Times New Roman" w:cs="Times New Roman"/>
                <w:sz w:val="24"/>
                <w:szCs w:val="24"/>
              </w:rPr>
              <w:t>和实施方案，本试点项目重点服务保障区域为东川区和寻甸县。</w:t>
            </w:r>
          </w:p>
          <w:p>
            <w:pPr>
              <w:autoSpaceDE w:val="0"/>
              <w:autoSpaceDN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2.6.2 收集类别及危险废物属性</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（1）收集类别</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根据实施方案，该项目东川网点主要对东川区及寻甸境内的小微企业产生的18大类、65小类危险废物进行统一收集后，委托有资质的单位进行处理，具体收集类别如下表所示。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int="eastAsia" w:hAnsi="Times New Roman" w:eastAsiaTheme="minorEastAsia"/>
                <w:bCs/>
                <w:snapToGrid w:val="0"/>
                <w:sz w:val="21"/>
                <w:szCs w:val="21"/>
              </w:rPr>
              <w:t>表2.6.2-1 该项目危险废物收集类别一览表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708"/>
              <w:gridCol w:w="769"/>
              <w:gridCol w:w="1220"/>
              <w:gridCol w:w="2407"/>
              <w:gridCol w:w="709"/>
              <w:gridCol w:w="708"/>
              <w:gridCol w:w="99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0" w:type="dxa"/>
                  <w:shd w:val="clear" w:color="auto" w:fill="auto"/>
                  <w:vAlign w:val="center"/>
                </w:tcPr>
                <w:p>
                  <w:pPr>
                    <w:pStyle w:val="28"/>
                    <w:spacing w:line="360" w:lineRule="exact"/>
                    <w:rPr>
                      <w:color w:val="auto"/>
                      <w:szCs w:val="21"/>
                    </w:rPr>
                  </w:pPr>
                  <w:bookmarkStart w:id="6" w:name="_Hlk132894183"/>
                  <w:r>
                    <w:rPr>
                      <w:color w:val="auto"/>
                      <w:szCs w:val="21"/>
                    </w:rPr>
                    <w:t>序号</w:t>
                  </w:r>
                </w:p>
              </w:tc>
              <w:tc>
                <w:tcPr>
                  <w:tcW w:w="708" w:type="dxa"/>
                  <w:shd w:val="clear" w:color="auto" w:fill="auto"/>
                  <w:vAlign w:val="center"/>
                </w:tcPr>
                <w:p>
                  <w:pPr>
                    <w:pStyle w:val="28"/>
                    <w:spacing w:line="360" w:lineRule="exact"/>
                    <w:rPr>
                      <w:color w:val="auto"/>
                      <w:szCs w:val="21"/>
                    </w:rPr>
                  </w:pPr>
                  <w:r>
                    <w:rPr>
                      <w:color w:val="auto"/>
                      <w:szCs w:val="21"/>
                    </w:rPr>
                    <w:t>废物类别</w:t>
                  </w:r>
                </w:p>
              </w:tc>
              <w:tc>
                <w:tcPr>
                  <w:tcW w:w="769" w:type="dxa"/>
                  <w:shd w:val="clear" w:color="auto" w:fill="auto"/>
                  <w:vAlign w:val="center"/>
                </w:tcPr>
                <w:p>
                  <w:pPr>
                    <w:pStyle w:val="28"/>
                    <w:spacing w:line="360" w:lineRule="exact"/>
                    <w:rPr>
                      <w:color w:val="auto"/>
                      <w:szCs w:val="21"/>
                    </w:rPr>
                  </w:pPr>
                  <w:r>
                    <w:rPr>
                      <w:color w:val="auto"/>
                      <w:szCs w:val="21"/>
                    </w:rPr>
                    <w:t>行业来源</w:t>
                  </w:r>
                </w:p>
              </w:tc>
              <w:tc>
                <w:tcPr>
                  <w:tcW w:w="1220" w:type="dxa"/>
                  <w:shd w:val="clear" w:color="auto" w:fill="auto"/>
                  <w:vAlign w:val="center"/>
                </w:tcPr>
                <w:p>
                  <w:pPr>
                    <w:pStyle w:val="28"/>
                    <w:spacing w:line="360" w:lineRule="exact"/>
                    <w:rPr>
                      <w:color w:val="auto"/>
                      <w:szCs w:val="21"/>
                    </w:rPr>
                  </w:pPr>
                  <w:r>
                    <w:rPr>
                      <w:color w:val="auto"/>
                      <w:szCs w:val="21"/>
                    </w:rPr>
                    <w:t>废物代码</w:t>
                  </w:r>
                </w:p>
              </w:tc>
              <w:tc>
                <w:tcPr>
                  <w:tcW w:w="2408" w:type="dxa"/>
                  <w:shd w:val="clear" w:color="auto" w:fill="auto"/>
                  <w:vAlign w:val="center"/>
                </w:tcPr>
                <w:p>
                  <w:pPr>
                    <w:pStyle w:val="28"/>
                    <w:spacing w:line="360" w:lineRule="exact"/>
                    <w:rPr>
                      <w:color w:val="auto"/>
                      <w:szCs w:val="21"/>
                    </w:rPr>
                  </w:pPr>
                  <w:r>
                    <w:rPr>
                      <w:color w:val="auto"/>
                      <w:szCs w:val="21"/>
                    </w:rPr>
                    <w:t>危险废物</w:t>
                  </w:r>
                </w:p>
              </w:tc>
              <w:tc>
                <w:tcPr>
                  <w:tcW w:w="709" w:type="dxa"/>
                  <w:vAlign w:val="center"/>
                </w:tcPr>
                <w:p>
                  <w:pPr>
                    <w:pStyle w:val="28"/>
                    <w:spacing w:line="360" w:lineRule="exact"/>
                    <w:rPr>
                      <w:color w:val="auto"/>
                      <w:szCs w:val="21"/>
                    </w:rPr>
                  </w:pPr>
                  <w:r>
                    <w:rPr>
                      <w:color w:val="auto"/>
                      <w:szCs w:val="21"/>
                    </w:rPr>
                    <w:t>危险特性</w:t>
                  </w:r>
                </w:p>
              </w:tc>
              <w:tc>
                <w:tcPr>
                  <w:tcW w:w="708" w:type="dxa"/>
                  <w:vAlign w:val="center"/>
                </w:tcPr>
                <w:p>
                  <w:pPr>
                    <w:pStyle w:val="28"/>
                    <w:spacing w:line="360" w:lineRule="exact"/>
                    <w:rPr>
                      <w:color w:val="auto"/>
                      <w:szCs w:val="21"/>
                    </w:rPr>
                  </w:pPr>
                  <w:r>
                    <w:rPr>
                      <w:rFonts w:hint="eastAsia"/>
                      <w:color w:val="auto"/>
                      <w:szCs w:val="21"/>
                    </w:rPr>
                    <w:t>形态</w:t>
                  </w:r>
                </w:p>
              </w:tc>
              <w:tc>
                <w:tcPr>
                  <w:tcW w:w="993" w:type="dxa"/>
                  <w:vAlign w:val="center"/>
                </w:tcPr>
                <w:p>
                  <w:pPr>
                    <w:pStyle w:val="28"/>
                    <w:spacing w:line="360" w:lineRule="exact"/>
                    <w:rPr>
                      <w:color w:val="auto"/>
                      <w:szCs w:val="21"/>
                    </w:rPr>
                  </w:pPr>
                  <w:r>
                    <w:rPr>
                      <w:rFonts w:hint="eastAsia"/>
                      <w:color w:val="auto"/>
                      <w:szCs w:val="21"/>
                    </w:rPr>
                    <w:t>主要污染成分</w:t>
                  </w:r>
                </w:p>
              </w:tc>
              <w:tc>
                <w:tcPr>
                  <w:tcW w:w="662" w:type="dxa"/>
                  <w:vAlign w:val="center"/>
                </w:tcPr>
                <w:p>
                  <w:pPr>
                    <w:pStyle w:val="28"/>
                    <w:spacing w:line="360" w:lineRule="exact"/>
                    <w:rPr>
                      <w:color w:val="auto"/>
                      <w:szCs w:val="21"/>
                    </w:rPr>
                  </w:pPr>
                  <w:r>
                    <w:rPr>
                      <w:rFonts w:hint="eastAsia"/>
                      <w:color w:val="auto"/>
                      <w:szCs w:val="21"/>
                    </w:rPr>
                    <w:t>包装形式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30" w:type="dxa"/>
                  <w:shd w:val="clear" w:color="auto" w:fill="auto"/>
                  <w:vAlign w:val="center"/>
                </w:tcPr>
                <w:p>
                  <w:pPr>
                    <w:pStyle w:val="28"/>
                    <w:spacing w:line="360" w:lineRule="exact"/>
                    <w:rPr>
                      <w:color w:val="auto"/>
                      <w:szCs w:val="21"/>
                    </w:rPr>
                  </w:pPr>
                  <w:bookmarkStart w:id="7" w:name="_Hlk135837438"/>
                  <w:r>
                    <w:rPr>
                      <w:color w:val="auto"/>
                      <w:szCs w:val="21"/>
                    </w:rPr>
                    <w:t>1</w:t>
                  </w:r>
                </w:p>
              </w:tc>
              <w:tc>
                <w:tcPr>
                  <w:tcW w:w="708" w:type="dxa"/>
                  <w:shd w:val="clear" w:color="auto" w:fill="auto"/>
                  <w:vAlign w:val="center"/>
                </w:tcPr>
                <w:p>
                  <w:pPr>
                    <w:pStyle w:val="28"/>
                    <w:spacing w:line="360" w:lineRule="exact"/>
                    <w:rPr>
                      <w:color w:val="auto"/>
                      <w:szCs w:val="21"/>
                    </w:rPr>
                  </w:pPr>
                  <w:r>
                    <w:rPr>
                      <w:color w:val="auto"/>
                      <w:szCs w:val="21"/>
                    </w:rPr>
                    <w:t>HW03废药物、药品</w:t>
                  </w:r>
                </w:p>
              </w:tc>
              <w:tc>
                <w:tcPr>
                  <w:tcW w:w="769" w:type="dxa"/>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900-002-03</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color w:val="auto"/>
                      <w:szCs w:val="21"/>
                    </w:rPr>
                    <w:t>废药物、药品（抗生素类、激素类等）</w:t>
                  </w:r>
                </w:p>
              </w:tc>
              <w:tc>
                <w:tcPr>
                  <w:tcW w:w="662" w:type="dxa"/>
                  <w:vAlign w:val="center"/>
                </w:tcPr>
                <w:p>
                  <w:pPr>
                    <w:pStyle w:val="28"/>
                    <w:spacing w:line="360" w:lineRule="exact"/>
                    <w:rPr>
                      <w:color w:val="auto"/>
                      <w:szCs w:val="21"/>
                    </w:rPr>
                  </w:pPr>
                  <w:r>
                    <w:rPr>
                      <w:rFonts w:hint="eastAsia"/>
                      <w:color w:val="auto"/>
                      <w:szCs w:val="21"/>
                    </w:rPr>
                    <w:t>塑料桶/吨袋</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2</w:t>
                  </w:r>
                </w:p>
              </w:tc>
              <w:tc>
                <w:tcPr>
                  <w:tcW w:w="708" w:type="dxa"/>
                  <w:shd w:val="clear" w:color="auto" w:fill="auto"/>
                  <w:vAlign w:val="center"/>
                </w:tcPr>
                <w:p>
                  <w:pPr>
                    <w:pStyle w:val="28"/>
                    <w:spacing w:line="360" w:lineRule="exact"/>
                    <w:rPr>
                      <w:color w:val="auto"/>
                      <w:szCs w:val="21"/>
                    </w:rPr>
                  </w:pPr>
                  <w:r>
                    <w:rPr>
                      <w:color w:val="auto"/>
                      <w:szCs w:val="21"/>
                    </w:rPr>
                    <w:t>HW04农药废物</w:t>
                  </w:r>
                </w:p>
              </w:tc>
              <w:tc>
                <w:tcPr>
                  <w:tcW w:w="769" w:type="dxa"/>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900-003-04</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销售及使用过程中产生的失效、变质、不合格、淘汰、伪劣的农药产品，以及废弃的与农药直接接触或含有农药残余物的包装物</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敌敌畏、辛硫磷、乐斯本等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3</w:t>
                  </w:r>
                </w:p>
              </w:tc>
              <w:tc>
                <w:tcPr>
                  <w:tcW w:w="708" w:type="dxa"/>
                  <w:vMerge w:val="restart"/>
                  <w:shd w:val="clear" w:color="auto" w:fill="auto"/>
                  <w:vAlign w:val="center"/>
                </w:tcPr>
                <w:p>
                  <w:pPr>
                    <w:pStyle w:val="28"/>
                    <w:spacing w:line="360" w:lineRule="exact"/>
                    <w:rPr>
                      <w:color w:val="auto"/>
                      <w:szCs w:val="21"/>
                    </w:rPr>
                  </w:pPr>
                  <w:r>
                    <w:rPr>
                      <w:color w:val="auto"/>
                      <w:szCs w:val="21"/>
                    </w:rPr>
                    <w:t>HW06废有机溶剂与含有机溶剂废物</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900-401-06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工业生产中作为清洗剂、萃取剂、溶剂或反应介质使用后废弃的四氯化碳、二氯甲烷、1，1-二氯乙烷、1，2－二氯乙烷、1，1，1－三氯乙烷、1，1，2-三氯乙烷、三氯乙烯、四氯乙烯，以及在使用前混合的含有一种或多种上述卤化溶剂的混合/调和溶剂</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Align w:val="center"/>
                </w:tcPr>
                <w:p>
                  <w:pPr>
                    <w:pStyle w:val="28"/>
                    <w:spacing w:line="360" w:lineRule="exact"/>
                    <w:rPr>
                      <w:color w:val="auto"/>
                      <w:szCs w:val="21"/>
                    </w:rPr>
                  </w:pPr>
                  <w:r>
                    <w:rPr>
                      <w:rFonts w:hint="eastAsia"/>
                      <w:color w:val="auto"/>
                      <w:szCs w:val="21"/>
                    </w:rPr>
                    <w:t>四氯化碳、二氯甲烷</w:t>
                  </w:r>
                  <w:r>
                    <w:rPr>
                      <w:color w:val="auto"/>
                      <w:szCs w:val="21"/>
                    </w:rPr>
                    <w:t>、</w:t>
                  </w:r>
                  <w:bookmarkStart w:id="8" w:name="_Hlk135301732"/>
                  <w:r>
                    <w:rPr>
                      <w:color w:val="auto"/>
                      <w:szCs w:val="21"/>
                    </w:rPr>
                    <w:t>1，2－二氯乙烷</w:t>
                  </w:r>
                  <w:bookmarkEnd w:id="8"/>
                  <w:r>
                    <w:rPr>
                      <w:color w:val="auto"/>
                      <w:szCs w:val="21"/>
                    </w:rPr>
                    <w:t>、</w:t>
                  </w:r>
                  <w:bookmarkStart w:id="9" w:name="_Hlk135301754"/>
                  <w:r>
                    <w:rPr>
                      <w:color w:val="auto"/>
                      <w:szCs w:val="21"/>
                    </w:rPr>
                    <w:t>1，1，1－三氯乙烷、1，1，2-三氯乙烷、</w:t>
                  </w:r>
                  <w:bookmarkEnd w:id="9"/>
                  <w:bookmarkStart w:id="10" w:name="_Hlk135301854"/>
                  <w:r>
                    <w:rPr>
                      <w:color w:val="auto"/>
                      <w:szCs w:val="21"/>
                    </w:rPr>
                    <w:t>三氯乙烯、四氯乙烯</w:t>
                  </w:r>
                  <w:bookmarkEnd w:id="10"/>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4</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900-402-06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工业生产中作为清洗剂、萃取剂、溶剂或反应介质使用后废弃的有机溶剂，包括苯、苯乙烯</w:t>
                  </w:r>
                  <w:r>
                    <w:rPr>
                      <w:rFonts w:hint="eastAsia"/>
                      <w:color w:val="auto"/>
                      <w:szCs w:val="21"/>
                    </w:rPr>
                    <w:t>、</w:t>
                  </w:r>
                  <w:r>
                    <w:rPr>
                      <w:color w:val="auto"/>
                      <w:szCs w:val="21"/>
                    </w:rPr>
                    <w:t>丁醇、丙酮、正已烷、甲苯、邻二甲苯、间二甲苯、对二甲苯、1，2，4-三甲苯、乙苯、乙醇</w:t>
                  </w:r>
                  <w:r>
                    <w:rPr>
                      <w:rFonts w:hint="eastAsia"/>
                      <w:color w:val="auto"/>
                      <w:szCs w:val="21"/>
                    </w:rPr>
                    <w:t>、</w:t>
                  </w:r>
                  <w:r>
                    <w:rPr>
                      <w:color w:val="auto"/>
                      <w:szCs w:val="21"/>
                    </w:rPr>
                    <w:t>异丙醇、乙醚、丙醚、乙酸甲醋、乙酸乙醋、乙酸丁醋、丙酸丁醋、苯酚，以及在使用前混合的含有一种或多种上述溶剂的混合/调和溶剂</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r>
                    <w:rPr>
                      <w:color w:val="auto"/>
                      <w:szCs w:val="21"/>
                    </w:rPr>
                    <w:t>，</w:t>
                  </w:r>
                  <w:r>
                    <w:rPr>
                      <w:rFonts w:hint="eastAsia"/>
                      <w:color w:val="auto"/>
                      <w:szCs w:val="21"/>
                    </w:rPr>
                    <w:t>R</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Align w:val="center"/>
                </w:tcPr>
                <w:p>
                  <w:pPr>
                    <w:pStyle w:val="28"/>
                    <w:spacing w:line="360" w:lineRule="exact"/>
                    <w:rPr>
                      <w:color w:val="auto"/>
                      <w:szCs w:val="21"/>
                    </w:rPr>
                  </w:pPr>
                  <w:r>
                    <w:rPr>
                      <w:rFonts w:hint="eastAsia"/>
                      <w:color w:val="auto"/>
                      <w:szCs w:val="21"/>
                    </w:rPr>
                    <w:t>苯、苯乙烯、丁醇、丙酮、正已烷、甲苯、邻二甲苯、间二甲苯、对二甲苯、</w:t>
                  </w:r>
                  <w:r>
                    <w:rPr>
                      <w:color w:val="auto"/>
                      <w:szCs w:val="21"/>
                    </w:rPr>
                    <w:t>1，2，4-三甲苯、乙苯、乙醇、异丙醇、乙醚、丙醚、乙酸甲醋、乙酸乙醋、乙酸丁醋、丙酸丁醋、苯酚</w:t>
                  </w: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5</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900-404-06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工业生产中作为清洗剂、萃取剂、溶剂或反应介质使用后废弃的其他列入《危险化学品目录》的有机溶剂，以及在使用前混合的含有一种或多种上述溶剂的混合/调和溶剂</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r>
                    <w:rPr>
                      <w:color w:val="auto"/>
                      <w:szCs w:val="21"/>
                    </w:rPr>
                    <w:t>，</w:t>
                  </w:r>
                  <w:r>
                    <w:rPr>
                      <w:rFonts w:hint="eastAsia"/>
                      <w:color w:val="auto"/>
                      <w:szCs w:val="21"/>
                    </w:rPr>
                    <w:t>R</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Align w:val="center"/>
                </w:tcPr>
                <w:p>
                  <w:pPr>
                    <w:pStyle w:val="28"/>
                    <w:spacing w:line="360" w:lineRule="exact"/>
                    <w:rPr>
                      <w:color w:val="auto"/>
                      <w:szCs w:val="21"/>
                    </w:rPr>
                  </w:pPr>
                  <w:r>
                    <w:rPr>
                      <w:color w:val="auto"/>
                      <w:szCs w:val="21"/>
                    </w:rPr>
                    <w:t>正己烷、正庚烷、正溴丙烷、乙醚、石油醚等</w:t>
                  </w: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6</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900-405-06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900-401-06、900-402-06、900-404-06中所列废有机溶剂再生处理过程中产生的废活性炭及其他过滤吸附介质</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r>
                    <w:rPr>
                      <w:color w:val="auto"/>
                      <w:szCs w:val="21"/>
                    </w:rPr>
                    <w:t>，</w:t>
                  </w:r>
                  <w:r>
                    <w:rPr>
                      <w:rFonts w:hint="eastAsia"/>
                      <w:color w:val="auto"/>
                      <w:szCs w:val="21"/>
                    </w:rPr>
                    <w:t>R</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Merge w:val="restart"/>
                  <w:vAlign w:val="center"/>
                </w:tcPr>
                <w:p>
                  <w:pPr>
                    <w:pStyle w:val="28"/>
                    <w:spacing w:line="360" w:lineRule="exact"/>
                    <w:rPr>
                      <w:color w:val="auto"/>
                      <w:szCs w:val="21"/>
                    </w:rPr>
                  </w:pPr>
                  <w:r>
                    <w:rPr>
                      <w:color w:val="auto"/>
                      <w:szCs w:val="21"/>
                    </w:rPr>
                    <w:t>900-401-06、900-402-06、900-404-06中所列成分</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7</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900-407-06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900-401-06、900-402-06、900-404-06中所列废有机溶剂分馏再生过程中产生的高沸物和釜底残渣</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r>
                    <w:rPr>
                      <w:color w:val="auto"/>
                      <w:szCs w:val="21"/>
                    </w:rPr>
                    <w:t>，</w:t>
                  </w:r>
                  <w:r>
                    <w:rPr>
                      <w:rFonts w:hint="eastAsia"/>
                      <w:color w:val="auto"/>
                      <w:szCs w:val="21"/>
                    </w:rPr>
                    <w:t>R</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8</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900-409-06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900-401-06、900-402-06、900-404-06中所列废有机溶剂再生处理过程中产生的废水处理浮渣和污泥</w:t>
                  </w:r>
                  <w:r>
                    <w:rPr>
                      <w:rFonts w:hint="eastAsia"/>
                      <w:color w:val="auto"/>
                      <w:szCs w:val="21"/>
                    </w:rPr>
                    <w:t>（</w:t>
                  </w:r>
                  <w:r>
                    <w:rPr>
                      <w:color w:val="auto"/>
                      <w:szCs w:val="21"/>
                    </w:rPr>
                    <w:t>不包括废水生化处理污泥</w:t>
                  </w:r>
                  <w:r>
                    <w:rPr>
                      <w:rFonts w:hint="eastAsia"/>
                      <w:color w:val="auto"/>
                      <w:szCs w:val="21"/>
                    </w:rPr>
                    <w:t>）</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color w:val="auto"/>
                      <w:szCs w:val="21"/>
                    </w:rPr>
                    <w:t>9</w:t>
                  </w:r>
                </w:p>
              </w:tc>
              <w:tc>
                <w:tcPr>
                  <w:tcW w:w="708" w:type="dxa"/>
                  <w:vMerge w:val="restart"/>
                  <w:shd w:val="clear" w:color="auto" w:fill="auto"/>
                  <w:vAlign w:val="center"/>
                </w:tcPr>
                <w:p>
                  <w:pPr>
                    <w:pStyle w:val="28"/>
                    <w:spacing w:line="360" w:lineRule="exact"/>
                    <w:rPr>
                      <w:color w:val="auto"/>
                      <w:szCs w:val="21"/>
                    </w:rPr>
                  </w:pPr>
                  <w:r>
                    <w:rPr>
                      <w:color w:val="auto"/>
                      <w:szCs w:val="21"/>
                    </w:rPr>
                    <w:t>HW08废矿物油与含矿物油废物</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900-199-08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内燃机、汽车、轮船等集中拆解过程产生的废矿物油及油泥</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液态、半固态</w:t>
                  </w:r>
                </w:p>
              </w:tc>
              <w:tc>
                <w:tcPr>
                  <w:tcW w:w="993" w:type="dxa"/>
                  <w:vMerge w:val="restart"/>
                  <w:vAlign w:val="center"/>
                </w:tcPr>
                <w:p>
                  <w:pPr>
                    <w:pStyle w:val="28"/>
                    <w:spacing w:line="360" w:lineRule="exact"/>
                    <w:rPr>
                      <w:color w:val="auto"/>
                      <w:szCs w:val="21"/>
                    </w:rPr>
                  </w:pPr>
                  <w:r>
                    <w:rPr>
                      <w:rFonts w:hint="eastAsia"/>
                      <w:color w:val="auto"/>
                      <w:szCs w:val="21"/>
                    </w:rPr>
                    <w:t>芳烃系列混合物、多环芳烃、醚类等</w:t>
                  </w: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0</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900-200-08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珩磨、研磨、打磨过程产生的废矿物油及油泥</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液态、半固态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1</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900-201-08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清洗金属零部件过程中产生的废弃煤油、柴油、汽油及其他由石油和煤炼制生产的溶剂油</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2</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900-204-08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使用轧制油、冷却剂及酸进行金属轧制产生的废矿物油</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3</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900-209-08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金属、塑料的定型和物理机械表产生的废石蜡和润滑油</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4</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900-210-08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含油废水处理中隔油、气浮、沉淀等处理过程中产生的浮油、浮渣和污泥（不包括废水生化处理污泥）</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铁桶/吨袋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5</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900-213-08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废矿物油再生净化过程中产生的沉淀残渣、过滤残渣、废过滤吸附介质</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6</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900-214-08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车辆、轮船及其它机械维修过程中产生的废发动机油、制动器油、自动变速器油、齿轮油等废润滑油</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7</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900-215-08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废矿物油裂解再生过程中产生的裂解残渣</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8</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900-217-08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使用工业齿轮油进行机械设备润滑过程中产生的废润滑油</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1</w:t>
                  </w:r>
                  <w:r>
                    <w:rPr>
                      <w:color w:val="auto"/>
                      <w:szCs w:val="21"/>
                    </w:rPr>
                    <w:t>9</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900-218-08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液压设备维护、更换和拆解过程中产生的废液压油</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0</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900-219-08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冷冻压缩设备维护、更换和拆解过程中产生的废冷冻机油</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1</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900-220-08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变压器维护、更换和拆解过程中产生的废变压器油</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2</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900-221-08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废燃料油及燃料油储存过程中产生的油泥</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半固态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铁桶/吨袋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3</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900-249-08</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其他生产、销售、使用过程中产生的废矿物油及沾染矿物油的废弃包装物</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4</w:t>
                  </w:r>
                </w:p>
              </w:tc>
              <w:tc>
                <w:tcPr>
                  <w:tcW w:w="708" w:type="dxa"/>
                  <w:vMerge w:val="restart"/>
                  <w:shd w:val="clear" w:color="auto" w:fill="auto"/>
                  <w:vAlign w:val="center"/>
                </w:tcPr>
                <w:p>
                  <w:pPr>
                    <w:pStyle w:val="28"/>
                    <w:spacing w:line="360" w:lineRule="exact"/>
                    <w:rPr>
                      <w:color w:val="auto"/>
                      <w:szCs w:val="21"/>
                    </w:rPr>
                  </w:pPr>
                  <w:r>
                    <w:rPr>
                      <w:color w:val="auto"/>
                      <w:szCs w:val="21"/>
                    </w:rPr>
                    <w:t>HW09油/水、烃/水混合物或乳化液</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900-005-09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水压机维护、更换和拆解过程中产生的油/水、烃/水混合物或乳化液</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restart"/>
                  <w:vAlign w:val="center"/>
                </w:tcPr>
                <w:p>
                  <w:pPr>
                    <w:pStyle w:val="28"/>
                    <w:spacing w:line="360" w:lineRule="exact"/>
                    <w:rPr>
                      <w:color w:val="auto"/>
                      <w:szCs w:val="21"/>
                    </w:rPr>
                  </w:pPr>
                  <w:r>
                    <w:rPr>
                      <w:rFonts w:hint="eastAsia"/>
                      <w:color w:val="auto"/>
                      <w:szCs w:val="21"/>
                    </w:rPr>
                    <w:t>芳烃系列混合物、多环芳烃、醚类</w:t>
                  </w:r>
                  <w:r>
                    <w:rPr>
                      <w:color w:val="auto"/>
                      <w:szCs w:val="21"/>
                    </w:rPr>
                    <w:t>、烃、乳化液（表面活性剂、</w:t>
                  </w:r>
                  <w:r>
                    <w:rPr>
                      <w:rFonts w:hint="eastAsia"/>
                      <w:color w:val="auto"/>
                      <w:szCs w:val="21"/>
                    </w:rPr>
                    <w:t>环烷酸锌、石油磺酸钠等）</w:t>
                  </w: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5</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900-006-09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使用切削油或切削液进行机械加工过程中产生的油/水、烃/水混合物或乳化液</w:t>
                  </w:r>
                </w:p>
              </w:tc>
              <w:tc>
                <w:tcPr>
                  <w:tcW w:w="709" w:type="dxa"/>
                  <w:vAlign w:val="center"/>
                </w:tcPr>
                <w:p>
                  <w:pPr>
                    <w:pStyle w:val="28"/>
                    <w:spacing w:line="360" w:lineRule="exact"/>
                    <w:rPr>
                      <w:color w:val="auto"/>
                      <w:szCs w:val="21"/>
                    </w:rPr>
                  </w:pPr>
                  <w:r>
                    <w:rPr>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6</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900-007-09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其他工艺过程中产生的油/水、烃/水混合物或乳化液</w:t>
                  </w:r>
                </w:p>
              </w:tc>
              <w:tc>
                <w:tcPr>
                  <w:tcW w:w="709" w:type="dxa"/>
                  <w:vAlign w:val="center"/>
                </w:tcPr>
                <w:p>
                  <w:pPr>
                    <w:pStyle w:val="28"/>
                    <w:spacing w:line="360" w:lineRule="exact"/>
                    <w:rPr>
                      <w:color w:val="auto"/>
                      <w:szCs w:val="21"/>
                    </w:rPr>
                  </w:pPr>
                  <w:r>
                    <w:rPr>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7</w:t>
                  </w:r>
                </w:p>
              </w:tc>
              <w:tc>
                <w:tcPr>
                  <w:tcW w:w="708" w:type="dxa"/>
                  <w:shd w:val="clear" w:color="auto" w:fill="auto"/>
                  <w:vAlign w:val="center"/>
                </w:tcPr>
                <w:p>
                  <w:pPr>
                    <w:pStyle w:val="28"/>
                    <w:spacing w:line="360" w:lineRule="exact"/>
                    <w:rPr>
                      <w:color w:val="auto"/>
                      <w:szCs w:val="21"/>
                    </w:rPr>
                  </w:pPr>
                  <w:r>
                    <w:rPr>
                      <w:color w:val="auto"/>
                      <w:szCs w:val="21"/>
                    </w:rPr>
                    <w:t>HW11精（蒸）馏残渣</w:t>
                  </w:r>
                </w:p>
              </w:tc>
              <w:tc>
                <w:tcPr>
                  <w:tcW w:w="769" w:type="dxa"/>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900-013-11</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其他化工生产过程（不包括以生物质为主要原料的加工过程）中精馏、蒸馏和热解工艺产生的高沸点</w:t>
                  </w:r>
                  <w:r>
                    <w:rPr>
                      <w:rFonts w:hint="eastAsia"/>
                      <w:color w:val="auto"/>
                      <w:szCs w:val="21"/>
                    </w:rPr>
                    <w:t>釜</w:t>
                  </w:r>
                  <w:r>
                    <w:rPr>
                      <w:color w:val="auto"/>
                      <w:szCs w:val="21"/>
                    </w:rPr>
                    <w:t>底残余物</w:t>
                  </w:r>
                </w:p>
              </w:tc>
              <w:tc>
                <w:tcPr>
                  <w:tcW w:w="709" w:type="dxa"/>
                  <w:vAlign w:val="center"/>
                </w:tcPr>
                <w:p>
                  <w:pPr>
                    <w:pStyle w:val="28"/>
                    <w:spacing w:line="360" w:lineRule="exact"/>
                    <w:rPr>
                      <w:color w:val="auto"/>
                      <w:szCs w:val="21"/>
                    </w:rPr>
                  </w:pPr>
                  <w:r>
                    <w:rPr>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酸焦油、焦油渣等</w:t>
                  </w:r>
                </w:p>
              </w:tc>
              <w:tc>
                <w:tcPr>
                  <w:tcW w:w="662" w:type="dxa"/>
                  <w:vAlign w:val="center"/>
                </w:tcPr>
                <w:p>
                  <w:pPr>
                    <w:pStyle w:val="28"/>
                    <w:spacing w:line="360" w:lineRule="exact"/>
                    <w:rPr>
                      <w:color w:val="auto"/>
                      <w:szCs w:val="21"/>
                    </w:rPr>
                  </w:pPr>
                  <w:r>
                    <w:rPr>
                      <w:rFonts w:hint="eastAsia"/>
                      <w:color w:val="auto"/>
                      <w:szCs w:val="21"/>
                    </w:rPr>
                    <w:t>铁桶/</w:t>
                  </w:r>
                  <w:r>
                    <w:rPr>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w:t>
                  </w:r>
                  <w:r>
                    <w:rPr>
                      <w:color w:val="auto"/>
                      <w:szCs w:val="21"/>
                    </w:rPr>
                    <w:t>8</w:t>
                  </w:r>
                </w:p>
              </w:tc>
              <w:tc>
                <w:tcPr>
                  <w:tcW w:w="708" w:type="dxa"/>
                  <w:vMerge w:val="restart"/>
                  <w:shd w:val="clear" w:color="auto" w:fill="auto"/>
                  <w:vAlign w:val="center"/>
                </w:tcPr>
                <w:p>
                  <w:pPr>
                    <w:pStyle w:val="28"/>
                    <w:spacing w:line="360" w:lineRule="exact"/>
                    <w:rPr>
                      <w:color w:val="auto"/>
                      <w:szCs w:val="21"/>
                    </w:rPr>
                  </w:pPr>
                  <w:r>
                    <w:rPr>
                      <w:color w:val="auto"/>
                      <w:szCs w:val="21"/>
                    </w:rPr>
                    <w:t>HW12染料、涂料废物</w:t>
                  </w:r>
                </w:p>
              </w:tc>
              <w:tc>
                <w:tcPr>
                  <w:tcW w:w="769" w:type="dxa"/>
                  <w:vMerge w:val="restart"/>
                  <w:shd w:val="clear" w:color="auto" w:fill="auto"/>
                  <w:vAlign w:val="center"/>
                </w:tcPr>
                <w:p>
                  <w:pPr>
                    <w:pStyle w:val="28"/>
                    <w:spacing w:line="360" w:lineRule="exact"/>
                    <w:rPr>
                      <w:color w:val="auto"/>
                      <w:szCs w:val="21"/>
                    </w:rPr>
                  </w:pPr>
                  <w:r>
                    <w:rPr>
                      <w:color w:val="auto"/>
                      <w:szCs w:val="21"/>
                    </w:rPr>
                    <w:t>涂料、油墨、颜料及类似产品制造</w:t>
                  </w:r>
                </w:p>
              </w:tc>
              <w:tc>
                <w:tcPr>
                  <w:tcW w:w="1220" w:type="dxa"/>
                  <w:shd w:val="clear" w:color="auto" w:fill="auto"/>
                  <w:vAlign w:val="center"/>
                </w:tcPr>
                <w:p>
                  <w:pPr>
                    <w:pStyle w:val="28"/>
                    <w:spacing w:line="360" w:lineRule="exact"/>
                    <w:rPr>
                      <w:color w:val="auto"/>
                      <w:szCs w:val="21"/>
                    </w:rPr>
                  </w:pPr>
                  <w:r>
                    <w:rPr>
                      <w:color w:val="auto"/>
                      <w:szCs w:val="21"/>
                    </w:rPr>
                    <w:t>264-009-12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使用含</w:t>
                  </w:r>
                  <w:r>
                    <w:rPr>
                      <w:rFonts w:hint="eastAsia"/>
                      <w:color w:val="auto"/>
                      <w:szCs w:val="21"/>
                    </w:rPr>
                    <w:t>铬</w:t>
                  </w:r>
                  <w:r>
                    <w:rPr>
                      <w:color w:val="auto"/>
                      <w:szCs w:val="21"/>
                    </w:rPr>
                    <w:t>、铅的稳定剂配制油墨过程清洗产生的洗涤废液和废水处理污泥</w:t>
                  </w:r>
                </w:p>
              </w:tc>
              <w:tc>
                <w:tcPr>
                  <w:tcW w:w="709" w:type="dxa"/>
                  <w:vAlign w:val="center"/>
                </w:tcPr>
                <w:p>
                  <w:pPr>
                    <w:pStyle w:val="28"/>
                    <w:spacing w:line="360" w:lineRule="exact"/>
                    <w:rPr>
                      <w:color w:val="auto"/>
                      <w:szCs w:val="21"/>
                    </w:rPr>
                  </w:pPr>
                  <w:r>
                    <w:rPr>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铬及其化合物、铅及其化合物</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29</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264-013-12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油漆、油墨生产、配制和使用过程中产生的含</w:t>
                  </w:r>
                  <w:bookmarkStart w:id="11" w:name="OLE_LINK1"/>
                  <w:r>
                    <w:rPr>
                      <w:color w:val="auto"/>
                      <w:szCs w:val="21"/>
                    </w:rPr>
                    <w:t>颜料、油墨</w:t>
                  </w:r>
                  <w:bookmarkEnd w:id="11"/>
                  <w:r>
                    <w:rPr>
                      <w:color w:val="auto"/>
                      <w:szCs w:val="21"/>
                    </w:rPr>
                    <w:t>的废有机溶剂</w:t>
                  </w:r>
                </w:p>
              </w:tc>
              <w:tc>
                <w:tcPr>
                  <w:tcW w:w="709" w:type="dxa"/>
                  <w:vAlign w:val="center"/>
                </w:tcPr>
                <w:p>
                  <w:pPr>
                    <w:pStyle w:val="28"/>
                    <w:spacing w:line="360" w:lineRule="exact"/>
                    <w:rPr>
                      <w:color w:val="auto"/>
                      <w:szCs w:val="21"/>
                    </w:rPr>
                  </w:pPr>
                  <w:r>
                    <w:rPr>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Align w:val="center"/>
                </w:tcPr>
                <w:p>
                  <w:pPr>
                    <w:pStyle w:val="28"/>
                    <w:spacing w:line="360" w:lineRule="exact"/>
                    <w:rPr>
                      <w:color w:val="auto"/>
                      <w:szCs w:val="21"/>
                    </w:rPr>
                  </w:pPr>
                  <w:r>
                    <w:rPr>
                      <w:color w:val="auto"/>
                      <w:szCs w:val="21"/>
                    </w:rPr>
                    <w:t>颜料、油墨</w:t>
                  </w:r>
                </w:p>
              </w:tc>
              <w:tc>
                <w:tcPr>
                  <w:tcW w:w="662" w:type="dxa"/>
                  <w:vAlign w:val="center"/>
                </w:tcPr>
                <w:p>
                  <w:pPr>
                    <w:pStyle w:val="28"/>
                    <w:spacing w:line="360" w:lineRule="exact"/>
                    <w:rPr>
                      <w:color w:val="auto"/>
                      <w:szCs w:val="21"/>
                    </w:rPr>
                  </w:pPr>
                  <w:r>
                    <w:rPr>
                      <w:rFonts w:hint="eastAsia"/>
                      <w:color w:val="auto"/>
                      <w:szCs w:val="21"/>
                    </w:rPr>
                    <w:t>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30</w:t>
                  </w:r>
                </w:p>
              </w:tc>
              <w:tc>
                <w:tcPr>
                  <w:tcW w:w="708" w:type="dxa"/>
                  <w:vMerge w:val="continue"/>
                  <w:shd w:val="clear" w:color="auto" w:fill="auto"/>
                  <w:vAlign w:val="center"/>
                </w:tcPr>
                <w:p>
                  <w:pPr>
                    <w:pStyle w:val="28"/>
                    <w:spacing w:line="360" w:lineRule="exact"/>
                    <w:rPr>
                      <w:color w:val="auto"/>
                      <w:szCs w:val="21"/>
                    </w:rPr>
                  </w:pP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900-250-12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使用有机溶剂、光漆进行光漆涂布、喷漆工艺过程中产生的废物</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有机溶剂等</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31</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900-251-12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使用油漆（不包括水性漆）、有机溶剂进行阻挡层涂敷过程中产生的废物</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油漆</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32</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900-252-12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使用油漆（不包括水性漆）、有机溶剂进行喷漆、上漆过程中产生的废物</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油漆</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33</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900-253-12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使用油墨和有机溶剂进行丝网印刷过程中产生的废物</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油墨、有机溶剂</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34</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900-255-12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使用各种颜料进行着色过程中产生的废颜料</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颜料</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35</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900-256-12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使用酸、碱或有机溶剂清洗容器设备过程中剥离下的废油漆、废染料、废涂料</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w:t>
                  </w:r>
                  <w:r>
                    <w:rPr>
                      <w:rFonts w:hint="eastAsia"/>
                      <w:color w:val="auto"/>
                      <w:szCs w:val="21"/>
                    </w:rPr>
                    <w:t>I</w:t>
                  </w:r>
                  <w:r>
                    <w:rPr>
                      <w:color w:val="auto"/>
                      <w:szCs w:val="21"/>
                    </w:rPr>
                    <w:t>，</w:t>
                  </w:r>
                  <w:r>
                    <w:rPr>
                      <w:rFonts w:hint="eastAsia"/>
                      <w:color w:val="auto"/>
                      <w:szCs w:val="21"/>
                    </w:rPr>
                    <w:t>C</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color w:val="auto"/>
                      <w:szCs w:val="21"/>
                    </w:rPr>
                    <w:t>油漆、染料、涂料</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36</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900-299-12</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生产、销售及使用过程中产生的失效、变质、不合格、淘汰、伪劣的油墨、染料、颜料、油漆（不包括水性漆）</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油墨、染料、颜料、油漆</w:t>
                  </w: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37</w:t>
                  </w:r>
                </w:p>
              </w:tc>
              <w:tc>
                <w:tcPr>
                  <w:tcW w:w="708" w:type="dxa"/>
                  <w:vMerge w:val="restart"/>
                  <w:shd w:val="clear" w:color="auto" w:fill="auto"/>
                  <w:vAlign w:val="center"/>
                </w:tcPr>
                <w:p>
                  <w:pPr>
                    <w:pStyle w:val="28"/>
                    <w:spacing w:line="360" w:lineRule="exact"/>
                    <w:rPr>
                      <w:color w:val="auto"/>
                      <w:szCs w:val="21"/>
                    </w:rPr>
                  </w:pPr>
                  <w:r>
                    <w:rPr>
                      <w:color w:val="auto"/>
                      <w:szCs w:val="21"/>
                    </w:rPr>
                    <w:t>HW13有机树脂类废物</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900-014-13</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废弃的粘合剂和密封剂（不包括水基型和热熔型粘合剂和密封剂）</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color w:val="auto"/>
                      <w:szCs w:val="21"/>
                    </w:rPr>
                    <w:t>液态、</w:t>
                  </w:r>
                  <w:r>
                    <w:rPr>
                      <w:rFonts w:hint="eastAsia"/>
                      <w:color w:val="auto"/>
                      <w:szCs w:val="21"/>
                    </w:rPr>
                    <w:t>半</w:t>
                  </w:r>
                  <w:r>
                    <w:rPr>
                      <w:color w:val="auto"/>
                      <w:szCs w:val="21"/>
                    </w:rPr>
                    <w:t>固态</w:t>
                  </w:r>
                </w:p>
              </w:tc>
              <w:tc>
                <w:tcPr>
                  <w:tcW w:w="993" w:type="dxa"/>
                  <w:vAlign w:val="center"/>
                </w:tcPr>
                <w:p>
                  <w:pPr>
                    <w:pStyle w:val="28"/>
                    <w:spacing w:line="360" w:lineRule="exact"/>
                    <w:rPr>
                      <w:color w:val="auto"/>
                      <w:szCs w:val="21"/>
                    </w:rPr>
                  </w:pPr>
                  <w:r>
                    <w:rPr>
                      <w:rFonts w:hint="eastAsia"/>
                      <w:color w:val="auto"/>
                      <w:szCs w:val="21"/>
                    </w:rPr>
                    <w:t>虫胶、丁基橡胶、醋酸乙烯树脂、丙烯酸树脂等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38</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900-015-13</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湿法冶金、表面处理和制药行业重金属、抗生素提取、分离过程产生的废弃离子交换树脂，以及工业废水处理过程产生的废弃离子交换树脂</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color w:val="auto"/>
                      <w:szCs w:val="21"/>
                    </w:rPr>
                    <w:t>固态</w:t>
                  </w:r>
                </w:p>
              </w:tc>
              <w:tc>
                <w:tcPr>
                  <w:tcW w:w="993" w:type="dxa"/>
                  <w:vAlign w:val="center"/>
                </w:tcPr>
                <w:p>
                  <w:pPr>
                    <w:pStyle w:val="28"/>
                    <w:spacing w:line="360" w:lineRule="exact"/>
                    <w:rPr>
                      <w:color w:val="auto"/>
                      <w:szCs w:val="21"/>
                    </w:rPr>
                  </w:pPr>
                  <w:r>
                    <w:rPr>
                      <w:color w:val="auto"/>
                      <w:szCs w:val="21"/>
                    </w:rPr>
                    <w:t>抗生素、重金属离子</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39</w:t>
                  </w:r>
                </w:p>
              </w:tc>
              <w:tc>
                <w:tcPr>
                  <w:tcW w:w="708" w:type="dxa"/>
                  <w:vMerge w:val="restart"/>
                  <w:shd w:val="clear" w:color="auto" w:fill="auto"/>
                  <w:vAlign w:val="center"/>
                </w:tcPr>
                <w:p>
                  <w:pPr>
                    <w:pStyle w:val="28"/>
                    <w:spacing w:line="360" w:lineRule="exact"/>
                    <w:rPr>
                      <w:color w:val="auto"/>
                      <w:szCs w:val="21"/>
                    </w:rPr>
                  </w:pPr>
                  <w:r>
                    <w:rPr>
                      <w:color w:val="auto"/>
                      <w:szCs w:val="21"/>
                    </w:rPr>
                    <w:t>HW16感光材料废物</w:t>
                  </w:r>
                </w:p>
              </w:tc>
              <w:tc>
                <w:tcPr>
                  <w:tcW w:w="769" w:type="dxa"/>
                  <w:vMerge w:val="restart"/>
                  <w:shd w:val="clear" w:color="auto" w:fill="auto"/>
                  <w:vAlign w:val="center"/>
                </w:tcPr>
                <w:p>
                  <w:pPr>
                    <w:pStyle w:val="28"/>
                    <w:spacing w:line="360" w:lineRule="exact"/>
                    <w:rPr>
                      <w:color w:val="auto"/>
                      <w:szCs w:val="21"/>
                    </w:rPr>
                  </w:pPr>
                  <w:r>
                    <w:rPr>
                      <w:color w:val="auto"/>
                      <w:szCs w:val="21"/>
                    </w:rPr>
                    <w:t>印刷</w:t>
                  </w:r>
                </w:p>
              </w:tc>
              <w:tc>
                <w:tcPr>
                  <w:tcW w:w="1220" w:type="dxa"/>
                  <w:shd w:val="clear" w:color="auto" w:fill="auto"/>
                  <w:vAlign w:val="center"/>
                </w:tcPr>
                <w:p>
                  <w:pPr>
                    <w:pStyle w:val="28"/>
                    <w:spacing w:line="360" w:lineRule="exact"/>
                    <w:rPr>
                      <w:color w:val="auto"/>
                      <w:szCs w:val="21"/>
                    </w:rPr>
                  </w:pPr>
                  <w:r>
                    <w:rPr>
                      <w:color w:val="auto"/>
                      <w:szCs w:val="21"/>
                    </w:rPr>
                    <w:t>231-001-16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使用显影剂进行胶卷显影，使用定影剂进行胶卷定影，以及使用铁</w:t>
                  </w:r>
                  <w:r>
                    <w:rPr>
                      <w:rFonts w:hint="eastAsia"/>
                      <w:color w:val="auto"/>
                      <w:szCs w:val="21"/>
                    </w:rPr>
                    <w:t>氰</w:t>
                  </w:r>
                  <w:r>
                    <w:rPr>
                      <w:color w:val="auto"/>
                      <w:szCs w:val="21"/>
                    </w:rPr>
                    <w:t>化钾、硫代硫酸盐进行影像减薄（漂白）产生的废显（定）影剂、胶片和废像纸</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硫酸、硝酸及苯、甲醇卤化银、硼酸、对苯二酚等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40</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231-002-16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使用显影剂进行印刷显影、抗蚀图形显影，以及凸版印刷产生的废显（定）影剂、胶片和废像纸</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硫代硫酸钠、硫代硫酸铵、亚硫酸钠、亚硫酸氢钠等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41</w:t>
                  </w:r>
                </w:p>
              </w:tc>
              <w:tc>
                <w:tcPr>
                  <w:tcW w:w="708" w:type="dxa"/>
                  <w:vMerge w:val="continue"/>
                  <w:shd w:val="clear" w:color="auto" w:fill="auto"/>
                  <w:vAlign w:val="center"/>
                </w:tcPr>
                <w:p>
                  <w:pPr>
                    <w:pStyle w:val="28"/>
                    <w:spacing w:line="360" w:lineRule="exact"/>
                    <w:rPr>
                      <w:color w:val="auto"/>
                      <w:szCs w:val="21"/>
                    </w:rPr>
                  </w:pPr>
                </w:p>
              </w:tc>
              <w:tc>
                <w:tcPr>
                  <w:tcW w:w="769" w:type="dxa"/>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900-019-16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其他行业产生的废显（定）影剂、胶片和废像纸</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对苯二酚、硫代硫酸钠等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42</w:t>
                  </w:r>
                </w:p>
              </w:tc>
              <w:tc>
                <w:tcPr>
                  <w:tcW w:w="708" w:type="dxa"/>
                  <w:vMerge w:val="restart"/>
                  <w:shd w:val="clear" w:color="auto" w:fill="auto"/>
                  <w:vAlign w:val="center"/>
                </w:tcPr>
                <w:p>
                  <w:pPr>
                    <w:pStyle w:val="28"/>
                    <w:spacing w:line="360" w:lineRule="exact"/>
                    <w:rPr>
                      <w:color w:val="auto"/>
                      <w:szCs w:val="21"/>
                    </w:rPr>
                  </w:pPr>
                  <w:r>
                    <w:rPr>
                      <w:color w:val="auto"/>
                      <w:szCs w:val="21"/>
                    </w:rPr>
                    <w:t>HW17表面处理废物</w:t>
                  </w:r>
                </w:p>
              </w:tc>
              <w:tc>
                <w:tcPr>
                  <w:tcW w:w="769" w:type="dxa"/>
                  <w:vMerge w:val="restart"/>
                  <w:shd w:val="clear" w:color="auto" w:fill="auto"/>
                  <w:vAlign w:val="center"/>
                </w:tcPr>
                <w:p>
                  <w:pPr>
                    <w:pStyle w:val="28"/>
                    <w:spacing w:line="360" w:lineRule="exact"/>
                    <w:rPr>
                      <w:color w:val="auto"/>
                      <w:szCs w:val="21"/>
                    </w:rPr>
                  </w:pPr>
                  <w:r>
                    <w:rPr>
                      <w:color w:val="auto"/>
                      <w:szCs w:val="21"/>
                    </w:rPr>
                    <w:t>金属表面处理及热处理加工</w:t>
                  </w:r>
                </w:p>
              </w:tc>
              <w:tc>
                <w:tcPr>
                  <w:tcW w:w="1220" w:type="dxa"/>
                  <w:shd w:val="clear" w:color="auto" w:fill="auto"/>
                  <w:vAlign w:val="center"/>
                </w:tcPr>
                <w:p>
                  <w:pPr>
                    <w:pStyle w:val="28"/>
                    <w:spacing w:line="360" w:lineRule="exact"/>
                    <w:rPr>
                      <w:color w:val="auto"/>
                      <w:szCs w:val="21"/>
                    </w:rPr>
                  </w:pPr>
                  <w:r>
                    <w:rPr>
                      <w:color w:val="auto"/>
                      <w:szCs w:val="21"/>
                    </w:rPr>
                    <w:t>336-063-17</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其他电锁工艺产生的废槽液、槽渣和废水处理污泥</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铜、镍、银等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43</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336-064-17</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金属或塑料表面酸（碱）洗、除油、除锈、洗涤、磷化、出光、化抛工艺产生的废腐蚀液、废洗涤液、废槽液、槽渣和废水处理污泥（不包括：铝、镁材（板）表面酸（碱）洗、粗化、硫酸阳极处理、磷酸化学抛光废水处理污泥，铝电解电容器用铝电极络化学腐蚀、非硼酸系化成液化成废水处理污泥，铝材挤压加工模具碱洗（煲模）废水处理污泥，碳钢酸洗除锈废水处理污泥）</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/C</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color w:val="auto"/>
                      <w:szCs w:val="21"/>
                    </w:rPr>
                    <w:t>酸、碱、盐类物质、金属离子等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44</w:t>
                  </w:r>
                </w:p>
              </w:tc>
              <w:tc>
                <w:tcPr>
                  <w:tcW w:w="708" w:type="dxa"/>
                  <w:shd w:val="clear" w:color="auto" w:fill="auto"/>
                  <w:vAlign w:val="center"/>
                </w:tcPr>
                <w:p>
                  <w:pPr>
                    <w:pStyle w:val="28"/>
                    <w:spacing w:line="360" w:lineRule="exact"/>
                    <w:rPr>
                      <w:color w:val="auto"/>
                      <w:szCs w:val="21"/>
                    </w:rPr>
                  </w:pPr>
                  <w:r>
                    <w:rPr>
                      <w:color w:val="auto"/>
                      <w:szCs w:val="21"/>
                    </w:rPr>
                    <w:t>HW23含锌废物</w:t>
                  </w:r>
                </w:p>
              </w:tc>
              <w:tc>
                <w:tcPr>
                  <w:tcW w:w="769" w:type="dxa"/>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900-021-23</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使用氢氧化钠、锌粉进行贵金属沉淀过程中产生的废液和废水处理污泥</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color w:val="auto"/>
                      <w:szCs w:val="21"/>
                    </w:rPr>
                    <w:t>锌、</w:t>
                  </w:r>
                  <w:r>
                    <w:rPr>
                      <w:rFonts w:hint="eastAsia"/>
                      <w:color w:val="auto"/>
                      <w:szCs w:val="21"/>
                    </w:rPr>
                    <w:t>氢氧化钠、氰化物等</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45</w:t>
                  </w:r>
                </w:p>
              </w:tc>
              <w:tc>
                <w:tcPr>
                  <w:tcW w:w="708" w:type="dxa"/>
                  <w:vMerge w:val="restart"/>
                  <w:shd w:val="clear" w:color="auto" w:fill="auto"/>
                  <w:vAlign w:val="center"/>
                </w:tcPr>
                <w:p>
                  <w:pPr>
                    <w:pStyle w:val="28"/>
                    <w:spacing w:line="360" w:lineRule="exact"/>
                    <w:rPr>
                      <w:color w:val="auto"/>
                      <w:szCs w:val="21"/>
                    </w:rPr>
                  </w:pPr>
                  <w:r>
                    <w:rPr>
                      <w:color w:val="auto"/>
                      <w:szCs w:val="21"/>
                    </w:rPr>
                    <w:t>HW29含汞废物</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900-022-29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废弃的含汞催化剂</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rFonts w:hint="eastAsia"/>
                      <w:color w:val="auto"/>
                      <w:szCs w:val="21"/>
                    </w:rPr>
                    <w:t>汞</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46</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900-023-29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生产、销售及使用过程中产生的废含汞荧光灯管及其他废含汞电光源，及废弃含汞电光源处理处置过程中产生的废荧光粉、废活性炭和废水处理污泥</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rFonts w:hint="eastAsia"/>
                      <w:color w:val="auto"/>
                      <w:szCs w:val="21"/>
                    </w:rPr>
                    <w:t>汞</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47</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900-024-29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生产、销售及使用过程中产生的废含汞温度计</w:t>
                  </w:r>
                  <w:r>
                    <w:rPr>
                      <w:rFonts w:hint="eastAsia"/>
                      <w:color w:val="auto"/>
                      <w:szCs w:val="21"/>
                    </w:rPr>
                    <w:t>、</w:t>
                  </w:r>
                  <w:r>
                    <w:rPr>
                      <w:color w:val="auto"/>
                      <w:szCs w:val="21"/>
                    </w:rPr>
                    <w:t>废含汞血压计、废含汞真空表、废含汞压力计</w:t>
                  </w:r>
                  <w:r>
                    <w:rPr>
                      <w:rFonts w:hint="eastAsia"/>
                      <w:color w:val="auto"/>
                      <w:szCs w:val="21"/>
                    </w:rPr>
                    <w:t>、</w:t>
                  </w:r>
                  <w:r>
                    <w:rPr>
                      <w:color w:val="auto"/>
                      <w:szCs w:val="21"/>
                    </w:rPr>
                    <w:t>废氧化汞电池和废汞开关</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rFonts w:hint="eastAsia"/>
                      <w:color w:val="auto"/>
                      <w:szCs w:val="21"/>
                    </w:rPr>
                    <w:t>汞</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48</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900-452-29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含汞废水处理过程中产生的废树脂、废活性炭和污泥</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rFonts w:hint="eastAsia"/>
                      <w:color w:val="auto"/>
                      <w:szCs w:val="21"/>
                    </w:rPr>
                    <w:t>汞</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49</w:t>
                  </w:r>
                </w:p>
              </w:tc>
              <w:tc>
                <w:tcPr>
                  <w:tcW w:w="708" w:type="dxa"/>
                  <w:shd w:val="clear" w:color="auto" w:fill="auto"/>
                  <w:vAlign w:val="center"/>
                </w:tcPr>
                <w:p>
                  <w:pPr>
                    <w:pStyle w:val="28"/>
                    <w:spacing w:line="360" w:lineRule="exact"/>
                    <w:rPr>
                      <w:color w:val="auto"/>
                      <w:szCs w:val="21"/>
                    </w:rPr>
                  </w:pPr>
                  <w:r>
                    <w:rPr>
                      <w:color w:val="auto"/>
                      <w:szCs w:val="21"/>
                    </w:rPr>
                    <w:t>HW34废酸</w:t>
                  </w:r>
                </w:p>
              </w:tc>
              <w:tc>
                <w:tcPr>
                  <w:tcW w:w="769" w:type="dxa"/>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900-349-34</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生产、销售及使用过程中产生的失效、变质、不合格、淘汰、伪劣的强酸性擦洗粉、清洁剂</w:t>
                  </w:r>
                  <w:r>
                    <w:rPr>
                      <w:rFonts w:hint="eastAsia"/>
                      <w:color w:val="auto"/>
                      <w:szCs w:val="21"/>
                    </w:rPr>
                    <w:t>、</w:t>
                  </w:r>
                  <w:r>
                    <w:rPr>
                      <w:color w:val="auto"/>
                      <w:szCs w:val="21"/>
                    </w:rPr>
                    <w:t>污迹去除剂以及其他强酸性废酸液和酸渣</w:t>
                  </w:r>
                </w:p>
              </w:tc>
              <w:tc>
                <w:tcPr>
                  <w:tcW w:w="709" w:type="dxa"/>
                  <w:vAlign w:val="center"/>
                </w:tcPr>
                <w:p>
                  <w:pPr>
                    <w:pStyle w:val="28"/>
                    <w:spacing w:line="360" w:lineRule="exact"/>
                    <w:rPr>
                      <w:color w:val="auto"/>
                      <w:szCs w:val="21"/>
                    </w:rPr>
                  </w:pPr>
                  <w:r>
                    <w:rPr>
                      <w:color w:val="auto"/>
                      <w:szCs w:val="21"/>
                    </w:rPr>
                    <w:t>C，</w:t>
                  </w: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rFonts w:hint="eastAsia"/>
                      <w:color w:val="auto"/>
                      <w:szCs w:val="21"/>
                    </w:rPr>
                    <w:t>盐酸、硫酸、硝酸、磷酸等</w:t>
                  </w: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50</w:t>
                  </w:r>
                </w:p>
              </w:tc>
              <w:tc>
                <w:tcPr>
                  <w:tcW w:w="708" w:type="dxa"/>
                  <w:vMerge w:val="restart"/>
                  <w:shd w:val="clear" w:color="auto" w:fill="auto"/>
                  <w:vAlign w:val="center"/>
                </w:tcPr>
                <w:p>
                  <w:pPr>
                    <w:pStyle w:val="28"/>
                    <w:spacing w:line="360" w:lineRule="exact"/>
                    <w:rPr>
                      <w:color w:val="auto"/>
                      <w:szCs w:val="21"/>
                    </w:rPr>
                  </w:pPr>
                  <w:r>
                    <w:rPr>
                      <w:color w:val="auto"/>
                      <w:szCs w:val="21"/>
                    </w:rPr>
                    <w:t>HW35废碱</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900-352-35</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使用碱进行清洗产生的废碱液</w:t>
                  </w:r>
                </w:p>
              </w:tc>
              <w:tc>
                <w:tcPr>
                  <w:tcW w:w="709" w:type="dxa"/>
                  <w:vAlign w:val="center"/>
                </w:tcPr>
                <w:p>
                  <w:pPr>
                    <w:pStyle w:val="28"/>
                    <w:spacing w:line="360" w:lineRule="exact"/>
                    <w:rPr>
                      <w:color w:val="auto"/>
                      <w:szCs w:val="21"/>
                    </w:rPr>
                  </w:pPr>
                  <w:r>
                    <w:rPr>
                      <w:color w:val="auto"/>
                      <w:szCs w:val="21"/>
                    </w:rPr>
                    <w:t>C，</w:t>
                  </w: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restart"/>
                  <w:vAlign w:val="center"/>
                </w:tcPr>
                <w:p>
                  <w:pPr>
                    <w:pStyle w:val="28"/>
                    <w:spacing w:line="360" w:lineRule="exact"/>
                    <w:rPr>
                      <w:color w:val="auto"/>
                      <w:szCs w:val="21"/>
                    </w:rPr>
                  </w:pPr>
                  <w:r>
                    <w:rPr>
                      <w:rFonts w:hint="eastAsia"/>
                      <w:color w:val="auto"/>
                      <w:szCs w:val="21"/>
                    </w:rPr>
                    <w:t>氢氧化钠、碳酸钠等</w:t>
                  </w: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51</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900-354-35</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使用碱进行电锁阻挡层或抗蚀层的脱除产生的废碱液</w:t>
                  </w:r>
                </w:p>
              </w:tc>
              <w:tc>
                <w:tcPr>
                  <w:tcW w:w="709" w:type="dxa"/>
                  <w:vAlign w:val="center"/>
                </w:tcPr>
                <w:p>
                  <w:pPr>
                    <w:pStyle w:val="28"/>
                    <w:spacing w:line="360" w:lineRule="exact"/>
                    <w:rPr>
                      <w:color w:val="auto"/>
                      <w:szCs w:val="21"/>
                    </w:rPr>
                  </w:pPr>
                  <w:r>
                    <w:rPr>
                      <w:color w:val="auto"/>
                      <w:szCs w:val="21"/>
                    </w:rPr>
                    <w:t>C，</w:t>
                  </w: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52</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900-399-35</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生产、销售及使用过程中产生的失效、变质、不合格、淘汰、伪劣的强碱性擦洗粉、清洁剂、污迹去除剂以及其他强碱性废碱液、固态碱和碱渣</w:t>
                  </w:r>
                </w:p>
              </w:tc>
              <w:tc>
                <w:tcPr>
                  <w:tcW w:w="709" w:type="dxa"/>
                  <w:vAlign w:val="center"/>
                </w:tcPr>
                <w:p>
                  <w:pPr>
                    <w:pStyle w:val="28"/>
                    <w:spacing w:line="360" w:lineRule="exact"/>
                    <w:rPr>
                      <w:color w:val="auto"/>
                      <w:szCs w:val="21"/>
                    </w:rPr>
                  </w:pPr>
                  <w:r>
                    <w:rPr>
                      <w:color w:val="auto"/>
                      <w:szCs w:val="21"/>
                    </w:rPr>
                    <w:t>C，</w:t>
                  </w: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Merge w:val="continue"/>
                  <w:vAlign w:val="center"/>
                </w:tcPr>
                <w:p>
                  <w:pPr>
                    <w:pStyle w:val="28"/>
                    <w:spacing w:line="360" w:lineRule="exact"/>
                    <w:rPr>
                      <w:color w:val="auto"/>
                      <w:szCs w:val="21"/>
                    </w:rPr>
                  </w:pP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53</w:t>
                  </w:r>
                </w:p>
              </w:tc>
              <w:tc>
                <w:tcPr>
                  <w:tcW w:w="708" w:type="dxa"/>
                  <w:vMerge w:val="restart"/>
                  <w:shd w:val="clear" w:color="auto" w:fill="auto"/>
                  <w:vAlign w:val="center"/>
                </w:tcPr>
                <w:p>
                  <w:pPr>
                    <w:pStyle w:val="28"/>
                    <w:spacing w:line="360" w:lineRule="exact"/>
                    <w:rPr>
                      <w:color w:val="auto"/>
                      <w:szCs w:val="21"/>
                    </w:rPr>
                  </w:pPr>
                  <w:r>
                    <w:rPr>
                      <w:color w:val="auto"/>
                      <w:szCs w:val="21"/>
                    </w:rPr>
                    <w:t>HW36石棉废物</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900-030-36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其他生产过程中产生的石棉废物</w:t>
                  </w:r>
                </w:p>
              </w:tc>
              <w:tc>
                <w:tcPr>
                  <w:tcW w:w="709" w:type="dxa"/>
                  <w:vAlign w:val="center"/>
                </w:tcPr>
                <w:p>
                  <w:pPr>
                    <w:pStyle w:val="28"/>
                    <w:spacing w:line="360" w:lineRule="exact"/>
                    <w:rPr>
                      <w:color w:val="auto"/>
                      <w:szCs w:val="21"/>
                    </w:rPr>
                  </w:pPr>
                  <w:r>
                    <w:rPr>
                      <w:color w:val="auto"/>
                      <w:szCs w:val="21"/>
                    </w:rPr>
                    <w:t>C，</w:t>
                  </w: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石棉</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54</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900-031-36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含有石棉的废绝缘材料、建筑废物</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石棉</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55</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900-032-36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含有隔膜、热绝缘体等石棉材料的设施保养拆换及车辆制动器衬片的更换产生的石棉废物</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石棉</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56</w:t>
                  </w:r>
                </w:p>
              </w:tc>
              <w:tc>
                <w:tcPr>
                  <w:tcW w:w="708" w:type="dxa"/>
                  <w:shd w:val="clear" w:color="auto" w:fill="auto"/>
                  <w:vAlign w:val="center"/>
                </w:tcPr>
                <w:p>
                  <w:pPr>
                    <w:pStyle w:val="28"/>
                    <w:spacing w:line="360" w:lineRule="exact"/>
                    <w:rPr>
                      <w:color w:val="auto"/>
                      <w:szCs w:val="21"/>
                    </w:rPr>
                  </w:pPr>
                  <w:r>
                    <w:rPr>
                      <w:color w:val="auto"/>
                      <w:szCs w:val="21"/>
                    </w:rPr>
                    <w:t>HW46含镍废物</w:t>
                  </w:r>
                </w:p>
              </w:tc>
              <w:tc>
                <w:tcPr>
                  <w:tcW w:w="769" w:type="dxa"/>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900-037-46</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废弃的镍催化剂</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镍</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57</w:t>
                  </w:r>
                </w:p>
              </w:tc>
              <w:tc>
                <w:tcPr>
                  <w:tcW w:w="708" w:type="dxa"/>
                  <w:vMerge w:val="restart"/>
                  <w:shd w:val="clear" w:color="auto" w:fill="auto"/>
                  <w:vAlign w:val="center"/>
                </w:tcPr>
                <w:p>
                  <w:pPr>
                    <w:pStyle w:val="28"/>
                    <w:spacing w:line="360" w:lineRule="exact"/>
                    <w:rPr>
                      <w:color w:val="auto"/>
                      <w:szCs w:val="21"/>
                    </w:rPr>
                  </w:pPr>
                  <w:r>
                    <w:rPr>
                      <w:color w:val="auto"/>
                      <w:szCs w:val="21"/>
                    </w:rPr>
                    <w:t>HW49其他废物</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900-039-49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烟气、VOCs治理过程</w:t>
                  </w:r>
                  <w:r>
                    <w:rPr>
                      <w:rFonts w:hint="eastAsia"/>
                      <w:color w:val="auto"/>
                      <w:szCs w:val="21"/>
                    </w:rPr>
                    <w:t>（</w:t>
                  </w:r>
                  <w:r>
                    <w:rPr>
                      <w:color w:val="auto"/>
                      <w:szCs w:val="21"/>
                    </w:rPr>
                    <w:t>不包括餐饮行业油烟治理过程</w:t>
                  </w:r>
                  <w:r>
                    <w:rPr>
                      <w:rFonts w:hint="eastAsia"/>
                      <w:color w:val="auto"/>
                      <w:szCs w:val="21"/>
                    </w:rPr>
                    <w:t>）</w:t>
                  </w:r>
                  <w:r>
                    <w:rPr>
                      <w:color w:val="auto"/>
                      <w:szCs w:val="21"/>
                    </w:rPr>
                    <w:t>产生的废活性炭，化学原料和化学制品脱色</w:t>
                  </w:r>
                  <w:r>
                    <w:rPr>
                      <w:rFonts w:hint="eastAsia"/>
                      <w:color w:val="auto"/>
                      <w:szCs w:val="21"/>
                    </w:rPr>
                    <w:t>（</w:t>
                  </w:r>
                  <w:r>
                    <w:rPr>
                      <w:color w:val="auto"/>
                      <w:szCs w:val="21"/>
                    </w:rPr>
                    <w:t>不包括有机合成食品添加剂脱色</w:t>
                  </w:r>
                  <w:r>
                    <w:rPr>
                      <w:rFonts w:hint="eastAsia"/>
                      <w:color w:val="auto"/>
                      <w:szCs w:val="21"/>
                    </w:rPr>
                    <w:t>）</w:t>
                  </w:r>
                  <w:r>
                    <w:rPr>
                      <w:color w:val="auto"/>
                      <w:szCs w:val="21"/>
                    </w:rPr>
                    <w:t>、除杂、净化过程产生的废活性炭</w:t>
                  </w:r>
                  <w:r>
                    <w:rPr>
                      <w:rFonts w:hint="eastAsia"/>
                      <w:color w:val="auto"/>
                      <w:szCs w:val="21"/>
                    </w:rPr>
                    <w:t>（</w:t>
                  </w:r>
                  <w:r>
                    <w:rPr>
                      <w:color w:val="auto"/>
                      <w:szCs w:val="21"/>
                    </w:rPr>
                    <w:t>不包括772-005-18、261-053-29</w:t>
                  </w:r>
                  <w:r>
                    <w:rPr>
                      <w:rFonts w:hint="eastAsia"/>
                      <w:color w:val="auto"/>
                      <w:szCs w:val="21"/>
                    </w:rPr>
                    <w:t>、</w:t>
                  </w:r>
                  <w:r>
                    <w:rPr>
                      <w:color w:val="auto"/>
                      <w:szCs w:val="21"/>
                    </w:rPr>
                    <w:t>900-405-06、265-002-29、384-003-29、387-001-29类废物</w:t>
                  </w:r>
                  <w:r>
                    <w:rPr>
                      <w:rFonts w:hint="eastAsia"/>
                      <w:color w:val="auto"/>
                      <w:szCs w:val="21"/>
                    </w:rPr>
                    <w:t>）</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活性炭</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58</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900-041-49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含有或沾染毒性、感染性危险废物的废弃包装物、容器、过滤吸附介质</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/In</w:t>
                  </w:r>
                </w:p>
              </w:tc>
              <w:tc>
                <w:tcPr>
                  <w:tcW w:w="708" w:type="dxa"/>
                  <w:vAlign w:val="center"/>
                </w:tcPr>
                <w:p>
                  <w:pPr>
                    <w:pStyle w:val="28"/>
                    <w:spacing w:line="360" w:lineRule="exact"/>
                    <w:rPr>
                      <w:color w:val="auto"/>
                      <w:szCs w:val="21"/>
                    </w:rPr>
                  </w:pPr>
                  <w:r>
                    <w:rPr>
                      <w:rFonts w:hint="eastAsia"/>
                      <w:color w:val="auto"/>
                      <w:szCs w:val="21"/>
                    </w:rPr>
                    <w:t>固态、液态</w:t>
                  </w:r>
                </w:p>
              </w:tc>
              <w:tc>
                <w:tcPr>
                  <w:tcW w:w="993" w:type="dxa"/>
                  <w:vAlign w:val="center"/>
                </w:tcPr>
                <w:p>
                  <w:pPr>
                    <w:pStyle w:val="28"/>
                    <w:spacing w:line="360" w:lineRule="exact"/>
                    <w:rPr>
                      <w:color w:val="auto"/>
                      <w:szCs w:val="21"/>
                    </w:rPr>
                  </w:pPr>
                  <w:r>
                    <w:rPr>
                      <w:rFonts w:hint="eastAsia"/>
                      <w:color w:val="auto"/>
                      <w:szCs w:val="21"/>
                    </w:rPr>
                    <w:t>/</w:t>
                  </w:r>
                </w:p>
              </w:tc>
              <w:tc>
                <w:tcPr>
                  <w:tcW w:w="662" w:type="dxa"/>
                  <w:vAlign w:val="center"/>
                </w:tcPr>
                <w:p>
                  <w:pPr>
                    <w:pStyle w:val="28"/>
                    <w:spacing w:line="360" w:lineRule="exact"/>
                    <w:rPr>
                      <w:color w:val="auto"/>
                      <w:szCs w:val="21"/>
                    </w:rPr>
                  </w:pPr>
                  <w:r>
                    <w:rPr>
                      <w:rFonts w:hint="eastAsia"/>
                      <w:color w:val="auto"/>
                      <w:szCs w:val="21"/>
                    </w:rPr>
                    <w:t>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59</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900-042-49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环境事件及其处理过程中产生的沾染危险化学品、危险废物的废物</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/C/I/R/In</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rFonts w:hint="eastAsia"/>
                      <w:color w:val="auto"/>
                      <w:szCs w:val="21"/>
                    </w:rPr>
                    <w:t>/</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60</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900-044-49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废弃的镉镍电池、荧光粉和阴极射线管</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镉、镍、锰等</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61</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900-045-49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废电路板（包括已拆除或未拆除元器件的废弃电路板），及废电路板拆解过程产生的废弃CPU、显卡、声卡、内存、含电解液的电容器含金等贵金属的连接件</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金等贵金属</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62</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900-046-49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离子交换装置（不包括饮用水、工业纯水和锅炉软化水制备装置）再生过程中产生的废水处理污泥</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color w:val="auto"/>
                      <w:szCs w:val="21"/>
                    </w:rPr>
                    <w:t>盐类物质</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63</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900-047-49</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生产、研究、开发、教学、环境检测（监测）活动中，化学和生物实验室（不包含感染性医学实验室及医疗机构化验室）产生的含氰、氟重金属无机废液及无机废液处理产生的残渣、残液，含矿物油、有机溶剂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709" w:type="dxa"/>
                  <w:vAlign w:val="center"/>
                </w:tcPr>
                <w:p>
                  <w:pPr>
                    <w:pStyle w:val="28"/>
                    <w:spacing w:line="360" w:lineRule="exact"/>
                    <w:rPr>
                      <w:color w:val="auto"/>
                      <w:szCs w:val="21"/>
                    </w:rPr>
                  </w:pPr>
                  <w:r>
                    <w:rPr>
                      <w:rFonts w:hint="eastAsia"/>
                      <w:color w:val="auto"/>
                      <w:szCs w:val="21"/>
                    </w:rPr>
                    <w:t>T</w:t>
                  </w:r>
                  <w:r>
                    <w:rPr>
                      <w:color w:val="auto"/>
                      <w:szCs w:val="21"/>
                    </w:rPr>
                    <w:t>/C/I/R</w:t>
                  </w:r>
                </w:p>
              </w:tc>
              <w:tc>
                <w:tcPr>
                  <w:tcW w:w="708" w:type="dxa"/>
                  <w:vAlign w:val="center"/>
                </w:tcPr>
                <w:p>
                  <w:pPr>
                    <w:pStyle w:val="28"/>
                    <w:spacing w:line="360" w:lineRule="exact"/>
                    <w:rPr>
                      <w:color w:val="auto"/>
                      <w:szCs w:val="21"/>
                    </w:rPr>
                  </w:pPr>
                  <w:r>
                    <w:rPr>
                      <w:rFonts w:hint="eastAsia"/>
                      <w:color w:val="auto"/>
                      <w:szCs w:val="21"/>
                    </w:rPr>
                    <w:t>液态、固态</w:t>
                  </w:r>
                </w:p>
              </w:tc>
              <w:tc>
                <w:tcPr>
                  <w:tcW w:w="993" w:type="dxa"/>
                  <w:vAlign w:val="center"/>
                </w:tcPr>
                <w:p>
                  <w:pPr>
                    <w:pStyle w:val="28"/>
                    <w:spacing w:line="360" w:lineRule="exact"/>
                    <w:rPr>
                      <w:color w:val="auto"/>
                      <w:szCs w:val="21"/>
                    </w:rPr>
                  </w:pPr>
                  <w:r>
                    <w:rPr>
                      <w:color w:val="auto"/>
                      <w:szCs w:val="21"/>
                    </w:rPr>
                    <w:t>含氰、氟重金属，</w:t>
                  </w:r>
                </w:p>
              </w:tc>
              <w:tc>
                <w:tcPr>
                  <w:tcW w:w="662" w:type="dxa"/>
                  <w:vAlign w:val="center"/>
                </w:tcPr>
                <w:p>
                  <w:pPr>
                    <w:pStyle w:val="28"/>
                    <w:spacing w:line="360" w:lineRule="exact"/>
                    <w:rPr>
                      <w:color w:val="auto"/>
                      <w:szCs w:val="21"/>
                    </w:rPr>
                  </w:pPr>
                  <w:r>
                    <w:rPr>
                      <w:rFonts w:hint="eastAsia"/>
                      <w:color w:val="auto"/>
                      <w:szCs w:val="21"/>
                    </w:rPr>
                    <w:t>铁桶/塑料桶/吨袋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64</w:t>
                  </w:r>
                </w:p>
              </w:tc>
              <w:tc>
                <w:tcPr>
                  <w:tcW w:w="708" w:type="dxa"/>
                  <w:vMerge w:val="restart"/>
                  <w:shd w:val="clear" w:color="auto" w:fill="auto"/>
                  <w:vAlign w:val="center"/>
                </w:tcPr>
                <w:p>
                  <w:pPr>
                    <w:pStyle w:val="28"/>
                    <w:spacing w:line="360" w:lineRule="exact"/>
                    <w:rPr>
                      <w:color w:val="auto"/>
                      <w:szCs w:val="21"/>
                    </w:rPr>
                  </w:pPr>
                  <w:r>
                    <w:rPr>
                      <w:color w:val="auto"/>
                      <w:szCs w:val="21"/>
                    </w:rPr>
                    <w:t>HW50废催化剂</w:t>
                  </w:r>
                </w:p>
              </w:tc>
              <w:tc>
                <w:tcPr>
                  <w:tcW w:w="769" w:type="dxa"/>
                  <w:vMerge w:val="restart"/>
                  <w:shd w:val="clear" w:color="auto" w:fill="auto"/>
                  <w:vAlign w:val="center"/>
                </w:tcPr>
                <w:p>
                  <w:pPr>
                    <w:pStyle w:val="28"/>
                    <w:spacing w:line="360" w:lineRule="exact"/>
                    <w:rPr>
                      <w:color w:val="auto"/>
                      <w:szCs w:val="21"/>
                    </w:rPr>
                  </w:pPr>
                  <w:r>
                    <w:rPr>
                      <w:color w:val="auto"/>
                      <w:szCs w:val="21"/>
                    </w:rPr>
                    <w:t>非特定行业</w:t>
                  </w:r>
                </w:p>
              </w:tc>
              <w:tc>
                <w:tcPr>
                  <w:tcW w:w="1220" w:type="dxa"/>
                  <w:shd w:val="clear" w:color="auto" w:fill="auto"/>
                  <w:vAlign w:val="center"/>
                </w:tcPr>
                <w:p>
                  <w:pPr>
                    <w:pStyle w:val="28"/>
                    <w:spacing w:line="360" w:lineRule="exact"/>
                    <w:rPr>
                      <w:color w:val="auto"/>
                      <w:szCs w:val="21"/>
                    </w:rPr>
                  </w:pPr>
                  <w:r>
                    <w:rPr>
                      <w:color w:val="auto"/>
                      <w:szCs w:val="21"/>
                    </w:rPr>
                    <w:t>900-048-50</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废液体催化剂</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液态</w:t>
                  </w:r>
                </w:p>
              </w:tc>
              <w:tc>
                <w:tcPr>
                  <w:tcW w:w="993" w:type="dxa"/>
                  <w:vAlign w:val="center"/>
                </w:tcPr>
                <w:p>
                  <w:pPr>
                    <w:pStyle w:val="28"/>
                    <w:spacing w:line="360" w:lineRule="exact"/>
                    <w:rPr>
                      <w:color w:val="auto"/>
                      <w:szCs w:val="21"/>
                    </w:rPr>
                  </w:pPr>
                  <w:r>
                    <w:rPr>
                      <w:color w:val="auto"/>
                      <w:szCs w:val="21"/>
                    </w:rPr>
                    <w:t>盐类等</w:t>
                  </w:r>
                </w:p>
              </w:tc>
              <w:tc>
                <w:tcPr>
                  <w:tcW w:w="662" w:type="dxa"/>
                  <w:vAlign w:val="center"/>
                </w:tcPr>
                <w:p>
                  <w:pPr>
                    <w:pStyle w:val="28"/>
                    <w:spacing w:line="360" w:lineRule="exact"/>
                    <w:rPr>
                      <w:color w:val="auto"/>
                      <w:szCs w:val="21"/>
                    </w:rPr>
                  </w:pPr>
                  <w:r>
                    <w:rPr>
                      <w:rFonts w:hint="eastAsia"/>
                      <w:color w:val="auto"/>
                      <w:szCs w:val="21"/>
                    </w:rPr>
                    <w:t>塑料桶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shd w:val="clear" w:color="auto" w:fill="auto"/>
                  <w:vAlign w:val="center"/>
                </w:tcPr>
                <w:p>
                  <w:pPr>
                    <w:pStyle w:val="28"/>
                    <w:spacing w:line="360" w:lineRule="exact"/>
                    <w:rPr>
                      <w:color w:val="auto"/>
                      <w:szCs w:val="21"/>
                    </w:rPr>
                  </w:pPr>
                  <w:r>
                    <w:rPr>
                      <w:rFonts w:hint="eastAsia"/>
                      <w:color w:val="auto"/>
                      <w:szCs w:val="21"/>
                    </w:rPr>
                    <w:t>65</w:t>
                  </w:r>
                </w:p>
              </w:tc>
              <w:tc>
                <w:tcPr>
                  <w:tcW w:w="708" w:type="dxa"/>
                  <w:vMerge w:val="continue"/>
                  <w:shd w:val="clear" w:color="auto" w:fill="auto"/>
                  <w:vAlign w:val="center"/>
                </w:tcPr>
                <w:p>
                  <w:pPr>
                    <w:pStyle w:val="28"/>
                    <w:spacing w:line="360" w:lineRule="exact"/>
                    <w:rPr>
                      <w:color w:val="auto"/>
                      <w:szCs w:val="21"/>
                    </w:rPr>
                  </w:pPr>
                </w:p>
              </w:tc>
              <w:tc>
                <w:tcPr>
                  <w:tcW w:w="769" w:type="dxa"/>
                  <w:vMerge w:val="continue"/>
                  <w:shd w:val="clear" w:color="auto" w:fill="auto"/>
                  <w:vAlign w:val="center"/>
                </w:tcPr>
                <w:p>
                  <w:pPr>
                    <w:pStyle w:val="28"/>
                    <w:spacing w:line="360" w:lineRule="exact"/>
                    <w:rPr>
                      <w:color w:val="auto"/>
                      <w:szCs w:val="21"/>
                    </w:rPr>
                  </w:pPr>
                </w:p>
              </w:tc>
              <w:tc>
                <w:tcPr>
                  <w:tcW w:w="1220" w:type="dxa"/>
                  <w:shd w:val="clear" w:color="auto" w:fill="auto"/>
                  <w:vAlign w:val="center"/>
                </w:tcPr>
                <w:p>
                  <w:pPr>
                    <w:pStyle w:val="28"/>
                    <w:spacing w:line="360" w:lineRule="exact"/>
                    <w:rPr>
                      <w:color w:val="auto"/>
                      <w:szCs w:val="21"/>
                    </w:rPr>
                  </w:pPr>
                  <w:r>
                    <w:rPr>
                      <w:color w:val="auto"/>
                      <w:szCs w:val="21"/>
                    </w:rPr>
                    <w:t>900-049-50</w:t>
                  </w:r>
                </w:p>
              </w:tc>
              <w:tc>
                <w:tcPr>
                  <w:tcW w:w="2408" w:type="dxa"/>
                  <w:shd w:val="clear" w:color="auto" w:fill="auto"/>
                  <w:vAlign w:val="center"/>
                </w:tcPr>
                <w:p>
                  <w:pPr>
                    <w:pStyle w:val="28"/>
                    <w:spacing w:line="360" w:lineRule="exact"/>
                    <w:ind w:firstLine="105" w:firstLineChars="50"/>
                    <w:jc w:val="both"/>
                    <w:rPr>
                      <w:color w:val="auto"/>
                      <w:szCs w:val="21"/>
                    </w:rPr>
                  </w:pPr>
                  <w:r>
                    <w:rPr>
                      <w:color w:val="auto"/>
                      <w:szCs w:val="21"/>
                    </w:rPr>
                    <w:t>机动车和非道路移动机械尾气净化废催化剂</w:t>
                  </w:r>
                </w:p>
              </w:tc>
              <w:tc>
                <w:tcPr>
                  <w:tcW w:w="709" w:type="dxa"/>
                  <w:vAlign w:val="center"/>
                </w:tcPr>
                <w:p>
                  <w:pPr>
                    <w:pStyle w:val="28"/>
                    <w:spacing w:line="360" w:lineRule="exact"/>
                    <w:rPr>
                      <w:color w:val="auto"/>
                      <w:szCs w:val="21"/>
                    </w:rPr>
                  </w:pPr>
                  <w:r>
                    <w:rPr>
                      <w:rFonts w:hint="eastAsia"/>
                      <w:color w:val="auto"/>
                      <w:szCs w:val="21"/>
                    </w:rPr>
                    <w:t>T</w:t>
                  </w:r>
                </w:p>
              </w:tc>
              <w:tc>
                <w:tcPr>
                  <w:tcW w:w="708" w:type="dxa"/>
                  <w:vAlign w:val="center"/>
                </w:tcPr>
                <w:p>
                  <w:pPr>
                    <w:pStyle w:val="28"/>
                    <w:spacing w:line="360" w:lineRule="exact"/>
                    <w:rPr>
                      <w:color w:val="auto"/>
                      <w:szCs w:val="21"/>
                    </w:rPr>
                  </w:pPr>
                  <w:r>
                    <w:rPr>
                      <w:rFonts w:hint="eastAsia"/>
                      <w:color w:val="auto"/>
                      <w:szCs w:val="21"/>
                    </w:rPr>
                    <w:t>固态</w:t>
                  </w:r>
                </w:p>
              </w:tc>
              <w:tc>
                <w:tcPr>
                  <w:tcW w:w="993" w:type="dxa"/>
                  <w:vAlign w:val="center"/>
                </w:tcPr>
                <w:p>
                  <w:pPr>
                    <w:pStyle w:val="28"/>
                    <w:spacing w:line="360" w:lineRule="exact"/>
                    <w:rPr>
                      <w:color w:val="auto"/>
                      <w:szCs w:val="21"/>
                    </w:rPr>
                  </w:pPr>
                  <w:r>
                    <w:rPr>
                      <w:rFonts w:hint="eastAsia"/>
                      <w:color w:val="auto"/>
                      <w:szCs w:val="21"/>
                    </w:rPr>
                    <w:t>铂、锗、钯等贵金属</w:t>
                  </w:r>
                </w:p>
              </w:tc>
              <w:tc>
                <w:tcPr>
                  <w:tcW w:w="662" w:type="dxa"/>
                  <w:vAlign w:val="center"/>
                </w:tcPr>
                <w:p>
                  <w:pPr>
                    <w:pStyle w:val="28"/>
                    <w:spacing w:line="360" w:lineRule="exact"/>
                    <w:rPr>
                      <w:color w:val="auto"/>
                      <w:szCs w:val="21"/>
                    </w:rPr>
                  </w:pPr>
                  <w:r>
                    <w:rPr>
                      <w:rFonts w:hint="eastAsia"/>
                      <w:color w:val="auto"/>
                      <w:szCs w:val="21"/>
                    </w:rPr>
                    <w:t>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38" w:type="dxa"/>
                  <w:gridSpan w:val="2"/>
                  <w:shd w:val="clear" w:color="auto" w:fill="auto"/>
                  <w:vAlign w:val="center"/>
                </w:tcPr>
                <w:p>
                  <w:pPr>
                    <w:pStyle w:val="28"/>
                    <w:spacing w:line="360" w:lineRule="exact"/>
                    <w:rPr>
                      <w:color w:val="auto"/>
                      <w:szCs w:val="21"/>
                    </w:rPr>
                  </w:pPr>
                  <w:r>
                    <w:rPr>
                      <w:rFonts w:hint="eastAsia"/>
                      <w:color w:val="auto"/>
                      <w:szCs w:val="21"/>
                    </w:rPr>
                    <w:t>合计</w:t>
                  </w:r>
                </w:p>
              </w:tc>
              <w:tc>
                <w:tcPr>
                  <w:tcW w:w="7469" w:type="dxa"/>
                  <w:gridSpan w:val="7"/>
                  <w:shd w:val="clear" w:color="auto" w:fill="auto"/>
                  <w:vAlign w:val="center"/>
                </w:tcPr>
                <w:p>
                  <w:pPr>
                    <w:pStyle w:val="28"/>
                    <w:spacing w:line="360" w:lineRule="exact"/>
                    <w:ind w:firstLine="105" w:firstLineChars="50"/>
                    <w:jc w:val="both"/>
                    <w:rPr>
                      <w:color w:val="auto"/>
                      <w:szCs w:val="21"/>
                    </w:rPr>
                  </w:pPr>
                  <w:r>
                    <w:rPr>
                      <w:color w:val="auto"/>
                      <w:szCs w:val="21"/>
                    </w:rPr>
                    <w:t>共</w:t>
                  </w:r>
                  <w:r>
                    <w:rPr>
                      <w:rFonts w:hint="eastAsia"/>
                      <w:color w:val="auto"/>
                      <w:szCs w:val="21"/>
                    </w:rPr>
                    <w:t>18大</w:t>
                  </w:r>
                  <w:r>
                    <w:rPr>
                      <w:color w:val="auto"/>
                      <w:szCs w:val="21"/>
                    </w:rPr>
                    <w:t>类，</w:t>
                  </w:r>
                  <w:r>
                    <w:rPr>
                      <w:rFonts w:hint="eastAsia"/>
                      <w:color w:val="auto"/>
                      <w:szCs w:val="21"/>
                    </w:rPr>
                    <w:t>65小类</w:t>
                  </w:r>
                </w:p>
              </w:tc>
            </w:tr>
            <w:bookmarkEnd w:id="6"/>
          </w:tbl>
          <w:p>
            <w:pPr>
              <w:spacing w:beforeLines="50"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（2）危险废物属性</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国家危险废物名录》（2021版）及项目收集的危险废物类别可知，该项目东川网点涉及的危险废物危险特性包括毒性（Toxicity，T）、腐蚀性（Corrosivity，C）、易燃性（Ignitability，I）、反应性（Reactivity，R）、感染性（Infectivity，In）；其中感染性废物仅包含（</w:t>
            </w:r>
            <w:r>
              <w:rPr>
                <w:rFonts w:ascii="Times New Roman" w:hAnsi="Times New Roman" w:cs="Times New Roman"/>
                <w:sz w:val="24"/>
                <w:szCs w:val="24"/>
              </w:rPr>
              <w:t>900-041-49</w:t>
            </w:r>
            <w:r>
              <w:rPr>
                <w:rFonts w:hint="eastAsia" w:ascii="Times New Roman" w:hAnsi="Times New Roman" w:cs="Times New Roman"/>
                <w:sz w:val="24"/>
                <w:szCs w:val="24"/>
              </w:rPr>
              <w:t>，含有或沾染毒性、感染性危险废物的废弃包装物、容器、过滤吸附介质；</w:t>
            </w:r>
            <w:r>
              <w:rPr>
                <w:rFonts w:ascii="Times New Roman" w:hAnsi="Times New Roman" w:cs="Times New Roman"/>
                <w:sz w:val="24"/>
                <w:szCs w:val="24"/>
              </w:rPr>
              <w:t>900-042-49</w:t>
            </w:r>
            <w:r>
              <w:rPr>
                <w:rFonts w:hint="eastAsia" w:ascii="Times New Roman" w:hAnsi="Times New Roman" w:cs="Times New Roman"/>
                <w:sz w:val="24"/>
                <w:szCs w:val="24"/>
              </w:rPr>
              <w:t>，环境事件及其处理过程中产生的沾染危险化学品、危险废物的废物）2项，收集前已经危险废物产生单位进行消毒处理；对照《危险化学品目录》（2022调整版）及《危险废物鉴别标准 毒性物质含量鉴别》（GB</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.6-2007）中附录A剧毒物质名录，该项目东川网点涉及的危险废物成分不含剧毒化学品。</w:t>
            </w:r>
          </w:p>
          <w:p>
            <w:pPr>
              <w:autoSpaceDE w:val="0"/>
              <w:autoSpaceDN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2.6.3 收集转运量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根据实施方案，该项目东川网点申请收集规模为</w:t>
            </w:r>
            <w:r>
              <w:rPr>
                <w:rFonts w:ascii="Times New Roman" w:hAnsi="Times New Roman" w:cs="Times New Roman"/>
                <w:sz w:val="24"/>
                <w:szCs w:val="24"/>
              </w:rPr>
              <w:t>5000吨</w:t>
            </w:r>
            <w:r>
              <w:rPr>
                <w:rFonts w:hint="eastAsia" w:ascii="Times New Roman" w:hAnsi="Times New Roman" w:cs="Times New Roman"/>
                <w:sz w:val="24"/>
                <w:szCs w:val="24"/>
              </w:rPr>
              <w:t>/</w:t>
            </w:r>
            <w:r>
              <w:rPr>
                <w:rFonts w:ascii="Times New Roman" w:hAnsi="Times New Roman" w:cs="Times New Roman"/>
                <w:sz w:val="24"/>
                <w:szCs w:val="24"/>
              </w:rPr>
              <w:t>年</w:t>
            </w:r>
            <w:r>
              <w:rPr>
                <w:rFonts w:hint="eastAsia" w:ascii="Times New Roman" w:hAnsi="Times New Roman" w:cs="Times New Roman"/>
                <w:sz w:val="24"/>
                <w:szCs w:val="24"/>
              </w:rPr>
              <w:t>，各类危险废物最大暂存量为416.66t，单一类别最大贮存量98.33t；满足各类危险废物最大暂存量不超过500t，单一类别最大贮存量不超过100t的要求，该项目东川网点危险废物收集贮存转运量如下表所示。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int="eastAsia" w:hAnsi="Times New Roman" w:eastAsiaTheme="minorEastAsia"/>
                <w:bCs/>
                <w:snapToGrid w:val="0"/>
                <w:sz w:val="21"/>
                <w:szCs w:val="21"/>
              </w:rPr>
              <w:t>表2.6.3-1 东川网点危险废物厂区内拟最大贮存量及年收集量一览表</w:t>
            </w:r>
          </w:p>
          <w:tbl>
            <w:tblPr>
              <w:tblStyle w:val="17"/>
              <w:tblW w:w="5000" w:type="pct"/>
              <w:jc w:val="center"/>
              <w:tblLayout w:type="fixed"/>
              <w:tblCellMar>
                <w:top w:w="0" w:type="dxa"/>
                <w:left w:w="108" w:type="dxa"/>
                <w:bottom w:w="0" w:type="dxa"/>
                <w:right w:w="108" w:type="dxa"/>
              </w:tblCellMar>
            </w:tblPr>
            <w:tblGrid>
              <w:gridCol w:w="679"/>
              <w:gridCol w:w="3605"/>
              <w:gridCol w:w="994"/>
              <w:gridCol w:w="1137"/>
              <w:gridCol w:w="939"/>
              <w:gridCol w:w="1261"/>
            </w:tblGrid>
            <w:tr>
              <w:tblPrEx>
                <w:tblCellMar>
                  <w:top w:w="0" w:type="dxa"/>
                  <w:left w:w="108" w:type="dxa"/>
                  <w:bottom w:w="0" w:type="dxa"/>
                  <w:right w:w="108" w:type="dxa"/>
                </w:tblCellMar>
              </w:tblPrEx>
              <w:trPr>
                <w:jc w:val="center"/>
              </w:trPr>
              <w:tc>
                <w:tcPr>
                  <w:tcW w:w="677"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序号</w:t>
                  </w:r>
                </w:p>
              </w:tc>
              <w:tc>
                <w:tcPr>
                  <w:tcW w:w="3597" w:type="dxa"/>
                  <w:tcBorders>
                    <w:top w:val="single" w:color="auto" w:sz="8" w:space="0"/>
                    <w:left w:val="nil"/>
                    <w:bottom w:val="single" w:color="auto" w:sz="4"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废物类别</w:t>
                  </w:r>
                </w:p>
              </w:tc>
              <w:tc>
                <w:tcPr>
                  <w:tcW w:w="99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最大贮存量（</w:t>
                  </w:r>
                  <w:r>
                    <w:rPr>
                      <w:color w:val="auto"/>
                      <w:szCs w:val="21"/>
                    </w:rPr>
                    <w:t>t</w:t>
                  </w:r>
                  <w:r>
                    <w:rPr>
                      <w:rFonts w:hint="eastAsia"/>
                      <w:color w:val="auto"/>
                      <w:szCs w:val="21"/>
                    </w:rPr>
                    <w:t>）</w:t>
                  </w:r>
                </w:p>
              </w:tc>
              <w:tc>
                <w:tcPr>
                  <w:tcW w:w="1134"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转运次数（次</w:t>
                  </w:r>
                  <w:r>
                    <w:rPr>
                      <w:color w:val="auto"/>
                      <w:szCs w:val="21"/>
                    </w:rPr>
                    <w:t>/</w:t>
                  </w:r>
                  <w:r>
                    <w:rPr>
                      <w:rFonts w:hint="eastAsia"/>
                      <w:color w:val="auto"/>
                      <w:szCs w:val="21"/>
                    </w:rPr>
                    <w:t>年）</w:t>
                  </w:r>
                </w:p>
              </w:tc>
              <w:tc>
                <w:tcPr>
                  <w:tcW w:w="937"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年收集量（</w:t>
                  </w:r>
                  <w:r>
                    <w:rPr>
                      <w:color w:val="auto"/>
                      <w:szCs w:val="21"/>
                    </w:rPr>
                    <w:t>t</w:t>
                  </w:r>
                  <w:r>
                    <w:rPr>
                      <w:rFonts w:hint="eastAsia"/>
                      <w:color w:val="auto"/>
                      <w:szCs w:val="21"/>
                    </w:rPr>
                    <w:t>）</w:t>
                  </w:r>
                </w:p>
              </w:tc>
              <w:tc>
                <w:tcPr>
                  <w:tcW w:w="125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贮存位置</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w:t>
                  </w:r>
                </w:p>
              </w:tc>
              <w:tc>
                <w:tcPr>
                  <w:tcW w:w="3597"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HW03</w:t>
                  </w:r>
                  <w:r>
                    <w:rPr>
                      <w:rFonts w:hint="eastAsia"/>
                      <w:color w:val="auto"/>
                      <w:szCs w:val="21"/>
                    </w:rPr>
                    <w:t>废药物、药品</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4.17</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50</w:t>
                  </w:r>
                </w:p>
              </w:tc>
              <w:tc>
                <w:tcPr>
                  <w:tcW w:w="1258" w:type="dxa"/>
                  <w:tcBorders>
                    <w:top w:val="nil"/>
                    <w:left w:val="single" w:color="auto" w:sz="8" w:space="0"/>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3#</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HW04</w:t>
                  </w:r>
                  <w:r>
                    <w:rPr>
                      <w:rFonts w:hint="eastAsia"/>
                      <w:color w:val="auto"/>
                      <w:szCs w:val="21"/>
                    </w:rPr>
                    <w:t>农药废物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3.33</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40</w:t>
                  </w:r>
                </w:p>
              </w:tc>
              <w:tc>
                <w:tcPr>
                  <w:tcW w:w="1258" w:type="dxa"/>
                  <w:tcBorders>
                    <w:top w:val="single" w:color="auto" w:sz="4" w:space="0"/>
                    <w:left w:val="single" w:color="auto" w:sz="8" w:space="0"/>
                    <w:bottom w:val="single" w:color="000000" w:sz="8" w:space="0"/>
                    <w:right w:val="single" w:color="auto" w:sz="8" w:space="0"/>
                  </w:tcBorders>
                  <w:vAlign w:val="center"/>
                </w:tcPr>
                <w:p>
                  <w:pPr>
                    <w:pStyle w:val="28"/>
                    <w:spacing w:line="360" w:lineRule="exact"/>
                    <w:rPr>
                      <w:color w:val="auto"/>
                      <w:szCs w:val="21"/>
                    </w:rPr>
                  </w:pPr>
                  <w:r>
                    <w:rPr>
                      <w:color w:val="auto"/>
                      <w:szCs w:val="21"/>
                    </w:rPr>
                    <w:t>3#</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3</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HW06</w:t>
                  </w:r>
                  <w:r>
                    <w:rPr>
                      <w:rFonts w:hint="eastAsia"/>
                      <w:color w:val="auto"/>
                      <w:szCs w:val="21"/>
                    </w:rPr>
                    <w:t>废有机溶剂与含有机溶剂废物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25.83</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310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4</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HW08</w:t>
                  </w:r>
                  <w:r>
                    <w:rPr>
                      <w:rFonts w:hint="eastAsia"/>
                      <w:color w:val="auto"/>
                      <w:szCs w:val="21"/>
                    </w:rPr>
                    <w:t>废矿物油与含矿物油废物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98.33</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1180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5</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HW09</w:t>
                  </w:r>
                  <w:r>
                    <w:rPr>
                      <w:rFonts w:hint="eastAsia"/>
                      <w:color w:val="auto"/>
                      <w:szCs w:val="21"/>
                    </w:rPr>
                    <w:t>油</w:t>
                  </w:r>
                  <w:r>
                    <w:rPr>
                      <w:color w:val="auto"/>
                      <w:szCs w:val="21"/>
                    </w:rPr>
                    <w:t>/</w:t>
                  </w:r>
                  <w:r>
                    <w:rPr>
                      <w:rFonts w:hint="eastAsia"/>
                      <w:color w:val="auto"/>
                      <w:szCs w:val="21"/>
                    </w:rPr>
                    <w:t>水、烃</w:t>
                  </w:r>
                  <w:r>
                    <w:rPr>
                      <w:color w:val="auto"/>
                      <w:szCs w:val="21"/>
                    </w:rPr>
                    <w:t>/</w:t>
                  </w:r>
                  <w:r>
                    <w:rPr>
                      <w:rFonts w:hint="eastAsia"/>
                      <w:color w:val="auto"/>
                      <w:szCs w:val="21"/>
                    </w:rPr>
                    <w:t>水混合物或乳化液</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17.50</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210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6</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HW11</w:t>
                  </w:r>
                  <w:r>
                    <w:rPr>
                      <w:rFonts w:hint="eastAsia"/>
                      <w:color w:val="auto"/>
                      <w:szCs w:val="21"/>
                    </w:rPr>
                    <w:t>精（蒸）馏残渣</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5.83</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70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7</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HW12</w:t>
                  </w:r>
                  <w:r>
                    <w:rPr>
                      <w:rFonts w:hint="eastAsia"/>
                      <w:color w:val="auto"/>
                      <w:szCs w:val="21"/>
                    </w:rPr>
                    <w:t>染料、涂料废物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50.00</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600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8</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HW13</w:t>
                  </w:r>
                  <w:r>
                    <w:rPr>
                      <w:rFonts w:hint="eastAsia"/>
                      <w:color w:val="auto"/>
                      <w:szCs w:val="21"/>
                    </w:rPr>
                    <w:t>有机树脂类废物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26.67</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320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9</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HW16</w:t>
                  </w:r>
                  <w:r>
                    <w:rPr>
                      <w:rFonts w:hint="eastAsia"/>
                      <w:color w:val="auto"/>
                      <w:szCs w:val="21"/>
                    </w:rPr>
                    <w:t>感光材料废物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15.83</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190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4#</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10</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HW17</w:t>
                  </w:r>
                  <w:r>
                    <w:rPr>
                      <w:rFonts w:hint="eastAsia"/>
                      <w:color w:val="auto"/>
                      <w:szCs w:val="21"/>
                    </w:rPr>
                    <w:t>表面处理废物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14.17</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170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6#</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11</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HW23</w:t>
                  </w:r>
                  <w:r>
                    <w:rPr>
                      <w:rFonts w:hint="eastAsia"/>
                      <w:color w:val="auto"/>
                      <w:szCs w:val="21"/>
                    </w:rPr>
                    <w:t>含锌废物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8.33</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100</w:t>
                  </w:r>
                </w:p>
              </w:tc>
              <w:tc>
                <w:tcPr>
                  <w:tcW w:w="1258" w:type="dxa"/>
                  <w:tcBorders>
                    <w:top w:val="nil"/>
                    <w:left w:val="single" w:color="auto" w:sz="8" w:space="0"/>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7#</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HW29</w:t>
                  </w:r>
                  <w:r>
                    <w:rPr>
                      <w:rFonts w:hint="eastAsia"/>
                      <w:color w:val="auto"/>
                      <w:szCs w:val="21"/>
                    </w:rPr>
                    <w:t>含汞废物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25.83</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310</w:t>
                  </w:r>
                </w:p>
              </w:tc>
              <w:tc>
                <w:tcPr>
                  <w:tcW w:w="1258" w:type="dxa"/>
                  <w:tcBorders>
                    <w:top w:val="single" w:color="auto" w:sz="4" w:space="0"/>
                    <w:left w:val="single" w:color="auto" w:sz="8" w:space="0"/>
                    <w:bottom w:val="single" w:color="000000" w:sz="8" w:space="0"/>
                    <w:right w:val="single" w:color="auto" w:sz="8" w:space="0"/>
                  </w:tcBorders>
                  <w:vAlign w:val="center"/>
                </w:tcPr>
                <w:p>
                  <w:pPr>
                    <w:pStyle w:val="28"/>
                    <w:spacing w:line="360" w:lineRule="exact"/>
                    <w:rPr>
                      <w:color w:val="auto"/>
                      <w:szCs w:val="21"/>
                    </w:rPr>
                  </w:pPr>
                  <w:r>
                    <w:rPr>
                      <w:color w:val="auto"/>
                      <w:szCs w:val="21"/>
                    </w:rPr>
                    <w:t>4#</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13</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HW34</w:t>
                  </w:r>
                  <w:r>
                    <w:rPr>
                      <w:rFonts w:hint="eastAsia"/>
                      <w:color w:val="auto"/>
                      <w:szCs w:val="21"/>
                    </w:rPr>
                    <w:t>废酸</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16.67</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200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4#</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14</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HW35</w:t>
                  </w:r>
                  <w:r>
                    <w:rPr>
                      <w:rFonts w:hint="eastAsia"/>
                      <w:color w:val="auto"/>
                      <w:szCs w:val="21"/>
                    </w:rPr>
                    <w:t>废碱</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20.00</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240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6#</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15</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HW36</w:t>
                  </w:r>
                  <w:r>
                    <w:rPr>
                      <w:rFonts w:hint="eastAsia"/>
                      <w:color w:val="auto"/>
                      <w:szCs w:val="21"/>
                    </w:rPr>
                    <w:t>石棉废物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22.50</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270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8#</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16</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HW46</w:t>
                  </w:r>
                  <w:r>
                    <w:rPr>
                      <w:rFonts w:hint="eastAsia"/>
                      <w:color w:val="auto"/>
                      <w:szCs w:val="21"/>
                    </w:rPr>
                    <w:t>含镍废物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6.67</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80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7#</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17</w:t>
                  </w:r>
                </w:p>
              </w:tc>
              <w:tc>
                <w:tcPr>
                  <w:tcW w:w="359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HW49</w:t>
                  </w:r>
                  <w:r>
                    <w:rPr>
                      <w:rFonts w:hint="eastAsia"/>
                      <w:color w:val="auto"/>
                      <w:szCs w:val="21"/>
                    </w:rPr>
                    <w:t>其他废物</w:t>
                  </w:r>
                </w:p>
              </w:tc>
              <w:tc>
                <w:tcPr>
                  <w:tcW w:w="992"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41.67</w:t>
                  </w:r>
                </w:p>
              </w:tc>
              <w:tc>
                <w:tcPr>
                  <w:tcW w:w="1134"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500</w:t>
                  </w:r>
                </w:p>
              </w:tc>
              <w:tc>
                <w:tcPr>
                  <w:tcW w:w="1258" w:type="dxa"/>
                  <w:tcBorders>
                    <w:top w:val="nil"/>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color w:val="auto"/>
                      <w:szCs w:val="21"/>
                    </w:rPr>
                    <w:t>5#</w:t>
                  </w:r>
                  <w:r>
                    <w:rPr>
                      <w:rFonts w:hint="eastAsia"/>
                      <w:color w:val="auto"/>
                      <w:szCs w:val="21"/>
                    </w:rPr>
                    <w:t>贮存区</w:t>
                  </w:r>
                </w:p>
              </w:tc>
            </w:tr>
            <w:tr>
              <w:tblPrEx>
                <w:tblCellMar>
                  <w:top w:w="0" w:type="dxa"/>
                  <w:left w:w="108" w:type="dxa"/>
                  <w:bottom w:w="0" w:type="dxa"/>
                  <w:right w:w="108" w:type="dxa"/>
                </w:tblCellMar>
              </w:tblPrEx>
              <w:trPr>
                <w:jc w:val="center"/>
              </w:trPr>
              <w:tc>
                <w:tcPr>
                  <w:tcW w:w="677" w:type="dxa"/>
                  <w:tcBorders>
                    <w:top w:val="nil"/>
                    <w:left w:val="single" w:color="auto" w:sz="8" w:space="0"/>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18</w:t>
                  </w:r>
                </w:p>
              </w:tc>
              <w:tc>
                <w:tcPr>
                  <w:tcW w:w="3597" w:type="dxa"/>
                  <w:tcBorders>
                    <w:top w:val="nil"/>
                    <w:left w:val="nil"/>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HW50</w:t>
                  </w:r>
                  <w:r>
                    <w:rPr>
                      <w:rFonts w:hint="eastAsia"/>
                      <w:color w:val="auto"/>
                      <w:szCs w:val="21"/>
                    </w:rPr>
                    <w:t>废催化剂</w:t>
                  </w:r>
                </w:p>
              </w:tc>
              <w:tc>
                <w:tcPr>
                  <w:tcW w:w="992" w:type="dxa"/>
                  <w:tcBorders>
                    <w:top w:val="nil"/>
                    <w:left w:val="nil"/>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13.33</w:t>
                  </w:r>
                </w:p>
              </w:tc>
              <w:tc>
                <w:tcPr>
                  <w:tcW w:w="1134" w:type="dxa"/>
                  <w:tcBorders>
                    <w:top w:val="nil"/>
                    <w:left w:val="nil"/>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12</w:t>
                  </w:r>
                </w:p>
              </w:tc>
              <w:tc>
                <w:tcPr>
                  <w:tcW w:w="937" w:type="dxa"/>
                  <w:tcBorders>
                    <w:top w:val="nil"/>
                    <w:left w:val="nil"/>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160</w:t>
                  </w:r>
                </w:p>
              </w:tc>
              <w:tc>
                <w:tcPr>
                  <w:tcW w:w="1258" w:type="dxa"/>
                  <w:tcBorders>
                    <w:top w:val="nil"/>
                    <w:left w:val="nil"/>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6#</w:t>
                  </w:r>
                  <w:r>
                    <w:rPr>
                      <w:rFonts w:hint="eastAsia"/>
                      <w:color w:val="auto"/>
                      <w:szCs w:val="21"/>
                    </w:rPr>
                    <w:t>贮存区</w:t>
                  </w:r>
                </w:p>
              </w:tc>
            </w:tr>
            <w:tr>
              <w:tblPrEx>
                <w:tblCellMar>
                  <w:top w:w="0" w:type="dxa"/>
                  <w:left w:w="108" w:type="dxa"/>
                  <w:bottom w:w="0" w:type="dxa"/>
                  <w:right w:w="108" w:type="dxa"/>
                </w:tblCellMar>
              </w:tblPrEx>
              <w:trPr>
                <w:jc w:val="center"/>
              </w:trPr>
              <w:tc>
                <w:tcPr>
                  <w:tcW w:w="4274"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合计</w:t>
                  </w:r>
                </w:p>
              </w:tc>
              <w:tc>
                <w:tcPr>
                  <w:tcW w:w="992"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416.66</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937"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5000</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w:t>
                  </w:r>
                </w:p>
              </w:tc>
            </w:tr>
          </w:tbl>
          <w:p>
            <w:pPr>
              <w:autoSpaceDE w:val="0"/>
              <w:autoSpaceDN w:val="0"/>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2.6.4 最大贮存量确定的合理性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实施方案可知，该项目危险废物的储存形式主要有桶装及袋装；危险废物储存按2层架构叠放，实际有效储存高度按2m计，根据各危险废物的密度可知，每平米实际堆存面积（2m³）危险废物的堆存量应大于1t，项目实际可利用面积约为仓储面积的85%，则项目各类危险废物贮存区贮存需求面积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int="eastAsia" w:hAnsi="Times New Roman" w:eastAsiaTheme="minorEastAsia"/>
                <w:bCs/>
                <w:snapToGrid w:val="0"/>
                <w:sz w:val="21"/>
                <w:szCs w:val="21"/>
              </w:rPr>
              <w:t>表2.6.4-1  项目各类危险废物贮存区贮存需求面积情况表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799"/>
              <w:gridCol w:w="1134"/>
              <w:gridCol w:w="1134"/>
              <w:gridCol w:w="99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pStyle w:val="28"/>
                    <w:spacing w:line="360" w:lineRule="exact"/>
                    <w:rPr>
                      <w:color w:val="auto"/>
                      <w:kern w:val="0"/>
                      <w:szCs w:val="21"/>
                    </w:rPr>
                  </w:pPr>
                  <w:r>
                    <w:rPr>
                      <w:rFonts w:hint="eastAsia"/>
                      <w:color w:val="auto"/>
                      <w:kern w:val="0"/>
                      <w:szCs w:val="21"/>
                    </w:rPr>
                    <w:t>贮存区域</w:t>
                  </w:r>
                </w:p>
              </w:tc>
              <w:tc>
                <w:tcPr>
                  <w:tcW w:w="3799" w:type="dxa"/>
                  <w:vAlign w:val="center"/>
                </w:tcPr>
                <w:p>
                  <w:pPr>
                    <w:pStyle w:val="28"/>
                    <w:spacing w:line="360" w:lineRule="exact"/>
                    <w:rPr>
                      <w:color w:val="auto"/>
                      <w:kern w:val="0"/>
                      <w:szCs w:val="21"/>
                    </w:rPr>
                  </w:pPr>
                  <w:r>
                    <w:rPr>
                      <w:rFonts w:hint="eastAsia"/>
                      <w:color w:val="auto"/>
                      <w:kern w:val="0"/>
                      <w:szCs w:val="21"/>
                    </w:rPr>
                    <w:t>危险废物类别</w:t>
                  </w:r>
                </w:p>
              </w:tc>
              <w:tc>
                <w:tcPr>
                  <w:tcW w:w="1134" w:type="dxa"/>
                  <w:vAlign w:val="center"/>
                </w:tcPr>
                <w:p>
                  <w:pPr>
                    <w:pStyle w:val="28"/>
                    <w:spacing w:line="360" w:lineRule="exact"/>
                    <w:rPr>
                      <w:color w:val="auto"/>
                      <w:kern w:val="0"/>
                      <w:szCs w:val="21"/>
                    </w:rPr>
                  </w:pPr>
                  <w:r>
                    <w:rPr>
                      <w:rFonts w:hint="eastAsia"/>
                      <w:color w:val="auto"/>
                      <w:kern w:val="0"/>
                      <w:szCs w:val="21"/>
                    </w:rPr>
                    <w:t>最大贮存量（t）</w:t>
                  </w:r>
                </w:p>
              </w:tc>
              <w:tc>
                <w:tcPr>
                  <w:tcW w:w="1134" w:type="dxa"/>
                  <w:shd w:val="clear" w:color="auto" w:fill="auto"/>
                  <w:vAlign w:val="center"/>
                </w:tcPr>
                <w:p>
                  <w:pPr>
                    <w:pStyle w:val="28"/>
                    <w:spacing w:line="360" w:lineRule="exact"/>
                    <w:rPr>
                      <w:color w:val="auto"/>
                      <w:kern w:val="0"/>
                      <w:szCs w:val="21"/>
                    </w:rPr>
                  </w:pPr>
                  <w:r>
                    <w:rPr>
                      <w:rFonts w:hint="eastAsia"/>
                      <w:color w:val="auto"/>
                      <w:kern w:val="0"/>
                      <w:szCs w:val="21"/>
                    </w:rPr>
                    <w:t>贮存单元面积（</w:t>
                  </w:r>
                  <w:r>
                    <w:rPr>
                      <w:color w:val="auto"/>
                      <w:kern w:val="0"/>
                      <w:szCs w:val="21"/>
                    </w:rPr>
                    <w:t>m²</w:t>
                  </w:r>
                  <w:r>
                    <w:rPr>
                      <w:rFonts w:hint="eastAsia"/>
                      <w:color w:val="auto"/>
                      <w:kern w:val="0"/>
                      <w:szCs w:val="21"/>
                    </w:rPr>
                    <w:t>）</w:t>
                  </w:r>
                </w:p>
              </w:tc>
              <w:tc>
                <w:tcPr>
                  <w:tcW w:w="992" w:type="dxa"/>
                  <w:shd w:val="clear" w:color="auto" w:fill="auto"/>
                  <w:vAlign w:val="center"/>
                </w:tcPr>
                <w:p>
                  <w:pPr>
                    <w:pStyle w:val="28"/>
                    <w:spacing w:line="360" w:lineRule="exact"/>
                    <w:rPr>
                      <w:color w:val="auto"/>
                      <w:kern w:val="0"/>
                      <w:szCs w:val="21"/>
                    </w:rPr>
                  </w:pPr>
                  <w:r>
                    <w:rPr>
                      <w:rFonts w:hint="eastAsia"/>
                      <w:color w:val="auto"/>
                      <w:kern w:val="0"/>
                      <w:szCs w:val="21"/>
                    </w:rPr>
                    <w:t>可利用面积（</w:t>
                  </w:r>
                  <w:r>
                    <w:rPr>
                      <w:color w:val="auto"/>
                      <w:kern w:val="0"/>
                      <w:szCs w:val="21"/>
                    </w:rPr>
                    <w:t>m²</w:t>
                  </w:r>
                  <w:r>
                    <w:rPr>
                      <w:rFonts w:hint="eastAsia"/>
                      <w:color w:val="auto"/>
                      <w:kern w:val="0"/>
                      <w:szCs w:val="21"/>
                    </w:rPr>
                    <w:t>）</w:t>
                  </w:r>
                </w:p>
              </w:tc>
              <w:tc>
                <w:tcPr>
                  <w:tcW w:w="783" w:type="dxa"/>
                  <w:vAlign w:val="center"/>
                </w:tcPr>
                <w:p>
                  <w:pPr>
                    <w:pStyle w:val="28"/>
                    <w:spacing w:line="360" w:lineRule="exact"/>
                    <w:rPr>
                      <w:color w:val="auto"/>
                      <w:kern w:val="0"/>
                      <w:szCs w:val="21"/>
                    </w:rPr>
                  </w:pPr>
                  <w:r>
                    <w:rPr>
                      <w:rFonts w:hint="eastAsia"/>
                      <w:color w:val="auto"/>
                      <w:kern w:val="0"/>
                      <w:szCs w:val="21"/>
                    </w:rPr>
                    <w:t>是否满足需求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rFonts w:hint="eastAsia"/>
                      <w:color w:val="auto"/>
                      <w:kern w:val="0"/>
                      <w:szCs w:val="21"/>
                    </w:rPr>
                    <w:t>1#贮存区</w:t>
                  </w:r>
                </w:p>
              </w:tc>
              <w:tc>
                <w:tcPr>
                  <w:tcW w:w="3799" w:type="dxa"/>
                  <w:vAlign w:val="center"/>
                </w:tcPr>
                <w:p>
                  <w:pPr>
                    <w:pStyle w:val="28"/>
                    <w:spacing w:line="360" w:lineRule="exact"/>
                    <w:rPr>
                      <w:color w:val="auto"/>
                      <w:kern w:val="0"/>
                      <w:szCs w:val="21"/>
                    </w:rPr>
                  </w:pPr>
                  <w:r>
                    <w:rPr>
                      <w:color w:val="auto"/>
                      <w:kern w:val="0"/>
                      <w:szCs w:val="21"/>
                    </w:rPr>
                    <w:t>HW08</w:t>
                  </w:r>
                  <w:r>
                    <w:rPr>
                      <w:rFonts w:hint="eastAsia"/>
                      <w:color w:val="auto"/>
                      <w:kern w:val="0"/>
                      <w:szCs w:val="21"/>
                    </w:rPr>
                    <w:t>废矿物油与含矿物油废物</w:t>
                  </w:r>
                </w:p>
              </w:tc>
              <w:tc>
                <w:tcPr>
                  <w:tcW w:w="1134" w:type="dxa"/>
                  <w:vAlign w:val="center"/>
                </w:tcPr>
                <w:p>
                  <w:pPr>
                    <w:pStyle w:val="28"/>
                    <w:spacing w:line="360" w:lineRule="exact"/>
                    <w:rPr>
                      <w:color w:val="auto"/>
                      <w:kern w:val="0"/>
                      <w:szCs w:val="21"/>
                    </w:rPr>
                  </w:pPr>
                  <w:r>
                    <w:rPr>
                      <w:color w:val="auto"/>
                      <w:kern w:val="0"/>
                      <w:szCs w:val="21"/>
                    </w:rPr>
                    <w:t>98.33</w:t>
                  </w:r>
                </w:p>
              </w:tc>
              <w:tc>
                <w:tcPr>
                  <w:tcW w:w="1134"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247.4</w:t>
                  </w:r>
                </w:p>
              </w:tc>
              <w:tc>
                <w:tcPr>
                  <w:tcW w:w="992" w:type="dxa"/>
                  <w:vMerge w:val="restart"/>
                  <w:shd w:val="clear" w:color="auto" w:fill="auto"/>
                  <w:vAlign w:val="center"/>
                </w:tcPr>
                <w:p>
                  <w:pPr>
                    <w:pStyle w:val="28"/>
                    <w:spacing w:line="360" w:lineRule="exact"/>
                    <w:rPr>
                      <w:color w:val="auto"/>
                      <w:kern w:val="0"/>
                      <w:szCs w:val="21"/>
                    </w:rPr>
                  </w:pPr>
                  <w:r>
                    <w:rPr>
                      <w:rFonts w:hint="eastAsia"/>
                      <w:color w:val="auto"/>
                      <w:kern w:val="0"/>
                      <w:szCs w:val="21"/>
                    </w:rPr>
                    <w:t>210.29</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HW11</w:t>
                  </w:r>
                  <w:r>
                    <w:rPr>
                      <w:rFonts w:hint="eastAsia"/>
                      <w:color w:val="auto"/>
                      <w:kern w:val="0"/>
                      <w:szCs w:val="21"/>
                    </w:rPr>
                    <w:t>精（蒸）馏残渣</w:t>
                  </w:r>
                </w:p>
              </w:tc>
              <w:tc>
                <w:tcPr>
                  <w:tcW w:w="1134" w:type="dxa"/>
                  <w:vAlign w:val="center"/>
                </w:tcPr>
                <w:p>
                  <w:pPr>
                    <w:pStyle w:val="28"/>
                    <w:spacing w:line="360" w:lineRule="exact"/>
                    <w:rPr>
                      <w:color w:val="auto"/>
                      <w:kern w:val="0"/>
                      <w:szCs w:val="21"/>
                    </w:rPr>
                  </w:pPr>
                  <w:r>
                    <w:rPr>
                      <w:color w:val="auto"/>
                      <w:kern w:val="0"/>
                      <w:szCs w:val="21"/>
                    </w:rPr>
                    <w:t>5.83</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104.16</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color w:val="auto"/>
                      <w:kern w:val="0"/>
                      <w:szCs w:val="21"/>
                    </w:rPr>
                    <w:t>2#</w:t>
                  </w:r>
                  <w:r>
                    <w:rPr>
                      <w:rFonts w:hint="eastAsia"/>
                      <w:color w:val="auto"/>
                      <w:kern w:val="0"/>
                      <w:szCs w:val="21"/>
                    </w:rPr>
                    <w:t>贮存区</w:t>
                  </w:r>
                </w:p>
              </w:tc>
              <w:tc>
                <w:tcPr>
                  <w:tcW w:w="3799" w:type="dxa"/>
                  <w:vAlign w:val="center"/>
                </w:tcPr>
                <w:p>
                  <w:pPr>
                    <w:pStyle w:val="28"/>
                    <w:spacing w:line="360" w:lineRule="exact"/>
                    <w:rPr>
                      <w:color w:val="auto"/>
                      <w:kern w:val="0"/>
                      <w:szCs w:val="21"/>
                    </w:rPr>
                  </w:pPr>
                  <w:r>
                    <w:rPr>
                      <w:color w:val="auto"/>
                      <w:kern w:val="0"/>
                      <w:szCs w:val="21"/>
                    </w:rPr>
                    <w:t>HW06</w:t>
                  </w:r>
                  <w:r>
                    <w:rPr>
                      <w:rFonts w:hint="eastAsia"/>
                      <w:color w:val="auto"/>
                      <w:kern w:val="0"/>
                      <w:szCs w:val="21"/>
                    </w:rPr>
                    <w:t>废有机溶剂与含有机溶剂废物</w:t>
                  </w:r>
                </w:p>
              </w:tc>
              <w:tc>
                <w:tcPr>
                  <w:tcW w:w="1134" w:type="dxa"/>
                  <w:vAlign w:val="center"/>
                </w:tcPr>
                <w:p>
                  <w:pPr>
                    <w:pStyle w:val="28"/>
                    <w:spacing w:line="360" w:lineRule="exact"/>
                    <w:rPr>
                      <w:color w:val="auto"/>
                      <w:kern w:val="0"/>
                      <w:szCs w:val="21"/>
                    </w:rPr>
                  </w:pPr>
                  <w:r>
                    <w:rPr>
                      <w:color w:val="auto"/>
                      <w:kern w:val="0"/>
                      <w:szCs w:val="21"/>
                    </w:rPr>
                    <w:t>25.83</w:t>
                  </w:r>
                </w:p>
              </w:tc>
              <w:tc>
                <w:tcPr>
                  <w:tcW w:w="1134" w:type="dxa"/>
                  <w:vMerge w:val="restart"/>
                  <w:shd w:val="clear" w:color="auto" w:fill="auto"/>
                  <w:vAlign w:val="center"/>
                </w:tcPr>
                <w:p>
                  <w:pPr>
                    <w:pStyle w:val="28"/>
                    <w:spacing w:line="360" w:lineRule="exact"/>
                    <w:rPr>
                      <w:color w:val="auto"/>
                      <w:kern w:val="0"/>
                      <w:szCs w:val="21"/>
                    </w:rPr>
                  </w:pPr>
                  <w:r>
                    <w:rPr>
                      <w:color w:val="auto"/>
                      <w:kern w:val="0"/>
                      <w:szCs w:val="21"/>
                    </w:rPr>
                    <w:t>186.3</w:t>
                  </w:r>
                </w:p>
              </w:tc>
              <w:tc>
                <w:tcPr>
                  <w:tcW w:w="992" w:type="dxa"/>
                  <w:vMerge w:val="restart"/>
                  <w:shd w:val="clear" w:color="auto" w:fill="auto"/>
                  <w:vAlign w:val="center"/>
                </w:tcPr>
                <w:p>
                  <w:pPr>
                    <w:pStyle w:val="28"/>
                    <w:spacing w:line="360" w:lineRule="exact"/>
                    <w:rPr>
                      <w:color w:val="auto"/>
                      <w:kern w:val="0"/>
                      <w:szCs w:val="21"/>
                    </w:rPr>
                  </w:pPr>
                  <w:r>
                    <w:rPr>
                      <w:color w:val="auto"/>
                      <w:kern w:val="0"/>
                      <w:szCs w:val="21"/>
                    </w:rPr>
                    <w:t>158.355</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HW09</w:t>
                  </w:r>
                  <w:r>
                    <w:rPr>
                      <w:rFonts w:hint="eastAsia"/>
                      <w:color w:val="auto"/>
                      <w:kern w:val="0"/>
                      <w:szCs w:val="21"/>
                    </w:rPr>
                    <w:t>油</w:t>
                  </w:r>
                  <w:r>
                    <w:rPr>
                      <w:color w:val="auto"/>
                      <w:kern w:val="0"/>
                      <w:szCs w:val="21"/>
                    </w:rPr>
                    <w:t>/</w:t>
                  </w:r>
                  <w:r>
                    <w:rPr>
                      <w:rFonts w:hint="eastAsia"/>
                      <w:color w:val="auto"/>
                      <w:kern w:val="0"/>
                      <w:szCs w:val="21"/>
                    </w:rPr>
                    <w:t>水、烃</w:t>
                  </w:r>
                  <w:r>
                    <w:rPr>
                      <w:color w:val="auto"/>
                      <w:kern w:val="0"/>
                      <w:szCs w:val="21"/>
                    </w:rPr>
                    <w:t>/</w:t>
                  </w:r>
                  <w:r>
                    <w:rPr>
                      <w:rFonts w:hint="eastAsia"/>
                      <w:color w:val="auto"/>
                      <w:kern w:val="0"/>
                      <w:szCs w:val="21"/>
                    </w:rPr>
                    <w:t>水混合物或乳化液</w:t>
                  </w:r>
                </w:p>
              </w:tc>
              <w:tc>
                <w:tcPr>
                  <w:tcW w:w="1134" w:type="dxa"/>
                  <w:vAlign w:val="center"/>
                </w:tcPr>
                <w:p>
                  <w:pPr>
                    <w:pStyle w:val="28"/>
                    <w:spacing w:line="360" w:lineRule="exact"/>
                    <w:rPr>
                      <w:color w:val="auto"/>
                      <w:kern w:val="0"/>
                      <w:szCs w:val="21"/>
                    </w:rPr>
                  </w:pPr>
                  <w:r>
                    <w:rPr>
                      <w:color w:val="auto"/>
                      <w:kern w:val="0"/>
                      <w:szCs w:val="21"/>
                    </w:rPr>
                    <w:t>17.5</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HW12</w:t>
                  </w:r>
                  <w:r>
                    <w:rPr>
                      <w:rFonts w:hint="eastAsia"/>
                      <w:color w:val="auto"/>
                      <w:kern w:val="0"/>
                      <w:szCs w:val="21"/>
                    </w:rPr>
                    <w:t>染料、涂料废物</w:t>
                  </w:r>
                </w:p>
              </w:tc>
              <w:tc>
                <w:tcPr>
                  <w:tcW w:w="1134" w:type="dxa"/>
                  <w:vAlign w:val="center"/>
                </w:tcPr>
                <w:p>
                  <w:pPr>
                    <w:pStyle w:val="28"/>
                    <w:spacing w:line="360" w:lineRule="exact"/>
                    <w:rPr>
                      <w:color w:val="auto"/>
                      <w:kern w:val="0"/>
                      <w:szCs w:val="21"/>
                    </w:rPr>
                  </w:pPr>
                  <w:r>
                    <w:rPr>
                      <w:color w:val="auto"/>
                      <w:kern w:val="0"/>
                      <w:szCs w:val="21"/>
                    </w:rPr>
                    <w:t>50</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HW13</w:t>
                  </w:r>
                  <w:r>
                    <w:rPr>
                      <w:rFonts w:hint="eastAsia"/>
                      <w:color w:val="auto"/>
                      <w:kern w:val="0"/>
                      <w:szCs w:val="21"/>
                    </w:rPr>
                    <w:t>有机树脂类废物</w:t>
                  </w:r>
                </w:p>
              </w:tc>
              <w:tc>
                <w:tcPr>
                  <w:tcW w:w="1134" w:type="dxa"/>
                  <w:vAlign w:val="center"/>
                </w:tcPr>
                <w:p>
                  <w:pPr>
                    <w:pStyle w:val="28"/>
                    <w:spacing w:line="360" w:lineRule="exact"/>
                    <w:rPr>
                      <w:color w:val="auto"/>
                      <w:kern w:val="0"/>
                      <w:szCs w:val="21"/>
                    </w:rPr>
                  </w:pPr>
                  <w:r>
                    <w:rPr>
                      <w:color w:val="auto"/>
                      <w:kern w:val="0"/>
                      <w:szCs w:val="21"/>
                    </w:rPr>
                    <w:t>26.67</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120</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color w:val="auto"/>
                      <w:kern w:val="0"/>
                      <w:szCs w:val="21"/>
                    </w:rPr>
                    <w:t>3#</w:t>
                  </w:r>
                  <w:r>
                    <w:rPr>
                      <w:rFonts w:hint="eastAsia"/>
                      <w:color w:val="auto"/>
                      <w:kern w:val="0"/>
                      <w:szCs w:val="21"/>
                    </w:rPr>
                    <w:t>贮存区</w:t>
                  </w:r>
                </w:p>
              </w:tc>
              <w:tc>
                <w:tcPr>
                  <w:tcW w:w="3799" w:type="dxa"/>
                  <w:vAlign w:val="center"/>
                </w:tcPr>
                <w:p>
                  <w:pPr>
                    <w:pStyle w:val="28"/>
                    <w:spacing w:line="360" w:lineRule="exact"/>
                    <w:rPr>
                      <w:color w:val="auto"/>
                      <w:kern w:val="0"/>
                      <w:szCs w:val="21"/>
                    </w:rPr>
                  </w:pPr>
                  <w:r>
                    <w:rPr>
                      <w:color w:val="auto"/>
                      <w:kern w:val="0"/>
                      <w:szCs w:val="21"/>
                    </w:rPr>
                    <w:t>HW03</w:t>
                  </w:r>
                  <w:r>
                    <w:rPr>
                      <w:rFonts w:hint="eastAsia"/>
                      <w:color w:val="auto"/>
                      <w:kern w:val="0"/>
                      <w:szCs w:val="21"/>
                    </w:rPr>
                    <w:t>废药物、药品</w:t>
                  </w:r>
                </w:p>
              </w:tc>
              <w:tc>
                <w:tcPr>
                  <w:tcW w:w="1134" w:type="dxa"/>
                  <w:vAlign w:val="center"/>
                </w:tcPr>
                <w:p>
                  <w:pPr>
                    <w:pStyle w:val="28"/>
                    <w:spacing w:line="360" w:lineRule="exact"/>
                    <w:rPr>
                      <w:color w:val="auto"/>
                      <w:kern w:val="0"/>
                      <w:szCs w:val="21"/>
                    </w:rPr>
                  </w:pPr>
                  <w:r>
                    <w:rPr>
                      <w:color w:val="auto"/>
                      <w:kern w:val="0"/>
                      <w:szCs w:val="21"/>
                    </w:rPr>
                    <w:t>4.17</w:t>
                  </w:r>
                </w:p>
              </w:tc>
              <w:tc>
                <w:tcPr>
                  <w:tcW w:w="1134" w:type="dxa"/>
                  <w:vMerge w:val="restart"/>
                  <w:shd w:val="clear" w:color="auto" w:fill="auto"/>
                  <w:vAlign w:val="center"/>
                </w:tcPr>
                <w:p>
                  <w:pPr>
                    <w:pStyle w:val="28"/>
                    <w:spacing w:line="360" w:lineRule="exact"/>
                    <w:rPr>
                      <w:color w:val="auto"/>
                      <w:kern w:val="0"/>
                      <w:szCs w:val="21"/>
                    </w:rPr>
                  </w:pPr>
                  <w:r>
                    <w:rPr>
                      <w:color w:val="auto"/>
                      <w:kern w:val="0"/>
                      <w:szCs w:val="21"/>
                    </w:rPr>
                    <w:t>86.5</w:t>
                  </w:r>
                </w:p>
              </w:tc>
              <w:tc>
                <w:tcPr>
                  <w:tcW w:w="992" w:type="dxa"/>
                  <w:vMerge w:val="restart"/>
                  <w:shd w:val="clear" w:color="auto" w:fill="auto"/>
                  <w:vAlign w:val="center"/>
                </w:tcPr>
                <w:p>
                  <w:pPr>
                    <w:pStyle w:val="28"/>
                    <w:spacing w:line="360" w:lineRule="exact"/>
                    <w:rPr>
                      <w:color w:val="auto"/>
                      <w:kern w:val="0"/>
                      <w:szCs w:val="21"/>
                    </w:rPr>
                  </w:pPr>
                  <w:r>
                    <w:rPr>
                      <w:color w:val="auto"/>
                      <w:kern w:val="0"/>
                      <w:szCs w:val="21"/>
                    </w:rPr>
                    <w:t>73.525</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HW04</w:t>
                  </w:r>
                  <w:r>
                    <w:rPr>
                      <w:rFonts w:hint="eastAsia"/>
                      <w:color w:val="auto"/>
                      <w:kern w:val="0"/>
                      <w:szCs w:val="21"/>
                    </w:rPr>
                    <w:t>农药废物</w:t>
                  </w:r>
                </w:p>
              </w:tc>
              <w:tc>
                <w:tcPr>
                  <w:tcW w:w="1134" w:type="dxa"/>
                  <w:vAlign w:val="center"/>
                </w:tcPr>
                <w:p>
                  <w:pPr>
                    <w:pStyle w:val="28"/>
                    <w:spacing w:line="360" w:lineRule="exact"/>
                    <w:rPr>
                      <w:color w:val="auto"/>
                      <w:kern w:val="0"/>
                      <w:szCs w:val="21"/>
                    </w:rPr>
                  </w:pPr>
                  <w:r>
                    <w:rPr>
                      <w:color w:val="auto"/>
                      <w:kern w:val="0"/>
                      <w:szCs w:val="21"/>
                    </w:rPr>
                    <w:t>3.33</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7.5</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color w:val="auto"/>
                      <w:kern w:val="0"/>
                      <w:szCs w:val="21"/>
                    </w:rPr>
                    <w:t>4</w:t>
                  </w:r>
                  <w:r>
                    <w:rPr>
                      <w:rFonts w:hint="eastAsia"/>
                      <w:color w:val="auto"/>
                      <w:kern w:val="0"/>
                      <w:szCs w:val="21"/>
                    </w:rPr>
                    <w:t>#贮存区</w:t>
                  </w:r>
                </w:p>
              </w:tc>
              <w:tc>
                <w:tcPr>
                  <w:tcW w:w="3799" w:type="dxa"/>
                  <w:vAlign w:val="center"/>
                </w:tcPr>
                <w:p>
                  <w:pPr>
                    <w:pStyle w:val="28"/>
                    <w:spacing w:line="360" w:lineRule="exact"/>
                    <w:rPr>
                      <w:color w:val="auto"/>
                      <w:kern w:val="0"/>
                      <w:szCs w:val="21"/>
                    </w:rPr>
                  </w:pPr>
                  <w:r>
                    <w:rPr>
                      <w:color w:val="auto"/>
                      <w:kern w:val="0"/>
                      <w:szCs w:val="21"/>
                    </w:rPr>
                    <w:t>HW16</w:t>
                  </w:r>
                  <w:r>
                    <w:rPr>
                      <w:rFonts w:hint="eastAsia"/>
                      <w:color w:val="auto"/>
                      <w:kern w:val="0"/>
                      <w:szCs w:val="21"/>
                    </w:rPr>
                    <w:t>感光材料废物</w:t>
                  </w:r>
                </w:p>
              </w:tc>
              <w:tc>
                <w:tcPr>
                  <w:tcW w:w="1134" w:type="dxa"/>
                  <w:vAlign w:val="center"/>
                </w:tcPr>
                <w:p>
                  <w:pPr>
                    <w:pStyle w:val="28"/>
                    <w:spacing w:line="360" w:lineRule="exact"/>
                    <w:rPr>
                      <w:color w:val="auto"/>
                      <w:kern w:val="0"/>
                      <w:szCs w:val="21"/>
                    </w:rPr>
                  </w:pPr>
                  <w:r>
                    <w:rPr>
                      <w:color w:val="auto"/>
                      <w:kern w:val="0"/>
                      <w:szCs w:val="21"/>
                    </w:rPr>
                    <w:t>15.83</w:t>
                  </w:r>
                </w:p>
              </w:tc>
              <w:tc>
                <w:tcPr>
                  <w:tcW w:w="1134" w:type="dxa"/>
                  <w:vMerge w:val="restart"/>
                  <w:shd w:val="clear" w:color="auto" w:fill="auto"/>
                  <w:vAlign w:val="center"/>
                </w:tcPr>
                <w:p>
                  <w:pPr>
                    <w:pStyle w:val="28"/>
                    <w:spacing w:line="360" w:lineRule="exact"/>
                    <w:rPr>
                      <w:color w:val="auto"/>
                      <w:kern w:val="0"/>
                      <w:szCs w:val="21"/>
                    </w:rPr>
                  </w:pPr>
                  <w:r>
                    <w:rPr>
                      <w:color w:val="auto"/>
                      <w:kern w:val="0"/>
                      <w:szCs w:val="21"/>
                    </w:rPr>
                    <w:t>89.4</w:t>
                  </w:r>
                </w:p>
              </w:tc>
              <w:tc>
                <w:tcPr>
                  <w:tcW w:w="992" w:type="dxa"/>
                  <w:vMerge w:val="restart"/>
                  <w:shd w:val="clear" w:color="auto" w:fill="auto"/>
                  <w:vAlign w:val="center"/>
                </w:tcPr>
                <w:p>
                  <w:pPr>
                    <w:pStyle w:val="28"/>
                    <w:spacing w:line="360" w:lineRule="exact"/>
                    <w:rPr>
                      <w:color w:val="auto"/>
                      <w:kern w:val="0"/>
                      <w:szCs w:val="21"/>
                    </w:rPr>
                  </w:pPr>
                  <w:r>
                    <w:rPr>
                      <w:color w:val="auto"/>
                      <w:kern w:val="0"/>
                      <w:szCs w:val="21"/>
                    </w:rPr>
                    <w:t>75.99</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HW29</w:t>
                  </w:r>
                  <w:r>
                    <w:rPr>
                      <w:rFonts w:hint="eastAsia"/>
                      <w:color w:val="auto"/>
                      <w:kern w:val="0"/>
                      <w:szCs w:val="21"/>
                    </w:rPr>
                    <w:t>含汞废物</w:t>
                  </w:r>
                </w:p>
              </w:tc>
              <w:tc>
                <w:tcPr>
                  <w:tcW w:w="1134" w:type="dxa"/>
                  <w:vAlign w:val="center"/>
                </w:tcPr>
                <w:p>
                  <w:pPr>
                    <w:pStyle w:val="28"/>
                    <w:spacing w:line="360" w:lineRule="exact"/>
                    <w:rPr>
                      <w:color w:val="auto"/>
                      <w:kern w:val="0"/>
                      <w:szCs w:val="21"/>
                    </w:rPr>
                  </w:pPr>
                  <w:r>
                    <w:rPr>
                      <w:color w:val="auto"/>
                      <w:kern w:val="0"/>
                      <w:szCs w:val="21"/>
                    </w:rPr>
                    <w:t>25.83</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HW34</w:t>
                  </w:r>
                  <w:r>
                    <w:rPr>
                      <w:rFonts w:hint="eastAsia"/>
                      <w:color w:val="auto"/>
                      <w:kern w:val="0"/>
                      <w:szCs w:val="21"/>
                    </w:rPr>
                    <w:t>废酸</w:t>
                  </w:r>
                </w:p>
              </w:tc>
              <w:tc>
                <w:tcPr>
                  <w:tcW w:w="1134" w:type="dxa"/>
                  <w:vAlign w:val="center"/>
                </w:tcPr>
                <w:p>
                  <w:pPr>
                    <w:pStyle w:val="28"/>
                    <w:spacing w:line="360" w:lineRule="exact"/>
                    <w:rPr>
                      <w:color w:val="auto"/>
                      <w:kern w:val="0"/>
                      <w:szCs w:val="21"/>
                    </w:rPr>
                  </w:pPr>
                  <w:r>
                    <w:rPr>
                      <w:color w:val="auto"/>
                      <w:kern w:val="0"/>
                      <w:szCs w:val="21"/>
                    </w:rPr>
                    <w:t>16.67</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58.33</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color w:val="auto"/>
                      <w:kern w:val="0"/>
                      <w:szCs w:val="21"/>
                    </w:rPr>
                    <w:t>5#</w:t>
                  </w:r>
                  <w:r>
                    <w:rPr>
                      <w:rFonts w:hint="eastAsia"/>
                      <w:color w:val="auto"/>
                      <w:kern w:val="0"/>
                      <w:szCs w:val="21"/>
                    </w:rPr>
                    <w:t>贮存区</w:t>
                  </w:r>
                </w:p>
              </w:tc>
              <w:tc>
                <w:tcPr>
                  <w:tcW w:w="3799" w:type="dxa"/>
                  <w:vAlign w:val="center"/>
                </w:tcPr>
                <w:p>
                  <w:pPr>
                    <w:pStyle w:val="28"/>
                    <w:spacing w:line="360" w:lineRule="exact"/>
                    <w:rPr>
                      <w:color w:val="auto"/>
                      <w:kern w:val="0"/>
                      <w:szCs w:val="21"/>
                    </w:rPr>
                  </w:pPr>
                  <w:r>
                    <w:rPr>
                      <w:color w:val="auto"/>
                      <w:kern w:val="0"/>
                      <w:szCs w:val="21"/>
                    </w:rPr>
                    <w:t>HW49</w:t>
                  </w:r>
                  <w:r>
                    <w:rPr>
                      <w:rFonts w:hint="eastAsia"/>
                      <w:color w:val="auto"/>
                      <w:kern w:val="0"/>
                      <w:szCs w:val="21"/>
                    </w:rPr>
                    <w:t>其他废物</w:t>
                  </w:r>
                </w:p>
              </w:tc>
              <w:tc>
                <w:tcPr>
                  <w:tcW w:w="1134" w:type="dxa"/>
                  <w:vAlign w:val="center"/>
                </w:tcPr>
                <w:p>
                  <w:pPr>
                    <w:pStyle w:val="28"/>
                    <w:spacing w:line="360" w:lineRule="exact"/>
                    <w:rPr>
                      <w:color w:val="auto"/>
                      <w:kern w:val="0"/>
                      <w:szCs w:val="21"/>
                    </w:rPr>
                  </w:pPr>
                  <w:r>
                    <w:rPr>
                      <w:color w:val="auto"/>
                      <w:kern w:val="0"/>
                      <w:szCs w:val="21"/>
                    </w:rPr>
                    <w:t>41.67</w:t>
                  </w:r>
                </w:p>
              </w:tc>
              <w:tc>
                <w:tcPr>
                  <w:tcW w:w="1134" w:type="dxa"/>
                  <w:vMerge w:val="restart"/>
                  <w:shd w:val="clear" w:color="auto" w:fill="auto"/>
                  <w:vAlign w:val="center"/>
                </w:tcPr>
                <w:p>
                  <w:pPr>
                    <w:pStyle w:val="28"/>
                    <w:spacing w:line="360" w:lineRule="exact"/>
                    <w:rPr>
                      <w:color w:val="auto"/>
                      <w:kern w:val="0"/>
                      <w:szCs w:val="21"/>
                    </w:rPr>
                  </w:pPr>
                  <w:r>
                    <w:rPr>
                      <w:color w:val="auto"/>
                      <w:kern w:val="0"/>
                      <w:szCs w:val="21"/>
                    </w:rPr>
                    <w:t>89.6</w:t>
                  </w:r>
                </w:p>
              </w:tc>
              <w:tc>
                <w:tcPr>
                  <w:tcW w:w="992" w:type="dxa"/>
                  <w:vMerge w:val="restart"/>
                  <w:shd w:val="clear" w:color="auto" w:fill="auto"/>
                  <w:vAlign w:val="center"/>
                </w:tcPr>
                <w:p>
                  <w:pPr>
                    <w:pStyle w:val="28"/>
                    <w:spacing w:line="360" w:lineRule="exact"/>
                    <w:rPr>
                      <w:color w:val="auto"/>
                      <w:kern w:val="0"/>
                      <w:szCs w:val="21"/>
                    </w:rPr>
                  </w:pPr>
                  <w:r>
                    <w:rPr>
                      <w:color w:val="auto"/>
                      <w:kern w:val="0"/>
                      <w:szCs w:val="21"/>
                    </w:rPr>
                    <w:t>76.16</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41.67</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color w:val="auto"/>
                      <w:kern w:val="0"/>
                      <w:szCs w:val="21"/>
                    </w:rPr>
                    <w:t>6#</w:t>
                  </w:r>
                  <w:r>
                    <w:rPr>
                      <w:rFonts w:hint="eastAsia"/>
                      <w:color w:val="auto"/>
                      <w:kern w:val="0"/>
                      <w:szCs w:val="21"/>
                    </w:rPr>
                    <w:t>贮存区</w:t>
                  </w:r>
                </w:p>
              </w:tc>
              <w:tc>
                <w:tcPr>
                  <w:tcW w:w="3799" w:type="dxa"/>
                  <w:vAlign w:val="center"/>
                </w:tcPr>
                <w:p>
                  <w:pPr>
                    <w:pStyle w:val="28"/>
                    <w:spacing w:line="360" w:lineRule="exact"/>
                    <w:rPr>
                      <w:color w:val="auto"/>
                      <w:kern w:val="0"/>
                      <w:szCs w:val="21"/>
                    </w:rPr>
                  </w:pPr>
                  <w:r>
                    <w:rPr>
                      <w:color w:val="auto"/>
                      <w:kern w:val="0"/>
                      <w:szCs w:val="21"/>
                    </w:rPr>
                    <w:t>HW17</w:t>
                  </w:r>
                  <w:r>
                    <w:rPr>
                      <w:rFonts w:hint="eastAsia"/>
                      <w:color w:val="auto"/>
                      <w:kern w:val="0"/>
                      <w:szCs w:val="21"/>
                    </w:rPr>
                    <w:t>表面处理废物</w:t>
                  </w:r>
                </w:p>
              </w:tc>
              <w:tc>
                <w:tcPr>
                  <w:tcW w:w="1134" w:type="dxa"/>
                  <w:vAlign w:val="center"/>
                </w:tcPr>
                <w:p>
                  <w:pPr>
                    <w:pStyle w:val="28"/>
                    <w:spacing w:line="360" w:lineRule="exact"/>
                    <w:rPr>
                      <w:color w:val="auto"/>
                      <w:kern w:val="0"/>
                      <w:szCs w:val="21"/>
                    </w:rPr>
                  </w:pPr>
                  <w:r>
                    <w:rPr>
                      <w:color w:val="auto"/>
                      <w:kern w:val="0"/>
                      <w:szCs w:val="21"/>
                    </w:rPr>
                    <w:t>14.17</w:t>
                  </w:r>
                </w:p>
              </w:tc>
              <w:tc>
                <w:tcPr>
                  <w:tcW w:w="1134" w:type="dxa"/>
                  <w:vMerge w:val="restart"/>
                  <w:shd w:val="clear" w:color="auto" w:fill="auto"/>
                  <w:vAlign w:val="center"/>
                </w:tcPr>
                <w:p>
                  <w:pPr>
                    <w:pStyle w:val="28"/>
                    <w:spacing w:line="360" w:lineRule="exact"/>
                    <w:rPr>
                      <w:color w:val="auto"/>
                      <w:kern w:val="0"/>
                      <w:szCs w:val="21"/>
                    </w:rPr>
                  </w:pPr>
                  <w:r>
                    <w:rPr>
                      <w:color w:val="auto"/>
                      <w:kern w:val="0"/>
                      <w:szCs w:val="21"/>
                    </w:rPr>
                    <w:t>102.4</w:t>
                  </w:r>
                </w:p>
              </w:tc>
              <w:tc>
                <w:tcPr>
                  <w:tcW w:w="992" w:type="dxa"/>
                  <w:vMerge w:val="restart"/>
                  <w:shd w:val="clear" w:color="auto" w:fill="auto"/>
                  <w:vAlign w:val="center"/>
                </w:tcPr>
                <w:p>
                  <w:pPr>
                    <w:pStyle w:val="28"/>
                    <w:spacing w:line="360" w:lineRule="exact"/>
                    <w:rPr>
                      <w:color w:val="auto"/>
                      <w:kern w:val="0"/>
                      <w:szCs w:val="21"/>
                    </w:rPr>
                  </w:pPr>
                  <w:r>
                    <w:rPr>
                      <w:color w:val="auto"/>
                      <w:kern w:val="0"/>
                      <w:szCs w:val="21"/>
                    </w:rPr>
                    <w:t>87.04</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HW35</w:t>
                  </w:r>
                  <w:r>
                    <w:rPr>
                      <w:rFonts w:hint="eastAsia"/>
                      <w:color w:val="auto"/>
                      <w:kern w:val="0"/>
                      <w:szCs w:val="21"/>
                    </w:rPr>
                    <w:t>废碱</w:t>
                  </w:r>
                </w:p>
              </w:tc>
              <w:tc>
                <w:tcPr>
                  <w:tcW w:w="1134" w:type="dxa"/>
                  <w:vAlign w:val="center"/>
                </w:tcPr>
                <w:p>
                  <w:pPr>
                    <w:pStyle w:val="28"/>
                    <w:spacing w:line="360" w:lineRule="exact"/>
                    <w:rPr>
                      <w:color w:val="auto"/>
                      <w:kern w:val="0"/>
                      <w:szCs w:val="21"/>
                    </w:rPr>
                  </w:pPr>
                  <w:r>
                    <w:rPr>
                      <w:color w:val="auto"/>
                      <w:kern w:val="0"/>
                      <w:szCs w:val="21"/>
                    </w:rPr>
                    <w:t>20</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HW50</w:t>
                  </w:r>
                  <w:r>
                    <w:rPr>
                      <w:rFonts w:hint="eastAsia"/>
                      <w:color w:val="auto"/>
                      <w:kern w:val="0"/>
                      <w:szCs w:val="21"/>
                    </w:rPr>
                    <w:t>废催化剂</w:t>
                  </w:r>
                </w:p>
              </w:tc>
              <w:tc>
                <w:tcPr>
                  <w:tcW w:w="1134" w:type="dxa"/>
                  <w:vAlign w:val="center"/>
                </w:tcPr>
                <w:p>
                  <w:pPr>
                    <w:pStyle w:val="28"/>
                    <w:spacing w:line="360" w:lineRule="exact"/>
                    <w:rPr>
                      <w:color w:val="auto"/>
                      <w:kern w:val="0"/>
                      <w:szCs w:val="21"/>
                    </w:rPr>
                  </w:pPr>
                  <w:r>
                    <w:rPr>
                      <w:color w:val="auto"/>
                      <w:kern w:val="0"/>
                      <w:szCs w:val="21"/>
                    </w:rPr>
                    <w:t>13.33</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47.5</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color w:val="auto"/>
                      <w:kern w:val="0"/>
                      <w:szCs w:val="21"/>
                    </w:rPr>
                    <w:t>7</w:t>
                  </w:r>
                  <w:r>
                    <w:rPr>
                      <w:rFonts w:hint="eastAsia"/>
                      <w:color w:val="auto"/>
                      <w:kern w:val="0"/>
                      <w:szCs w:val="21"/>
                    </w:rPr>
                    <w:t>#贮存区</w:t>
                  </w:r>
                </w:p>
              </w:tc>
              <w:tc>
                <w:tcPr>
                  <w:tcW w:w="3799" w:type="dxa"/>
                  <w:vAlign w:val="center"/>
                </w:tcPr>
                <w:p>
                  <w:pPr>
                    <w:pStyle w:val="28"/>
                    <w:spacing w:line="360" w:lineRule="exact"/>
                    <w:rPr>
                      <w:color w:val="auto"/>
                      <w:kern w:val="0"/>
                      <w:szCs w:val="21"/>
                    </w:rPr>
                  </w:pPr>
                  <w:r>
                    <w:rPr>
                      <w:color w:val="auto"/>
                      <w:kern w:val="0"/>
                      <w:szCs w:val="21"/>
                    </w:rPr>
                    <w:t>HW23</w:t>
                  </w:r>
                  <w:r>
                    <w:rPr>
                      <w:rFonts w:hint="eastAsia"/>
                      <w:color w:val="auto"/>
                      <w:kern w:val="0"/>
                      <w:szCs w:val="21"/>
                    </w:rPr>
                    <w:t>含锌废物</w:t>
                  </w:r>
                </w:p>
              </w:tc>
              <w:tc>
                <w:tcPr>
                  <w:tcW w:w="1134" w:type="dxa"/>
                  <w:vAlign w:val="center"/>
                </w:tcPr>
                <w:p>
                  <w:pPr>
                    <w:pStyle w:val="28"/>
                    <w:spacing w:line="360" w:lineRule="exact"/>
                    <w:rPr>
                      <w:color w:val="auto"/>
                      <w:kern w:val="0"/>
                      <w:szCs w:val="21"/>
                    </w:rPr>
                  </w:pPr>
                  <w:r>
                    <w:rPr>
                      <w:color w:val="auto"/>
                      <w:kern w:val="0"/>
                      <w:szCs w:val="21"/>
                    </w:rPr>
                    <w:t>8.33</w:t>
                  </w:r>
                </w:p>
              </w:tc>
              <w:tc>
                <w:tcPr>
                  <w:tcW w:w="1134" w:type="dxa"/>
                  <w:vMerge w:val="restart"/>
                  <w:shd w:val="clear" w:color="auto" w:fill="auto"/>
                  <w:vAlign w:val="center"/>
                </w:tcPr>
                <w:p>
                  <w:pPr>
                    <w:pStyle w:val="28"/>
                    <w:spacing w:line="360" w:lineRule="exact"/>
                    <w:rPr>
                      <w:color w:val="auto"/>
                      <w:kern w:val="0"/>
                      <w:szCs w:val="21"/>
                    </w:rPr>
                  </w:pPr>
                  <w:r>
                    <w:rPr>
                      <w:color w:val="auto"/>
                      <w:kern w:val="0"/>
                      <w:szCs w:val="21"/>
                    </w:rPr>
                    <w:t>111.6</w:t>
                  </w:r>
                </w:p>
              </w:tc>
              <w:tc>
                <w:tcPr>
                  <w:tcW w:w="992" w:type="dxa"/>
                  <w:vMerge w:val="restart"/>
                  <w:shd w:val="clear" w:color="auto" w:fill="auto"/>
                  <w:vAlign w:val="center"/>
                </w:tcPr>
                <w:p>
                  <w:pPr>
                    <w:pStyle w:val="28"/>
                    <w:spacing w:line="360" w:lineRule="exact"/>
                    <w:rPr>
                      <w:color w:val="auto"/>
                      <w:kern w:val="0"/>
                      <w:szCs w:val="21"/>
                    </w:rPr>
                  </w:pPr>
                  <w:r>
                    <w:rPr>
                      <w:color w:val="auto"/>
                      <w:kern w:val="0"/>
                      <w:szCs w:val="21"/>
                    </w:rPr>
                    <w:t>94.86</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color w:val="auto"/>
                      <w:kern w:val="0"/>
                      <w:szCs w:val="21"/>
                    </w:rPr>
                    <w:t>HW46</w:t>
                  </w:r>
                  <w:r>
                    <w:rPr>
                      <w:rFonts w:hint="eastAsia"/>
                      <w:color w:val="auto"/>
                      <w:kern w:val="0"/>
                      <w:szCs w:val="21"/>
                    </w:rPr>
                    <w:t>含镍废物</w:t>
                  </w:r>
                </w:p>
              </w:tc>
              <w:tc>
                <w:tcPr>
                  <w:tcW w:w="1134" w:type="dxa"/>
                  <w:vAlign w:val="center"/>
                </w:tcPr>
                <w:p>
                  <w:pPr>
                    <w:pStyle w:val="28"/>
                    <w:spacing w:line="360" w:lineRule="exact"/>
                    <w:rPr>
                      <w:color w:val="auto"/>
                      <w:kern w:val="0"/>
                      <w:szCs w:val="21"/>
                    </w:rPr>
                  </w:pPr>
                  <w:r>
                    <w:rPr>
                      <w:color w:val="auto"/>
                      <w:kern w:val="0"/>
                      <w:szCs w:val="21"/>
                    </w:rPr>
                    <w:t>6.67</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15</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vAlign w:val="center"/>
                </w:tcPr>
                <w:p>
                  <w:pPr>
                    <w:pStyle w:val="28"/>
                    <w:spacing w:line="360" w:lineRule="exact"/>
                    <w:rPr>
                      <w:color w:val="auto"/>
                      <w:kern w:val="0"/>
                      <w:szCs w:val="21"/>
                    </w:rPr>
                  </w:pPr>
                  <w:r>
                    <w:rPr>
                      <w:color w:val="auto"/>
                      <w:kern w:val="0"/>
                      <w:szCs w:val="21"/>
                    </w:rPr>
                    <w:t>8#</w:t>
                  </w:r>
                  <w:r>
                    <w:rPr>
                      <w:rFonts w:hint="eastAsia"/>
                      <w:color w:val="auto"/>
                      <w:kern w:val="0"/>
                      <w:szCs w:val="21"/>
                    </w:rPr>
                    <w:t>贮存区</w:t>
                  </w:r>
                </w:p>
              </w:tc>
              <w:tc>
                <w:tcPr>
                  <w:tcW w:w="3799" w:type="dxa"/>
                  <w:vAlign w:val="center"/>
                </w:tcPr>
                <w:p>
                  <w:pPr>
                    <w:pStyle w:val="28"/>
                    <w:spacing w:line="360" w:lineRule="exact"/>
                    <w:rPr>
                      <w:color w:val="auto"/>
                      <w:kern w:val="0"/>
                      <w:szCs w:val="21"/>
                    </w:rPr>
                  </w:pPr>
                  <w:r>
                    <w:rPr>
                      <w:color w:val="auto"/>
                      <w:kern w:val="0"/>
                      <w:szCs w:val="21"/>
                    </w:rPr>
                    <w:t>HW36</w:t>
                  </w:r>
                  <w:r>
                    <w:rPr>
                      <w:rFonts w:hint="eastAsia"/>
                      <w:color w:val="auto"/>
                      <w:kern w:val="0"/>
                      <w:szCs w:val="21"/>
                    </w:rPr>
                    <w:t>石棉废物</w:t>
                  </w:r>
                </w:p>
              </w:tc>
              <w:tc>
                <w:tcPr>
                  <w:tcW w:w="1134" w:type="dxa"/>
                  <w:vAlign w:val="center"/>
                </w:tcPr>
                <w:p>
                  <w:pPr>
                    <w:pStyle w:val="28"/>
                    <w:spacing w:line="360" w:lineRule="exact"/>
                    <w:rPr>
                      <w:color w:val="auto"/>
                      <w:kern w:val="0"/>
                      <w:szCs w:val="21"/>
                    </w:rPr>
                  </w:pPr>
                  <w:r>
                    <w:rPr>
                      <w:color w:val="auto"/>
                      <w:kern w:val="0"/>
                      <w:szCs w:val="21"/>
                    </w:rPr>
                    <w:t>22.5</w:t>
                  </w:r>
                </w:p>
              </w:tc>
              <w:tc>
                <w:tcPr>
                  <w:tcW w:w="1134" w:type="dxa"/>
                  <w:vMerge w:val="restart"/>
                  <w:shd w:val="clear" w:color="auto" w:fill="auto"/>
                  <w:vAlign w:val="center"/>
                </w:tcPr>
                <w:p>
                  <w:pPr>
                    <w:pStyle w:val="28"/>
                    <w:spacing w:line="360" w:lineRule="exact"/>
                    <w:rPr>
                      <w:color w:val="auto"/>
                      <w:kern w:val="0"/>
                      <w:szCs w:val="21"/>
                    </w:rPr>
                  </w:pPr>
                  <w:r>
                    <w:rPr>
                      <w:color w:val="auto"/>
                      <w:kern w:val="0"/>
                      <w:szCs w:val="21"/>
                    </w:rPr>
                    <w:t>86.8</w:t>
                  </w:r>
                </w:p>
              </w:tc>
              <w:tc>
                <w:tcPr>
                  <w:tcW w:w="992" w:type="dxa"/>
                  <w:vMerge w:val="restart"/>
                  <w:shd w:val="clear" w:color="auto" w:fill="auto"/>
                  <w:vAlign w:val="center"/>
                </w:tcPr>
                <w:p>
                  <w:pPr>
                    <w:pStyle w:val="28"/>
                    <w:spacing w:line="360" w:lineRule="exact"/>
                    <w:rPr>
                      <w:color w:val="auto"/>
                      <w:kern w:val="0"/>
                      <w:szCs w:val="21"/>
                    </w:rPr>
                  </w:pPr>
                  <w:r>
                    <w:rPr>
                      <w:color w:val="auto"/>
                      <w:kern w:val="0"/>
                      <w:szCs w:val="21"/>
                    </w:rPr>
                    <w:t>73.78</w:t>
                  </w:r>
                </w:p>
              </w:tc>
              <w:tc>
                <w:tcPr>
                  <w:tcW w:w="783" w:type="dxa"/>
                  <w:vMerge w:val="restart"/>
                  <w:vAlign w:val="center"/>
                </w:tcPr>
                <w:p>
                  <w:pPr>
                    <w:pStyle w:val="28"/>
                    <w:spacing w:line="360" w:lineRule="exact"/>
                    <w:rPr>
                      <w:color w:val="auto"/>
                      <w:kern w:val="0"/>
                      <w:szCs w:val="21"/>
                    </w:rPr>
                  </w:pPr>
                  <w:r>
                    <w:rPr>
                      <w:rFonts w:hint="eastAsia"/>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vAlign w:val="center"/>
                </w:tcPr>
                <w:p>
                  <w:pPr>
                    <w:pStyle w:val="28"/>
                    <w:spacing w:line="360" w:lineRule="exact"/>
                    <w:rPr>
                      <w:color w:val="auto"/>
                      <w:kern w:val="0"/>
                      <w:szCs w:val="21"/>
                    </w:rPr>
                  </w:pPr>
                </w:p>
              </w:tc>
              <w:tc>
                <w:tcPr>
                  <w:tcW w:w="3799" w:type="dxa"/>
                  <w:vAlign w:val="center"/>
                </w:tcPr>
                <w:p>
                  <w:pPr>
                    <w:pStyle w:val="28"/>
                    <w:spacing w:line="360" w:lineRule="exact"/>
                    <w:rPr>
                      <w:color w:val="auto"/>
                      <w:kern w:val="0"/>
                      <w:szCs w:val="21"/>
                    </w:rPr>
                  </w:pPr>
                  <w:r>
                    <w:rPr>
                      <w:rFonts w:hint="eastAsia"/>
                      <w:color w:val="auto"/>
                      <w:kern w:val="0"/>
                      <w:szCs w:val="21"/>
                    </w:rPr>
                    <w:t>合计</w:t>
                  </w:r>
                </w:p>
              </w:tc>
              <w:tc>
                <w:tcPr>
                  <w:tcW w:w="1134" w:type="dxa"/>
                  <w:vAlign w:val="center"/>
                </w:tcPr>
                <w:p>
                  <w:pPr>
                    <w:pStyle w:val="28"/>
                    <w:spacing w:line="360" w:lineRule="exact"/>
                    <w:rPr>
                      <w:color w:val="auto"/>
                      <w:kern w:val="0"/>
                      <w:szCs w:val="21"/>
                    </w:rPr>
                  </w:pPr>
                  <w:r>
                    <w:rPr>
                      <w:color w:val="auto"/>
                      <w:kern w:val="0"/>
                      <w:szCs w:val="21"/>
                    </w:rPr>
                    <w:t>22.5</w:t>
                  </w:r>
                </w:p>
              </w:tc>
              <w:tc>
                <w:tcPr>
                  <w:tcW w:w="1134" w:type="dxa"/>
                  <w:vMerge w:val="continue"/>
                  <w:shd w:val="clear" w:color="auto" w:fill="auto"/>
                  <w:vAlign w:val="center"/>
                </w:tcPr>
                <w:p>
                  <w:pPr>
                    <w:pStyle w:val="28"/>
                    <w:spacing w:line="360" w:lineRule="exact"/>
                    <w:rPr>
                      <w:color w:val="auto"/>
                      <w:kern w:val="0"/>
                      <w:szCs w:val="21"/>
                    </w:rPr>
                  </w:pPr>
                </w:p>
              </w:tc>
              <w:tc>
                <w:tcPr>
                  <w:tcW w:w="992" w:type="dxa"/>
                  <w:vMerge w:val="continue"/>
                  <w:shd w:val="clear" w:color="auto" w:fill="auto"/>
                  <w:vAlign w:val="center"/>
                </w:tcPr>
                <w:p>
                  <w:pPr>
                    <w:pStyle w:val="28"/>
                    <w:spacing w:line="360" w:lineRule="exact"/>
                    <w:rPr>
                      <w:color w:val="auto"/>
                      <w:kern w:val="0"/>
                      <w:szCs w:val="21"/>
                    </w:rPr>
                  </w:pPr>
                </w:p>
              </w:tc>
              <w:tc>
                <w:tcPr>
                  <w:tcW w:w="783" w:type="dxa"/>
                  <w:vMerge w:val="continue"/>
                  <w:vAlign w:val="center"/>
                </w:tcPr>
                <w:p>
                  <w:pPr>
                    <w:pStyle w:val="28"/>
                    <w:spacing w:line="360" w:lineRule="exact"/>
                    <w:rPr>
                      <w:color w:val="auto"/>
                      <w:kern w:val="0"/>
                      <w:szCs w:val="21"/>
                    </w:rPr>
                  </w:pPr>
                </w:p>
              </w:tc>
            </w:tr>
          </w:tbl>
          <w:p>
            <w:pPr>
              <w:autoSpaceDE w:val="0"/>
              <w:autoSpaceDN w:val="0"/>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2.6.5 危险废物包装方式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该项目危险废物包装必须严格按照《危险货物运输包装通用技术条件》（GB12463-2009）、《危险货物运输包装标志》（GB190-2009）的相关要求。该项目采用盛装危险废物的包装物主要包括储罐、铁桶、塑料桶和内覆膜吨袋。</w:t>
            </w:r>
          </w:p>
          <w:p>
            <w:pPr>
              <w:autoSpaceDE w:val="0"/>
              <w:autoSpaceDN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2.6.6 运输、处置单位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根据实施方案，项目拟收集的各危险废物在产废单位按照规定要求对危险废物进行包装，并依托公路运输方式委托有资质的单位运输至厂内。而“</w:t>
            </w:r>
            <w:r>
              <w:rPr>
                <w:rFonts w:ascii="Times New Roman" w:hAnsi="Times New Roman" w:cs="Times New Roman"/>
                <w:sz w:val="24"/>
                <w:szCs w:val="24"/>
              </w:rPr>
              <w:t>HW08</w:t>
            </w:r>
            <w:r>
              <w:rPr>
                <w:rFonts w:hint="eastAsia" w:ascii="Times New Roman" w:hAnsi="Times New Roman" w:cs="Times New Roman"/>
                <w:sz w:val="24"/>
                <w:szCs w:val="24"/>
              </w:rPr>
              <w:t>废矿物油与含矿物油废物”则委托有资质单位的专用油罐车运输至厂区后，使用专用管道从桶里泵入储罐中存放；贮存后的危险废物全部分别委托有资质的处置单位进行处置。</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（1）运输单位调查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建设单位目前就各危险废物运输和云南御瑞佳成商贸有限公司、云南泽森环保科技有限公司、曲靖市铭均运输有限公司等危险废物运输单位进行商务洽谈，各危险废物的入厂运输委托上述单位进行运输，但不仅限于上述单位。上述单位的运输能力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int="eastAsia" w:hAnsi="Times New Roman" w:eastAsiaTheme="minorEastAsia"/>
                <w:bCs/>
                <w:snapToGrid w:val="0"/>
                <w:sz w:val="21"/>
                <w:szCs w:val="21"/>
              </w:rPr>
              <w:t>表2.6.6-1 拟达成协议的运输单位基本情况一览表</w:t>
            </w:r>
          </w:p>
          <w:tbl>
            <w:tblPr>
              <w:tblStyle w:val="1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8"/>
              <w:gridCol w:w="1560"/>
              <w:gridCol w:w="6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Align w:val="center"/>
                </w:tcPr>
                <w:p>
                  <w:pPr>
                    <w:pStyle w:val="28"/>
                    <w:spacing w:line="360" w:lineRule="exact"/>
                    <w:rPr>
                      <w:color w:val="auto"/>
                      <w:kern w:val="0"/>
                      <w:szCs w:val="21"/>
                    </w:rPr>
                  </w:pPr>
                  <w:r>
                    <w:rPr>
                      <w:rFonts w:hint="eastAsia"/>
                      <w:color w:val="auto"/>
                      <w:kern w:val="0"/>
                      <w:szCs w:val="21"/>
                    </w:rPr>
                    <w:t>类别</w:t>
                  </w:r>
                </w:p>
              </w:tc>
              <w:tc>
                <w:tcPr>
                  <w:tcW w:w="1560" w:type="dxa"/>
                  <w:vAlign w:val="center"/>
                </w:tcPr>
                <w:p>
                  <w:pPr>
                    <w:pStyle w:val="28"/>
                    <w:spacing w:line="360" w:lineRule="exact"/>
                    <w:rPr>
                      <w:color w:val="auto"/>
                      <w:kern w:val="0"/>
                      <w:szCs w:val="21"/>
                    </w:rPr>
                  </w:pPr>
                  <w:r>
                    <w:rPr>
                      <w:rFonts w:hint="eastAsia"/>
                      <w:color w:val="auto"/>
                      <w:kern w:val="0"/>
                      <w:szCs w:val="21"/>
                    </w:rPr>
                    <w:t>名称</w:t>
                  </w:r>
                </w:p>
              </w:tc>
              <w:tc>
                <w:tcPr>
                  <w:tcW w:w="6027" w:type="dxa"/>
                  <w:vAlign w:val="center"/>
                </w:tcPr>
                <w:p>
                  <w:pPr>
                    <w:pStyle w:val="28"/>
                    <w:spacing w:line="360" w:lineRule="exact"/>
                    <w:rPr>
                      <w:color w:val="auto"/>
                      <w:kern w:val="0"/>
                      <w:szCs w:val="21"/>
                    </w:rPr>
                  </w:pPr>
                  <w:r>
                    <w:rPr>
                      <w:rFonts w:hint="eastAsia"/>
                      <w:color w:val="auto"/>
                      <w:kern w:val="0"/>
                      <w:szCs w:val="21"/>
                    </w:rPr>
                    <w:t>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Merge w:val="restart"/>
                  <w:vAlign w:val="center"/>
                </w:tcPr>
                <w:p>
                  <w:pPr>
                    <w:pStyle w:val="28"/>
                    <w:spacing w:line="360" w:lineRule="exact"/>
                    <w:rPr>
                      <w:color w:val="auto"/>
                      <w:kern w:val="0"/>
                      <w:szCs w:val="21"/>
                    </w:rPr>
                  </w:pPr>
                  <w:r>
                    <w:rPr>
                      <w:rFonts w:hint="eastAsia"/>
                      <w:color w:val="auto"/>
                      <w:kern w:val="0"/>
                      <w:szCs w:val="21"/>
                    </w:rPr>
                    <w:t>入场运输单位</w:t>
                  </w:r>
                </w:p>
              </w:tc>
              <w:tc>
                <w:tcPr>
                  <w:tcW w:w="1560" w:type="dxa"/>
                  <w:vAlign w:val="center"/>
                </w:tcPr>
                <w:p>
                  <w:pPr>
                    <w:pStyle w:val="28"/>
                    <w:spacing w:line="360" w:lineRule="exact"/>
                    <w:rPr>
                      <w:color w:val="auto"/>
                      <w:kern w:val="0"/>
                      <w:szCs w:val="21"/>
                    </w:rPr>
                  </w:pPr>
                  <w:r>
                    <w:rPr>
                      <w:rFonts w:hint="eastAsia"/>
                      <w:color w:val="auto"/>
                      <w:kern w:val="0"/>
                      <w:szCs w:val="21"/>
                    </w:rPr>
                    <w:t>云南御瑞佳成商贸有限公司</w:t>
                  </w:r>
                </w:p>
              </w:tc>
              <w:tc>
                <w:tcPr>
                  <w:tcW w:w="6027" w:type="dxa"/>
                  <w:vAlign w:val="center"/>
                </w:tcPr>
                <w:p>
                  <w:pPr>
                    <w:pStyle w:val="28"/>
                    <w:spacing w:line="360" w:lineRule="exact"/>
                    <w:ind w:firstLine="105" w:firstLineChars="50"/>
                    <w:jc w:val="both"/>
                    <w:rPr>
                      <w:color w:val="auto"/>
                      <w:szCs w:val="21"/>
                    </w:rPr>
                  </w:pPr>
                  <w:r>
                    <w:rPr>
                      <w:rFonts w:hint="eastAsia"/>
                      <w:color w:val="auto"/>
                      <w:szCs w:val="21"/>
                    </w:rPr>
                    <w:t>危险货物道路运输经营许可证号：滇交管许可富民字</w:t>
                  </w:r>
                  <w:r>
                    <w:rPr>
                      <w:rFonts w:hint="eastAsia"/>
                      <w:color w:val="auto"/>
                      <w:szCs w:val="21"/>
                      <w:lang w:eastAsia="zh-CN"/>
                    </w:rPr>
                    <w:t>***</w:t>
                  </w:r>
                  <w:r>
                    <w:rPr>
                      <w:color w:val="auto"/>
                      <w:szCs w:val="21"/>
                    </w:rPr>
                    <w:t>12400</w:t>
                  </w:r>
                  <w:r>
                    <w:rPr>
                      <w:rFonts w:hint="eastAsia"/>
                      <w:color w:val="auto"/>
                      <w:szCs w:val="21"/>
                      <w:lang w:eastAsia="zh-CN"/>
                    </w:rPr>
                    <w:t>****</w:t>
                  </w:r>
                  <w:r>
                    <w:rPr>
                      <w:rFonts w:hint="eastAsia"/>
                      <w:color w:val="auto"/>
                      <w:szCs w:val="21"/>
                    </w:rPr>
                    <w:t>号；经营范围：道路普通货物运输，货物专用运输（冷藏保鲜设备），危险货物运输（2类），危险货物运输（3类），医疗废物、危险废物、大型物件运输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Merge w:val="continue"/>
                  <w:vAlign w:val="center"/>
                </w:tcPr>
                <w:p>
                  <w:pPr>
                    <w:pStyle w:val="28"/>
                    <w:spacing w:line="360" w:lineRule="exact"/>
                    <w:rPr>
                      <w:color w:val="auto"/>
                      <w:kern w:val="0"/>
                      <w:szCs w:val="21"/>
                    </w:rPr>
                  </w:pPr>
                </w:p>
              </w:tc>
              <w:tc>
                <w:tcPr>
                  <w:tcW w:w="1560" w:type="dxa"/>
                  <w:vAlign w:val="center"/>
                </w:tcPr>
                <w:p>
                  <w:pPr>
                    <w:pStyle w:val="28"/>
                    <w:spacing w:line="360" w:lineRule="exact"/>
                    <w:rPr>
                      <w:color w:val="auto"/>
                      <w:kern w:val="0"/>
                      <w:szCs w:val="21"/>
                    </w:rPr>
                  </w:pPr>
                  <w:r>
                    <w:rPr>
                      <w:rFonts w:hint="eastAsia"/>
                      <w:color w:val="auto"/>
                      <w:kern w:val="0"/>
                      <w:szCs w:val="21"/>
                    </w:rPr>
                    <w:t>曲靖市铭均运输有限公司</w:t>
                  </w:r>
                </w:p>
              </w:tc>
              <w:tc>
                <w:tcPr>
                  <w:tcW w:w="6027" w:type="dxa"/>
                  <w:vAlign w:val="center"/>
                </w:tcPr>
                <w:p>
                  <w:pPr>
                    <w:pStyle w:val="28"/>
                    <w:spacing w:line="360" w:lineRule="exact"/>
                    <w:ind w:firstLine="105" w:firstLineChars="50"/>
                    <w:jc w:val="both"/>
                    <w:rPr>
                      <w:color w:val="auto"/>
                      <w:szCs w:val="21"/>
                    </w:rPr>
                  </w:pPr>
                  <w:r>
                    <w:rPr>
                      <w:rFonts w:hint="eastAsia"/>
                      <w:color w:val="auto"/>
                      <w:szCs w:val="21"/>
                    </w:rPr>
                    <w:t>险货物道路运输经营许可证号：滇交管许可曲靖字</w:t>
                  </w:r>
                  <w:r>
                    <w:rPr>
                      <w:rFonts w:hint="eastAsia"/>
                      <w:color w:val="auto"/>
                      <w:szCs w:val="21"/>
                      <w:lang w:eastAsia="zh-CN"/>
                    </w:rPr>
                    <w:t>****</w:t>
                  </w:r>
                  <w:r>
                    <w:rPr>
                      <w:color w:val="auto"/>
                      <w:szCs w:val="21"/>
                    </w:rPr>
                    <w:t>0000</w:t>
                  </w:r>
                  <w:r>
                    <w:rPr>
                      <w:rFonts w:hint="eastAsia"/>
                      <w:color w:val="auto"/>
                      <w:szCs w:val="21"/>
                      <w:lang w:eastAsia="zh-CN"/>
                    </w:rPr>
                    <w:t>****</w:t>
                  </w:r>
                  <w:r>
                    <w:rPr>
                      <w:rFonts w:hint="eastAsia"/>
                      <w:color w:val="auto"/>
                      <w:szCs w:val="21"/>
                    </w:rPr>
                    <w:t>号；经营范围：危险废物、道路普通货物运输，危险货物运输（2类1项），危险货物运输（3类）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Merge w:val="continue"/>
                  <w:vAlign w:val="center"/>
                </w:tcPr>
                <w:p>
                  <w:pPr>
                    <w:pStyle w:val="28"/>
                    <w:spacing w:line="360" w:lineRule="exact"/>
                    <w:rPr>
                      <w:color w:val="auto"/>
                      <w:kern w:val="0"/>
                      <w:szCs w:val="21"/>
                    </w:rPr>
                  </w:pPr>
                </w:p>
              </w:tc>
              <w:tc>
                <w:tcPr>
                  <w:tcW w:w="1560" w:type="dxa"/>
                  <w:vAlign w:val="center"/>
                </w:tcPr>
                <w:p>
                  <w:pPr>
                    <w:pStyle w:val="28"/>
                    <w:spacing w:line="360" w:lineRule="exact"/>
                    <w:rPr>
                      <w:color w:val="auto"/>
                      <w:kern w:val="0"/>
                      <w:szCs w:val="21"/>
                    </w:rPr>
                  </w:pPr>
                  <w:r>
                    <w:rPr>
                      <w:rFonts w:hint="eastAsia"/>
                      <w:color w:val="auto"/>
                      <w:kern w:val="0"/>
                      <w:szCs w:val="21"/>
                    </w:rPr>
                    <w:t>云南泽森环保科技有限公司</w:t>
                  </w:r>
                </w:p>
              </w:tc>
              <w:tc>
                <w:tcPr>
                  <w:tcW w:w="6027" w:type="dxa"/>
                  <w:vAlign w:val="center"/>
                </w:tcPr>
                <w:p>
                  <w:pPr>
                    <w:pStyle w:val="28"/>
                    <w:spacing w:line="360" w:lineRule="exact"/>
                    <w:ind w:firstLine="105" w:firstLineChars="50"/>
                    <w:jc w:val="both"/>
                    <w:rPr>
                      <w:color w:val="auto"/>
                      <w:szCs w:val="21"/>
                    </w:rPr>
                  </w:pPr>
                  <w:r>
                    <w:rPr>
                      <w:rFonts w:hint="eastAsia"/>
                      <w:color w:val="auto"/>
                      <w:szCs w:val="21"/>
                    </w:rPr>
                    <w:t>危险货物道路运输经营许可证号：滇交管许可晋宁字</w:t>
                  </w:r>
                  <w:r>
                    <w:rPr>
                      <w:rFonts w:hint="eastAsia"/>
                      <w:color w:val="auto"/>
                      <w:szCs w:val="21"/>
                      <w:lang w:eastAsia="zh-CN"/>
                    </w:rPr>
                    <w:t>***</w:t>
                  </w:r>
                  <w:r>
                    <w:rPr>
                      <w:color w:val="auto"/>
                      <w:szCs w:val="21"/>
                    </w:rPr>
                    <w:t>12200</w:t>
                  </w:r>
                  <w:r>
                    <w:rPr>
                      <w:rFonts w:hint="eastAsia"/>
                      <w:color w:val="auto"/>
                      <w:szCs w:val="21"/>
                      <w:lang w:eastAsia="zh-CN"/>
                    </w:rPr>
                    <w:t>****</w:t>
                  </w:r>
                  <w:r>
                    <w:rPr>
                      <w:rFonts w:hint="eastAsia"/>
                      <w:color w:val="auto"/>
                      <w:szCs w:val="21"/>
                    </w:rPr>
                    <w:t>号；经营范围：道路普通货物，危险货物运输（3类），危险废物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05" w:type="dxa"/>
                  <w:gridSpan w:val="3"/>
                  <w:vAlign w:val="center"/>
                </w:tcPr>
                <w:p>
                  <w:pPr>
                    <w:pStyle w:val="28"/>
                    <w:spacing w:line="360" w:lineRule="exact"/>
                    <w:ind w:firstLine="105" w:firstLineChars="50"/>
                    <w:jc w:val="both"/>
                    <w:rPr>
                      <w:color w:val="auto"/>
                      <w:szCs w:val="21"/>
                    </w:rPr>
                  </w:pPr>
                  <w:r>
                    <w:rPr>
                      <w:rFonts w:hint="eastAsia"/>
                      <w:color w:val="auto"/>
                      <w:szCs w:val="21"/>
                    </w:rPr>
                    <w:t>备注：危险废物转移至处置单位，由处置单位委托有资质的单位进行运输</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项目将在实施前和各运输单位签订运输协议。</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（2）处置单位调查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目前建设单位就各危险废物的处置和曲靖银发危险废物集中处置中心、云南大地丰源环保有限公司、云南东升茂泰科技环保有限公司和四川金谷环保科技有限公司等危险废物处置单位进行商务洽谈，各危险废物拟委托上述单位进行处置，但不仅限于上述单位。上述单位的处置能力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int="eastAsia" w:hAnsi="Times New Roman" w:eastAsiaTheme="minorEastAsia"/>
                <w:bCs/>
                <w:snapToGrid w:val="0"/>
                <w:sz w:val="21"/>
                <w:szCs w:val="21"/>
              </w:rPr>
              <w:t>表2.6.6-2 拟达成协议的处置单位基本情况一览表</w:t>
            </w:r>
          </w:p>
          <w:tbl>
            <w:tblPr>
              <w:tblStyle w:val="18"/>
              <w:tblW w:w="84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6"/>
              <w:gridCol w:w="1559"/>
              <w:gridCol w:w="56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Align w:val="center"/>
                </w:tcPr>
                <w:p>
                  <w:pPr>
                    <w:pStyle w:val="28"/>
                    <w:spacing w:line="360" w:lineRule="exact"/>
                    <w:rPr>
                      <w:color w:val="auto"/>
                      <w:kern w:val="0"/>
                      <w:szCs w:val="21"/>
                    </w:rPr>
                  </w:pPr>
                  <w:r>
                    <w:rPr>
                      <w:rFonts w:hint="eastAsia"/>
                      <w:color w:val="auto"/>
                      <w:kern w:val="0"/>
                      <w:szCs w:val="21"/>
                    </w:rPr>
                    <w:t>类别</w:t>
                  </w:r>
                </w:p>
              </w:tc>
              <w:tc>
                <w:tcPr>
                  <w:tcW w:w="1559" w:type="dxa"/>
                  <w:vAlign w:val="center"/>
                </w:tcPr>
                <w:p>
                  <w:pPr>
                    <w:pStyle w:val="28"/>
                    <w:spacing w:line="360" w:lineRule="exact"/>
                    <w:rPr>
                      <w:color w:val="auto"/>
                      <w:kern w:val="0"/>
                      <w:szCs w:val="21"/>
                    </w:rPr>
                  </w:pPr>
                  <w:r>
                    <w:rPr>
                      <w:rFonts w:hint="eastAsia"/>
                      <w:color w:val="auto"/>
                      <w:kern w:val="0"/>
                      <w:szCs w:val="21"/>
                    </w:rPr>
                    <w:t>名称</w:t>
                  </w:r>
                </w:p>
              </w:tc>
              <w:tc>
                <w:tcPr>
                  <w:tcW w:w="5658" w:type="dxa"/>
                  <w:vAlign w:val="center"/>
                </w:tcPr>
                <w:p>
                  <w:pPr>
                    <w:pStyle w:val="28"/>
                    <w:spacing w:line="360" w:lineRule="exact"/>
                    <w:rPr>
                      <w:color w:val="auto"/>
                      <w:kern w:val="0"/>
                      <w:szCs w:val="21"/>
                    </w:rPr>
                  </w:pPr>
                  <w:r>
                    <w:rPr>
                      <w:rFonts w:hint="eastAsia"/>
                      <w:color w:val="auto"/>
                      <w:kern w:val="0"/>
                      <w:szCs w:val="21"/>
                    </w:rPr>
                    <w:t>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restart"/>
                  <w:vAlign w:val="center"/>
                </w:tcPr>
                <w:p>
                  <w:pPr>
                    <w:pStyle w:val="28"/>
                    <w:spacing w:line="360" w:lineRule="exact"/>
                    <w:rPr>
                      <w:color w:val="auto"/>
                      <w:kern w:val="0"/>
                      <w:szCs w:val="21"/>
                    </w:rPr>
                  </w:pPr>
                  <w:r>
                    <w:rPr>
                      <w:rFonts w:hint="eastAsia"/>
                      <w:color w:val="auto"/>
                      <w:kern w:val="0"/>
                      <w:szCs w:val="21"/>
                    </w:rPr>
                    <w:t>处置单位</w:t>
                  </w:r>
                </w:p>
              </w:tc>
              <w:tc>
                <w:tcPr>
                  <w:tcW w:w="1559" w:type="dxa"/>
                  <w:vAlign w:val="center"/>
                </w:tcPr>
                <w:p>
                  <w:pPr>
                    <w:pStyle w:val="28"/>
                    <w:spacing w:line="360" w:lineRule="exact"/>
                    <w:rPr>
                      <w:color w:val="auto"/>
                      <w:kern w:val="0"/>
                      <w:szCs w:val="21"/>
                    </w:rPr>
                  </w:pPr>
                  <w:r>
                    <w:rPr>
                      <w:rFonts w:hint="eastAsia"/>
                      <w:color w:val="auto"/>
                      <w:kern w:val="0"/>
                      <w:szCs w:val="21"/>
                    </w:rPr>
                    <w:t>曲靖银发危险废物集中处置中心</w:t>
                  </w:r>
                </w:p>
              </w:tc>
              <w:tc>
                <w:tcPr>
                  <w:tcW w:w="5658" w:type="dxa"/>
                  <w:vAlign w:val="center"/>
                </w:tcPr>
                <w:p>
                  <w:pPr>
                    <w:pStyle w:val="28"/>
                    <w:spacing w:line="360" w:lineRule="exact"/>
                    <w:ind w:firstLine="105" w:firstLineChars="50"/>
                    <w:jc w:val="both"/>
                    <w:rPr>
                      <w:color w:val="auto"/>
                      <w:szCs w:val="21"/>
                    </w:rPr>
                  </w:pPr>
                  <w:r>
                    <w:rPr>
                      <w:rFonts w:hint="eastAsia"/>
                      <w:color w:val="auto"/>
                      <w:szCs w:val="21"/>
                    </w:rPr>
                    <w:t>危险废物经营许可证：Y</w:t>
                  </w:r>
                  <w:r>
                    <w:rPr>
                      <w:rFonts w:hint="eastAsia"/>
                      <w:color w:val="auto"/>
                      <w:szCs w:val="21"/>
                      <w:lang w:eastAsia="zh-CN"/>
                    </w:rPr>
                    <w:t>****</w:t>
                  </w:r>
                  <w:r>
                    <w:rPr>
                      <w:color w:val="auto"/>
                      <w:szCs w:val="21"/>
                    </w:rPr>
                    <w:t>030148</w:t>
                  </w:r>
                  <w:r>
                    <w:rPr>
                      <w:rFonts w:hint="eastAsia"/>
                      <w:color w:val="auto"/>
                      <w:szCs w:val="21"/>
                    </w:rPr>
                    <w:t>；危险废物经营类别：H</w:t>
                  </w:r>
                  <w:r>
                    <w:rPr>
                      <w:color w:val="auto"/>
                      <w:szCs w:val="21"/>
                    </w:rPr>
                    <w:t>W02</w:t>
                  </w:r>
                  <w:r>
                    <w:rPr>
                      <w:rFonts w:hint="eastAsia"/>
                      <w:color w:val="auto"/>
                      <w:szCs w:val="21"/>
                    </w:rPr>
                    <w:t>、H</w:t>
                  </w:r>
                  <w:r>
                    <w:rPr>
                      <w:color w:val="auto"/>
                      <w:szCs w:val="21"/>
                    </w:rPr>
                    <w:t>W03</w:t>
                  </w:r>
                  <w:r>
                    <w:rPr>
                      <w:rFonts w:hint="eastAsia"/>
                      <w:color w:val="auto"/>
                      <w:szCs w:val="21"/>
                    </w:rPr>
                    <w:t>、H</w:t>
                  </w:r>
                  <w:r>
                    <w:rPr>
                      <w:color w:val="auto"/>
                      <w:szCs w:val="21"/>
                    </w:rPr>
                    <w:t>W04</w:t>
                  </w:r>
                  <w:r>
                    <w:rPr>
                      <w:rFonts w:hint="eastAsia"/>
                      <w:color w:val="auto"/>
                      <w:szCs w:val="21"/>
                    </w:rPr>
                    <w:t>、H</w:t>
                  </w:r>
                  <w:r>
                    <w:rPr>
                      <w:color w:val="auto"/>
                      <w:szCs w:val="21"/>
                    </w:rPr>
                    <w:t>W05</w:t>
                  </w:r>
                  <w:r>
                    <w:rPr>
                      <w:rFonts w:hint="eastAsia"/>
                      <w:color w:val="auto"/>
                      <w:szCs w:val="21"/>
                    </w:rPr>
                    <w:t>、H</w:t>
                  </w:r>
                  <w:r>
                    <w:rPr>
                      <w:color w:val="auto"/>
                      <w:szCs w:val="21"/>
                    </w:rPr>
                    <w:t>W06</w:t>
                  </w:r>
                  <w:r>
                    <w:rPr>
                      <w:rFonts w:hint="eastAsia"/>
                      <w:color w:val="auto"/>
                      <w:szCs w:val="21"/>
                    </w:rPr>
                    <w:t>、H</w:t>
                  </w:r>
                  <w:r>
                    <w:rPr>
                      <w:color w:val="auto"/>
                      <w:szCs w:val="21"/>
                    </w:rPr>
                    <w:t>W08</w:t>
                  </w:r>
                  <w:r>
                    <w:rPr>
                      <w:rFonts w:hint="eastAsia"/>
                      <w:color w:val="auto"/>
                      <w:szCs w:val="21"/>
                    </w:rPr>
                    <w:t>、H</w:t>
                  </w:r>
                  <w:r>
                    <w:rPr>
                      <w:color w:val="auto"/>
                      <w:szCs w:val="21"/>
                    </w:rPr>
                    <w:t>W09</w:t>
                  </w:r>
                  <w:r>
                    <w:rPr>
                      <w:rFonts w:hint="eastAsia"/>
                      <w:color w:val="auto"/>
                      <w:szCs w:val="21"/>
                    </w:rPr>
                    <w:t>、H</w:t>
                  </w:r>
                  <w:r>
                    <w:rPr>
                      <w:color w:val="auto"/>
                      <w:szCs w:val="21"/>
                    </w:rPr>
                    <w:t>W11</w:t>
                  </w:r>
                  <w:r>
                    <w:rPr>
                      <w:rFonts w:hint="eastAsia"/>
                      <w:color w:val="auto"/>
                      <w:szCs w:val="21"/>
                    </w:rPr>
                    <w:t>、H</w:t>
                  </w:r>
                  <w:r>
                    <w:rPr>
                      <w:color w:val="auto"/>
                      <w:szCs w:val="21"/>
                    </w:rPr>
                    <w:t>W12</w:t>
                  </w:r>
                  <w:r>
                    <w:rPr>
                      <w:rFonts w:hint="eastAsia"/>
                      <w:color w:val="auto"/>
                      <w:szCs w:val="21"/>
                    </w:rPr>
                    <w:t>、H</w:t>
                  </w:r>
                  <w:r>
                    <w:rPr>
                      <w:color w:val="auto"/>
                      <w:szCs w:val="21"/>
                    </w:rPr>
                    <w:t>W13</w:t>
                  </w:r>
                  <w:r>
                    <w:rPr>
                      <w:rFonts w:hint="eastAsia"/>
                      <w:color w:val="auto"/>
                      <w:szCs w:val="21"/>
                    </w:rPr>
                    <w:t>、H</w:t>
                  </w:r>
                  <w:r>
                    <w:rPr>
                      <w:color w:val="auto"/>
                      <w:szCs w:val="21"/>
                    </w:rPr>
                    <w:t>W16</w:t>
                  </w:r>
                  <w:r>
                    <w:rPr>
                      <w:rFonts w:hint="eastAsia"/>
                      <w:color w:val="auto"/>
                      <w:szCs w:val="21"/>
                    </w:rPr>
                    <w:t>、H</w:t>
                  </w:r>
                  <w:r>
                    <w:rPr>
                      <w:color w:val="auto"/>
                      <w:szCs w:val="21"/>
                    </w:rPr>
                    <w:t>W17</w:t>
                  </w:r>
                  <w:r>
                    <w:rPr>
                      <w:rFonts w:hint="eastAsia"/>
                      <w:color w:val="auto"/>
                      <w:szCs w:val="21"/>
                    </w:rPr>
                    <w:t>、H</w:t>
                  </w:r>
                  <w:r>
                    <w:rPr>
                      <w:color w:val="auto"/>
                      <w:szCs w:val="21"/>
                    </w:rPr>
                    <w:t>W18</w:t>
                  </w:r>
                  <w:r>
                    <w:rPr>
                      <w:rFonts w:hint="eastAsia"/>
                      <w:color w:val="auto"/>
                      <w:szCs w:val="21"/>
                    </w:rPr>
                    <w:t>、H</w:t>
                  </w:r>
                  <w:r>
                    <w:rPr>
                      <w:color w:val="auto"/>
                      <w:szCs w:val="21"/>
                    </w:rPr>
                    <w:t>W19</w:t>
                  </w:r>
                  <w:r>
                    <w:rPr>
                      <w:rFonts w:hint="eastAsia"/>
                      <w:color w:val="auto"/>
                      <w:szCs w:val="21"/>
                    </w:rPr>
                    <w:t>、H</w:t>
                  </w:r>
                  <w:r>
                    <w:rPr>
                      <w:color w:val="auto"/>
                      <w:szCs w:val="21"/>
                    </w:rPr>
                    <w:t>W21</w:t>
                  </w:r>
                  <w:r>
                    <w:rPr>
                      <w:rFonts w:hint="eastAsia"/>
                      <w:color w:val="auto"/>
                      <w:szCs w:val="21"/>
                    </w:rPr>
                    <w:t>、H</w:t>
                  </w:r>
                  <w:r>
                    <w:rPr>
                      <w:color w:val="auto"/>
                      <w:szCs w:val="21"/>
                    </w:rPr>
                    <w:t>W22</w:t>
                  </w:r>
                  <w:r>
                    <w:rPr>
                      <w:rFonts w:hint="eastAsia"/>
                      <w:color w:val="auto"/>
                      <w:szCs w:val="21"/>
                    </w:rPr>
                    <w:t>、H</w:t>
                  </w:r>
                  <w:r>
                    <w:rPr>
                      <w:color w:val="auto"/>
                      <w:szCs w:val="21"/>
                    </w:rPr>
                    <w:t>W23</w:t>
                  </w:r>
                  <w:r>
                    <w:rPr>
                      <w:rFonts w:hint="eastAsia"/>
                      <w:color w:val="auto"/>
                      <w:szCs w:val="21"/>
                    </w:rPr>
                    <w:t>、H</w:t>
                  </w:r>
                  <w:r>
                    <w:rPr>
                      <w:color w:val="auto"/>
                      <w:szCs w:val="21"/>
                    </w:rPr>
                    <w:t>W24</w:t>
                  </w:r>
                  <w:r>
                    <w:rPr>
                      <w:rFonts w:hint="eastAsia"/>
                      <w:color w:val="auto"/>
                      <w:szCs w:val="21"/>
                    </w:rPr>
                    <w:t>、H</w:t>
                  </w:r>
                  <w:r>
                    <w:rPr>
                      <w:color w:val="auto"/>
                      <w:szCs w:val="21"/>
                    </w:rPr>
                    <w:t>W26</w:t>
                  </w:r>
                  <w:r>
                    <w:rPr>
                      <w:rFonts w:hint="eastAsia"/>
                      <w:color w:val="auto"/>
                      <w:szCs w:val="21"/>
                    </w:rPr>
                    <w:t>、H</w:t>
                  </w:r>
                  <w:r>
                    <w:rPr>
                      <w:color w:val="auto"/>
                      <w:szCs w:val="21"/>
                    </w:rPr>
                    <w:t>W29</w:t>
                  </w:r>
                  <w:r>
                    <w:rPr>
                      <w:rFonts w:hint="eastAsia"/>
                      <w:color w:val="auto"/>
                      <w:szCs w:val="21"/>
                    </w:rPr>
                    <w:t>、H</w:t>
                  </w:r>
                  <w:r>
                    <w:rPr>
                      <w:color w:val="auto"/>
                      <w:szCs w:val="21"/>
                    </w:rPr>
                    <w:t>W31</w:t>
                  </w:r>
                  <w:r>
                    <w:rPr>
                      <w:rFonts w:hint="eastAsia"/>
                      <w:color w:val="auto"/>
                      <w:szCs w:val="21"/>
                    </w:rPr>
                    <w:t>、H</w:t>
                  </w:r>
                  <w:r>
                    <w:rPr>
                      <w:color w:val="auto"/>
                      <w:szCs w:val="21"/>
                    </w:rPr>
                    <w:t>W32</w:t>
                  </w:r>
                  <w:r>
                    <w:rPr>
                      <w:rFonts w:hint="eastAsia"/>
                      <w:color w:val="auto"/>
                      <w:szCs w:val="21"/>
                    </w:rPr>
                    <w:t>、H</w:t>
                  </w:r>
                  <w:r>
                    <w:rPr>
                      <w:color w:val="auto"/>
                      <w:szCs w:val="21"/>
                    </w:rPr>
                    <w:t>W04</w:t>
                  </w:r>
                  <w:r>
                    <w:rPr>
                      <w:rFonts w:hint="eastAsia"/>
                      <w:color w:val="auto"/>
                      <w:szCs w:val="21"/>
                    </w:rPr>
                    <w:t>、H</w:t>
                  </w:r>
                  <w:r>
                    <w:rPr>
                      <w:color w:val="auto"/>
                      <w:szCs w:val="21"/>
                    </w:rPr>
                    <w:t>W05</w:t>
                  </w:r>
                  <w:r>
                    <w:rPr>
                      <w:rFonts w:hint="eastAsia"/>
                      <w:color w:val="auto"/>
                      <w:szCs w:val="21"/>
                    </w:rPr>
                    <w:t>、H</w:t>
                  </w:r>
                  <w:r>
                    <w:rPr>
                      <w:color w:val="auto"/>
                      <w:szCs w:val="21"/>
                    </w:rPr>
                    <w:t>W06</w:t>
                  </w:r>
                  <w:r>
                    <w:rPr>
                      <w:rFonts w:hint="eastAsia"/>
                      <w:color w:val="auto"/>
                      <w:szCs w:val="21"/>
                    </w:rPr>
                    <w:t>、H</w:t>
                  </w:r>
                  <w:r>
                    <w:rPr>
                      <w:color w:val="auto"/>
                      <w:szCs w:val="21"/>
                    </w:rPr>
                    <w:t>W33</w:t>
                  </w:r>
                  <w:r>
                    <w:rPr>
                      <w:rFonts w:hint="eastAsia"/>
                      <w:color w:val="auto"/>
                      <w:szCs w:val="21"/>
                    </w:rPr>
                    <w:t>、H</w:t>
                  </w:r>
                  <w:r>
                    <w:rPr>
                      <w:color w:val="auto"/>
                      <w:szCs w:val="21"/>
                    </w:rPr>
                    <w:t>W34</w:t>
                  </w:r>
                  <w:r>
                    <w:rPr>
                      <w:rFonts w:hint="eastAsia"/>
                      <w:color w:val="auto"/>
                      <w:szCs w:val="21"/>
                    </w:rPr>
                    <w:t>、H</w:t>
                  </w:r>
                  <w:r>
                    <w:rPr>
                      <w:color w:val="auto"/>
                      <w:szCs w:val="21"/>
                    </w:rPr>
                    <w:t>W35</w:t>
                  </w:r>
                  <w:r>
                    <w:rPr>
                      <w:rFonts w:hint="eastAsia"/>
                      <w:color w:val="auto"/>
                      <w:szCs w:val="21"/>
                    </w:rPr>
                    <w:t>、H</w:t>
                  </w:r>
                  <w:r>
                    <w:rPr>
                      <w:color w:val="auto"/>
                      <w:szCs w:val="21"/>
                    </w:rPr>
                    <w:t>W36</w:t>
                  </w:r>
                  <w:r>
                    <w:rPr>
                      <w:rFonts w:hint="eastAsia"/>
                      <w:color w:val="auto"/>
                      <w:szCs w:val="21"/>
                    </w:rPr>
                    <w:t>、H</w:t>
                  </w:r>
                  <w:r>
                    <w:rPr>
                      <w:color w:val="auto"/>
                      <w:szCs w:val="21"/>
                    </w:rPr>
                    <w:t>W37</w:t>
                  </w:r>
                  <w:r>
                    <w:rPr>
                      <w:rFonts w:hint="eastAsia"/>
                      <w:color w:val="auto"/>
                      <w:szCs w:val="21"/>
                    </w:rPr>
                    <w:t>、H</w:t>
                  </w:r>
                  <w:r>
                    <w:rPr>
                      <w:color w:val="auto"/>
                      <w:szCs w:val="21"/>
                    </w:rPr>
                    <w:t>W39</w:t>
                  </w:r>
                  <w:r>
                    <w:rPr>
                      <w:rFonts w:hint="eastAsia"/>
                      <w:color w:val="auto"/>
                      <w:szCs w:val="21"/>
                    </w:rPr>
                    <w:t>、H</w:t>
                  </w:r>
                  <w:r>
                    <w:rPr>
                      <w:color w:val="auto"/>
                      <w:szCs w:val="21"/>
                    </w:rPr>
                    <w:t>W40</w:t>
                  </w:r>
                  <w:r>
                    <w:rPr>
                      <w:rFonts w:hint="eastAsia"/>
                      <w:color w:val="auto"/>
                      <w:szCs w:val="21"/>
                    </w:rPr>
                    <w:t>、H</w:t>
                  </w:r>
                  <w:r>
                    <w:rPr>
                      <w:color w:val="auto"/>
                      <w:szCs w:val="21"/>
                    </w:rPr>
                    <w:t>W45</w:t>
                  </w:r>
                  <w:r>
                    <w:rPr>
                      <w:rFonts w:hint="eastAsia"/>
                      <w:color w:val="auto"/>
                      <w:szCs w:val="21"/>
                    </w:rPr>
                    <w:t>、H</w:t>
                  </w:r>
                  <w:r>
                    <w:rPr>
                      <w:color w:val="auto"/>
                      <w:szCs w:val="21"/>
                    </w:rPr>
                    <w:t>W48</w:t>
                  </w:r>
                  <w:r>
                    <w:rPr>
                      <w:rFonts w:hint="eastAsia"/>
                      <w:color w:val="auto"/>
                      <w:szCs w:val="21"/>
                    </w:rPr>
                    <w:t>、H</w:t>
                  </w:r>
                  <w:r>
                    <w:rPr>
                      <w:color w:val="auto"/>
                      <w:szCs w:val="21"/>
                    </w:rPr>
                    <w:t>W49</w:t>
                  </w:r>
                  <w:r>
                    <w:rPr>
                      <w:rFonts w:hint="eastAsia"/>
                      <w:color w:val="auto"/>
                      <w:szCs w:val="21"/>
                    </w:rPr>
                    <w:t>、H</w:t>
                  </w:r>
                  <w:r>
                    <w:rPr>
                      <w:color w:val="auto"/>
                      <w:szCs w:val="21"/>
                    </w:rPr>
                    <w:t>W50</w:t>
                  </w:r>
                  <w:r>
                    <w:rPr>
                      <w:rFonts w:hint="eastAsia"/>
                      <w:color w:val="auto"/>
                      <w:szCs w:val="21"/>
                    </w:rPr>
                    <w:t>，共3</w:t>
                  </w:r>
                  <w:r>
                    <w:rPr>
                      <w:color w:val="auto"/>
                      <w:szCs w:val="21"/>
                    </w:rPr>
                    <w:t>3</w:t>
                  </w:r>
                  <w:r>
                    <w:rPr>
                      <w:rFonts w:hint="eastAsia"/>
                      <w:color w:val="auto"/>
                      <w:szCs w:val="21"/>
                    </w:rPr>
                    <w:t>大类4</w:t>
                  </w:r>
                  <w:r>
                    <w:rPr>
                      <w:color w:val="auto"/>
                      <w:szCs w:val="21"/>
                    </w:rPr>
                    <w:t>08</w:t>
                  </w:r>
                  <w:r>
                    <w:rPr>
                      <w:rFonts w:hint="eastAsia"/>
                      <w:color w:val="auto"/>
                      <w:szCs w:val="21"/>
                    </w:rPr>
                    <w:t>小类危险废物，总规模2</w:t>
                  </w:r>
                  <w:r>
                    <w:rPr>
                      <w:color w:val="auto"/>
                      <w:szCs w:val="21"/>
                    </w:rPr>
                    <w:t>7498.43</w:t>
                  </w:r>
                  <w:r>
                    <w:rPr>
                      <w:rFonts w:hint="eastAsia"/>
                      <w:color w:val="auto"/>
                      <w:szCs w:val="21"/>
                    </w:rPr>
                    <w:t>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continue"/>
                  <w:vAlign w:val="center"/>
                </w:tcPr>
                <w:p>
                  <w:pPr>
                    <w:pStyle w:val="28"/>
                    <w:spacing w:line="360" w:lineRule="exact"/>
                    <w:rPr>
                      <w:color w:val="auto"/>
                      <w:kern w:val="0"/>
                      <w:szCs w:val="21"/>
                    </w:rPr>
                  </w:pPr>
                </w:p>
              </w:tc>
              <w:tc>
                <w:tcPr>
                  <w:tcW w:w="1559" w:type="dxa"/>
                  <w:vAlign w:val="center"/>
                </w:tcPr>
                <w:p>
                  <w:pPr>
                    <w:pStyle w:val="28"/>
                    <w:spacing w:line="360" w:lineRule="exact"/>
                    <w:rPr>
                      <w:color w:val="auto"/>
                      <w:kern w:val="0"/>
                      <w:szCs w:val="21"/>
                    </w:rPr>
                  </w:pPr>
                  <w:r>
                    <w:rPr>
                      <w:rFonts w:hint="eastAsia"/>
                      <w:color w:val="auto"/>
                      <w:kern w:val="0"/>
                      <w:szCs w:val="21"/>
                    </w:rPr>
                    <w:t>云南大地丰源环保有限公司</w:t>
                  </w:r>
                </w:p>
              </w:tc>
              <w:tc>
                <w:tcPr>
                  <w:tcW w:w="5658" w:type="dxa"/>
                  <w:vAlign w:val="center"/>
                </w:tcPr>
                <w:p>
                  <w:pPr>
                    <w:pStyle w:val="28"/>
                    <w:spacing w:line="360" w:lineRule="exact"/>
                    <w:ind w:firstLine="105" w:firstLineChars="50"/>
                    <w:jc w:val="both"/>
                    <w:rPr>
                      <w:color w:val="auto"/>
                      <w:szCs w:val="21"/>
                    </w:rPr>
                  </w:pPr>
                  <w:r>
                    <w:rPr>
                      <w:rFonts w:hint="eastAsia"/>
                      <w:color w:val="auto"/>
                      <w:szCs w:val="21"/>
                    </w:rPr>
                    <w:t>危险废物经营许可证：Y</w:t>
                  </w:r>
                  <w:r>
                    <w:rPr>
                      <w:rFonts w:hint="eastAsia"/>
                      <w:color w:val="auto"/>
                      <w:szCs w:val="21"/>
                      <w:lang w:eastAsia="zh-CN"/>
                    </w:rPr>
                    <w:t>***</w:t>
                  </w:r>
                  <w:r>
                    <w:rPr>
                      <w:color w:val="auto"/>
                      <w:szCs w:val="21"/>
                    </w:rPr>
                    <w:t>1240116</w:t>
                  </w:r>
                  <w:r>
                    <w:rPr>
                      <w:rFonts w:hint="eastAsia"/>
                      <w:color w:val="auto"/>
                      <w:szCs w:val="21"/>
                    </w:rPr>
                    <w:t>；危险废物经营类别：H</w:t>
                  </w:r>
                  <w:r>
                    <w:rPr>
                      <w:color w:val="auto"/>
                      <w:szCs w:val="21"/>
                    </w:rPr>
                    <w:t>W01</w:t>
                  </w:r>
                  <w:r>
                    <w:rPr>
                      <w:rFonts w:hint="eastAsia"/>
                      <w:color w:val="auto"/>
                      <w:szCs w:val="21"/>
                    </w:rPr>
                    <w:t>、H</w:t>
                  </w:r>
                  <w:r>
                    <w:rPr>
                      <w:color w:val="auto"/>
                      <w:szCs w:val="21"/>
                    </w:rPr>
                    <w:t>W02</w:t>
                  </w:r>
                  <w:r>
                    <w:rPr>
                      <w:rFonts w:hint="eastAsia"/>
                      <w:color w:val="auto"/>
                      <w:szCs w:val="21"/>
                    </w:rPr>
                    <w:t>、H</w:t>
                  </w:r>
                  <w:r>
                    <w:rPr>
                      <w:color w:val="auto"/>
                      <w:szCs w:val="21"/>
                    </w:rPr>
                    <w:t>W03</w:t>
                  </w:r>
                  <w:r>
                    <w:rPr>
                      <w:rFonts w:hint="eastAsia"/>
                      <w:color w:val="auto"/>
                      <w:szCs w:val="21"/>
                    </w:rPr>
                    <w:t>、H</w:t>
                  </w:r>
                  <w:r>
                    <w:rPr>
                      <w:color w:val="auto"/>
                      <w:szCs w:val="21"/>
                    </w:rPr>
                    <w:t>W04</w:t>
                  </w:r>
                  <w:r>
                    <w:rPr>
                      <w:rFonts w:hint="eastAsia"/>
                      <w:color w:val="auto"/>
                      <w:szCs w:val="21"/>
                    </w:rPr>
                    <w:t>、H</w:t>
                  </w:r>
                  <w:r>
                    <w:rPr>
                      <w:color w:val="auto"/>
                      <w:szCs w:val="21"/>
                    </w:rPr>
                    <w:t>W05</w:t>
                  </w:r>
                  <w:r>
                    <w:rPr>
                      <w:rFonts w:hint="eastAsia"/>
                      <w:color w:val="auto"/>
                      <w:szCs w:val="21"/>
                    </w:rPr>
                    <w:t>、H</w:t>
                  </w:r>
                  <w:r>
                    <w:rPr>
                      <w:color w:val="auto"/>
                      <w:szCs w:val="21"/>
                    </w:rPr>
                    <w:t>W06</w:t>
                  </w:r>
                  <w:r>
                    <w:rPr>
                      <w:rFonts w:hint="eastAsia"/>
                      <w:color w:val="auto"/>
                      <w:szCs w:val="21"/>
                    </w:rPr>
                    <w:t>、H</w:t>
                  </w:r>
                  <w:r>
                    <w:rPr>
                      <w:color w:val="auto"/>
                      <w:szCs w:val="21"/>
                    </w:rPr>
                    <w:t>W07</w:t>
                  </w:r>
                  <w:r>
                    <w:rPr>
                      <w:rFonts w:hint="eastAsia"/>
                      <w:color w:val="auto"/>
                      <w:szCs w:val="21"/>
                    </w:rPr>
                    <w:t>、H</w:t>
                  </w:r>
                  <w:r>
                    <w:rPr>
                      <w:color w:val="auto"/>
                      <w:szCs w:val="21"/>
                    </w:rPr>
                    <w:t>W08</w:t>
                  </w:r>
                  <w:r>
                    <w:rPr>
                      <w:rFonts w:hint="eastAsia"/>
                      <w:color w:val="auto"/>
                      <w:szCs w:val="21"/>
                    </w:rPr>
                    <w:t>、H</w:t>
                  </w:r>
                  <w:r>
                    <w:rPr>
                      <w:color w:val="auto"/>
                      <w:szCs w:val="21"/>
                    </w:rPr>
                    <w:t>W09</w:t>
                  </w:r>
                  <w:r>
                    <w:rPr>
                      <w:rFonts w:hint="eastAsia"/>
                      <w:color w:val="auto"/>
                      <w:szCs w:val="21"/>
                    </w:rPr>
                    <w:t>、H</w:t>
                  </w:r>
                  <w:r>
                    <w:rPr>
                      <w:color w:val="auto"/>
                      <w:szCs w:val="21"/>
                    </w:rPr>
                    <w:t>W11</w:t>
                  </w:r>
                  <w:r>
                    <w:rPr>
                      <w:rFonts w:hint="eastAsia"/>
                      <w:color w:val="auto"/>
                      <w:szCs w:val="21"/>
                    </w:rPr>
                    <w:t>、H</w:t>
                  </w:r>
                  <w:r>
                    <w:rPr>
                      <w:color w:val="auto"/>
                      <w:szCs w:val="21"/>
                    </w:rPr>
                    <w:t>W12</w:t>
                  </w:r>
                  <w:r>
                    <w:rPr>
                      <w:rFonts w:hint="eastAsia"/>
                      <w:color w:val="auto"/>
                      <w:szCs w:val="21"/>
                    </w:rPr>
                    <w:t>、H</w:t>
                  </w:r>
                  <w:r>
                    <w:rPr>
                      <w:color w:val="auto"/>
                      <w:szCs w:val="21"/>
                    </w:rPr>
                    <w:t>W13</w:t>
                  </w:r>
                  <w:r>
                    <w:rPr>
                      <w:rFonts w:hint="eastAsia"/>
                      <w:color w:val="auto"/>
                      <w:szCs w:val="21"/>
                    </w:rPr>
                    <w:t>、H</w:t>
                  </w:r>
                  <w:r>
                    <w:rPr>
                      <w:color w:val="auto"/>
                      <w:szCs w:val="21"/>
                    </w:rPr>
                    <w:t>W16</w:t>
                  </w:r>
                  <w:r>
                    <w:rPr>
                      <w:rFonts w:hint="eastAsia"/>
                      <w:color w:val="auto"/>
                      <w:szCs w:val="21"/>
                    </w:rPr>
                    <w:t>、H</w:t>
                  </w:r>
                  <w:r>
                    <w:rPr>
                      <w:color w:val="auto"/>
                      <w:szCs w:val="21"/>
                    </w:rPr>
                    <w:t>W17</w:t>
                  </w:r>
                  <w:r>
                    <w:rPr>
                      <w:rFonts w:hint="eastAsia"/>
                      <w:color w:val="auto"/>
                      <w:szCs w:val="21"/>
                    </w:rPr>
                    <w:t>、H</w:t>
                  </w:r>
                  <w:r>
                    <w:rPr>
                      <w:color w:val="auto"/>
                      <w:szCs w:val="21"/>
                    </w:rPr>
                    <w:t>W18</w:t>
                  </w:r>
                  <w:r>
                    <w:rPr>
                      <w:rFonts w:hint="eastAsia"/>
                      <w:color w:val="auto"/>
                      <w:szCs w:val="21"/>
                    </w:rPr>
                    <w:t>、H</w:t>
                  </w:r>
                  <w:r>
                    <w:rPr>
                      <w:color w:val="auto"/>
                      <w:szCs w:val="21"/>
                    </w:rPr>
                    <w:t>W19</w:t>
                  </w:r>
                  <w:r>
                    <w:rPr>
                      <w:rFonts w:hint="eastAsia"/>
                      <w:color w:val="auto"/>
                      <w:szCs w:val="21"/>
                    </w:rPr>
                    <w:t>、H</w:t>
                  </w:r>
                  <w:r>
                    <w:rPr>
                      <w:color w:val="auto"/>
                      <w:szCs w:val="21"/>
                    </w:rPr>
                    <w:t>W21</w:t>
                  </w:r>
                  <w:r>
                    <w:rPr>
                      <w:rFonts w:hint="eastAsia"/>
                      <w:color w:val="auto"/>
                      <w:szCs w:val="21"/>
                    </w:rPr>
                    <w:t>、H</w:t>
                  </w:r>
                  <w:r>
                    <w:rPr>
                      <w:color w:val="auto"/>
                      <w:szCs w:val="21"/>
                    </w:rPr>
                    <w:t>W22</w:t>
                  </w:r>
                  <w:r>
                    <w:rPr>
                      <w:rFonts w:hint="eastAsia"/>
                      <w:color w:val="auto"/>
                      <w:szCs w:val="21"/>
                    </w:rPr>
                    <w:t>、H</w:t>
                  </w:r>
                  <w:r>
                    <w:rPr>
                      <w:color w:val="auto"/>
                      <w:szCs w:val="21"/>
                    </w:rPr>
                    <w:t>W23</w:t>
                  </w:r>
                  <w:r>
                    <w:rPr>
                      <w:rFonts w:hint="eastAsia"/>
                      <w:color w:val="auto"/>
                      <w:szCs w:val="21"/>
                    </w:rPr>
                    <w:t>、H</w:t>
                  </w:r>
                  <w:r>
                    <w:rPr>
                      <w:color w:val="auto"/>
                      <w:szCs w:val="21"/>
                    </w:rPr>
                    <w:t>W24</w:t>
                  </w:r>
                  <w:r>
                    <w:rPr>
                      <w:rFonts w:hint="eastAsia"/>
                      <w:color w:val="auto"/>
                      <w:szCs w:val="21"/>
                    </w:rPr>
                    <w:t>、H</w:t>
                  </w:r>
                  <w:r>
                    <w:rPr>
                      <w:color w:val="auto"/>
                      <w:szCs w:val="21"/>
                    </w:rPr>
                    <w:t>W26</w:t>
                  </w:r>
                  <w:r>
                    <w:rPr>
                      <w:rFonts w:hint="eastAsia"/>
                      <w:color w:val="auto"/>
                      <w:szCs w:val="21"/>
                    </w:rPr>
                    <w:t>、H</w:t>
                  </w:r>
                  <w:r>
                    <w:rPr>
                      <w:color w:val="auto"/>
                      <w:szCs w:val="21"/>
                    </w:rPr>
                    <w:t>W29</w:t>
                  </w:r>
                  <w:r>
                    <w:rPr>
                      <w:rFonts w:hint="eastAsia"/>
                      <w:color w:val="auto"/>
                      <w:szCs w:val="21"/>
                    </w:rPr>
                    <w:t>、H</w:t>
                  </w:r>
                  <w:r>
                    <w:rPr>
                      <w:color w:val="auto"/>
                      <w:szCs w:val="21"/>
                    </w:rPr>
                    <w:t>W31</w:t>
                  </w:r>
                  <w:r>
                    <w:rPr>
                      <w:rFonts w:hint="eastAsia"/>
                      <w:color w:val="auto"/>
                      <w:szCs w:val="21"/>
                    </w:rPr>
                    <w:t>、H</w:t>
                  </w:r>
                  <w:r>
                    <w:rPr>
                      <w:color w:val="auto"/>
                      <w:szCs w:val="21"/>
                    </w:rPr>
                    <w:t>W32</w:t>
                  </w:r>
                  <w:r>
                    <w:rPr>
                      <w:rFonts w:hint="eastAsia"/>
                      <w:color w:val="auto"/>
                      <w:szCs w:val="21"/>
                    </w:rPr>
                    <w:t>、H</w:t>
                  </w:r>
                  <w:r>
                    <w:rPr>
                      <w:color w:val="auto"/>
                      <w:szCs w:val="21"/>
                    </w:rPr>
                    <w:t>W33</w:t>
                  </w:r>
                  <w:r>
                    <w:rPr>
                      <w:rFonts w:hint="eastAsia"/>
                      <w:color w:val="auto"/>
                      <w:szCs w:val="21"/>
                    </w:rPr>
                    <w:t>、H</w:t>
                  </w:r>
                  <w:r>
                    <w:rPr>
                      <w:color w:val="auto"/>
                      <w:szCs w:val="21"/>
                    </w:rPr>
                    <w:t>W34</w:t>
                  </w:r>
                  <w:r>
                    <w:rPr>
                      <w:rFonts w:hint="eastAsia"/>
                      <w:color w:val="auto"/>
                      <w:szCs w:val="21"/>
                    </w:rPr>
                    <w:t>、H</w:t>
                  </w:r>
                  <w:r>
                    <w:rPr>
                      <w:color w:val="auto"/>
                      <w:szCs w:val="21"/>
                    </w:rPr>
                    <w:t>W35</w:t>
                  </w:r>
                  <w:r>
                    <w:rPr>
                      <w:rFonts w:hint="eastAsia"/>
                      <w:color w:val="auto"/>
                      <w:szCs w:val="21"/>
                    </w:rPr>
                    <w:t>、H</w:t>
                  </w:r>
                  <w:r>
                    <w:rPr>
                      <w:color w:val="auto"/>
                      <w:szCs w:val="21"/>
                    </w:rPr>
                    <w:t>W36</w:t>
                  </w:r>
                  <w:r>
                    <w:rPr>
                      <w:rFonts w:hint="eastAsia"/>
                      <w:color w:val="auto"/>
                      <w:szCs w:val="21"/>
                    </w:rPr>
                    <w:t>、H</w:t>
                  </w:r>
                  <w:r>
                    <w:rPr>
                      <w:color w:val="auto"/>
                      <w:szCs w:val="21"/>
                    </w:rPr>
                    <w:t>W37</w:t>
                  </w:r>
                  <w:r>
                    <w:rPr>
                      <w:rFonts w:hint="eastAsia"/>
                      <w:color w:val="auto"/>
                      <w:szCs w:val="21"/>
                    </w:rPr>
                    <w:t>、H</w:t>
                  </w:r>
                  <w:r>
                    <w:rPr>
                      <w:color w:val="auto"/>
                      <w:szCs w:val="21"/>
                    </w:rPr>
                    <w:t>W38</w:t>
                  </w:r>
                  <w:r>
                    <w:rPr>
                      <w:rFonts w:hint="eastAsia"/>
                      <w:color w:val="auto"/>
                      <w:szCs w:val="21"/>
                    </w:rPr>
                    <w:t>、H</w:t>
                  </w:r>
                  <w:r>
                    <w:rPr>
                      <w:color w:val="auto"/>
                      <w:szCs w:val="21"/>
                    </w:rPr>
                    <w:t>W39</w:t>
                  </w:r>
                  <w:r>
                    <w:rPr>
                      <w:rFonts w:hint="eastAsia"/>
                      <w:color w:val="auto"/>
                      <w:szCs w:val="21"/>
                    </w:rPr>
                    <w:t>、H</w:t>
                  </w:r>
                  <w:r>
                    <w:rPr>
                      <w:color w:val="auto"/>
                      <w:szCs w:val="21"/>
                    </w:rPr>
                    <w:t>W40</w:t>
                  </w:r>
                  <w:r>
                    <w:rPr>
                      <w:rFonts w:hint="eastAsia"/>
                      <w:color w:val="auto"/>
                      <w:szCs w:val="21"/>
                    </w:rPr>
                    <w:t>、H</w:t>
                  </w:r>
                  <w:r>
                    <w:rPr>
                      <w:color w:val="auto"/>
                      <w:szCs w:val="21"/>
                    </w:rPr>
                    <w:t>W45</w:t>
                  </w:r>
                  <w:r>
                    <w:rPr>
                      <w:rFonts w:hint="eastAsia"/>
                      <w:color w:val="auto"/>
                      <w:szCs w:val="21"/>
                    </w:rPr>
                    <w:t>、H</w:t>
                  </w:r>
                  <w:r>
                    <w:rPr>
                      <w:color w:val="auto"/>
                      <w:szCs w:val="21"/>
                    </w:rPr>
                    <w:t>W46</w:t>
                  </w:r>
                  <w:r>
                    <w:rPr>
                      <w:rFonts w:hint="eastAsia"/>
                      <w:color w:val="auto"/>
                      <w:szCs w:val="21"/>
                    </w:rPr>
                    <w:t>、H</w:t>
                  </w:r>
                  <w:r>
                    <w:rPr>
                      <w:color w:val="auto"/>
                      <w:szCs w:val="21"/>
                    </w:rPr>
                    <w:t>W47</w:t>
                  </w:r>
                  <w:r>
                    <w:rPr>
                      <w:rFonts w:hint="eastAsia"/>
                      <w:color w:val="auto"/>
                      <w:szCs w:val="21"/>
                    </w:rPr>
                    <w:t>、H</w:t>
                  </w:r>
                  <w:r>
                    <w:rPr>
                      <w:color w:val="auto"/>
                      <w:szCs w:val="21"/>
                    </w:rPr>
                    <w:t>W48</w:t>
                  </w:r>
                  <w:r>
                    <w:rPr>
                      <w:rFonts w:hint="eastAsia"/>
                      <w:color w:val="auto"/>
                      <w:szCs w:val="21"/>
                    </w:rPr>
                    <w:t>、H</w:t>
                  </w:r>
                  <w:r>
                    <w:rPr>
                      <w:color w:val="auto"/>
                      <w:szCs w:val="21"/>
                    </w:rPr>
                    <w:t>W49</w:t>
                  </w:r>
                  <w:r>
                    <w:rPr>
                      <w:rFonts w:hint="eastAsia"/>
                      <w:color w:val="auto"/>
                      <w:szCs w:val="21"/>
                    </w:rPr>
                    <w:t>、H</w:t>
                  </w:r>
                  <w:r>
                    <w:rPr>
                      <w:color w:val="auto"/>
                      <w:szCs w:val="21"/>
                    </w:rPr>
                    <w:t>W50</w:t>
                  </w:r>
                  <w:r>
                    <w:rPr>
                      <w:rFonts w:hint="eastAsia"/>
                      <w:color w:val="auto"/>
                      <w:szCs w:val="21"/>
                    </w:rPr>
                    <w:t>，共3</w:t>
                  </w:r>
                  <w:r>
                    <w:rPr>
                      <w:color w:val="auto"/>
                      <w:szCs w:val="21"/>
                    </w:rPr>
                    <w:t>8</w:t>
                  </w:r>
                  <w:r>
                    <w:rPr>
                      <w:rFonts w:hint="eastAsia"/>
                      <w:color w:val="auto"/>
                      <w:szCs w:val="21"/>
                    </w:rPr>
                    <w:t>大类4</w:t>
                  </w:r>
                  <w:r>
                    <w:rPr>
                      <w:color w:val="auto"/>
                      <w:szCs w:val="21"/>
                    </w:rPr>
                    <w:t>06</w:t>
                  </w:r>
                  <w:r>
                    <w:rPr>
                      <w:rFonts w:hint="eastAsia"/>
                      <w:color w:val="auto"/>
                      <w:szCs w:val="21"/>
                    </w:rPr>
                    <w:t>小类危险废物，总规模</w:t>
                  </w:r>
                  <w:r>
                    <w:rPr>
                      <w:color w:val="auto"/>
                      <w:szCs w:val="21"/>
                    </w:rPr>
                    <w:t>39000</w:t>
                  </w:r>
                  <w:r>
                    <w:rPr>
                      <w:rFonts w:hint="eastAsia"/>
                      <w:color w:val="auto"/>
                      <w:szCs w:val="21"/>
                    </w:rPr>
                    <w:t>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continue"/>
                  <w:vAlign w:val="center"/>
                </w:tcPr>
                <w:p>
                  <w:pPr>
                    <w:pStyle w:val="28"/>
                    <w:spacing w:line="360" w:lineRule="exact"/>
                    <w:rPr>
                      <w:color w:val="auto"/>
                      <w:kern w:val="0"/>
                      <w:szCs w:val="21"/>
                    </w:rPr>
                  </w:pPr>
                </w:p>
              </w:tc>
              <w:tc>
                <w:tcPr>
                  <w:tcW w:w="1559" w:type="dxa"/>
                  <w:vAlign w:val="center"/>
                </w:tcPr>
                <w:p>
                  <w:pPr>
                    <w:pStyle w:val="28"/>
                    <w:spacing w:line="360" w:lineRule="exact"/>
                    <w:rPr>
                      <w:color w:val="auto"/>
                      <w:kern w:val="0"/>
                      <w:szCs w:val="21"/>
                    </w:rPr>
                  </w:pPr>
                  <w:r>
                    <w:rPr>
                      <w:rFonts w:hint="eastAsia"/>
                      <w:color w:val="auto"/>
                      <w:kern w:val="0"/>
                      <w:szCs w:val="21"/>
                    </w:rPr>
                    <w:t>云南东升茂泰科技环保有限公司</w:t>
                  </w:r>
                </w:p>
              </w:tc>
              <w:tc>
                <w:tcPr>
                  <w:tcW w:w="5658" w:type="dxa"/>
                  <w:vAlign w:val="center"/>
                </w:tcPr>
                <w:p>
                  <w:pPr>
                    <w:pStyle w:val="28"/>
                    <w:spacing w:line="360" w:lineRule="exact"/>
                    <w:ind w:firstLine="105" w:firstLineChars="50"/>
                    <w:jc w:val="both"/>
                    <w:rPr>
                      <w:color w:val="auto"/>
                      <w:szCs w:val="21"/>
                    </w:rPr>
                  </w:pPr>
                  <w:r>
                    <w:rPr>
                      <w:rFonts w:hint="eastAsia"/>
                      <w:color w:val="auto"/>
                      <w:szCs w:val="21"/>
                    </w:rPr>
                    <w:t>危险废物经营许可证：</w:t>
                  </w:r>
                  <w:r>
                    <w:rPr>
                      <w:color w:val="auto"/>
                      <w:szCs w:val="21"/>
                    </w:rPr>
                    <w:t>Y</w:t>
                  </w:r>
                  <w:r>
                    <w:rPr>
                      <w:rFonts w:hint="eastAsia"/>
                      <w:color w:val="auto"/>
                      <w:szCs w:val="21"/>
                      <w:lang w:eastAsia="zh-CN"/>
                    </w:rPr>
                    <w:t>***</w:t>
                  </w:r>
                  <w:r>
                    <w:rPr>
                      <w:color w:val="auto"/>
                      <w:szCs w:val="21"/>
                    </w:rPr>
                    <w:t>1220084</w:t>
                  </w:r>
                  <w:r>
                    <w:rPr>
                      <w:rFonts w:hint="eastAsia"/>
                      <w:color w:val="auto"/>
                      <w:szCs w:val="21"/>
                    </w:rPr>
                    <w:t>；危险废物经营类别：HW08（900-201-08、900-249-08），HW09（900-005-09、900-006-49、900-007-09）；总规模2</w:t>
                  </w:r>
                  <w:r>
                    <w:rPr>
                      <w:color w:val="auto"/>
                      <w:szCs w:val="21"/>
                    </w:rPr>
                    <w:t>0000</w:t>
                  </w:r>
                  <w:r>
                    <w:rPr>
                      <w:rFonts w:hint="eastAsia"/>
                      <w:color w:val="auto"/>
                      <w:szCs w:val="21"/>
                    </w:rPr>
                    <w:t>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6" w:type="dxa"/>
                  <w:vMerge w:val="continue"/>
                  <w:vAlign w:val="center"/>
                </w:tcPr>
                <w:p>
                  <w:pPr>
                    <w:pStyle w:val="28"/>
                    <w:spacing w:line="360" w:lineRule="exact"/>
                    <w:rPr>
                      <w:color w:val="auto"/>
                      <w:kern w:val="0"/>
                      <w:szCs w:val="21"/>
                    </w:rPr>
                  </w:pPr>
                </w:p>
              </w:tc>
              <w:tc>
                <w:tcPr>
                  <w:tcW w:w="1559" w:type="dxa"/>
                  <w:vAlign w:val="center"/>
                </w:tcPr>
                <w:p>
                  <w:pPr>
                    <w:pStyle w:val="28"/>
                    <w:spacing w:line="360" w:lineRule="exact"/>
                    <w:rPr>
                      <w:color w:val="auto"/>
                      <w:kern w:val="0"/>
                      <w:szCs w:val="21"/>
                    </w:rPr>
                  </w:pPr>
                  <w:bookmarkStart w:id="12" w:name="_Hlk137373744"/>
                  <w:r>
                    <w:rPr>
                      <w:rFonts w:hint="eastAsia"/>
                      <w:color w:val="auto"/>
                      <w:kern w:val="0"/>
                      <w:szCs w:val="21"/>
                    </w:rPr>
                    <w:t>四川金谷环保科技有限公司</w:t>
                  </w:r>
                  <w:bookmarkEnd w:id="12"/>
                </w:p>
              </w:tc>
              <w:tc>
                <w:tcPr>
                  <w:tcW w:w="5658" w:type="dxa"/>
                  <w:vAlign w:val="center"/>
                </w:tcPr>
                <w:p>
                  <w:pPr>
                    <w:pStyle w:val="28"/>
                    <w:spacing w:line="360" w:lineRule="exact"/>
                    <w:ind w:firstLine="105" w:firstLineChars="50"/>
                    <w:jc w:val="both"/>
                    <w:rPr>
                      <w:color w:val="auto"/>
                      <w:szCs w:val="21"/>
                    </w:rPr>
                  </w:pPr>
                  <w:r>
                    <w:rPr>
                      <w:rFonts w:hint="eastAsia"/>
                      <w:color w:val="auto"/>
                      <w:szCs w:val="21"/>
                    </w:rPr>
                    <w:t>危险废物经营许可证：川环危第511603068号；危险废物经营类别：HW08废矿物油与含矿物油废物，总规模1</w:t>
                  </w:r>
                  <w:r>
                    <w:rPr>
                      <w:color w:val="auto"/>
                      <w:szCs w:val="21"/>
                    </w:rPr>
                    <w:t>0</w:t>
                  </w:r>
                  <w:r>
                    <w:rPr>
                      <w:rFonts w:hint="eastAsia"/>
                      <w:color w:val="auto"/>
                      <w:szCs w:val="21"/>
                    </w:rPr>
                    <w:t>万吨。</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项目将在实施前和各处置单位签订处置协议。</w:t>
            </w:r>
          </w:p>
          <w:p>
            <w:pPr>
              <w:autoSpaceDE w:val="0"/>
              <w:autoSpaceDN w:val="0"/>
              <w:spacing w:line="360" w:lineRule="auto"/>
              <w:ind w:firstLine="241" w:firstLineChars="100"/>
              <w:rPr>
                <w:rFonts w:ascii="Times New Roman" w:hAnsi="Times New Roman" w:cs="Times New Roman"/>
                <w:b/>
                <w:sz w:val="24"/>
                <w:szCs w:val="24"/>
              </w:rPr>
            </w:pPr>
            <w:bookmarkStart w:id="13" w:name="_Toc493693537"/>
            <w:r>
              <w:rPr>
                <w:rFonts w:ascii="Times New Roman" w:hAnsi="Times New Roman" w:cs="Times New Roman"/>
                <w:b/>
                <w:sz w:val="24"/>
                <w:szCs w:val="24"/>
              </w:rPr>
              <w:t>2.7</w:t>
            </w:r>
            <w:r>
              <w:rPr>
                <w:rFonts w:hint="eastAsia" w:ascii="Times New Roman" w:hAnsi="Times New Roman" w:cs="Times New Roman"/>
                <w:b/>
                <w:sz w:val="24"/>
                <w:szCs w:val="24"/>
              </w:rPr>
              <w:t xml:space="preserve"> </w:t>
            </w:r>
            <w:r>
              <w:rPr>
                <w:rFonts w:ascii="Times New Roman" w:hAnsi="Times New Roman" w:cs="Times New Roman"/>
                <w:b/>
                <w:sz w:val="24"/>
                <w:szCs w:val="24"/>
              </w:rPr>
              <w:t>劳动定员及工作制度</w:t>
            </w:r>
            <w:bookmarkEnd w:id="13"/>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2.7.1 劳动定员</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根据调查，该项目</w:t>
            </w:r>
            <w:r>
              <w:rPr>
                <w:rFonts w:hint="eastAsia" w:ascii="Times New Roman" w:hAnsi="Times New Roman" w:cs="Times New Roman"/>
                <w:bCs/>
                <w:sz w:val="24"/>
                <w:szCs w:val="24"/>
              </w:rPr>
              <w:t>拟</w:t>
            </w:r>
            <w:r>
              <w:rPr>
                <w:rFonts w:ascii="Times New Roman" w:hAnsi="Times New Roman" w:cs="Times New Roman"/>
                <w:bCs/>
                <w:sz w:val="24"/>
                <w:szCs w:val="24"/>
              </w:rPr>
              <w:t>设置员工</w:t>
            </w:r>
            <w:r>
              <w:rPr>
                <w:rFonts w:hint="eastAsia" w:ascii="Times New Roman" w:hAnsi="Times New Roman" w:cs="Times New Roman"/>
                <w:bCs/>
                <w:sz w:val="24"/>
                <w:szCs w:val="24"/>
              </w:rPr>
              <w:t>10</w:t>
            </w:r>
            <w:r>
              <w:rPr>
                <w:rFonts w:ascii="Times New Roman" w:hAnsi="Times New Roman" w:cs="Times New Roman"/>
                <w:bCs/>
                <w:sz w:val="24"/>
                <w:szCs w:val="24"/>
              </w:rPr>
              <w:t>人，</w:t>
            </w:r>
            <w:r>
              <w:rPr>
                <w:rFonts w:hint="eastAsia" w:ascii="Times New Roman" w:hAnsi="Times New Roman" w:cs="Times New Roman"/>
                <w:bCs/>
                <w:sz w:val="24"/>
                <w:szCs w:val="24"/>
              </w:rPr>
              <w:t>不</w:t>
            </w:r>
            <w:r>
              <w:rPr>
                <w:rFonts w:ascii="Times New Roman" w:hAnsi="Times New Roman" w:cs="Times New Roman"/>
                <w:bCs/>
                <w:sz w:val="24"/>
                <w:szCs w:val="24"/>
              </w:rPr>
              <w:t>在项目区</w:t>
            </w:r>
            <w:r>
              <w:rPr>
                <w:rFonts w:hint="eastAsia" w:ascii="Times New Roman" w:hAnsi="Times New Roman" w:cs="Times New Roman"/>
                <w:bCs/>
                <w:sz w:val="24"/>
                <w:szCs w:val="24"/>
              </w:rPr>
              <w:t>食宿</w:t>
            </w:r>
            <w:r>
              <w:rPr>
                <w:rFonts w:ascii="Times New Roman" w:hAnsi="Times New Roman" w:cs="Times New Roman"/>
                <w:bCs/>
                <w:sz w:val="24"/>
                <w:szCs w:val="24"/>
              </w:rPr>
              <w:t>。</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2.7.2 工作制度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根据调查，项目平均年工作300d，实行每天3班制，每班8h。</w:t>
            </w: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2.7工艺流程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2.7.1 施工期工艺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该项目利用昆明旭鑫环保科技有限公司</w:t>
            </w:r>
            <w:r>
              <w:rPr>
                <w:rFonts w:hint="eastAsia" w:ascii="Times New Roman" w:hAnsi="Times New Roman" w:cs="Times New Roman"/>
                <w:bCs/>
                <w:sz w:val="24"/>
                <w:szCs w:val="24"/>
              </w:rPr>
              <w:t>现有</w:t>
            </w:r>
            <w:r>
              <w:rPr>
                <w:rFonts w:ascii="Times New Roman" w:hAnsi="Times New Roman" w:cs="Times New Roman"/>
                <w:bCs/>
                <w:sz w:val="24"/>
                <w:szCs w:val="24"/>
              </w:rPr>
              <w:t>原料暂存库项目中1000m²区域</w:t>
            </w:r>
            <w:r>
              <w:rPr>
                <w:rFonts w:hint="eastAsia" w:ascii="Times New Roman" w:hAnsi="Times New Roman" w:cs="Times New Roman"/>
                <w:bCs/>
                <w:sz w:val="24"/>
                <w:szCs w:val="24"/>
              </w:rPr>
              <w:t>进行</w:t>
            </w:r>
            <w:r>
              <w:rPr>
                <w:rFonts w:ascii="Times New Roman" w:hAnsi="Times New Roman" w:cs="Times New Roman"/>
                <w:bCs/>
                <w:sz w:val="24"/>
                <w:szCs w:val="24"/>
              </w:rPr>
              <w:t>建设</w:t>
            </w:r>
            <w:r>
              <w:rPr>
                <w:rFonts w:hint="eastAsia" w:ascii="Times New Roman" w:hAnsi="Times New Roman" w:cs="Times New Roman"/>
                <w:bCs/>
                <w:sz w:val="24"/>
                <w:szCs w:val="24"/>
              </w:rPr>
              <w:t>，厂区</w:t>
            </w:r>
            <w:r>
              <w:rPr>
                <w:rFonts w:ascii="Times New Roman" w:hAnsi="Times New Roman" w:cs="Times New Roman"/>
                <w:bCs/>
                <w:sz w:val="24"/>
                <w:szCs w:val="24"/>
              </w:rPr>
              <w:t>主体工程不存在施工期，本次施工期建设内容主要为环保设施完善。</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2.7.2 运营期生产工艺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根据实施方案，</w:t>
            </w:r>
            <w:r>
              <w:rPr>
                <w:rFonts w:ascii="Times New Roman" w:cs="Times New Roman"/>
                <w:bCs/>
                <w:sz w:val="24"/>
              </w:rPr>
              <w:t>该项目危险废物收集、贮存过程主要包括危险废物委托运输、入库检查、卸车、登记入库、分区贮存、委托处置及出库登记等工序。</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（1）工艺流程图示</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szCs w:val="24"/>
              </w:rPr>
              <w:t>工艺流程具体生产工艺如下。</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drawing>
                <wp:inline distT="0" distB="0" distL="0" distR="0">
                  <wp:extent cx="4732020" cy="185547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4732455" cy="1855777"/>
                          </a:xfrm>
                          <a:prstGeom prst="rect">
                            <a:avLst/>
                          </a:prstGeom>
                          <a:noFill/>
                          <a:ln w="9525">
                            <a:noFill/>
                            <a:miter lim="800000"/>
                            <a:headEnd/>
                            <a:tailEnd/>
                          </a:ln>
                        </pic:spPr>
                      </pic:pic>
                    </a:graphicData>
                  </a:graphic>
                </wp:inline>
              </w:drawing>
            </w:r>
          </w:p>
          <w:p>
            <w:pPr>
              <w:jc w:val="center"/>
              <w:rPr>
                <w:rFonts w:ascii="Times New Roman" w:hAnsi="Times New Roman" w:cs="Times New Roman"/>
                <w:b/>
              </w:rPr>
            </w:pPr>
            <w:r>
              <w:rPr>
                <w:rFonts w:ascii="Times New Roman" w:hAnsi="Times New Roman" w:eastAsia="宋体" w:cs="Times New Roman"/>
                <w:b/>
                <w:szCs w:val="24"/>
              </w:rPr>
              <w:t>图2.7.2-1  项目</w:t>
            </w:r>
            <w:r>
              <w:rPr>
                <w:rFonts w:ascii="Times New Roman" w:hAnsi="Times New Roman" w:cs="Times New Roman"/>
                <w:b/>
              </w:rPr>
              <w:t>生产工艺</w:t>
            </w:r>
            <w:r>
              <w:rPr>
                <w:rFonts w:ascii="Times New Roman" w:hAnsi="Times New Roman" w:eastAsia="宋体" w:cs="Times New Roman"/>
                <w:b/>
                <w:szCs w:val="24"/>
              </w:rPr>
              <w:t>流程及产污环节图</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rPr>
              <w:t>2</w:t>
            </w:r>
            <w:r>
              <w:rPr>
                <w:rFonts w:ascii="Times New Roman" w:hAnsi="Times New Roman" w:cs="Times New Roman"/>
                <w:b/>
                <w:bCs/>
                <w:sz w:val="24"/>
                <w:szCs w:val="24"/>
              </w:rPr>
              <w:t>）工艺流程简述</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①</w:t>
            </w:r>
            <w:r>
              <w:rPr>
                <w:rFonts w:ascii="Times New Roman" w:cs="Times New Roman"/>
                <w:b/>
                <w:bCs/>
                <w:sz w:val="24"/>
              </w:rPr>
              <w:t>委托运输</w:t>
            </w:r>
          </w:p>
          <w:p>
            <w:pPr>
              <w:spacing w:line="360" w:lineRule="auto"/>
              <w:ind w:firstLine="480" w:firstLineChars="200"/>
              <w:rPr>
                <w:rFonts w:ascii="Times New Roman" w:hAnsi="Times New Roman" w:cs="Times New Roman"/>
                <w:bCs/>
                <w:sz w:val="24"/>
                <w:szCs w:val="24"/>
              </w:rPr>
            </w:pPr>
            <w:r>
              <w:rPr>
                <w:rFonts w:ascii="Times New Roman" w:cs="Times New Roman"/>
                <w:bCs/>
                <w:sz w:val="24"/>
              </w:rPr>
              <w:t>各危险废物产生单位将产生的</w:t>
            </w:r>
            <w:r>
              <w:rPr>
                <w:rFonts w:ascii="Times New Roman" w:cs="Times New Roman"/>
                <w:bCs/>
                <w:sz w:val="24"/>
                <w:szCs w:val="24"/>
              </w:rPr>
              <w:t>危险废物在各自厂区按照相关要求进行分类收集</w:t>
            </w:r>
            <w:r>
              <w:rPr>
                <w:rFonts w:ascii="Times New Roman" w:cs="Times New Roman"/>
                <w:bCs/>
                <w:sz w:val="24"/>
              </w:rPr>
              <w:t>，</w:t>
            </w:r>
            <w:r>
              <w:rPr>
                <w:rFonts w:ascii="Times New Roman" w:cs="Times New Roman"/>
                <w:bCs/>
                <w:sz w:val="24"/>
                <w:szCs w:val="24"/>
              </w:rPr>
              <w:t>并</w:t>
            </w:r>
            <w:r>
              <w:rPr>
                <w:rFonts w:ascii="Times New Roman" w:cs="Times New Roman"/>
                <w:bCs/>
                <w:sz w:val="24"/>
              </w:rPr>
              <w:t>根据其属性和形态采用</w:t>
            </w:r>
            <w:r>
              <w:rPr>
                <w:rFonts w:ascii="Times New Roman" w:cs="Times New Roman"/>
                <w:bCs/>
                <w:sz w:val="24"/>
                <w:szCs w:val="24"/>
              </w:rPr>
              <w:t>塑料桶、铁桶和吨袋等</w:t>
            </w:r>
            <w:r>
              <w:rPr>
                <w:rFonts w:ascii="Times New Roman" w:cs="Times New Roman"/>
                <w:bCs/>
                <w:sz w:val="24"/>
              </w:rPr>
              <w:t>进行盛装</w:t>
            </w:r>
            <w:r>
              <w:rPr>
                <w:rFonts w:ascii="Times New Roman" w:cs="Times New Roman"/>
                <w:bCs/>
                <w:sz w:val="24"/>
                <w:szCs w:val="24"/>
              </w:rPr>
              <w:t>，</w:t>
            </w:r>
            <w:r>
              <w:rPr>
                <w:rFonts w:ascii="Times New Roman" w:cs="Times New Roman"/>
                <w:bCs/>
                <w:sz w:val="24"/>
              </w:rPr>
              <w:t>待各危险废物贮存至</w:t>
            </w:r>
            <w:r>
              <w:rPr>
                <w:rFonts w:ascii="Times New Roman" w:cs="Times New Roman"/>
                <w:bCs/>
                <w:sz w:val="24"/>
                <w:szCs w:val="24"/>
              </w:rPr>
              <w:t>一定量后，</w:t>
            </w:r>
            <w:r>
              <w:rPr>
                <w:rFonts w:ascii="Times New Roman" w:cs="Times New Roman"/>
                <w:bCs/>
                <w:sz w:val="24"/>
              </w:rPr>
              <w:t>进行危险废物转运申请，并</w:t>
            </w:r>
            <w:r>
              <w:rPr>
                <w:rFonts w:ascii="Times New Roman" w:cs="Times New Roman"/>
                <w:bCs/>
                <w:sz w:val="24"/>
                <w:szCs w:val="24"/>
              </w:rPr>
              <w:t>通知建设单位进行</w:t>
            </w:r>
            <w:r>
              <w:rPr>
                <w:rFonts w:ascii="Times New Roman" w:cs="Times New Roman"/>
                <w:bCs/>
                <w:sz w:val="24"/>
              </w:rPr>
              <w:t>转运</w:t>
            </w:r>
            <w:r>
              <w:rPr>
                <w:rFonts w:ascii="Times New Roman" w:cs="Times New Roman"/>
                <w:bCs/>
                <w:sz w:val="24"/>
                <w:szCs w:val="24"/>
              </w:rPr>
              <w:t>。运输由有资质的危险废物运输单位及专用车辆（配备</w:t>
            </w:r>
            <w:r>
              <w:rPr>
                <w:rFonts w:ascii="Times New Roman" w:hAnsi="Times New Roman" w:cs="Times New Roman"/>
                <w:bCs/>
                <w:sz w:val="24"/>
                <w:szCs w:val="24"/>
              </w:rPr>
              <w:t>GPS</w:t>
            </w:r>
            <w:r>
              <w:rPr>
                <w:rFonts w:ascii="Times New Roman" w:cs="Times New Roman"/>
                <w:bCs/>
                <w:sz w:val="24"/>
                <w:szCs w:val="24"/>
              </w:rPr>
              <w:t>、计重称等）到达产废单位处进行分类收运，现场计重并记录，随后按计划好的运输路线转运到</w:t>
            </w:r>
            <w:r>
              <w:rPr>
                <w:rFonts w:ascii="Times New Roman" w:cs="Times New Roman"/>
                <w:bCs/>
                <w:sz w:val="24"/>
              </w:rPr>
              <w:t>项目</w:t>
            </w:r>
            <w:r>
              <w:rPr>
                <w:rFonts w:ascii="Times New Roman" w:cs="Times New Roman"/>
                <w:bCs/>
                <w:sz w:val="24"/>
                <w:szCs w:val="24"/>
              </w:rPr>
              <w:t>贮存区。该项目委托具有危险废物运输资质的单位承担危险废物收运任务。</w:t>
            </w:r>
          </w:p>
          <w:p>
            <w:pPr>
              <w:spacing w:line="360" w:lineRule="auto"/>
              <w:ind w:firstLine="482" w:firstLineChars="200"/>
              <w:rPr>
                <w:rFonts w:ascii="Times New Roman" w:hAnsi="Times New Roman"/>
                <w:b/>
                <w:bCs/>
                <w:sz w:val="24"/>
                <w:szCs w:val="24"/>
              </w:rPr>
            </w:pPr>
            <w:r>
              <w:rPr>
                <w:rFonts w:hint="eastAsia"/>
                <w:b/>
                <w:bCs/>
                <w:sz w:val="24"/>
              </w:rPr>
              <w:t>②入库检查</w:t>
            </w:r>
          </w:p>
          <w:p>
            <w:pPr>
              <w:spacing w:line="360" w:lineRule="auto"/>
              <w:ind w:firstLine="480" w:firstLineChars="200"/>
              <w:rPr>
                <w:rFonts w:ascii="Times New Roman" w:hAnsi="Times New Roman"/>
                <w:bCs/>
                <w:sz w:val="24"/>
                <w:szCs w:val="24"/>
              </w:rPr>
            </w:pPr>
            <w:r>
              <w:rPr>
                <w:rFonts w:hint="eastAsia"/>
                <w:bCs/>
                <w:sz w:val="24"/>
              </w:rPr>
              <w:t>各类</w:t>
            </w:r>
            <w:r>
              <w:rPr>
                <w:rFonts w:hint="eastAsia" w:ascii="Times New Roman" w:hAnsi="Times New Roman"/>
                <w:bCs/>
                <w:sz w:val="24"/>
                <w:szCs w:val="24"/>
              </w:rPr>
              <w:t>危险废物运输</w:t>
            </w:r>
            <w:r>
              <w:rPr>
                <w:rFonts w:hint="eastAsia"/>
                <w:bCs/>
                <w:sz w:val="24"/>
              </w:rPr>
              <w:t>至项目厂区</w:t>
            </w:r>
            <w:r>
              <w:rPr>
                <w:rFonts w:hint="eastAsia" w:ascii="Times New Roman" w:hAnsi="Times New Roman"/>
                <w:bCs/>
                <w:sz w:val="24"/>
                <w:szCs w:val="24"/>
              </w:rPr>
              <w:t>后，入库前应进行检验，核实危险废物转移联单与预定接收的危险废物是否一致，不符合要求的退回原单位。</w:t>
            </w:r>
          </w:p>
          <w:p>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③卸车</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经检验符合贮存要求的危险废物，由运输车辆直接送至库房装卸区，进行卸车</w:t>
            </w:r>
            <w:r>
              <w:rPr>
                <w:rFonts w:hint="eastAsia"/>
                <w:bCs/>
                <w:sz w:val="24"/>
              </w:rPr>
              <w:t>。</w:t>
            </w:r>
          </w:p>
          <w:p>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④登记入库</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卸车后进行计重，并及时按照要求进行登记，办理危险废物入库手续填写危险废物入库单，按照危险废物来源、类别、数量、特性、入场时间等信息进行详细记录。同时在入库暂存位置放置信息明确的记录牌或记录表。</w:t>
            </w:r>
          </w:p>
          <w:p>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⑤分类贮存</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各危险废物按照危险废物的种类和特性分区贮存，入库与转运出库的包装方式不变，固态危险废物仍以桶装或袋装暂存，液态和半固态危险废物仍以桶装保存，不拆包装、不倒罐。</w:t>
            </w:r>
          </w:p>
          <w:p>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⑥委托处置：</w:t>
            </w:r>
          </w:p>
          <w:p>
            <w:pPr>
              <w:spacing w:line="360" w:lineRule="auto"/>
              <w:ind w:firstLine="480" w:firstLineChars="200"/>
              <w:rPr>
                <w:bCs/>
                <w:sz w:val="24"/>
              </w:rPr>
            </w:pPr>
            <w:r>
              <w:rPr>
                <w:rFonts w:hint="eastAsia" w:ascii="Times New Roman" w:hAnsi="Times New Roman"/>
                <w:bCs/>
                <w:sz w:val="24"/>
                <w:szCs w:val="24"/>
              </w:rPr>
              <w:t>项目根据收集的危险废物的类别、特性，提前与有危险废物处理资质的单位签订危险废物的最终处置合同。该项目针对部分危险废物在库房内可能进行合并打包，将同一类别的多个小包装至于大包装中，以便于转运的需要，但均不拆包、不倒罐。具体打包要求按照危险废物最终处置单位提供的包装要求进行操作。</w:t>
            </w:r>
          </w:p>
          <w:p>
            <w:pPr>
              <w:spacing w:line="360" w:lineRule="auto"/>
              <w:ind w:firstLine="482" w:firstLineChars="200"/>
              <w:rPr>
                <w:rFonts w:ascii="Times New Roman" w:hAnsi="Times New Roman"/>
                <w:b/>
                <w:bCs/>
                <w:sz w:val="24"/>
                <w:szCs w:val="24"/>
              </w:rPr>
            </w:pPr>
            <w:r>
              <w:rPr>
                <w:rFonts w:hint="eastAsia"/>
                <w:b/>
                <w:bCs/>
                <w:sz w:val="24"/>
              </w:rPr>
              <w:t>⑦出库登记</w:t>
            </w:r>
          </w:p>
          <w:p>
            <w:pPr>
              <w:spacing w:line="360" w:lineRule="auto"/>
              <w:ind w:firstLine="480" w:firstLineChars="200"/>
              <w:rPr>
                <w:bCs/>
                <w:sz w:val="24"/>
              </w:rPr>
            </w:pPr>
            <w:r>
              <w:rPr>
                <w:rFonts w:hint="eastAsia" w:ascii="Times New Roman" w:hAnsi="Times New Roman"/>
                <w:bCs/>
                <w:sz w:val="24"/>
                <w:szCs w:val="24"/>
              </w:rPr>
              <w:t>当暂存的危险废物达到一定数量时，办理转移联单，将其转运至有危险废物</w:t>
            </w:r>
            <w:r>
              <w:rPr>
                <w:rFonts w:hint="eastAsia"/>
                <w:bCs/>
                <w:sz w:val="24"/>
              </w:rPr>
              <w:t>处理</w:t>
            </w:r>
            <w:r>
              <w:rPr>
                <w:rFonts w:hint="eastAsia" w:ascii="Times New Roman" w:hAnsi="Times New Roman"/>
                <w:bCs/>
                <w:sz w:val="24"/>
                <w:szCs w:val="24"/>
              </w:rPr>
              <w:t>资质的单位进行处置</w:t>
            </w:r>
            <w:r>
              <w:rPr>
                <w:rFonts w:hint="eastAsia"/>
                <w:bCs/>
                <w:sz w:val="24"/>
              </w:rPr>
              <w:t>（</w:t>
            </w:r>
            <w:r>
              <w:rPr>
                <w:rFonts w:hint="eastAsia" w:ascii="Times New Roman" w:hAnsi="Times New Roman"/>
                <w:bCs/>
                <w:sz w:val="24"/>
                <w:szCs w:val="24"/>
              </w:rPr>
              <w:t>收集、贮存的危险废物与包装桶/袋一并交处置单位妥善处置</w:t>
            </w:r>
            <w:r>
              <w:rPr>
                <w:rFonts w:hint="eastAsia"/>
                <w:bCs/>
                <w:sz w:val="24"/>
              </w:rPr>
              <w:t>），各类危险废物称重出库后进行出库登记。</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该</w:t>
            </w:r>
            <w:r>
              <w:rPr>
                <w:rFonts w:hint="eastAsia"/>
                <w:bCs/>
                <w:sz w:val="24"/>
              </w:rPr>
              <w:t>出库后的</w:t>
            </w:r>
            <w:r>
              <w:rPr>
                <w:rFonts w:hint="eastAsia" w:ascii="Times New Roman" w:hAnsi="Times New Roman"/>
                <w:bCs/>
                <w:sz w:val="24"/>
                <w:szCs w:val="24"/>
              </w:rPr>
              <w:t>运输过程</w:t>
            </w:r>
            <w:r>
              <w:rPr>
                <w:rFonts w:hint="eastAsia"/>
                <w:bCs/>
                <w:sz w:val="24"/>
              </w:rPr>
              <w:t>由处置单位</w:t>
            </w:r>
            <w:r>
              <w:rPr>
                <w:rFonts w:hint="eastAsia" w:ascii="Times New Roman" w:hAnsi="Times New Roman"/>
                <w:bCs/>
                <w:sz w:val="24"/>
                <w:szCs w:val="24"/>
              </w:rPr>
              <w:t>委托具有危险废物运输资质的单位进行</w:t>
            </w:r>
            <w:r>
              <w:rPr>
                <w:rFonts w:hint="eastAsia"/>
                <w:bCs/>
                <w:sz w:val="24"/>
              </w:rPr>
              <w:t>运输</w:t>
            </w:r>
            <w:r>
              <w:rPr>
                <w:rFonts w:hint="eastAsia" w:ascii="Times New Roman" w:hAnsi="Times New Roman"/>
                <w:bCs/>
                <w:sz w:val="24"/>
                <w:szCs w:val="24"/>
              </w:rPr>
              <w:t>。该项目不涉及转运容器及运输车辆的清洗</w:t>
            </w:r>
            <w:r>
              <w:rPr>
                <w:rFonts w:hint="eastAsia"/>
                <w:bCs/>
                <w:sz w:val="24"/>
              </w:rPr>
              <w:t>，各类清洗</w:t>
            </w:r>
            <w:r>
              <w:rPr>
                <w:rFonts w:hint="eastAsia" w:ascii="Times New Roman" w:hAnsi="Times New Roman"/>
                <w:bCs/>
                <w:sz w:val="24"/>
                <w:szCs w:val="24"/>
              </w:rPr>
              <w:t>均由具有危险废物运输资质的车辆单位统一委托具有处理资质单位进行清洗。</w:t>
            </w:r>
          </w:p>
          <w:p>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收运要求：</w:t>
            </w:r>
          </w:p>
          <w:p>
            <w:pPr>
              <w:spacing w:line="360" w:lineRule="auto"/>
              <w:ind w:firstLine="480" w:firstLineChars="200"/>
              <w:rPr>
                <w:bCs/>
                <w:sz w:val="24"/>
                <w:szCs w:val="24"/>
              </w:rPr>
            </w:pPr>
            <w:r>
              <w:rPr>
                <w:rFonts w:hint="eastAsia"/>
                <w:bCs/>
                <w:sz w:val="24"/>
                <w:szCs w:val="24"/>
              </w:rPr>
              <w:t>根据《危险废物收集、贮存、运输技术规范》（HJ2025-2012）中相关规定，在危险废物产生源头应做好分类工作，并在危险废物收集、贮存、运输时按腐蚀性、毒性、易燃性、反应性和感染性等危险特性对废物进行分类、包装并设置相应的标志及标签。如遇贮存危险废物容器破裂，应及时清理危险废物并更换贮存容器。在与企业签定收运合同时，不得超出公司收运危险废物类别范围。</w:t>
            </w:r>
          </w:p>
          <w:p>
            <w:pPr>
              <w:spacing w:line="360" w:lineRule="auto"/>
              <w:ind w:firstLine="480" w:firstLineChars="200"/>
              <w:rPr>
                <w:bCs/>
                <w:sz w:val="24"/>
                <w:szCs w:val="24"/>
              </w:rPr>
            </w:pPr>
            <w:r>
              <w:rPr>
                <w:rFonts w:hint="eastAsia"/>
                <w:bCs/>
                <w:sz w:val="24"/>
                <w:szCs w:val="24"/>
              </w:rPr>
              <w:t>该项目委托具备危险废物运输资质的公司承担危险废物收运任务，采用专用危险废物运输车辆进行密闭运输，运输路线尽量避开人口密集区、饮用水源保护区等环境敏感区。危险废物统一收集后按计划好的线路运输至该项目所在地暂存。该项目不配备运输车辆，所有危险废物运输车辆不得作为它用。危险废物收运前，应对运输车况进行详细检查，确保运输安全。危险废物收运时，建设单位派出管理人员随同，严格按照建设单位与产废单位达成的废物处置协议内容进行收运，不在协议范围内或与协议约定内容不一致的废物拒绝收运。</w:t>
            </w:r>
          </w:p>
          <w:p>
            <w:pPr>
              <w:spacing w:line="360" w:lineRule="auto"/>
              <w:ind w:firstLine="482" w:firstLineChars="200"/>
              <w:rPr>
                <w:b/>
                <w:bCs/>
                <w:sz w:val="24"/>
                <w:szCs w:val="24"/>
              </w:rPr>
            </w:pPr>
            <w:r>
              <w:rPr>
                <w:rFonts w:hint="eastAsia"/>
                <w:b/>
                <w:bCs/>
                <w:sz w:val="24"/>
                <w:szCs w:val="24"/>
              </w:rPr>
              <w:t>危险废物源头分类、包装要求：</w:t>
            </w:r>
          </w:p>
          <w:p>
            <w:pPr>
              <w:spacing w:line="360" w:lineRule="auto"/>
              <w:ind w:firstLine="480" w:firstLineChars="200"/>
              <w:rPr>
                <w:bCs/>
                <w:sz w:val="24"/>
                <w:szCs w:val="24"/>
              </w:rPr>
            </w:pPr>
            <w:r>
              <w:rPr>
                <w:rFonts w:hint="eastAsia"/>
                <w:bCs/>
                <w:sz w:val="24"/>
                <w:szCs w:val="24"/>
              </w:rPr>
              <w:t>根据该项目危险废物收集情况，按照《危险废物收集、贮存、运输技术规范》（HJ2025-2012）中相关要求；危险废物收集、贮存、运输时按腐蚀性、毒性、易燃性、反应性等危险特性对废物进行分类、包装，并设置相应的标志及标签。根据危险废物的种类、数量、危险特性、物理形态、运输要求等因素确定包装形式。</w:t>
            </w:r>
          </w:p>
          <w:p>
            <w:pPr>
              <w:spacing w:line="360" w:lineRule="auto"/>
              <w:ind w:firstLine="480" w:firstLineChars="200"/>
              <w:rPr>
                <w:bCs/>
                <w:sz w:val="24"/>
                <w:szCs w:val="24"/>
              </w:rPr>
            </w:pPr>
            <w:r>
              <w:rPr>
                <w:rFonts w:hint="eastAsia"/>
                <w:bCs/>
                <w:sz w:val="24"/>
                <w:szCs w:val="24"/>
              </w:rPr>
              <w:t>危险废物产生单位将危险废物存放于相应的容器内（贮存容器由项目建设单位提供或由建设单位确定贮存容器）。危险废物移交过程依照《危险废物转移联单管理办法》中的要求，严格执行危险废物转移联单管理制度。转运车每车每次</w:t>
            </w:r>
            <w:r>
              <w:rPr>
                <w:rFonts w:hint="eastAsia"/>
                <w:bCs/>
                <w:sz w:val="24"/>
              </w:rPr>
              <w:t>运输</w:t>
            </w:r>
            <w:r>
              <w:rPr>
                <w:rFonts w:hint="eastAsia"/>
                <w:bCs/>
                <w:sz w:val="24"/>
                <w:szCs w:val="24"/>
              </w:rPr>
              <w:t>的危险废物采用《危险废物</w:t>
            </w:r>
            <w:r>
              <w:rPr>
                <w:rFonts w:hint="eastAsia"/>
                <w:bCs/>
                <w:sz w:val="24"/>
              </w:rPr>
              <w:t>运输</w:t>
            </w:r>
            <w:r>
              <w:rPr>
                <w:rFonts w:hint="eastAsia"/>
                <w:bCs/>
                <w:sz w:val="24"/>
                <w:szCs w:val="24"/>
              </w:rPr>
              <w:t>登记卡》管理，一车一卡，由企业危险废物管理人员交接时填写并签字。</w:t>
            </w:r>
          </w:p>
          <w:p>
            <w:pPr>
              <w:spacing w:line="360" w:lineRule="auto"/>
              <w:ind w:firstLine="482" w:firstLineChars="200"/>
              <w:rPr>
                <w:b/>
                <w:bCs/>
                <w:sz w:val="24"/>
                <w:szCs w:val="24"/>
              </w:rPr>
            </w:pPr>
            <w:r>
              <w:rPr>
                <w:rFonts w:hint="eastAsia"/>
                <w:b/>
                <w:bCs/>
                <w:sz w:val="24"/>
                <w:szCs w:val="24"/>
              </w:rPr>
              <w:t>危险废物转运要求：</w:t>
            </w:r>
          </w:p>
          <w:p>
            <w:pPr>
              <w:spacing w:line="360" w:lineRule="auto"/>
              <w:ind w:firstLine="480" w:firstLineChars="200"/>
              <w:rPr>
                <w:bCs/>
                <w:sz w:val="24"/>
                <w:szCs w:val="24"/>
              </w:rPr>
            </w:pPr>
            <w:r>
              <w:rPr>
                <w:rFonts w:hint="eastAsia"/>
                <w:bCs/>
                <w:sz w:val="24"/>
                <w:szCs w:val="24"/>
              </w:rPr>
              <w:t>该项目危险废物转运委托具备危险废物运输资质的公司采用专用危险废物运输车辆进行密闭运输，运输路线尽量避开人口密集区、饮用水源保护区等环境敏感区。危险废物暂存结束后按照规定的路线运输至有危险废物处置资质单位进行最终处置。</w:t>
            </w:r>
          </w:p>
          <w:p>
            <w:pPr>
              <w:spacing w:line="360" w:lineRule="auto"/>
              <w:ind w:firstLine="480" w:firstLineChars="200"/>
              <w:rPr>
                <w:rFonts w:ascii="Times New Roman" w:hAnsi="Times New Roman" w:cs="Times New Roman"/>
                <w:bCs/>
                <w:sz w:val="24"/>
                <w:szCs w:val="24"/>
              </w:rPr>
            </w:pPr>
            <w:r>
              <w:rPr>
                <w:rFonts w:hint="eastAsia"/>
                <w:bCs/>
                <w:sz w:val="24"/>
              </w:rPr>
              <w:t>该项目运输</w:t>
            </w:r>
            <w:r>
              <w:rPr>
                <w:rFonts w:hint="eastAsia"/>
                <w:bCs/>
                <w:sz w:val="24"/>
                <w:szCs w:val="24"/>
              </w:rPr>
              <w:t>车辆严格按照《汽车运输危险货物规则》（JT 617-2004）执行严格执行联单制度以及有关管理制度，每车必须过磅，专职司机，专车专用，车辆选用密闭式，车辆配备GPS、阻火装置和事故报警装置，并应设置危险警示标志，车厢要定期清理，不得掺入杂物，车轮要定期清洗，保持清洁。杜绝危险废物异味外溢污染周边环境，并制定专项事故应急预案。</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2.8 产排污环节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2.8.1 施工期产污环节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该项目利用昆明旭鑫环保科技有限公司</w:t>
            </w:r>
            <w:r>
              <w:rPr>
                <w:rFonts w:hint="eastAsia" w:ascii="Times New Roman" w:hAnsi="Times New Roman" w:cs="Times New Roman"/>
                <w:bCs/>
                <w:sz w:val="24"/>
                <w:szCs w:val="24"/>
              </w:rPr>
              <w:t>现有</w:t>
            </w:r>
            <w:r>
              <w:rPr>
                <w:rFonts w:ascii="Times New Roman" w:hAnsi="Times New Roman" w:cs="Times New Roman"/>
                <w:bCs/>
                <w:sz w:val="24"/>
                <w:szCs w:val="24"/>
              </w:rPr>
              <w:t>原料暂存库项目中1000m²区域</w:t>
            </w:r>
            <w:r>
              <w:rPr>
                <w:rFonts w:hint="eastAsia" w:ascii="Times New Roman" w:hAnsi="Times New Roman" w:cs="Times New Roman"/>
                <w:bCs/>
                <w:sz w:val="24"/>
                <w:szCs w:val="24"/>
              </w:rPr>
              <w:t>进行</w:t>
            </w:r>
            <w:r>
              <w:rPr>
                <w:rFonts w:ascii="Times New Roman" w:hAnsi="Times New Roman" w:cs="Times New Roman"/>
                <w:bCs/>
                <w:sz w:val="24"/>
                <w:szCs w:val="24"/>
              </w:rPr>
              <w:t>建设</w:t>
            </w:r>
            <w:r>
              <w:rPr>
                <w:rFonts w:hint="eastAsia" w:ascii="Times New Roman" w:hAnsi="Times New Roman" w:cs="Times New Roman"/>
                <w:bCs/>
                <w:sz w:val="24"/>
                <w:szCs w:val="24"/>
              </w:rPr>
              <w:t>，厂区</w:t>
            </w:r>
            <w:r>
              <w:rPr>
                <w:rFonts w:ascii="Times New Roman" w:hAnsi="Times New Roman" w:cs="Times New Roman"/>
                <w:bCs/>
                <w:sz w:val="24"/>
                <w:szCs w:val="24"/>
              </w:rPr>
              <w:t>主体工程不存在施工期，本次施工期建设内容主要为环保设施完善。施工期产污</w:t>
            </w:r>
            <w:r>
              <w:rPr>
                <w:rFonts w:hint="eastAsia" w:ascii="Times New Roman" w:hAnsi="Times New Roman" w:cs="Times New Roman"/>
                <w:bCs/>
                <w:sz w:val="24"/>
                <w:szCs w:val="24"/>
              </w:rPr>
              <w:t>环节</w:t>
            </w:r>
            <w:r>
              <w:rPr>
                <w:rFonts w:ascii="Times New Roman" w:hAnsi="Times New Roman" w:cs="Times New Roman"/>
                <w:bCs/>
                <w:sz w:val="24"/>
                <w:szCs w:val="24"/>
              </w:rPr>
              <w:t>包括施工废气、施工噪声、施工固废等。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2.8.2 运营期产污环节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根据调查，该项目运营期产污环节具体如下。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spacing w:line="360" w:lineRule="auto"/>
              <w:ind w:firstLine="480" w:firstLineChars="200"/>
              <w:rPr>
                <w:rFonts w:hint="eastAsia" w:ascii="Times New Roman" w:hAnsi="Times New Roman" w:cs="Times New Roman"/>
                <w:bCs/>
                <w:sz w:val="24"/>
                <w:szCs w:val="24"/>
              </w:rPr>
            </w:pPr>
            <w:r>
              <w:rPr>
                <w:rFonts w:hint="eastAsia" w:ascii="Times New Roman" w:hAnsi="Times New Roman" w:cs="Times New Roman"/>
                <w:bCs/>
                <w:sz w:val="24"/>
                <w:szCs w:val="24"/>
              </w:rPr>
              <w:t>根据项目贮存的危险废物类别分析，</w:t>
            </w:r>
            <w:r>
              <w:rPr>
                <w:rFonts w:ascii="Times New Roman" w:hAnsi="Times New Roman" w:cs="Times New Roman"/>
                <w:bCs/>
                <w:sz w:val="24"/>
                <w:szCs w:val="24"/>
              </w:rPr>
              <w:t>该项目产生的主要废气污染物为</w:t>
            </w:r>
            <w:r>
              <w:rPr>
                <w:rFonts w:hint="eastAsia" w:ascii="Times New Roman" w:hAnsi="Times New Roman" w:cs="Times New Roman"/>
                <w:bCs/>
                <w:sz w:val="24"/>
                <w:szCs w:val="24"/>
              </w:rPr>
              <w:t>有机废气（非甲烷总烃）、酸性废气（HCl）、恶臭废气（氨、硫化氢和臭气浓度）。</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根据项目工程内容及生产工艺，</w:t>
            </w:r>
            <w:r>
              <w:rPr>
                <w:rFonts w:hint="eastAsia" w:ascii="Times New Roman" w:hAnsi="Times New Roman" w:cs="Times New Roman"/>
                <w:bCs/>
                <w:sz w:val="24"/>
                <w:szCs w:val="24"/>
              </w:rPr>
              <w:t>该项目</w:t>
            </w:r>
            <w:r>
              <w:rPr>
                <w:rFonts w:ascii="Times New Roman" w:hAnsi="Times New Roman" w:cs="Times New Roman"/>
                <w:bCs/>
                <w:sz w:val="24"/>
                <w:szCs w:val="24"/>
              </w:rPr>
              <w:t>碱喷淋</w:t>
            </w:r>
            <w:r>
              <w:rPr>
                <w:rFonts w:hint="eastAsia" w:ascii="Times New Roman" w:hAnsi="Times New Roman" w:cs="Times New Roman"/>
                <w:bCs/>
                <w:sz w:val="24"/>
                <w:szCs w:val="24"/>
              </w:rPr>
              <w:t>废液按危险废物处理，无生产废水外排。无生活废水外排，仅有初期雨水。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根据项目工程内容及生产工艺，项目噪声污染源主要为设备噪声。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spacing w:line="360" w:lineRule="auto"/>
              <w:ind w:firstLine="480" w:firstLineChars="200"/>
              <w:rPr>
                <w:rFonts w:hint="eastAsia" w:ascii="Times New Roman" w:hAnsi="Times New Roman" w:cs="Times New Roman"/>
                <w:bCs/>
                <w:sz w:val="24"/>
                <w:szCs w:val="24"/>
              </w:rPr>
            </w:pPr>
            <w:r>
              <w:rPr>
                <w:rFonts w:ascii="Times New Roman" w:hAnsi="Times New Roman" w:cs="Times New Roman"/>
                <w:bCs/>
                <w:sz w:val="24"/>
                <w:szCs w:val="24"/>
              </w:rPr>
              <w:t>根据项目工程内容及生产工艺，该项目</w:t>
            </w:r>
            <w:r>
              <w:rPr>
                <w:rFonts w:hint="eastAsia" w:ascii="Times New Roman" w:hAnsi="Times New Roman" w:cs="Times New Roman"/>
                <w:bCs/>
                <w:sz w:val="24"/>
                <w:szCs w:val="24"/>
              </w:rPr>
              <w:t>无生活设施，因此无生活固废产生，项目</w:t>
            </w:r>
            <w:r>
              <w:rPr>
                <w:rFonts w:ascii="Times New Roman" w:hAnsi="Times New Roman" w:cs="Times New Roman"/>
                <w:bCs/>
                <w:sz w:val="24"/>
                <w:szCs w:val="24"/>
              </w:rPr>
              <w:t>产生的固体废物包括：</w:t>
            </w:r>
            <w:r>
              <w:rPr>
                <w:rFonts w:hint="eastAsia" w:ascii="Times New Roman" w:hAnsi="Times New Roman" w:cs="Times New Roman"/>
                <w:bCs/>
                <w:sz w:val="24"/>
                <w:szCs w:val="24"/>
              </w:rPr>
              <w:t>渗滤液、废劳保用品、废包装物、废活性炭和碱喷淋废液。</w:t>
            </w: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hint="eastAsia"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831" w:type="dxa"/>
            <w:vAlign w:val="center"/>
          </w:tcPr>
          <w:p>
            <w:pPr>
              <w:pStyle w:val="36"/>
              <w:spacing w:beforeLines="50"/>
              <w:ind w:firstLine="480"/>
              <w:rPr>
                <w:szCs w:val="24"/>
              </w:rPr>
            </w:pPr>
            <w:r>
              <w:rPr>
                <w:szCs w:val="24"/>
              </w:rPr>
              <w:t>该项目</w:t>
            </w:r>
            <w:r>
              <w:rPr>
                <w:rFonts w:hint="eastAsia"/>
                <w:szCs w:val="24"/>
              </w:rPr>
              <w:t>拟</w:t>
            </w:r>
            <w:r>
              <w:rPr>
                <w:szCs w:val="24"/>
              </w:rPr>
              <w:t>利用昆明旭鑫环保科技有限公司</w:t>
            </w:r>
            <w:r>
              <w:rPr>
                <w:rFonts w:hint="eastAsia"/>
                <w:szCs w:val="24"/>
              </w:rPr>
              <w:t>现有</w:t>
            </w:r>
            <w:r>
              <w:rPr>
                <w:szCs w:val="24"/>
              </w:rPr>
              <w:t>原料暂存库项目中1000m²区域开展小微企业危险废物收集试点东川网点项目</w:t>
            </w:r>
            <w:r>
              <w:rPr>
                <w:rFonts w:hint="eastAsia"/>
                <w:szCs w:val="24"/>
              </w:rPr>
              <w:t>建设，</w:t>
            </w:r>
            <w:r>
              <w:rPr>
                <w:szCs w:val="24"/>
              </w:rPr>
              <w:t>根据调查</w:t>
            </w:r>
            <w:r>
              <w:rPr>
                <w:rFonts w:hint="eastAsia"/>
                <w:szCs w:val="24"/>
              </w:rPr>
              <w:t>，</w:t>
            </w:r>
            <w:r>
              <w:rPr>
                <w:szCs w:val="24"/>
              </w:rPr>
              <w:t>昆明旭鑫环保科技有限公司</w:t>
            </w:r>
            <w:r>
              <w:rPr>
                <w:rFonts w:hint="eastAsia"/>
                <w:szCs w:val="24"/>
              </w:rPr>
              <w:t>现有</w:t>
            </w:r>
            <w:r>
              <w:rPr>
                <w:szCs w:val="24"/>
              </w:rPr>
              <w:t>原料暂存库</w:t>
            </w:r>
            <w:r>
              <w:rPr>
                <w:rFonts w:hint="eastAsia"/>
                <w:szCs w:val="24"/>
              </w:rPr>
              <w:t>全部区域均已采用复合土工膜防渗后，再浇筑混凝土；施工过程如下图所示。</w:t>
            </w:r>
          </w:p>
          <w:p>
            <w:pPr>
              <w:jc w:val="center"/>
              <w:rPr>
                <w:rFonts w:ascii="Times New Roman" w:hAnsi="Times New Roman" w:cs="Times New Roman"/>
                <w:b/>
              </w:rPr>
            </w:pPr>
            <w:r>
              <w:rPr>
                <w:rFonts w:ascii="Times New Roman" w:hAnsi="Times New Roman" w:cs="Times New Roman"/>
                <w:b/>
              </w:rPr>
              <w:drawing>
                <wp:inline distT="0" distB="0" distL="0" distR="0">
                  <wp:extent cx="2400935" cy="1801495"/>
                  <wp:effectExtent l="19050" t="0" r="0" b="0"/>
                  <wp:docPr id="17" name="图片 7" descr="C:\Users\ADMINI~1\AppData\Local\Temp\WeChat Files\5c4744fa3dc1bb0bcc4ab6528c38a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C:\Users\ADMINI~1\AppData\Local\Temp\WeChat Files\5c4744fa3dc1bb0bcc4ab6528c38ac0.jpg"/>
                          <pic:cNvPicPr>
                            <a:picLocks noChangeAspect="1" noChangeArrowheads="1"/>
                          </pic:cNvPicPr>
                        </pic:nvPicPr>
                        <pic:blipFill>
                          <a:blip r:embed="rId6" cstate="print"/>
                          <a:srcRect/>
                          <a:stretch>
                            <a:fillRect/>
                          </a:stretch>
                        </pic:blipFill>
                        <pic:spPr>
                          <a:xfrm>
                            <a:off x="0" y="0"/>
                            <a:ext cx="2401200" cy="1801906"/>
                          </a:xfrm>
                          <a:prstGeom prst="rect">
                            <a:avLst/>
                          </a:prstGeom>
                          <a:noFill/>
                          <a:ln w="9525">
                            <a:noFill/>
                            <a:miter lim="800000"/>
                            <a:headEnd/>
                            <a:tailEnd/>
                          </a:ln>
                        </pic:spPr>
                      </pic:pic>
                    </a:graphicData>
                  </a:graphic>
                </wp:inline>
              </w:drawing>
            </w:r>
            <w:r>
              <w:rPr>
                <w:rFonts w:ascii="Times New Roman" w:hAnsi="Times New Roman" w:cs="Times New Roman"/>
                <w:b/>
              </w:rPr>
              <w:drawing>
                <wp:inline distT="0" distB="0" distL="0" distR="0">
                  <wp:extent cx="2400935" cy="1801495"/>
                  <wp:effectExtent l="19050" t="0" r="0" b="0"/>
                  <wp:docPr id="18" name="图片 9" descr="C:\Users\ADMINI~1\AppData\Local\Temp\WeChat Files\4c1667a7bec723331a51ecc21544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C:\Users\ADMINI~1\AppData\Local\Temp\WeChat Files\4c1667a7bec723331a51ecc21544331.jpg"/>
                          <pic:cNvPicPr>
                            <a:picLocks noChangeAspect="1" noChangeArrowheads="1"/>
                          </pic:cNvPicPr>
                        </pic:nvPicPr>
                        <pic:blipFill>
                          <a:blip r:embed="rId7" cstate="print"/>
                          <a:srcRect/>
                          <a:stretch>
                            <a:fillRect/>
                          </a:stretch>
                        </pic:blipFill>
                        <pic:spPr>
                          <a:xfrm>
                            <a:off x="0" y="0"/>
                            <a:ext cx="2401200" cy="1801906"/>
                          </a:xfrm>
                          <a:prstGeom prst="rect">
                            <a:avLst/>
                          </a:prstGeom>
                          <a:noFill/>
                          <a:ln w="9525">
                            <a:noFill/>
                            <a:miter lim="800000"/>
                            <a:headEnd/>
                            <a:tailEnd/>
                          </a:ln>
                        </pic:spPr>
                      </pic:pic>
                    </a:graphicData>
                  </a:graphic>
                </wp:inline>
              </w:drawing>
            </w:r>
          </w:p>
          <w:p>
            <w:pPr>
              <w:jc w:val="center"/>
              <w:rPr>
                <w:rFonts w:ascii="Times New Roman" w:hAnsi="Times New Roman" w:cs="Times New Roman"/>
                <w:b/>
              </w:rPr>
            </w:pPr>
            <w:r>
              <w:rPr>
                <w:rFonts w:hint="eastAsia" w:ascii="Times New Roman" w:hAnsi="Times New Roman" w:cs="Times New Roman"/>
                <w:b/>
              </w:rPr>
              <w:t>复合土工膜铺设照片防渗层铺设后浇筑混凝土</w:t>
            </w:r>
          </w:p>
          <w:p>
            <w:pPr>
              <w:pStyle w:val="36"/>
              <w:spacing w:beforeLines="50"/>
              <w:ind w:firstLine="480"/>
              <w:rPr>
                <w:szCs w:val="24"/>
              </w:rPr>
            </w:pPr>
            <w:r>
              <w:rPr>
                <w:rFonts w:hint="eastAsia"/>
                <w:szCs w:val="24"/>
              </w:rPr>
              <w:t>该复合土工膜防渗云南睿利能工程材料制造有限公司生产的土工膜，根据其检测报告，其防渗系数达到渗透系数≤2.3×10</w:t>
            </w:r>
            <w:r>
              <w:rPr>
                <w:rFonts w:hint="eastAsia"/>
                <w:szCs w:val="24"/>
                <w:vertAlign w:val="superscript"/>
              </w:rPr>
              <w:t>-12</w:t>
            </w:r>
            <w:r>
              <w:rPr>
                <w:szCs w:val="24"/>
              </w:rPr>
              <w:t>cm/s</w:t>
            </w:r>
            <w:r>
              <w:rPr>
                <w:rFonts w:hint="eastAsia"/>
                <w:szCs w:val="24"/>
              </w:rPr>
              <w:t>，满足渗透系数≤</w:t>
            </w:r>
            <w:r>
              <w:rPr>
                <w:szCs w:val="24"/>
              </w:rPr>
              <w:t>10</w:t>
            </w:r>
            <w:r>
              <w:rPr>
                <w:rFonts w:hint="eastAsia"/>
                <w:szCs w:val="24"/>
                <w:vertAlign w:val="superscript"/>
              </w:rPr>
              <w:t>-10</w:t>
            </w:r>
            <w:r>
              <w:rPr>
                <w:szCs w:val="24"/>
              </w:rPr>
              <w:t>cm/s</w:t>
            </w:r>
            <w:r>
              <w:rPr>
                <w:rFonts w:hint="eastAsia"/>
                <w:szCs w:val="24"/>
              </w:rPr>
              <w:t>的要求。</w:t>
            </w:r>
          </w:p>
          <w:p>
            <w:pPr>
              <w:pStyle w:val="36"/>
              <w:ind w:firstLine="480"/>
              <w:rPr>
                <w:rFonts w:eastAsiaTheme="minorEastAsia"/>
                <w:szCs w:val="24"/>
              </w:rPr>
            </w:pPr>
            <w:r>
              <w:rPr>
                <w:rFonts w:hint="eastAsia" w:eastAsiaTheme="minorEastAsia"/>
                <w:szCs w:val="24"/>
              </w:rPr>
              <w:t>根据调查，</w:t>
            </w:r>
            <w:r>
              <w:rPr>
                <w:rFonts w:eastAsiaTheme="minorEastAsia"/>
                <w:szCs w:val="24"/>
              </w:rPr>
              <w:t>昆明旭鑫环保科技有限公司</w:t>
            </w:r>
            <w:r>
              <w:rPr>
                <w:rFonts w:hint="eastAsia" w:eastAsiaTheme="minorEastAsia"/>
                <w:szCs w:val="24"/>
              </w:rPr>
              <w:t>现有</w:t>
            </w:r>
            <w:r>
              <w:rPr>
                <w:rFonts w:eastAsiaTheme="minorEastAsia"/>
                <w:szCs w:val="24"/>
              </w:rPr>
              <w:t>原料暂存库</w:t>
            </w:r>
            <w:r>
              <w:rPr>
                <w:rFonts w:hint="eastAsia" w:eastAsiaTheme="minorEastAsia"/>
                <w:szCs w:val="24"/>
              </w:rPr>
              <w:t>建筑面积为3</w:t>
            </w:r>
            <w:r>
              <w:rPr>
                <w:rFonts w:eastAsiaTheme="minorEastAsia"/>
                <w:szCs w:val="24"/>
              </w:rPr>
              <w:t>000m²</w:t>
            </w:r>
            <w:r>
              <w:rPr>
                <w:rFonts w:hint="eastAsia" w:eastAsiaTheme="minorEastAsia"/>
                <w:szCs w:val="24"/>
              </w:rPr>
              <w:t>，对昆明旭鑫环保科技有限公司生产所需的铅渣、铋渣等11类危险废物原料进行分类暂存；该</w:t>
            </w:r>
            <w:r>
              <w:rPr>
                <w:rFonts w:eastAsiaTheme="minorEastAsia"/>
                <w:szCs w:val="24"/>
              </w:rPr>
              <w:t>原料暂存库</w:t>
            </w:r>
            <w:r>
              <w:rPr>
                <w:rFonts w:hint="eastAsia" w:eastAsiaTheme="minorEastAsia"/>
                <w:szCs w:val="24"/>
              </w:rPr>
              <w:t>暂存的危险废物原料类别包括：</w:t>
            </w:r>
            <w:r>
              <w:rPr>
                <w:rFonts w:eastAsiaTheme="minorEastAsia"/>
                <w:szCs w:val="24"/>
              </w:rPr>
              <w:t>铜冶炼粉尘（321-002-48）</w:t>
            </w:r>
            <w:r>
              <w:rPr>
                <w:rFonts w:hint="eastAsia" w:eastAsiaTheme="minorEastAsia"/>
                <w:szCs w:val="24"/>
              </w:rPr>
              <w:t>、</w:t>
            </w:r>
            <w:r>
              <w:rPr>
                <w:rFonts w:eastAsiaTheme="minorEastAsia"/>
                <w:szCs w:val="24"/>
              </w:rPr>
              <w:t>除铋浸出渣（321-013-48）</w:t>
            </w:r>
            <w:r>
              <w:rPr>
                <w:rFonts w:hint="eastAsia" w:eastAsiaTheme="minorEastAsia"/>
                <w:szCs w:val="24"/>
              </w:rPr>
              <w:t>、</w:t>
            </w:r>
            <w:r>
              <w:rPr>
                <w:rFonts w:eastAsiaTheme="minorEastAsia"/>
                <w:szCs w:val="24"/>
              </w:rPr>
              <w:t>显像管玻璃熔炼废渣（304-002-31）、铅蓄电池生产过程中产生的粉尘（384-004-31）、锌焙烧矿浸出渣（321-004-48）、铅锑合金锌粉除铜产生的废渣（321-008-48）、氧化锌浸出渣（321-010-48）、铅阳极泥处理渣（321-019-48）、铅银渣（321-021-48）、铅冶炼过程中产生的烟尘（321-014-48）</w:t>
            </w:r>
            <w:r>
              <w:rPr>
                <w:rFonts w:hint="eastAsia" w:eastAsiaTheme="minorEastAsia"/>
                <w:szCs w:val="24"/>
              </w:rPr>
              <w:t>和</w:t>
            </w:r>
            <w:r>
              <w:rPr>
                <w:rFonts w:eastAsiaTheme="minorEastAsia"/>
                <w:szCs w:val="24"/>
              </w:rPr>
              <w:t>再生铅烟尘（321-029-48）</w:t>
            </w:r>
            <w:r>
              <w:rPr>
                <w:rFonts w:hint="eastAsia" w:eastAsiaTheme="minorEastAsia"/>
                <w:szCs w:val="24"/>
              </w:rPr>
              <w:t>等2个大类11个小类。根据业主提供的资料，该原料库投入使用至今，其实际使用率不到总库存的5</w:t>
            </w:r>
            <w:r>
              <w:rPr>
                <w:rFonts w:eastAsiaTheme="minorEastAsia"/>
                <w:szCs w:val="24"/>
              </w:rPr>
              <w:t>0%</w:t>
            </w:r>
            <w:r>
              <w:rPr>
                <w:rFonts w:hint="eastAsia" w:eastAsiaTheme="minorEastAsia"/>
                <w:szCs w:val="24"/>
              </w:rPr>
              <w:t>，因此划出1</w:t>
            </w:r>
            <w:r>
              <w:rPr>
                <w:rFonts w:eastAsiaTheme="minorEastAsia"/>
                <w:szCs w:val="24"/>
              </w:rPr>
              <w:t>000m²</w:t>
            </w:r>
            <w:r>
              <w:rPr>
                <w:rFonts w:hint="eastAsia" w:eastAsiaTheme="minorEastAsia"/>
                <w:szCs w:val="24"/>
              </w:rPr>
              <w:t>后，该原料库依然可满足</w:t>
            </w:r>
            <w:r>
              <w:rPr>
                <w:rFonts w:eastAsiaTheme="minorEastAsia"/>
                <w:szCs w:val="24"/>
              </w:rPr>
              <w:t>昆明旭鑫环保科技有限公司</w:t>
            </w:r>
            <w:r>
              <w:rPr>
                <w:rFonts w:hint="eastAsia" w:eastAsiaTheme="minorEastAsia"/>
                <w:szCs w:val="24"/>
              </w:rPr>
              <w:t>原料分类暂存需求。不会对其造成。</w:t>
            </w:r>
          </w:p>
          <w:p>
            <w:pPr>
              <w:pStyle w:val="36"/>
              <w:ind w:firstLine="480"/>
              <w:rPr>
                <w:rFonts w:eastAsiaTheme="minorEastAsia"/>
                <w:szCs w:val="24"/>
              </w:rPr>
            </w:pPr>
            <w:r>
              <w:rPr>
                <w:rFonts w:hint="eastAsia" w:eastAsiaTheme="minorEastAsia"/>
                <w:szCs w:val="24"/>
              </w:rPr>
              <w:t>综上，该项目为新建项目，无</w:t>
            </w:r>
            <w:r>
              <w:rPr>
                <w:rFonts w:eastAsiaTheme="minorEastAsia"/>
                <w:szCs w:val="24"/>
              </w:rPr>
              <w:t>与</w:t>
            </w:r>
            <w:r>
              <w:rPr>
                <w:rFonts w:hint="eastAsia" w:eastAsiaTheme="minorEastAsia"/>
                <w:szCs w:val="24"/>
              </w:rPr>
              <w:t>该</w:t>
            </w:r>
            <w:r>
              <w:rPr>
                <w:rFonts w:eastAsiaTheme="minorEastAsia"/>
                <w:szCs w:val="24"/>
              </w:rPr>
              <w:t>项目有关的原有环境污染问题</w:t>
            </w:r>
            <w:r>
              <w:rPr>
                <w:rFonts w:hint="eastAsia" w:eastAsiaTheme="minorEastAsia"/>
                <w:szCs w:val="24"/>
              </w:rPr>
              <w:t>。</w:t>
            </w: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三、区域环境质量现状、环境保护目标及评价标准</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3.1 环境质量现状</w:t>
            </w:r>
          </w:p>
          <w:p>
            <w:pPr>
              <w:pStyle w:val="36"/>
              <w:ind w:firstLine="482"/>
              <w:rPr>
                <w:rFonts w:eastAsiaTheme="minorEastAsia"/>
                <w:b/>
                <w:szCs w:val="24"/>
              </w:rPr>
            </w:pPr>
            <w:r>
              <w:rPr>
                <w:rFonts w:eastAsiaTheme="minorEastAsia"/>
                <w:b/>
                <w:szCs w:val="24"/>
              </w:rPr>
              <w:t>3.1.1 环境空气质量现状</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（1）常规因子环境质量现状</w:t>
            </w:r>
          </w:p>
          <w:p>
            <w:pPr>
              <w:pStyle w:val="57"/>
              <w:spacing w:line="360" w:lineRule="auto"/>
              <w:ind w:firstLine="480"/>
              <w:rPr>
                <w:rFonts w:hAnsi="Times New Roman"/>
                <w:sz w:val="24"/>
                <w:szCs w:val="24"/>
              </w:rPr>
            </w:pPr>
            <w:r>
              <w:rPr>
                <w:rFonts w:hint="eastAsia" w:hAnsi="Times New Roman"/>
                <w:sz w:val="24"/>
                <w:szCs w:val="24"/>
              </w:rPr>
              <w:t>该项目位于云南东川产业园区四方地片区昆明旭鑫环保科技有限公司厂区，</w:t>
            </w:r>
            <w:r>
              <w:rPr>
                <w:rFonts w:hAnsi="Times New Roman"/>
                <w:sz w:val="24"/>
                <w:szCs w:val="24"/>
              </w:rPr>
              <w:t>属于环境空气二类区，执行《环境空气质量标准》（GB</w:t>
            </w:r>
            <w:r>
              <w:rPr>
                <w:rFonts w:hint="eastAsia" w:hAnsi="Times New Roman"/>
                <w:sz w:val="24"/>
                <w:szCs w:val="24"/>
                <w:lang w:eastAsia="zh-CN"/>
              </w:rPr>
              <w:t>****</w:t>
            </w:r>
            <w:r>
              <w:rPr>
                <w:rFonts w:hAnsi="Times New Roman"/>
                <w:sz w:val="24"/>
                <w:szCs w:val="24"/>
              </w:rPr>
              <w:t>-2012）二级标准</w:t>
            </w:r>
            <w:r>
              <w:rPr>
                <w:rFonts w:hint="eastAsia" w:hAnsi="Times New Roman"/>
                <w:sz w:val="24"/>
                <w:szCs w:val="24"/>
              </w:rPr>
              <w:t>；</w:t>
            </w:r>
            <w:r>
              <w:rPr>
                <w:rFonts w:hAnsi="Times New Roman"/>
                <w:sz w:val="24"/>
                <w:szCs w:val="24"/>
              </w:rPr>
              <w:t>根据《2022年度昆明市生态环境状况公报》</w:t>
            </w:r>
            <w:r>
              <w:rPr>
                <w:rFonts w:hint="eastAsia" w:hAnsi="Times New Roman"/>
                <w:sz w:val="24"/>
                <w:szCs w:val="24"/>
              </w:rPr>
              <w:t>，</w:t>
            </w:r>
            <w:r>
              <w:rPr>
                <w:rFonts w:hAnsi="Times New Roman"/>
                <w:sz w:val="24"/>
                <w:szCs w:val="24"/>
              </w:rPr>
              <w:t>各县（市）区环境空气质量总体保持良好</w:t>
            </w:r>
            <w:r>
              <w:rPr>
                <w:rFonts w:hint="eastAsia" w:hAnsi="Times New Roman"/>
                <w:sz w:val="24"/>
                <w:szCs w:val="24"/>
              </w:rPr>
              <w:t>。</w:t>
            </w:r>
            <w:r>
              <w:rPr>
                <w:rFonts w:hAnsi="Times New Roman"/>
                <w:sz w:val="24"/>
                <w:szCs w:val="24"/>
              </w:rPr>
              <w:t>项目所在区域属于环境空气质量达标区。</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（2）特征因子环境质量现状</w:t>
            </w:r>
          </w:p>
          <w:p>
            <w:pPr>
              <w:pStyle w:val="57"/>
              <w:spacing w:line="360" w:lineRule="auto"/>
              <w:ind w:firstLine="480"/>
              <w:rPr>
                <w:rFonts w:hAnsi="Times New Roman"/>
                <w:sz w:val="24"/>
                <w:szCs w:val="24"/>
              </w:rPr>
            </w:pPr>
            <w:r>
              <w:rPr>
                <w:rFonts w:hAnsi="Times New Roman"/>
                <w:sz w:val="24"/>
                <w:szCs w:val="24"/>
              </w:rPr>
              <w:t>根据项目特点，该项目排放的特征污染物为</w:t>
            </w:r>
            <w:r>
              <w:rPr>
                <w:rFonts w:hint="eastAsia" w:hAnsi="Times New Roman"/>
                <w:sz w:val="24"/>
                <w:szCs w:val="24"/>
              </w:rPr>
              <w:t>有机废气（非甲烷总烃）、酸性废气（HCl）、恶臭（氨、硫化氢和臭气浓度）；</w:t>
            </w:r>
            <w:r>
              <w:rPr>
                <w:rFonts w:hAnsi="Times New Roman"/>
                <w:sz w:val="24"/>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w:t>
            </w:r>
            <w:r>
              <w:rPr>
                <w:rFonts w:hint="eastAsia" w:hAnsi="Times New Roman"/>
                <w:sz w:val="24"/>
                <w:szCs w:val="24"/>
              </w:rPr>
              <w:t>该项目排放的废气无环境质量标准，因此不对其进行现状评价。</w:t>
            </w:r>
          </w:p>
          <w:p>
            <w:pPr>
              <w:pStyle w:val="36"/>
              <w:ind w:firstLine="482"/>
              <w:rPr>
                <w:rFonts w:eastAsiaTheme="minorEastAsia"/>
                <w:b/>
                <w:szCs w:val="24"/>
              </w:rPr>
            </w:pPr>
            <w:r>
              <w:rPr>
                <w:rFonts w:eastAsiaTheme="minorEastAsia"/>
                <w:b/>
                <w:szCs w:val="24"/>
              </w:rPr>
              <w:t>3.1.2 地表水环境质量现状</w:t>
            </w:r>
          </w:p>
          <w:p>
            <w:pPr>
              <w:pStyle w:val="57"/>
              <w:spacing w:line="360" w:lineRule="auto"/>
              <w:ind w:firstLine="480"/>
              <w:rPr>
                <w:rFonts w:hAnsi="Times New Roman"/>
                <w:sz w:val="24"/>
                <w:szCs w:val="24"/>
              </w:rPr>
            </w:pPr>
            <w:r>
              <w:rPr>
                <w:rFonts w:hAnsi="Times New Roman"/>
                <w:sz w:val="24"/>
                <w:szCs w:val="24"/>
              </w:rPr>
              <w:t>项目所在区域属于小江的汇水范围，小江（清水海-入金沙江口段）位于项目西侧1</w:t>
            </w:r>
            <w:r>
              <w:rPr>
                <w:rFonts w:hint="eastAsia" w:hAnsi="Times New Roman"/>
                <w:sz w:val="24"/>
                <w:szCs w:val="24"/>
              </w:rPr>
              <w:t>872</w:t>
            </w:r>
            <w:r>
              <w:rPr>
                <w:rFonts w:hAnsi="Times New Roman"/>
                <w:sz w:val="24"/>
                <w:szCs w:val="24"/>
              </w:rPr>
              <w:t>m处；根据云南省水利厅发布的《云南省水功能区划》（2014版），小江（清水海-入金沙江口段）到2030年的水质目标为III类水体，执行《地表水环境质量标准》（GB</w:t>
            </w:r>
            <w:r>
              <w:rPr>
                <w:rFonts w:hint="eastAsia" w:hAnsi="Times New Roman"/>
                <w:sz w:val="24"/>
                <w:szCs w:val="24"/>
                <w:lang w:eastAsia="zh-CN"/>
              </w:rPr>
              <w:t>****</w:t>
            </w:r>
            <w:r>
              <w:rPr>
                <w:rFonts w:hAnsi="Times New Roman"/>
                <w:sz w:val="24"/>
                <w:szCs w:val="24"/>
              </w:rPr>
              <w:t>-2002）</w:t>
            </w:r>
            <w:r>
              <w:rPr>
                <w:rFonts w:hAnsi="Times New Roman"/>
                <w:sz w:val="24"/>
                <w:szCs w:val="24"/>
              </w:rPr>
              <w:fldChar w:fldCharType="begin"/>
            </w:r>
            <w:r>
              <w:rPr>
                <w:rFonts w:hAnsi="Times New Roman"/>
                <w:sz w:val="24"/>
                <w:szCs w:val="24"/>
              </w:rPr>
              <w:instrText xml:space="preserve"> = 3 \* ROMAN </w:instrText>
            </w:r>
            <w:r>
              <w:rPr>
                <w:rFonts w:hAnsi="Times New Roman"/>
                <w:sz w:val="24"/>
                <w:szCs w:val="24"/>
              </w:rPr>
              <w:fldChar w:fldCharType="separate"/>
            </w:r>
            <w:r>
              <w:rPr>
                <w:rFonts w:hAnsi="Times New Roman"/>
                <w:sz w:val="24"/>
                <w:szCs w:val="24"/>
              </w:rPr>
              <w:t>II</w:t>
            </w:r>
            <w:r>
              <w:rPr>
                <w:rFonts w:hAnsi="Times New Roman"/>
                <w:sz w:val="24"/>
                <w:szCs w:val="24"/>
              </w:rPr>
              <w:fldChar w:fldCharType="end"/>
            </w:r>
            <w:r>
              <w:rPr>
                <w:rFonts w:hAnsi="Times New Roman"/>
                <w:sz w:val="24"/>
                <w:szCs w:val="24"/>
              </w:rPr>
              <w:t>I类标准。</w:t>
            </w:r>
          </w:p>
          <w:p>
            <w:pPr>
              <w:pStyle w:val="57"/>
              <w:spacing w:line="360" w:lineRule="auto"/>
              <w:ind w:firstLine="480"/>
              <w:rPr>
                <w:rFonts w:hAnsi="Times New Roman"/>
                <w:sz w:val="24"/>
                <w:szCs w:val="24"/>
              </w:rPr>
            </w:pPr>
            <w:r>
              <w:rPr>
                <w:rFonts w:hAnsi="Times New Roman"/>
                <w:sz w:val="24"/>
                <w:szCs w:val="24"/>
              </w:rPr>
              <w:t>环评按照《建设项目环境影响报告表编制技术指南》（污染影响类）的要求，</w:t>
            </w:r>
            <w:r>
              <w:rPr>
                <w:rFonts w:hint="eastAsia" w:hAnsi="Times New Roman"/>
                <w:sz w:val="24"/>
                <w:szCs w:val="24"/>
              </w:rPr>
              <w:t>引用</w:t>
            </w:r>
            <w:r>
              <w:rPr>
                <w:rFonts w:hAnsi="Times New Roman"/>
                <w:sz w:val="24"/>
                <w:szCs w:val="24"/>
              </w:rPr>
              <w:t>2021年《昆明市东川区环境质量报告书》的</w:t>
            </w:r>
            <w:r>
              <w:rPr>
                <w:rFonts w:hint="eastAsia" w:hAnsi="Times New Roman"/>
                <w:sz w:val="24"/>
                <w:szCs w:val="24"/>
              </w:rPr>
              <w:t>小江</w:t>
            </w:r>
            <w:r>
              <w:rPr>
                <w:rFonts w:hAnsi="Times New Roman"/>
                <w:sz w:val="24"/>
                <w:szCs w:val="24"/>
              </w:rPr>
              <w:t>板河口断面水质监测结果，</w:t>
            </w:r>
            <w:r>
              <w:rPr>
                <w:rFonts w:hint="eastAsia" w:hAnsi="Times New Roman"/>
                <w:sz w:val="24"/>
                <w:szCs w:val="24"/>
              </w:rPr>
              <w:t>具体如下表所示。</w:t>
            </w:r>
            <w:r>
              <w:rPr>
                <w:rFonts w:hAnsi="Times New Roman"/>
                <w:sz w:val="24"/>
                <w:szCs w:val="24"/>
              </w:rPr>
              <w:t xml:space="preserve"> </w:t>
            </w:r>
          </w:p>
          <w:p>
            <w:pPr>
              <w:jc w:val="center"/>
              <w:rPr>
                <w:rFonts w:ascii="Times New Roman" w:hAnsi="Times New Roman" w:cs="Times New Roman"/>
                <w:b/>
                <w:szCs w:val="24"/>
              </w:rPr>
            </w:pPr>
            <w:r>
              <w:rPr>
                <w:rFonts w:ascii="Times New Roman" w:cs="Times New Roman" w:hAnsiTheme="minorEastAsia"/>
                <w:b/>
                <w:szCs w:val="24"/>
              </w:rPr>
              <w:t>表</w:t>
            </w:r>
            <w:r>
              <w:rPr>
                <w:rFonts w:ascii="Times New Roman" w:hAnsi="Times New Roman" w:cs="Times New Roman"/>
                <w:b/>
                <w:szCs w:val="24"/>
              </w:rPr>
              <w:t xml:space="preserve">3.1.2-1 </w:t>
            </w:r>
            <w:r>
              <w:rPr>
                <w:rFonts w:ascii="Times New Roman" w:cs="Times New Roman" w:hAnsiTheme="minorEastAsia"/>
                <w:b/>
                <w:szCs w:val="24"/>
              </w:rPr>
              <w:t>项目区域地表水体小江水质检测结果一览表</w:t>
            </w:r>
            <w:r>
              <w:rPr>
                <w:rFonts w:ascii="Times New Roman" w:hAnsi="Times New Roman" w:cs="Times New Roman"/>
                <w:b/>
                <w:szCs w:val="24"/>
              </w:rPr>
              <w:t xml:space="preserve"> </w:t>
            </w:r>
            <w:r>
              <w:rPr>
                <w:rFonts w:ascii="Times New Roman" w:cs="Times New Roman" w:hAnsiTheme="minorEastAsia"/>
                <w:b/>
                <w:szCs w:val="24"/>
              </w:rPr>
              <w:t>单位：</w:t>
            </w:r>
            <w:r>
              <w:rPr>
                <w:rFonts w:ascii="Times New Roman" w:hAnsi="Times New Roman" w:cs="Times New Roman"/>
                <w:b/>
                <w:szCs w:val="24"/>
              </w:rPr>
              <w:t>mg/L</w:t>
            </w:r>
          </w:p>
          <w:tbl>
            <w:tblPr>
              <w:tblStyle w:val="17"/>
              <w:tblW w:w="5000" w:type="pct"/>
              <w:tblInd w:w="0" w:type="dxa"/>
              <w:tblLayout w:type="fixed"/>
              <w:tblCellMar>
                <w:top w:w="0" w:type="dxa"/>
                <w:left w:w="108" w:type="dxa"/>
                <w:bottom w:w="0" w:type="dxa"/>
                <w:right w:w="108" w:type="dxa"/>
              </w:tblCellMar>
            </w:tblPr>
            <w:tblGrid>
              <w:gridCol w:w="1076"/>
              <w:gridCol w:w="2369"/>
              <w:gridCol w:w="1785"/>
              <w:gridCol w:w="1459"/>
              <w:gridCol w:w="1926"/>
            </w:tblGrid>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序号</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监测项目</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板河口</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标准值</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达标情况</w:t>
                  </w:r>
                </w:p>
              </w:tc>
            </w:tr>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1</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pH（无量纲）</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8.16-8.52</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6-9</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2</w:t>
                  </w:r>
                </w:p>
              </w:tc>
              <w:tc>
                <w:tcPr>
                  <w:tcW w:w="236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CODcr</w:t>
                  </w:r>
                </w:p>
              </w:tc>
              <w:tc>
                <w:tcPr>
                  <w:tcW w:w="1784"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7</w:t>
                  </w:r>
                </w:p>
              </w:tc>
              <w:tc>
                <w:tcPr>
                  <w:tcW w:w="145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20</w:t>
                  </w:r>
                </w:p>
              </w:tc>
              <w:tc>
                <w:tcPr>
                  <w:tcW w:w="192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3</w:t>
                  </w:r>
                </w:p>
              </w:tc>
              <w:tc>
                <w:tcPr>
                  <w:tcW w:w="236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BOD</w:t>
                  </w:r>
                  <w:r>
                    <w:rPr>
                      <w:rFonts w:hAnsiTheme="minorEastAsia" w:eastAsiaTheme="minorEastAsia"/>
                      <w:color w:val="auto"/>
                      <w:sz w:val="20"/>
                      <w:szCs w:val="21"/>
                      <w:vertAlign w:val="subscript"/>
                    </w:rPr>
                    <w:t>5</w:t>
                  </w:r>
                </w:p>
              </w:tc>
              <w:tc>
                <w:tcPr>
                  <w:tcW w:w="1784"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2</w:t>
                  </w:r>
                </w:p>
              </w:tc>
              <w:tc>
                <w:tcPr>
                  <w:tcW w:w="145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4</w:t>
                  </w:r>
                </w:p>
              </w:tc>
              <w:tc>
                <w:tcPr>
                  <w:tcW w:w="192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5</w:t>
                  </w:r>
                </w:p>
              </w:tc>
              <w:tc>
                <w:tcPr>
                  <w:tcW w:w="236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氨氮</w:t>
                  </w:r>
                </w:p>
              </w:tc>
              <w:tc>
                <w:tcPr>
                  <w:tcW w:w="1784"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0.23</w:t>
                  </w:r>
                </w:p>
              </w:tc>
              <w:tc>
                <w:tcPr>
                  <w:tcW w:w="145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6</w:t>
                  </w:r>
                </w:p>
              </w:tc>
              <w:tc>
                <w:tcPr>
                  <w:tcW w:w="236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总磷</w:t>
                  </w:r>
                </w:p>
              </w:tc>
              <w:tc>
                <w:tcPr>
                  <w:tcW w:w="1784"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0.12</w:t>
                  </w:r>
                </w:p>
              </w:tc>
              <w:tc>
                <w:tcPr>
                  <w:tcW w:w="145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0.2</w:t>
                  </w:r>
                </w:p>
              </w:tc>
              <w:tc>
                <w:tcPr>
                  <w:tcW w:w="192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7</w:t>
                  </w:r>
                </w:p>
              </w:tc>
              <w:tc>
                <w:tcPr>
                  <w:tcW w:w="236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砷</w:t>
                  </w:r>
                </w:p>
              </w:tc>
              <w:tc>
                <w:tcPr>
                  <w:tcW w:w="1784"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0.032</w:t>
                  </w:r>
                </w:p>
              </w:tc>
              <w:tc>
                <w:tcPr>
                  <w:tcW w:w="145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8</w:t>
                  </w:r>
                </w:p>
              </w:tc>
              <w:tc>
                <w:tcPr>
                  <w:tcW w:w="236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氟化物</w:t>
                  </w:r>
                </w:p>
              </w:tc>
              <w:tc>
                <w:tcPr>
                  <w:tcW w:w="1784"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0.30</w:t>
                  </w:r>
                </w:p>
              </w:tc>
              <w:tc>
                <w:tcPr>
                  <w:tcW w:w="145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9</w:t>
                  </w:r>
                </w:p>
              </w:tc>
              <w:tc>
                <w:tcPr>
                  <w:tcW w:w="236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挥发酚</w:t>
                  </w:r>
                </w:p>
              </w:tc>
              <w:tc>
                <w:tcPr>
                  <w:tcW w:w="1784"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0.0003L</w:t>
                  </w:r>
                </w:p>
              </w:tc>
              <w:tc>
                <w:tcPr>
                  <w:tcW w:w="1457" w:type="dxa"/>
                  <w:tcBorders>
                    <w:top w:val="nil"/>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0.005</w:t>
                  </w:r>
                </w:p>
              </w:tc>
              <w:tc>
                <w:tcPr>
                  <w:tcW w:w="1925" w:type="dxa"/>
                  <w:tcBorders>
                    <w:top w:val="nil"/>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10</w:t>
                  </w:r>
                </w:p>
              </w:tc>
              <w:tc>
                <w:tcPr>
                  <w:tcW w:w="236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氰化物</w:t>
                  </w:r>
                </w:p>
              </w:tc>
              <w:tc>
                <w:tcPr>
                  <w:tcW w:w="1784"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0.2</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11</w:t>
                  </w:r>
                </w:p>
              </w:tc>
              <w:tc>
                <w:tcPr>
                  <w:tcW w:w="236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总汞</w:t>
                  </w:r>
                </w:p>
              </w:tc>
              <w:tc>
                <w:tcPr>
                  <w:tcW w:w="1784"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0.00004L</w:t>
                  </w:r>
                </w:p>
              </w:tc>
              <w:tc>
                <w:tcPr>
                  <w:tcW w:w="145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0.0001</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12</w:t>
                  </w:r>
                </w:p>
              </w:tc>
              <w:tc>
                <w:tcPr>
                  <w:tcW w:w="236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六价铬</w:t>
                  </w:r>
                </w:p>
              </w:tc>
              <w:tc>
                <w:tcPr>
                  <w:tcW w:w="1784"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13</w:t>
                  </w:r>
                </w:p>
              </w:tc>
              <w:tc>
                <w:tcPr>
                  <w:tcW w:w="236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铅</w:t>
                  </w:r>
                </w:p>
              </w:tc>
              <w:tc>
                <w:tcPr>
                  <w:tcW w:w="1784"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0.002L</w:t>
                  </w:r>
                </w:p>
              </w:tc>
              <w:tc>
                <w:tcPr>
                  <w:tcW w:w="145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243"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eastAsiaTheme="minorEastAsia"/>
                      <w:color w:val="auto"/>
                      <w:szCs w:val="21"/>
                    </w:rPr>
                    <w:t>14</w:t>
                  </w:r>
                </w:p>
              </w:tc>
              <w:tc>
                <w:tcPr>
                  <w:tcW w:w="236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镉</w:t>
                  </w:r>
                </w:p>
              </w:tc>
              <w:tc>
                <w:tcPr>
                  <w:tcW w:w="1784"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0.0001L</w:t>
                  </w:r>
                </w:p>
              </w:tc>
              <w:tc>
                <w:tcPr>
                  <w:tcW w:w="145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int="eastAsia" w:eastAsiaTheme="minorEastAsia"/>
                      <w:color w:val="auto"/>
                      <w:szCs w:val="21"/>
                    </w:rPr>
                    <w:t>15</w:t>
                  </w:r>
                </w:p>
              </w:tc>
              <w:tc>
                <w:tcPr>
                  <w:tcW w:w="236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石油类</w:t>
                  </w:r>
                </w:p>
              </w:tc>
              <w:tc>
                <w:tcPr>
                  <w:tcW w:w="1784"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0.01L</w:t>
                  </w:r>
                </w:p>
              </w:tc>
              <w:tc>
                <w:tcPr>
                  <w:tcW w:w="1457" w:type="dxa"/>
                  <w:tcBorders>
                    <w:top w:val="single" w:color="auto" w:sz="4" w:space="0"/>
                    <w:left w:val="nil"/>
                    <w:bottom w:val="single" w:color="auto" w:sz="4" w:space="0"/>
                    <w:right w:val="single" w:color="auto" w:sz="4" w:space="0"/>
                  </w:tcBorders>
                  <w:shd w:val="clear" w:color="auto" w:fill="auto"/>
                </w:tcPr>
                <w:p>
                  <w:pPr>
                    <w:pStyle w:val="28"/>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28"/>
                    <w:spacing w:line="360" w:lineRule="exact"/>
                    <w:ind w:left="11"/>
                    <w:rPr>
                      <w:rFonts w:eastAsiaTheme="minorEastAsia"/>
                      <w:color w:val="auto"/>
                      <w:szCs w:val="21"/>
                    </w:rPr>
                  </w:pPr>
                  <w:r>
                    <w:rPr>
                      <w:rFonts w:hAnsiTheme="minorEastAsia" w:eastAsiaTheme="minorEastAsia"/>
                      <w:color w:val="auto"/>
                      <w:szCs w:val="21"/>
                    </w:rPr>
                    <w:t>达标</w:t>
                  </w:r>
                </w:p>
              </w:tc>
            </w:tr>
          </w:tbl>
          <w:p>
            <w:pPr>
              <w:pStyle w:val="36"/>
              <w:spacing w:beforeLines="50"/>
              <w:ind w:firstLine="480"/>
              <w:rPr>
                <w:rFonts w:eastAsiaTheme="minorEastAsia"/>
                <w:szCs w:val="24"/>
              </w:rPr>
            </w:pPr>
            <w:r>
              <w:rPr>
                <w:rFonts w:eastAsiaTheme="minorEastAsia"/>
                <w:szCs w:val="24"/>
              </w:rPr>
              <w:t>根据以上监测结果可知，该项目地表水小江</w:t>
            </w:r>
            <w:r>
              <w:rPr>
                <w:rFonts w:hint="eastAsia" w:eastAsiaTheme="minorEastAsia"/>
                <w:szCs w:val="24"/>
              </w:rPr>
              <w:t>板河口断面上述指标</w:t>
            </w:r>
            <w:r>
              <w:rPr>
                <w:rFonts w:eastAsiaTheme="minorEastAsia"/>
                <w:szCs w:val="24"/>
              </w:rPr>
              <w:t>水质可达到《地表水环境质量标准》（GB</w:t>
            </w:r>
            <w:r>
              <w:rPr>
                <w:rFonts w:hint="eastAsia" w:eastAsiaTheme="minorEastAsia"/>
                <w:szCs w:val="24"/>
                <w:lang w:eastAsia="zh-CN"/>
              </w:rPr>
              <w:t>****</w:t>
            </w:r>
            <w:r>
              <w:rPr>
                <w:rFonts w:eastAsiaTheme="minorEastAsia"/>
                <w:szCs w:val="24"/>
              </w:rPr>
              <w:t>-2002）I</w:t>
            </w:r>
            <w:r>
              <w:rPr>
                <w:rFonts w:hint="eastAsia" w:eastAsiaTheme="minorEastAsia"/>
                <w:szCs w:val="24"/>
              </w:rPr>
              <w:t>II</w:t>
            </w:r>
            <w:r>
              <w:rPr>
                <w:rFonts w:eastAsiaTheme="minorEastAsia"/>
                <w:szCs w:val="24"/>
              </w:rPr>
              <w:t>类标准。</w:t>
            </w:r>
          </w:p>
          <w:p>
            <w:pPr>
              <w:pStyle w:val="36"/>
              <w:ind w:firstLine="482"/>
              <w:rPr>
                <w:rFonts w:eastAsiaTheme="minorEastAsia"/>
                <w:b/>
                <w:szCs w:val="24"/>
              </w:rPr>
            </w:pPr>
            <w:r>
              <w:rPr>
                <w:rFonts w:eastAsiaTheme="minorEastAsia"/>
                <w:b/>
                <w:szCs w:val="24"/>
              </w:rPr>
              <w:t>3.1.3声环境质量现状</w:t>
            </w:r>
          </w:p>
          <w:p>
            <w:pPr>
              <w:pStyle w:val="36"/>
              <w:ind w:firstLine="480"/>
              <w:rPr>
                <w:szCs w:val="24"/>
              </w:rPr>
            </w:pPr>
            <w:r>
              <w:rPr>
                <w:szCs w:val="24"/>
              </w:rPr>
              <w:t>该项目位于云南东川产业园区四方地片区昆明旭鑫环保科技有限公司厂区，</w:t>
            </w:r>
            <w:r>
              <w:rPr>
                <w:rFonts w:hint="eastAsia"/>
                <w:szCs w:val="24"/>
              </w:rPr>
              <w:t>根据</w:t>
            </w:r>
            <w:r>
              <w:rPr>
                <w:szCs w:val="24"/>
              </w:rPr>
              <w:t>《云南东川产业园区总体规划修编（2021-2035）环境影响报告书》</w:t>
            </w:r>
            <w:r>
              <w:rPr>
                <w:rFonts w:hint="eastAsia"/>
                <w:szCs w:val="24"/>
              </w:rPr>
              <w:t>，</w:t>
            </w:r>
            <w:r>
              <w:rPr>
                <w:szCs w:val="24"/>
              </w:rPr>
              <w:t>项目区域为3类区</w:t>
            </w:r>
            <w:r>
              <w:rPr>
                <w:rFonts w:hint="eastAsia"/>
                <w:szCs w:val="24"/>
              </w:rPr>
              <w:t>，</w:t>
            </w:r>
            <w:r>
              <w:rPr>
                <w:szCs w:val="24"/>
              </w:rPr>
              <w:t>在项目区50m范围内无声环境保护目标；根据《建设项目环境影响报告表编制技术指南》（污染影响类）（试行）的要求，可不进行声环境质量现状调查。</w:t>
            </w:r>
          </w:p>
          <w:p>
            <w:pPr>
              <w:pStyle w:val="36"/>
              <w:ind w:firstLine="482"/>
              <w:rPr>
                <w:rFonts w:eastAsiaTheme="minorEastAsia"/>
                <w:b/>
                <w:szCs w:val="24"/>
              </w:rPr>
            </w:pPr>
            <w:bookmarkStart w:id="14" w:name="_Toc248077256"/>
            <w:r>
              <w:rPr>
                <w:rFonts w:eastAsiaTheme="minorEastAsia"/>
                <w:b/>
                <w:szCs w:val="24"/>
              </w:rPr>
              <w:t>3.1.4生态环境质量现状</w:t>
            </w:r>
            <w:bookmarkEnd w:id="14"/>
          </w:p>
          <w:p>
            <w:pPr>
              <w:pStyle w:val="36"/>
              <w:ind w:firstLine="480"/>
              <w:rPr>
                <w:rFonts w:eastAsiaTheme="minorEastAsia"/>
                <w:szCs w:val="24"/>
              </w:rPr>
            </w:pPr>
            <w:r>
              <w:rPr>
                <w:rFonts w:eastAsiaTheme="minorEastAsia"/>
                <w:szCs w:val="24"/>
              </w:rPr>
              <w:t>该项目位于云南东川产业园区四方地片区昆明旭鑫环保科技有限公司厂区，根据现场调查，厂区范围主要为人工生态系统，随着原有厂区多年的运营，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pStyle w:val="36"/>
              <w:ind w:firstLine="482"/>
              <w:rPr>
                <w:rFonts w:eastAsiaTheme="minorEastAsia"/>
                <w:b/>
                <w:szCs w:val="24"/>
              </w:rPr>
            </w:pPr>
            <w:r>
              <w:rPr>
                <w:rFonts w:eastAsiaTheme="minorEastAsia"/>
                <w:b/>
                <w:szCs w:val="24"/>
              </w:rPr>
              <w:t>3.1.5 地下水、土壤环境</w:t>
            </w:r>
          </w:p>
          <w:p>
            <w:pPr>
              <w:pStyle w:val="36"/>
              <w:ind w:firstLine="480"/>
              <w:rPr>
                <w:rFonts w:eastAsiaTheme="minorEastAsia"/>
                <w:szCs w:val="24"/>
              </w:rPr>
            </w:pPr>
            <w:r>
              <w:rPr>
                <w:rFonts w:eastAsiaTheme="minorEastAsia"/>
                <w:szCs w:val="24"/>
              </w:rPr>
              <w:t>根据《建设项目环境影响报告表编制技术指南》（污染影响类）的要求，</w:t>
            </w:r>
            <w:r>
              <w:rPr>
                <w:rFonts w:hint="eastAsia" w:eastAsiaTheme="minorEastAsia"/>
                <w:szCs w:val="24"/>
              </w:rPr>
              <w:t>原则上不开展环境质量现状调查。建设项目存在土壤、地下水环境污染途径的，应结合污染源、保护目标分布情况开展现状调查以留作背景值。</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（1）地下水质量现状</w:t>
            </w:r>
          </w:p>
          <w:p>
            <w:pPr>
              <w:pStyle w:val="36"/>
              <w:ind w:firstLine="480"/>
              <w:rPr>
                <w:rFonts w:eastAsiaTheme="minorEastAsia"/>
                <w:szCs w:val="24"/>
              </w:rPr>
            </w:pPr>
            <w:r>
              <w:rPr>
                <w:rFonts w:eastAsiaTheme="minorEastAsia"/>
                <w:szCs w:val="24"/>
              </w:rPr>
              <w:t>该项目属于小微企业危险废物收集试点项目，存在地下水环境污染途径，</w:t>
            </w:r>
            <w:r>
              <w:rPr>
                <w:rFonts w:hint="eastAsia" w:eastAsiaTheme="minorEastAsia"/>
                <w:szCs w:val="24"/>
              </w:rPr>
              <w:t>但根据调查，</w:t>
            </w:r>
            <w:r>
              <w:rPr>
                <w:rFonts w:eastAsiaTheme="minorEastAsia"/>
                <w:szCs w:val="24"/>
              </w:rPr>
              <w:t>厂界外500m范围内不涉及集中式饮用水水源和热水、矿泉水、温泉等特殊地下水资源，</w:t>
            </w:r>
            <w:r>
              <w:rPr>
                <w:rFonts w:hint="eastAsia" w:eastAsiaTheme="minorEastAsia"/>
                <w:szCs w:val="24"/>
              </w:rPr>
              <w:t>因此环评引用项目区下游地下水监测数据对其进行评价。</w:t>
            </w:r>
          </w:p>
          <w:p>
            <w:pPr>
              <w:pStyle w:val="36"/>
              <w:ind w:firstLine="480"/>
              <w:rPr>
                <w:rFonts w:eastAsiaTheme="minorEastAsia"/>
                <w:szCs w:val="24"/>
              </w:rPr>
            </w:pPr>
            <w:r>
              <w:rPr>
                <w:rFonts w:eastAsiaTheme="minorEastAsia"/>
                <w:szCs w:val="24"/>
              </w:rPr>
              <w:t>该项目位于云南东川产业园区四方地片区昆明旭鑫环保科技有限公司厂区，根据调查，项目所在区域的地下水主要功能为工农业用水，属于地下水质量III类。根据项目区域水文地质概况，区域地下水流向为由东南方向流向西北方向。</w:t>
            </w:r>
            <w:r>
              <w:rPr>
                <w:rFonts w:hint="eastAsia" w:eastAsiaTheme="minorEastAsia"/>
                <w:szCs w:val="24"/>
              </w:rPr>
              <w:t>根据项目区水文地质图，凉水井村位于项目区东南侧278m处，其村庄内有一个泉点和本次建设项目位于同一水文地址单元内，因此本环评拟采用</w:t>
            </w:r>
            <w:r>
              <w:rPr>
                <w:rFonts w:eastAsiaTheme="minorEastAsia"/>
                <w:szCs w:val="24"/>
              </w:rPr>
              <w:t>《东川再就业特色产业园总体规划（2006-2020）环境影响报告书》</w:t>
            </w:r>
            <w:r>
              <w:rPr>
                <w:rFonts w:hint="eastAsia" w:eastAsiaTheme="minorEastAsia"/>
                <w:szCs w:val="24"/>
              </w:rPr>
              <w:t>编制过程中委托</w:t>
            </w:r>
            <w:r>
              <w:rPr>
                <w:rFonts w:eastAsiaTheme="minorEastAsia"/>
                <w:szCs w:val="24"/>
              </w:rPr>
              <w:t>云南中科检测技术有限</w:t>
            </w:r>
            <w:r>
              <w:rPr>
                <w:rFonts w:hint="eastAsia" w:eastAsiaTheme="minorEastAsia"/>
                <w:szCs w:val="24"/>
              </w:rPr>
              <w:t>公司于2022年3月3日-4日连续2天对凉水井泉点的监测数据对区域地下水进行评价。</w:t>
            </w:r>
          </w:p>
          <w:p>
            <w:pPr>
              <w:spacing w:line="360" w:lineRule="auto"/>
              <w:ind w:firstLine="482" w:firstLineChars="200"/>
              <w:rPr>
                <w:rFonts w:ascii="Times New Roman" w:hAnsi="Times New Roman" w:cs="Times New Roman"/>
                <w:b/>
                <w:sz w:val="24"/>
                <w:szCs w:val="32"/>
              </w:rPr>
            </w:pPr>
            <w:r>
              <w:rPr>
                <w:rFonts w:hint="eastAsia" w:ascii="Times New Roman" w:hAnsi="Times New Roman" w:cs="Times New Roman"/>
                <w:b/>
                <w:sz w:val="24"/>
                <w:szCs w:val="32"/>
              </w:rPr>
              <w:t>①</w:t>
            </w:r>
            <w:r>
              <w:rPr>
                <w:rFonts w:ascii="Times New Roman" w:hAnsi="Times New Roman" w:cs="Times New Roman"/>
                <w:b/>
                <w:sz w:val="24"/>
                <w:szCs w:val="32"/>
              </w:rPr>
              <w:t>地下水现状监测参数设置</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监测数据中监测参数如下表所示。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w:t>
            </w:r>
            <w:r>
              <w:rPr>
                <w:rFonts w:hint="eastAsia" w:hAnsi="Times New Roman" w:eastAsia="宋体"/>
                <w:bCs/>
                <w:snapToGrid w:val="0"/>
                <w:sz w:val="21"/>
                <w:szCs w:val="21"/>
              </w:rPr>
              <w:t>5.1.5</w:t>
            </w:r>
            <w:r>
              <w:rPr>
                <w:rFonts w:hAnsi="Times New Roman" w:eastAsia="宋体"/>
                <w:bCs/>
                <w:snapToGrid w:val="0"/>
                <w:sz w:val="21"/>
                <w:szCs w:val="21"/>
              </w:rPr>
              <w:t>-1  监测参数一览表</w:t>
            </w:r>
          </w:p>
          <w:tbl>
            <w:tblPr>
              <w:tblStyle w:val="1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1259"/>
              <w:gridCol w:w="66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8"/>
                    <w:spacing w:line="360" w:lineRule="exact"/>
                    <w:rPr>
                      <w:color w:val="auto"/>
                      <w:szCs w:val="21"/>
                    </w:rPr>
                  </w:pPr>
                  <w:r>
                    <w:rPr>
                      <w:color w:val="auto"/>
                      <w:szCs w:val="21"/>
                    </w:rPr>
                    <w:t>序号</w:t>
                  </w:r>
                </w:p>
              </w:tc>
              <w:tc>
                <w:tcPr>
                  <w:tcW w:w="1259" w:type="dxa"/>
                  <w:vAlign w:val="center"/>
                </w:tcPr>
                <w:p>
                  <w:pPr>
                    <w:pStyle w:val="28"/>
                    <w:spacing w:line="360" w:lineRule="exact"/>
                    <w:rPr>
                      <w:color w:val="auto"/>
                      <w:szCs w:val="21"/>
                    </w:rPr>
                  </w:pPr>
                  <w:r>
                    <w:rPr>
                      <w:color w:val="auto"/>
                      <w:szCs w:val="21"/>
                    </w:rPr>
                    <w:t>项目</w:t>
                  </w:r>
                </w:p>
              </w:tc>
              <w:tc>
                <w:tcPr>
                  <w:tcW w:w="6611" w:type="dxa"/>
                  <w:vAlign w:val="center"/>
                </w:tcPr>
                <w:p>
                  <w:pPr>
                    <w:pStyle w:val="28"/>
                    <w:spacing w:line="360" w:lineRule="exact"/>
                    <w:rPr>
                      <w:color w:val="auto"/>
                      <w:szCs w:val="21"/>
                    </w:rPr>
                  </w:pPr>
                  <w:r>
                    <w:rPr>
                      <w:color w:val="auto"/>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8"/>
                    <w:spacing w:line="360" w:lineRule="exact"/>
                    <w:rPr>
                      <w:color w:val="auto"/>
                      <w:szCs w:val="21"/>
                    </w:rPr>
                  </w:pPr>
                  <w:r>
                    <w:rPr>
                      <w:color w:val="auto"/>
                      <w:szCs w:val="21"/>
                    </w:rPr>
                    <w:t>1</w:t>
                  </w:r>
                </w:p>
              </w:tc>
              <w:tc>
                <w:tcPr>
                  <w:tcW w:w="1259" w:type="dxa"/>
                  <w:vAlign w:val="center"/>
                </w:tcPr>
                <w:p>
                  <w:pPr>
                    <w:pStyle w:val="28"/>
                    <w:spacing w:line="360" w:lineRule="exact"/>
                    <w:rPr>
                      <w:color w:val="auto"/>
                      <w:szCs w:val="21"/>
                    </w:rPr>
                  </w:pPr>
                  <w:r>
                    <w:rPr>
                      <w:color w:val="auto"/>
                      <w:szCs w:val="21"/>
                    </w:rPr>
                    <w:t>监测点位</w:t>
                  </w:r>
                </w:p>
              </w:tc>
              <w:tc>
                <w:tcPr>
                  <w:tcW w:w="6611"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凉水井泉点，凉水井村位于项目区东南侧278m处，泉点位于项目区东南侧约326m处。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8"/>
                    <w:spacing w:line="360" w:lineRule="exact"/>
                    <w:rPr>
                      <w:color w:val="auto"/>
                      <w:szCs w:val="21"/>
                    </w:rPr>
                  </w:pPr>
                  <w:r>
                    <w:rPr>
                      <w:color w:val="auto"/>
                      <w:szCs w:val="21"/>
                    </w:rPr>
                    <w:t>2</w:t>
                  </w:r>
                </w:p>
              </w:tc>
              <w:tc>
                <w:tcPr>
                  <w:tcW w:w="1259" w:type="dxa"/>
                  <w:vAlign w:val="center"/>
                </w:tcPr>
                <w:p>
                  <w:pPr>
                    <w:pStyle w:val="28"/>
                    <w:spacing w:line="360" w:lineRule="exact"/>
                    <w:rPr>
                      <w:color w:val="auto"/>
                      <w:szCs w:val="21"/>
                    </w:rPr>
                  </w:pPr>
                  <w:r>
                    <w:rPr>
                      <w:color w:val="auto"/>
                      <w:szCs w:val="21"/>
                    </w:rPr>
                    <w:t>监测项目</w:t>
                  </w:r>
                </w:p>
              </w:tc>
              <w:tc>
                <w:tcPr>
                  <w:tcW w:w="6611" w:type="dxa"/>
                  <w:vAlign w:val="center"/>
                </w:tcPr>
                <w:p>
                  <w:pPr>
                    <w:pStyle w:val="28"/>
                    <w:spacing w:line="360" w:lineRule="exact"/>
                    <w:ind w:firstLine="210" w:firstLineChars="100"/>
                    <w:jc w:val="both"/>
                    <w:rPr>
                      <w:color w:val="auto"/>
                      <w:szCs w:val="21"/>
                    </w:rPr>
                  </w:pPr>
                  <w:r>
                    <w:rPr>
                      <w:color w:val="auto"/>
                      <w:szCs w:val="21"/>
                    </w:rPr>
                    <w:t>K</w:t>
                  </w:r>
                  <w:r>
                    <w:rPr>
                      <w:color w:val="auto"/>
                      <w:szCs w:val="21"/>
                      <w:vertAlign w:val="superscript"/>
                    </w:rPr>
                    <w:t>+</w:t>
                  </w:r>
                  <w:r>
                    <w:rPr>
                      <w:rFonts w:hint="eastAsia"/>
                      <w:color w:val="auto"/>
                      <w:szCs w:val="21"/>
                    </w:rPr>
                    <w:t>、</w:t>
                  </w:r>
                  <w:r>
                    <w:rPr>
                      <w:color w:val="auto"/>
                      <w:szCs w:val="21"/>
                    </w:rPr>
                    <w:t>Na</w:t>
                  </w:r>
                  <w:r>
                    <w:rPr>
                      <w:color w:val="auto"/>
                      <w:szCs w:val="21"/>
                      <w:vertAlign w:val="superscript"/>
                    </w:rPr>
                    <w:t>+</w:t>
                  </w:r>
                  <w:r>
                    <w:rPr>
                      <w:rFonts w:hint="eastAsia"/>
                      <w:color w:val="auto"/>
                      <w:szCs w:val="21"/>
                    </w:rPr>
                    <w:t>、</w:t>
                  </w:r>
                  <w:r>
                    <w:rPr>
                      <w:color w:val="auto"/>
                      <w:szCs w:val="21"/>
                    </w:rPr>
                    <w:t>Ca</w:t>
                  </w:r>
                  <w:r>
                    <w:rPr>
                      <w:color w:val="auto"/>
                      <w:szCs w:val="21"/>
                      <w:vertAlign w:val="superscript"/>
                    </w:rPr>
                    <w:t>2+</w:t>
                  </w:r>
                  <w:r>
                    <w:rPr>
                      <w:rFonts w:hint="eastAsia"/>
                      <w:color w:val="auto"/>
                      <w:szCs w:val="21"/>
                    </w:rPr>
                    <w:t>、</w:t>
                  </w:r>
                  <w:r>
                    <w:rPr>
                      <w:color w:val="auto"/>
                      <w:szCs w:val="21"/>
                    </w:rPr>
                    <w:t>Mg</w:t>
                  </w:r>
                  <w:r>
                    <w:rPr>
                      <w:color w:val="auto"/>
                      <w:szCs w:val="21"/>
                      <w:vertAlign w:val="superscript"/>
                    </w:rPr>
                    <w:t>2+</w:t>
                  </w:r>
                  <w:r>
                    <w:rPr>
                      <w:rFonts w:hint="eastAsia"/>
                      <w:color w:val="auto"/>
                      <w:szCs w:val="21"/>
                    </w:rPr>
                    <w:t>、</w:t>
                  </w:r>
                  <w:r>
                    <w:rPr>
                      <w:color w:val="auto"/>
                      <w:szCs w:val="21"/>
                    </w:rPr>
                    <w:t>CO</w:t>
                  </w:r>
                  <w:r>
                    <w:rPr>
                      <w:color w:val="auto"/>
                      <w:szCs w:val="21"/>
                      <w:vertAlign w:val="subscript"/>
                    </w:rPr>
                    <w:t>3</w:t>
                  </w:r>
                  <w:r>
                    <w:rPr>
                      <w:color w:val="auto"/>
                      <w:szCs w:val="21"/>
                      <w:vertAlign w:val="superscript"/>
                    </w:rPr>
                    <w:t>2-</w:t>
                  </w:r>
                  <w:r>
                    <w:rPr>
                      <w:color w:val="auto"/>
                      <w:szCs w:val="21"/>
                    </w:rPr>
                    <w:t>、Cl</w:t>
                  </w:r>
                  <w:r>
                    <w:rPr>
                      <w:color w:val="auto"/>
                      <w:szCs w:val="21"/>
                      <w:vertAlign w:val="superscript"/>
                    </w:rPr>
                    <w:t>-</w:t>
                  </w:r>
                  <w:r>
                    <w:rPr>
                      <w:rFonts w:hint="eastAsia"/>
                      <w:color w:val="auto"/>
                      <w:szCs w:val="21"/>
                    </w:rPr>
                    <w:t>、</w:t>
                  </w:r>
                  <w:r>
                    <w:rPr>
                      <w:color w:val="auto"/>
                      <w:szCs w:val="21"/>
                    </w:rPr>
                    <w:t>SO</w:t>
                  </w:r>
                  <w:r>
                    <w:rPr>
                      <w:color w:val="auto"/>
                      <w:szCs w:val="21"/>
                      <w:vertAlign w:val="subscript"/>
                    </w:rPr>
                    <w:t>4</w:t>
                  </w:r>
                  <w:r>
                    <w:rPr>
                      <w:color w:val="auto"/>
                      <w:szCs w:val="21"/>
                      <w:vertAlign w:val="superscript"/>
                    </w:rPr>
                    <w:t>2-</w:t>
                  </w:r>
                  <w:r>
                    <w:rPr>
                      <w:rFonts w:hint="eastAsia"/>
                      <w:color w:val="auto"/>
                      <w:szCs w:val="21"/>
                    </w:rPr>
                    <w:t>、</w:t>
                  </w:r>
                  <w:r>
                    <w:rPr>
                      <w:color w:val="auto"/>
                      <w:szCs w:val="21"/>
                    </w:rPr>
                    <w:t>pH</w:t>
                  </w:r>
                  <w:r>
                    <w:rPr>
                      <w:rFonts w:hint="eastAsia"/>
                      <w:color w:val="auto"/>
                      <w:szCs w:val="21"/>
                    </w:rPr>
                    <w:t>、水温、色度、嗅和味、肉眼可见物、总硬度、溶解性总固体、硫酸盐、氯化物、铁、锰、铜、锌、挥发酚类、阴离子表面活性剂、耗氧量、氨氮、硫化物、总大肠菌群、菌落总数、亚硝酸盐氮、硝酸盐氮、氰化物、氟化物、汞、砷、镉、铬（六价）、铅、镍、、总磷、溶解氧，共</w:t>
                  </w:r>
                  <w:r>
                    <w:rPr>
                      <w:color w:val="auto"/>
                      <w:szCs w:val="21"/>
                    </w:rPr>
                    <w:t>39</w:t>
                  </w:r>
                  <w:r>
                    <w:rPr>
                      <w:rFonts w:hint="eastAsia"/>
                      <w:color w:val="auto"/>
                      <w:szCs w:val="21"/>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8"/>
                    <w:spacing w:line="360" w:lineRule="exact"/>
                    <w:rPr>
                      <w:color w:val="auto"/>
                      <w:szCs w:val="21"/>
                    </w:rPr>
                  </w:pPr>
                  <w:r>
                    <w:rPr>
                      <w:color w:val="auto"/>
                      <w:szCs w:val="21"/>
                    </w:rPr>
                    <w:t>3</w:t>
                  </w:r>
                </w:p>
              </w:tc>
              <w:tc>
                <w:tcPr>
                  <w:tcW w:w="1259" w:type="dxa"/>
                  <w:vAlign w:val="center"/>
                </w:tcPr>
                <w:p>
                  <w:pPr>
                    <w:pStyle w:val="28"/>
                    <w:spacing w:line="360" w:lineRule="exact"/>
                    <w:rPr>
                      <w:color w:val="auto"/>
                      <w:szCs w:val="21"/>
                    </w:rPr>
                  </w:pPr>
                  <w:r>
                    <w:rPr>
                      <w:color w:val="auto"/>
                      <w:szCs w:val="21"/>
                    </w:rPr>
                    <w:t>监测频次</w:t>
                  </w:r>
                </w:p>
              </w:tc>
              <w:tc>
                <w:tcPr>
                  <w:tcW w:w="6611"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检测2天，每天检测1次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8"/>
                    <w:spacing w:line="360" w:lineRule="exact"/>
                    <w:rPr>
                      <w:color w:val="auto"/>
                      <w:szCs w:val="21"/>
                    </w:rPr>
                  </w:pPr>
                  <w:r>
                    <w:rPr>
                      <w:color w:val="auto"/>
                      <w:szCs w:val="21"/>
                    </w:rPr>
                    <w:t>4</w:t>
                  </w:r>
                </w:p>
              </w:tc>
              <w:tc>
                <w:tcPr>
                  <w:tcW w:w="1259" w:type="dxa"/>
                  <w:vAlign w:val="center"/>
                </w:tcPr>
                <w:p>
                  <w:pPr>
                    <w:pStyle w:val="28"/>
                    <w:spacing w:line="360" w:lineRule="exact"/>
                    <w:rPr>
                      <w:color w:val="auto"/>
                      <w:szCs w:val="21"/>
                    </w:rPr>
                  </w:pPr>
                  <w:r>
                    <w:rPr>
                      <w:color w:val="auto"/>
                      <w:szCs w:val="21"/>
                    </w:rPr>
                    <w:t>采样时间</w:t>
                  </w:r>
                </w:p>
              </w:tc>
              <w:tc>
                <w:tcPr>
                  <w:tcW w:w="6611"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2022年3月3日-4日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28"/>
                    <w:spacing w:line="360" w:lineRule="exact"/>
                    <w:rPr>
                      <w:color w:val="auto"/>
                      <w:szCs w:val="21"/>
                    </w:rPr>
                  </w:pPr>
                  <w:r>
                    <w:rPr>
                      <w:color w:val="auto"/>
                      <w:szCs w:val="21"/>
                    </w:rPr>
                    <w:t>5</w:t>
                  </w:r>
                </w:p>
              </w:tc>
              <w:tc>
                <w:tcPr>
                  <w:tcW w:w="1259" w:type="dxa"/>
                  <w:vAlign w:val="center"/>
                </w:tcPr>
                <w:p>
                  <w:pPr>
                    <w:pStyle w:val="28"/>
                    <w:spacing w:line="360" w:lineRule="exact"/>
                    <w:rPr>
                      <w:color w:val="auto"/>
                      <w:szCs w:val="21"/>
                    </w:rPr>
                  </w:pPr>
                  <w:r>
                    <w:rPr>
                      <w:color w:val="auto"/>
                      <w:szCs w:val="21"/>
                    </w:rPr>
                    <w:t>监测方法</w:t>
                  </w:r>
                </w:p>
              </w:tc>
              <w:tc>
                <w:tcPr>
                  <w:tcW w:w="6611"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按照国家相关要求进行。</w:t>
                  </w:r>
                </w:p>
              </w:tc>
            </w:tr>
          </w:tbl>
          <w:p>
            <w:pPr>
              <w:spacing w:beforeLines="50" w:line="360" w:lineRule="auto"/>
              <w:ind w:firstLine="482" w:firstLineChars="200"/>
              <w:rPr>
                <w:rFonts w:ascii="Times New Roman" w:hAnsi="Times New Roman" w:cs="Times New Roman"/>
                <w:b/>
                <w:sz w:val="24"/>
                <w:szCs w:val="32"/>
              </w:rPr>
            </w:pPr>
            <w:r>
              <w:rPr>
                <w:rFonts w:hint="eastAsia" w:ascii="Times New Roman" w:hAnsi="Times New Roman" w:cs="Times New Roman"/>
                <w:b/>
                <w:sz w:val="24"/>
                <w:szCs w:val="32"/>
              </w:rPr>
              <w:t>②</w:t>
            </w:r>
            <w:r>
              <w:rPr>
                <w:rFonts w:ascii="Times New Roman" w:hAnsi="Times New Roman" w:cs="Times New Roman"/>
                <w:b/>
                <w:sz w:val="24"/>
                <w:szCs w:val="32"/>
              </w:rPr>
              <w:t>地下水监测结果</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地下水主要监测结果见下表。</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w:t>
            </w:r>
            <w:r>
              <w:rPr>
                <w:rFonts w:hint="eastAsia" w:hAnsi="Times New Roman" w:eastAsia="宋体"/>
                <w:bCs/>
                <w:snapToGrid w:val="0"/>
                <w:sz w:val="21"/>
                <w:szCs w:val="21"/>
              </w:rPr>
              <w:t>3.1.5</w:t>
            </w:r>
            <w:r>
              <w:rPr>
                <w:rFonts w:hAnsi="Times New Roman" w:eastAsia="宋体"/>
                <w:bCs/>
                <w:snapToGrid w:val="0"/>
                <w:sz w:val="21"/>
                <w:szCs w:val="21"/>
              </w:rPr>
              <w:t>-2 项目区域地下水质检测结果一览表单位：mg/L</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703"/>
              <w:gridCol w:w="1703"/>
              <w:gridCol w:w="141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31" w:type="dxa"/>
                  <w:vMerge w:val="restart"/>
                  <w:tcBorders>
                    <w:top w:val="single" w:color="auto" w:sz="8" w:space="0"/>
                    <w:left w:val="single" w:color="auto" w:sz="8" w:space="0"/>
                    <w:tl2br w:val="single" w:color="auto" w:sz="8" w:space="0"/>
                  </w:tcBorders>
                  <w:vAlign w:val="center"/>
                </w:tcPr>
                <w:p>
                  <w:pPr>
                    <w:pStyle w:val="28"/>
                    <w:spacing w:line="360" w:lineRule="exact"/>
                    <w:rPr>
                      <w:color w:val="auto"/>
                      <w:szCs w:val="21"/>
                    </w:rPr>
                  </w:pPr>
                  <w:r>
                    <w:rPr>
                      <w:rFonts w:hint="eastAsia" w:hAnsi="宋体"/>
                      <w:color w:val="auto"/>
                      <w:szCs w:val="21"/>
                    </w:rPr>
                    <w:t xml:space="preserve">          </w:t>
                  </w:r>
                  <w:r>
                    <w:rPr>
                      <w:rFonts w:hAnsi="宋体"/>
                      <w:color w:val="auto"/>
                      <w:szCs w:val="21"/>
                    </w:rPr>
                    <w:t>时间</w:t>
                  </w:r>
                  <w:r>
                    <w:rPr>
                      <w:color w:val="auto"/>
                      <w:szCs w:val="21"/>
                    </w:rPr>
                    <w:t>/</w:t>
                  </w:r>
                  <w:r>
                    <w:rPr>
                      <w:rFonts w:hAnsi="宋体"/>
                      <w:color w:val="auto"/>
                      <w:szCs w:val="21"/>
                    </w:rPr>
                    <w:t>点位</w:t>
                  </w:r>
                </w:p>
                <w:p>
                  <w:pPr>
                    <w:pStyle w:val="28"/>
                    <w:spacing w:line="360" w:lineRule="exact"/>
                    <w:jc w:val="left"/>
                    <w:rPr>
                      <w:color w:val="auto"/>
                      <w:szCs w:val="21"/>
                    </w:rPr>
                  </w:pPr>
                  <w:r>
                    <w:rPr>
                      <w:rFonts w:hAnsi="宋体"/>
                      <w:color w:val="auto"/>
                      <w:szCs w:val="21"/>
                    </w:rPr>
                    <w:t>检测项目</w:t>
                  </w:r>
                </w:p>
              </w:tc>
              <w:tc>
                <w:tcPr>
                  <w:tcW w:w="3402" w:type="dxa"/>
                  <w:gridSpan w:val="2"/>
                  <w:tcBorders>
                    <w:top w:val="single" w:color="auto" w:sz="4" w:space="0"/>
                    <w:right w:val="single" w:color="auto" w:sz="4" w:space="0"/>
                  </w:tcBorders>
                  <w:vAlign w:val="center"/>
                </w:tcPr>
                <w:p>
                  <w:pPr>
                    <w:pStyle w:val="28"/>
                    <w:spacing w:line="360" w:lineRule="exact"/>
                    <w:rPr>
                      <w:color w:val="auto"/>
                      <w:szCs w:val="21"/>
                    </w:rPr>
                  </w:pPr>
                  <w:r>
                    <w:rPr>
                      <w:rFonts w:hAnsi="宋体"/>
                      <w:color w:val="auto"/>
                      <w:szCs w:val="21"/>
                    </w:rPr>
                    <w:t>凉水井泉点</w:t>
                  </w:r>
                </w:p>
              </w:tc>
              <w:tc>
                <w:tcPr>
                  <w:tcW w:w="1417" w:type="dxa"/>
                  <w:vMerge w:val="restart"/>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rFonts w:hAnsi="宋体"/>
                      <w:color w:val="auto"/>
                      <w:szCs w:val="21"/>
                    </w:rPr>
                    <w:t>标准值</w:t>
                  </w:r>
                </w:p>
              </w:tc>
              <w:tc>
                <w:tcPr>
                  <w:tcW w:w="1345" w:type="dxa"/>
                  <w:vMerge w:val="restart"/>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31" w:type="dxa"/>
                  <w:vMerge w:val="continue"/>
                  <w:tcBorders>
                    <w:left w:val="single" w:color="auto" w:sz="8" w:space="0"/>
                    <w:tl2br w:val="single" w:color="auto" w:sz="8" w:space="0"/>
                  </w:tcBorders>
                  <w:vAlign w:val="center"/>
                </w:tcPr>
                <w:p>
                  <w:pPr>
                    <w:pStyle w:val="28"/>
                    <w:spacing w:line="360" w:lineRule="exact"/>
                    <w:rPr>
                      <w:color w:val="auto"/>
                      <w:szCs w:val="21"/>
                    </w:rPr>
                  </w:pPr>
                </w:p>
              </w:tc>
              <w:tc>
                <w:tcPr>
                  <w:tcW w:w="1701" w:type="dxa"/>
                  <w:tcBorders>
                    <w:top w:val="single" w:color="auto" w:sz="8" w:space="0"/>
                    <w:right w:val="single" w:color="auto" w:sz="4" w:space="0"/>
                  </w:tcBorders>
                  <w:vAlign w:val="center"/>
                </w:tcPr>
                <w:p>
                  <w:pPr>
                    <w:pStyle w:val="28"/>
                    <w:spacing w:line="360" w:lineRule="exact"/>
                    <w:rPr>
                      <w:color w:val="auto"/>
                      <w:szCs w:val="21"/>
                    </w:rPr>
                  </w:pPr>
                  <w:r>
                    <w:rPr>
                      <w:rFonts w:hAnsi="宋体"/>
                      <w:color w:val="auto"/>
                      <w:szCs w:val="21"/>
                    </w:rPr>
                    <w:t>监测均值</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rFonts w:hAnsi="宋体"/>
                      <w:color w:val="auto"/>
                      <w:szCs w:val="21"/>
                    </w:rPr>
                    <w:t>标准指数</w:t>
                  </w:r>
                </w:p>
              </w:tc>
              <w:tc>
                <w:tcPr>
                  <w:tcW w:w="1417" w:type="dxa"/>
                  <w:vMerge w:val="continue"/>
                  <w:tcBorders>
                    <w:left w:val="single" w:color="auto" w:sz="4" w:space="0"/>
                    <w:right w:val="single" w:color="auto" w:sz="4" w:space="0"/>
                  </w:tcBorders>
                  <w:vAlign w:val="center"/>
                </w:tcPr>
                <w:p>
                  <w:pPr>
                    <w:pStyle w:val="28"/>
                    <w:spacing w:line="360" w:lineRule="exact"/>
                    <w:rPr>
                      <w:color w:val="auto"/>
                      <w:szCs w:val="21"/>
                    </w:rPr>
                  </w:pPr>
                </w:p>
              </w:tc>
              <w:tc>
                <w:tcPr>
                  <w:tcW w:w="1345" w:type="dxa"/>
                  <w:vMerge w:val="continue"/>
                  <w:tcBorders>
                    <w:left w:val="single" w:color="auto" w:sz="4" w:space="0"/>
                    <w:right w:val="single" w:color="auto" w:sz="8" w:space="0"/>
                  </w:tcBorders>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pH</w:t>
                  </w:r>
                  <w:r>
                    <w:rPr>
                      <w:rFonts w:hAnsi="宋体"/>
                      <w:color w:val="auto"/>
                      <w:szCs w:val="21"/>
                    </w:rPr>
                    <w:t>（无量纲）</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7.4</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6.5~8.5</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0.27</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水温</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13.2</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色度（度）</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5</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15</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0.33</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浑浊度（</w:t>
                  </w:r>
                  <w:r>
                    <w:rPr>
                      <w:color w:val="auto"/>
                      <w:szCs w:val="21"/>
                    </w:rPr>
                    <w:t>NTU</w:t>
                  </w:r>
                  <w:r>
                    <w:rPr>
                      <w:rFonts w:hAnsi="宋体"/>
                      <w:color w:val="auto"/>
                      <w:szCs w:val="21"/>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2</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3</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0.67</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嗅和味</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rFonts w:hAnsi="宋体"/>
                      <w:color w:val="auto"/>
                      <w:szCs w:val="21"/>
                    </w:rPr>
                    <w:t>无</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rFonts w:hAnsi="宋体"/>
                      <w:color w:val="auto"/>
                      <w:szCs w:val="21"/>
                    </w:rPr>
                    <w:t>无</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肉眼可见物</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rFonts w:hAnsi="宋体"/>
                      <w:color w:val="auto"/>
                      <w:szCs w:val="21"/>
                    </w:rPr>
                    <w:t>无</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rFonts w:hAnsi="宋体"/>
                      <w:color w:val="auto"/>
                      <w:szCs w:val="21"/>
                    </w:rPr>
                    <w:t>无</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总硬度</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304</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450</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0.67</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溶解性总固体</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469</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1000</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0.47</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硫酸盐</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55</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250</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0.22</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氯化物</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18.6</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250</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0.07</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铁</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0.03L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0.3</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0.10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锰</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0.01L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0.10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铜</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1.02×10</w:t>
                  </w:r>
                  <w:r>
                    <w:rPr>
                      <w:color w:val="auto"/>
                      <w:szCs w:val="21"/>
                      <w:vertAlign w:val="superscript"/>
                    </w:rPr>
                    <w:t>-3</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0.001</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锌</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6.7×10</w:t>
                  </w:r>
                  <w:r>
                    <w:rPr>
                      <w:color w:val="auto"/>
                      <w:szCs w:val="21"/>
                      <w:vertAlign w:val="superscript"/>
                    </w:rPr>
                    <w:t>-4</w:t>
                  </w:r>
                  <w:r>
                    <w:rPr>
                      <w:color w:val="auto"/>
                      <w:szCs w:val="21"/>
                    </w:rPr>
                    <w:t>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0.001</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挥发酚类</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0.002L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0.002</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1.00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阴离子表面活性剂</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0.050L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0.3</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0.17</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耗氧量</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0.25</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3</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0.08</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氨氮</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0.02L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0.5</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0.04</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硫化物</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0.02L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0.02</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1.00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总大肠菌群（</w:t>
                  </w:r>
                  <w:r>
                    <w:rPr>
                      <w:color w:val="auto"/>
                      <w:szCs w:val="21"/>
                    </w:rPr>
                    <w:t>MPNb/100mL</w:t>
                  </w:r>
                  <w:r>
                    <w:rPr>
                      <w:rFonts w:hAnsi="宋体"/>
                      <w:color w:val="auto"/>
                      <w:szCs w:val="21"/>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rFonts w:hAnsi="宋体"/>
                      <w:color w:val="auto"/>
                      <w:szCs w:val="21"/>
                    </w:rPr>
                    <w:t>未检出</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3</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菌落总数（</w:t>
                  </w:r>
                  <w:r>
                    <w:rPr>
                      <w:color w:val="auto"/>
                      <w:szCs w:val="21"/>
                    </w:rPr>
                    <w:t>CFU/mL</w:t>
                  </w:r>
                  <w:r>
                    <w:rPr>
                      <w:rFonts w:hAnsi="宋体"/>
                      <w:color w:val="auto"/>
                      <w:szCs w:val="21"/>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93</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100</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0.93</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亚硝酸盐氮</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0.037</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0.04</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硝酸盐氮</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10.0</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20</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0.50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氰化物</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0.002L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0.05</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0.04</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氟化物</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0.2</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0.20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汞</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1×10</w:t>
                  </w:r>
                  <w:r>
                    <w:rPr>
                      <w:color w:val="auto"/>
                      <w:szCs w:val="21"/>
                      <w:vertAlign w:val="superscript"/>
                    </w:rPr>
                    <w:t>-4</w:t>
                  </w:r>
                  <w:r>
                    <w:rPr>
                      <w:color w:val="auto"/>
                      <w:szCs w:val="21"/>
                    </w:rPr>
                    <w:t>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0.001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0.10</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砷</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1.5×10</w:t>
                  </w:r>
                  <w:r>
                    <w:rPr>
                      <w:color w:val="auto"/>
                      <w:szCs w:val="21"/>
                      <w:vertAlign w:val="superscript"/>
                    </w:rPr>
                    <w:t>-3</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0.15</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镉</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7.5×10</w:t>
                  </w:r>
                  <w:r>
                    <w:rPr>
                      <w:color w:val="auto"/>
                      <w:szCs w:val="21"/>
                      <w:vertAlign w:val="superscript"/>
                    </w:rPr>
                    <w:t>-5</w:t>
                  </w:r>
                  <w:r>
                    <w:rPr>
                      <w:color w:val="auto"/>
                      <w:szCs w:val="21"/>
                    </w:rPr>
                    <w:t>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0.005</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0.02</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铬（六价）（</w:t>
                  </w:r>
                  <w:r>
                    <w:rPr>
                      <w:color w:val="auto"/>
                      <w:szCs w:val="21"/>
                    </w:rPr>
                    <w:t>mg/L</w:t>
                  </w:r>
                  <w:r>
                    <w:rPr>
                      <w:rFonts w:hAnsi="宋体"/>
                      <w:color w:val="auto"/>
                      <w:szCs w:val="21"/>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0.004L</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0.05</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0.08</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铅</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1.4×10</w:t>
                  </w:r>
                  <w:r>
                    <w:rPr>
                      <w:color w:val="auto"/>
                      <w:szCs w:val="21"/>
                      <w:vertAlign w:val="superscript"/>
                    </w:rPr>
                    <w:t>-4</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0.01</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0.01</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镍</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3.72×10</w:t>
                  </w:r>
                  <w:r>
                    <w:rPr>
                      <w:color w:val="auto"/>
                      <w:szCs w:val="21"/>
                      <w:vertAlign w:val="superscript"/>
                    </w:rPr>
                    <w:t>-3</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0.02</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0.19</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rFonts w:hAnsi="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K</w:t>
                  </w:r>
                  <w:r>
                    <w:rPr>
                      <w:color w:val="auto"/>
                      <w:szCs w:val="21"/>
                      <w:vertAlign w:val="superscript"/>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1.23</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Na</w:t>
                  </w:r>
                  <w:r>
                    <w:rPr>
                      <w:color w:val="auto"/>
                      <w:szCs w:val="21"/>
                      <w:vertAlign w:val="superscript"/>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8.51</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Ca</w:t>
                  </w:r>
                  <w:r>
                    <w:rPr>
                      <w:color w:val="auto"/>
                      <w:szCs w:val="21"/>
                      <w:vertAlign w:val="superscript"/>
                    </w:rPr>
                    <w:t>2+</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94.9</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Mg</w:t>
                  </w:r>
                  <w:r>
                    <w:rPr>
                      <w:color w:val="auto"/>
                      <w:szCs w:val="21"/>
                      <w:vertAlign w:val="superscript"/>
                    </w:rPr>
                    <w:t>2+</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30.1</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CO</w:t>
                  </w:r>
                  <w:r>
                    <w:rPr>
                      <w:color w:val="auto"/>
                      <w:szCs w:val="21"/>
                      <w:vertAlign w:val="subscript"/>
                    </w:rPr>
                    <w:t>3</w:t>
                  </w:r>
                  <w:r>
                    <w:rPr>
                      <w:color w:val="auto"/>
                      <w:szCs w:val="21"/>
                      <w:vertAlign w:val="superscript"/>
                    </w:rPr>
                    <w:t>2-</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rFonts w:hAnsi="宋体"/>
                      <w:color w:val="auto"/>
                      <w:szCs w:val="21"/>
                    </w:rPr>
                    <w:t>未检出</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HCO</w:t>
                  </w:r>
                  <w:r>
                    <w:rPr>
                      <w:color w:val="auto"/>
                      <w:szCs w:val="21"/>
                      <w:vertAlign w:val="subscript"/>
                    </w:rPr>
                    <w:t>3</w:t>
                  </w:r>
                  <w:r>
                    <w:rPr>
                      <w:color w:val="auto"/>
                      <w:szCs w:val="21"/>
                      <w:vertAlign w:val="superscript"/>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372</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color w:val="auto"/>
                      <w:szCs w:val="21"/>
                    </w:rPr>
                    <w:t>Cl</w:t>
                  </w:r>
                  <w:r>
                    <w:rPr>
                      <w:color w:val="auto"/>
                      <w:szCs w:val="21"/>
                      <w:vertAlign w:val="superscript"/>
                    </w:rPr>
                    <w:t>-</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16.3</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28"/>
                    <w:spacing w:line="360" w:lineRule="exact"/>
                    <w:rPr>
                      <w:color w:val="auto"/>
                      <w:szCs w:val="21"/>
                    </w:rPr>
                  </w:pPr>
                  <w:r>
                    <w:rPr>
                      <w:color w:val="auto"/>
                      <w:szCs w:val="21"/>
                    </w:rPr>
                    <w:t>SO</w:t>
                  </w:r>
                  <w:r>
                    <w:rPr>
                      <w:color w:val="auto"/>
                      <w:szCs w:val="21"/>
                      <w:vertAlign w:val="subscript"/>
                    </w:rPr>
                    <w:t>4</w:t>
                  </w:r>
                  <w:r>
                    <w:rPr>
                      <w:color w:val="auto"/>
                      <w:szCs w:val="21"/>
                      <w:vertAlign w:val="superscript"/>
                    </w:rPr>
                    <w:t>2-</w:t>
                  </w:r>
                </w:p>
              </w:tc>
              <w:tc>
                <w:tcPr>
                  <w:tcW w:w="1701" w:type="dxa"/>
                  <w:tcBorders>
                    <w:top w:val="single" w:color="auto" w:sz="8" w:space="0"/>
                    <w:bottom w:val="single" w:color="auto" w:sz="8" w:space="0"/>
                    <w:right w:val="single" w:color="auto" w:sz="4" w:space="0"/>
                  </w:tcBorders>
                  <w:vAlign w:val="center"/>
                </w:tcPr>
                <w:p>
                  <w:pPr>
                    <w:pStyle w:val="28"/>
                    <w:spacing w:line="360" w:lineRule="exact"/>
                    <w:rPr>
                      <w:color w:val="auto"/>
                      <w:szCs w:val="21"/>
                    </w:rPr>
                  </w:pPr>
                  <w:r>
                    <w:rPr>
                      <w:color w:val="auto"/>
                      <w:szCs w:val="21"/>
                    </w:rPr>
                    <w:t>52.9</w:t>
                  </w:r>
                </w:p>
              </w:tc>
              <w:tc>
                <w:tcPr>
                  <w:tcW w:w="1701" w:type="dxa"/>
                  <w:tcBorders>
                    <w:top w:val="single" w:color="auto" w:sz="8" w:space="0"/>
                    <w:bottom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28"/>
                    <w:spacing w:line="360" w:lineRule="exact"/>
                    <w:rPr>
                      <w:color w:val="auto"/>
                      <w:szCs w:val="21"/>
                    </w:rPr>
                  </w:pPr>
                  <w:r>
                    <w:rPr>
                      <w:rFonts w:hAnsi="宋体"/>
                      <w:color w:val="auto"/>
                      <w:szCs w:val="21"/>
                    </w:rPr>
                    <w:t>总磷</w:t>
                  </w:r>
                </w:p>
              </w:tc>
              <w:tc>
                <w:tcPr>
                  <w:tcW w:w="1701" w:type="dxa"/>
                  <w:tcBorders>
                    <w:top w:val="single" w:color="auto" w:sz="8" w:space="0"/>
                    <w:bottom w:val="single" w:color="auto" w:sz="8" w:space="0"/>
                    <w:right w:val="single" w:color="auto" w:sz="4" w:space="0"/>
                  </w:tcBorders>
                  <w:vAlign w:val="center"/>
                </w:tcPr>
                <w:p>
                  <w:pPr>
                    <w:pStyle w:val="28"/>
                    <w:spacing w:line="360" w:lineRule="exact"/>
                    <w:rPr>
                      <w:color w:val="auto"/>
                      <w:szCs w:val="21"/>
                    </w:rPr>
                  </w:pPr>
                  <w:r>
                    <w:rPr>
                      <w:color w:val="auto"/>
                      <w:szCs w:val="21"/>
                    </w:rPr>
                    <w:t>0.06L</w:t>
                  </w:r>
                </w:p>
              </w:tc>
              <w:tc>
                <w:tcPr>
                  <w:tcW w:w="1701" w:type="dxa"/>
                  <w:tcBorders>
                    <w:top w:val="single" w:color="auto" w:sz="8" w:space="0"/>
                    <w:bottom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28"/>
                    <w:spacing w:line="360" w:lineRule="exact"/>
                    <w:rPr>
                      <w:color w:val="auto"/>
                      <w:szCs w:val="21"/>
                    </w:rPr>
                  </w:pPr>
                  <w:r>
                    <w:rPr>
                      <w:rFonts w:hAnsi="宋体"/>
                      <w:color w:val="auto"/>
                      <w:szCs w:val="21"/>
                    </w:rPr>
                    <w:t>溶解氧</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7.8</w:t>
                  </w:r>
                </w:p>
              </w:tc>
              <w:tc>
                <w:tcPr>
                  <w:tcW w:w="1701" w:type="dxa"/>
                  <w:tcBorders>
                    <w:top w:val="single" w:color="auto" w:sz="8" w:space="0"/>
                    <w:right w:val="single" w:color="auto" w:sz="4" w:space="0"/>
                  </w:tcBorders>
                  <w:vAlign w:val="center"/>
                </w:tcPr>
                <w:p>
                  <w:pPr>
                    <w:pStyle w:val="28"/>
                    <w:spacing w:line="360" w:lineRule="exact"/>
                    <w:rPr>
                      <w:color w:val="auto"/>
                      <w:szCs w:val="21"/>
                    </w:rPr>
                  </w:pPr>
                  <w:r>
                    <w:rPr>
                      <w:color w:val="auto"/>
                      <w:szCs w:val="21"/>
                    </w:rPr>
                    <w:t>/</w:t>
                  </w:r>
                </w:p>
              </w:tc>
              <w:tc>
                <w:tcPr>
                  <w:tcW w:w="1417" w:type="dxa"/>
                  <w:tcBorders>
                    <w:top w:val="single" w:color="auto" w:sz="8" w:space="0"/>
                    <w:left w:val="single" w:color="auto" w:sz="4" w:space="0"/>
                    <w:right w:val="single" w:color="auto" w:sz="4" w:space="0"/>
                  </w:tcBorders>
                  <w:vAlign w:val="center"/>
                </w:tcPr>
                <w:p>
                  <w:pPr>
                    <w:pStyle w:val="28"/>
                    <w:spacing w:line="360" w:lineRule="exact"/>
                    <w:rPr>
                      <w:color w:val="auto"/>
                      <w:szCs w:val="21"/>
                    </w:rPr>
                  </w:pPr>
                  <w:r>
                    <w:rPr>
                      <w:color w:val="auto"/>
                      <w:szCs w:val="21"/>
                    </w:rPr>
                    <w:t>/</w:t>
                  </w:r>
                </w:p>
              </w:tc>
              <w:tc>
                <w:tcPr>
                  <w:tcW w:w="1345" w:type="dxa"/>
                  <w:tcBorders>
                    <w:top w:val="single" w:color="auto" w:sz="8" w:space="0"/>
                    <w:left w:val="single" w:color="auto" w:sz="4" w:space="0"/>
                    <w:right w:val="single" w:color="auto" w:sz="8" w:space="0"/>
                  </w:tcBorders>
                  <w:vAlign w:val="center"/>
                </w:tcPr>
                <w:p>
                  <w:pPr>
                    <w:pStyle w:val="28"/>
                    <w:spacing w:line="360" w:lineRule="exact"/>
                    <w:rPr>
                      <w:color w:val="auto"/>
                      <w:szCs w:val="21"/>
                    </w:rPr>
                  </w:pPr>
                  <w:r>
                    <w:rPr>
                      <w:color w:val="auto"/>
                      <w:szCs w:val="21"/>
                    </w:rPr>
                    <w:t>/</w:t>
                  </w:r>
                </w:p>
              </w:tc>
            </w:tr>
          </w:tbl>
          <w:p>
            <w:pPr>
              <w:spacing w:beforeLines="50" w:line="360" w:lineRule="auto"/>
              <w:ind w:firstLine="482" w:firstLineChars="200"/>
              <w:rPr>
                <w:rFonts w:ascii="Times New Roman" w:hAnsi="Times New Roman" w:cs="Times New Roman"/>
                <w:b/>
                <w:sz w:val="24"/>
                <w:szCs w:val="32"/>
              </w:rPr>
            </w:pPr>
            <w:r>
              <w:rPr>
                <w:rFonts w:hint="eastAsia" w:ascii="Times New Roman" w:hAnsi="Times New Roman" w:cs="Times New Roman"/>
                <w:b/>
                <w:sz w:val="24"/>
                <w:szCs w:val="32"/>
              </w:rPr>
              <w:t>③</w:t>
            </w:r>
            <w:r>
              <w:rPr>
                <w:rFonts w:ascii="Times New Roman" w:hAnsi="Times New Roman" w:cs="Times New Roman"/>
                <w:b/>
                <w:sz w:val="24"/>
                <w:szCs w:val="32"/>
              </w:rPr>
              <w:t>地下水监测结果及地下水现状分析</w:t>
            </w:r>
          </w:p>
          <w:p>
            <w:pPr>
              <w:pStyle w:val="36"/>
              <w:ind w:firstLine="480"/>
              <w:rPr>
                <w:rFonts w:eastAsiaTheme="minorEastAsia"/>
                <w:szCs w:val="24"/>
              </w:rPr>
            </w:pPr>
            <w:r>
              <w:rPr>
                <w:szCs w:val="32"/>
              </w:rPr>
              <w:t>根据以上监测结果可知，评价区域的上述监测因子均达到《地下水质量标准》（GB/T</w:t>
            </w:r>
            <w:r>
              <w:rPr>
                <w:rFonts w:hint="eastAsia"/>
                <w:szCs w:val="32"/>
                <w:lang w:eastAsia="zh-CN"/>
              </w:rPr>
              <w:t>*****</w:t>
            </w:r>
            <w:r>
              <w:rPr>
                <w:szCs w:val="32"/>
              </w:rPr>
              <w:t>-2017）III类标准。</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（2）土壤环境质量现状</w:t>
            </w:r>
          </w:p>
          <w:p>
            <w:pPr>
              <w:pStyle w:val="36"/>
              <w:ind w:firstLine="480"/>
              <w:rPr>
                <w:rFonts w:eastAsiaTheme="minorEastAsia"/>
                <w:szCs w:val="24"/>
              </w:rPr>
            </w:pPr>
            <w:r>
              <w:rPr>
                <w:rFonts w:eastAsiaTheme="minorEastAsia"/>
                <w:szCs w:val="24"/>
              </w:rPr>
              <w:t>该项目属于小微企业危险废物收集试点项目，存在土壤环境污染途径，</w:t>
            </w:r>
            <w:r>
              <w:rPr>
                <w:rFonts w:hint="eastAsia" w:eastAsiaTheme="minorEastAsia"/>
                <w:szCs w:val="24"/>
              </w:rPr>
              <w:t>但厂区已全面硬化，不具备土壤监测条件，因此不对</w:t>
            </w:r>
            <w:r>
              <w:rPr>
                <w:rFonts w:eastAsiaTheme="minorEastAsia"/>
                <w:szCs w:val="24"/>
              </w:rPr>
              <w:t>土壤环境质量</w:t>
            </w:r>
            <w:r>
              <w:rPr>
                <w:rFonts w:hint="eastAsia" w:eastAsiaTheme="minorEastAsia"/>
                <w:szCs w:val="24"/>
              </w:rPr>
              <w:t>进行现状监测。</w:t>
            </w:r>
          </w:p>
          <w:p>
            <w:pPr>
              <w:pStyle w:val="36"/>
              <w:ind w:firstLine="480"/>
              <w:rPr>
                <w:rFonts w:eastAsiaTheme="minorEastAsia"/>
                <w:szCs w:val="24"/>
              </w:rPr>
            </w:pPr>
            <w:r>
              <w:rPr>
                <w:rFonts w:hint="eastAsia" w:eastAsiaTheme="minorEastAsia"/>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8831" w:type="dxa"/>
            <w:vAlign w:val="center"/>
          </w:tcPr>
          <w:p>
            <w:pPr>
              <w:pStyle w:val="36"/>
              <w:spacing w:beforeLines="50"/>
              <w:ind w:firstLine="480"/>
              <w:rPr>
                <w:rFonts w:eastAsiaTheme="minorEastAsia"/>
                <w:szCs w:val="24"/>
              </w:rPr>
            </w:pPr>
            <w:r>
              <w:rPr>
                <w:rFonts w:eastAsiaTheme="minorEastAsia"/>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36"/>
              <w:ind w:firstLine="482"/>
              <w:rPr>
                <w:rFonts w:eastAsiaTheme="minorEastAsia"/>
                <w:b/>
                <w:szCs w:val="24"/>
              </w:rPr>
            </w:pPr>
            <w:r>
              <w:rPr>
                <w:rFonts w:eastAsiaTheme="minorEastAsia"/>
                <w:b/>
                <w:szCs w:val="24"/>
              </w:rPr>
              <w:t>3.2.1 大气环境保护目标</w:t>
            </w:r>
          </w:p>
          <w:p>
            <w:pPr>
              <w:pStyle w:val="36"/>
              <w:ind w:firstLine="480"/>
              <w:rPr>
                <w:rFonts w:eastAsiaTheme="minorEastAsia"/>
                <w:szCs w:val="24"/>
              </w:rPr>
            </w:pPr>
            <w:r>
              <w:rPr>
                <w:rFonts w:eastAsiaTheme="minorEastAsia"/>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6"/>
              <w:ind w:firstLine="480"/>
              <w:rPr>
                <w:rFonts w:eastAsiaTheme="minorEastAsia"/>
                <w:szCs w:val="24"/>
              </w:rPr>
            </w:pPr>
            <w:r>
              <w:rPr>
                <w:rFonts w:eastAsiaTheme="minorEastAsia"/>
                <w:szCs w:val="24"/>
              </w:rPr>
              <w:t>根据调查，该项目主要大气环境保护目标如下表所示。</w:t>
            </w:r>
          </w:p>
          <w:p>
            <w:pPr>
              <w:pStyle w:val="30"/>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表3.2.1-1 环境空气保护目标</w:t>
            </w:r>
          </w:p>
          <w:tbl>
            <w:tblPr>
              <w:tblStyle w:val="1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1559"/>
              <w:gridCol w:w="1417"/>
              <w:gridCol w:w="851"/>
              <w:gridCol w:w="1276"/>
              <w:gridCol w:w="850"/>
              <w:gridCol w:w="851"/>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restart"/>
                  <w:vAlign w:val="center"/>
                </w:tcPr>
                <w:p>
                  <w:pPr>
                    <w:pStyle w:val="28"/>
                    <w:spacing w:line="360" w:lineRule="exact"/>
                    <w:rPr>
                      <w:color w:val="auto"/>
                      <w:kern w:val="0"/>
                      <w:szCs w:val="21"/>
                    </w:rPr>
                  </w:pPr>
                  <w:r>
                    <w:rPr>
                      <w:color w:val="auto"/>
                      <w:kern w:val="0"/>
                      <w:szCs w:val="21"/>
                    </w:rPr>
                    <w:t>名称</w:t>
                  </w:r>
                </w:p>
              </w:tc>
              <w:tc>
                <w:tcPr>
                  <w:tcW w:w="2976" w:type="dxa"/>
                  <w:gridSpan w:val="2"/>
                  <w:vAlign w:val="center"/>
                </w:tcPr>
                <w:p>
                  <w:pPr>
                    <w:pStyle w:val="28"/>
                    <w:spacing w:line="360" w:lineRule="exact"/>
                    <w:rPr>
                      <w:color w:val="auto"/>
                      <w:kern w:val="0"/>
                      <w:szCs w:val="21"/>
                    </w:rPr>
                  </w:pPr>
                  <w:r>
                    <w:rPr>
                      <w:color w:val="auto"/>
                      <w:kern w:val="0"/>
                      <w:szCs w:val="21"/>
                    </w:rPr>
                    <w:t>坐标</w:t>
                  </w:r>
                </w:p>
              </w:tc>
              <w:tc>
                <w:tcPr>
                  <w:tcW w:w="851" w:type="dxa"/>
                  <w:vMerge w:val="restart"/>
                  <w:vAlign w:val="center"/>
                </w:tcPr>
                <w:p>
                  <w:pPr>
                    <w:pStyle w:val="28"/>
                    <w:spacing w:line="360" w:lineRule="exact"/>
                    <w:rPr>
                      <w:color w:val="auto"/>
                      <w:kern w:val="0"/>
                      <w:szCs w:val="21"/>
                    </w:rPr>
                  </w:pPr>
                  <w:r>
                    <w:rPr>
                      <w:color w:val="auto"/>
                      <w:kern w:val="0"/>
                      <w:szCs w:val="21"/>
                    </w:rPr>
                    <w:t>保护对象</w:t>
                  </w:r>
                </w:p>
              </w:tc>
              <w:tc>
                <w:tcPr>
                  <w:tcW w:w="1276" w:type="dxa"/>
                  <w:vMerge w:val="restart"/>
                  <w:vAlign w:val="center"/>
                </w:tcPr>
                <w:p>
                  <w:pPr>
                    <w:pStyle w:val="28"/>
                    <w:spacing w:line="360" w:lineRule="exact"/>
                    <w:rPr>
                      <w:color w:val="auto"/>
                      <w:kern w:val="0"/>
                      <w:szCs w:val="21"/>
                    </w:rPr>
                  </w:pPr>
                  <w:r>
                    <w:rPr>
                      <w:color w:val="auto"/>
                      <w:kern w:val="0"/>
                      <w:szCs w:val="21"/>
                    </w:rPr>
                    <w:t>保护内容</w:t>
                  </w:r>
                </w:p>
              </w:tc>
              <w:tc>
                <w:tcPr>
                  <w:tcW w:w="850" w:type="dxa"/>
                  <w:vMerge w:val="restart"/>
                  <w:vAlign w:val="center"/>
                </w:tcPr>
                <w:p>
                  <w:pPr>
                    <w:pStyle w:val="28"/>
                    <w:spacing w:line="360" w:lineRule="exact"/>
                    <w:rPr>
                      <w:color w:val="auto"/>
                      <w:kern w:val="0"/>
                      <w:szCs w:val="21"/>
                    </w:rPr>
                  </w:pPr>
                  <w:r>
                    <w:rPr>
                      <w:color w:val="auto"/>
                      <w:kern w:val="0"/>
                      <w:szCs w:val="21"/>
                    </w:rPr>
                    <w:t>环境功能区</w:t>
                  </w:r>
                </w:p>
              </w:tc>
              <w:tc>
                <w:tcPr>
                  <w:tcW w:w="851" w:type="dxa"/>
                  <w:vMerge w:val="restart"/>
                  <w:vAlign w:val="center"/>
                </w:tcPr>
                <w:p>
                  <w:pPr>
                    <w:pStyle w:val="28"/>
                    <w:spacing w:line="360" w:lineRule="exact"/>
                    <w:rPr>
                      <w:color w:val="auto"/>
                      <w:kern w:val="0"/>
                      <w:szCs w:val="21"/>
                    </w:rPr>
                  </w:pPr>
                  <w:r>
                    <w:rPr>
                      <w:color w:val="auto"/>
                      <w:kern w:val="0"/>
                      <w:szCs w:val="21"/>
                    </w:rPr>
                    <w:t>相对厂址方位</w:t>
                  </w:r>
                </w:p>
              </w:tc>
              <w:tc>
                <w:tcPr>
                  <w:tcW w:w="924" w:type="dxa"/>
                  <w:vMerge w:val="restart"/>
                  <w:vAlign w:val="center"/>
                </w:tcPr>
                <w:p>
                  <w:pPr>
                    <w:pStyle w:val="28"/>
                    <w:spacing w:line="360" w:lineRule="exact"/>
                    <w:rPr>
                      <w:color w:val="auto"/>
                      <w:kern w:val="0"/>
                      <w:szCs w:val="21"/>
                    </w:rPr>
                  </w:pPr>
                  <w:r>
                    <w:rPr>
                      <w:color w:val="auto"/>
                      <w:kern w:val="0"/>
                      <w:szCs w:val="21"/>
                    </w:rPr>
                    <w:t>相对厂界距离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8"/>
                    <w:spacing w:line="360" w:lineRule="exact"/>
                    <w:rPr>
                      <w:color w:val="auto"/>
                      <w:kern w:val="0"/>
                      <w:szCs w:val="21"/>
                    </w:rPr>
                  </w:pPr>
                </w:p>
              </w:tc>
              <w:tc>
                <w:tcPr>
                  <w:tcW w:w="1559" w:type="dxa"/>
                  <w:vAlign w:val="center"/>
                </w:tcPr>
                <w:p>
                  <w:pPr>
                    <w:pStyle w:val="28"/>
                    <w:spacing w:line="360" w:lineRule="exact"/>
                    <w:rPr>
                      <w:color w:val="auto"/>
                      <w:kern w:val="0"/>
                      <w:szCs w:val="21"/>
                    </w:rPr>
                  </w:pPr>
                  <w:r>
                    <w:rPr>
                      <w:rFonts w:hint="eastAsia"/>
                      <w:color w:val="auto"/>
                      <w:kern w:val="0"/>
                      <w:szCs w:val="21"/>
                    </w:rPr>
                    <w:t>经度</w:t>
                  </w:r>
                </w:p>
              </w:tc>
              <w:tc>
                <w:tcPr>
                  <w:tcW w:w="1417" w:type="dxa"/>
                  <w:vAlign w:val="center"/>
                </w:tcPr>
                <w:p>
                  <w:pPr>
                    <w:pStyle w:val="28"/>
                    <w:spacing w:line="360" w:lineRule="exact"/>
                    <w:rPr>
                      <w:color w:val="auto"/>
                      <w:kern w:val="0"/>
                      <w:szCs w:val="21"/>
                    </w:rPr>
                  </w:pPr>
                  <w:r>
                    <w:rPr>
                      <w:rFonts w:hint="eastAsia"/>
                      <w:color w:val="auto"/>
                      <w:kern w:val="0"/>
                      <w:szCs w:val="21"/>
                    </w:rPr>
                    <w:t>纬度</w:t>
                  </w:r>
                </w:p>
              </w:tc>
              <w:tc>
                <w:tcPr>
                  <w:tcW w:w="851" w:type="dxa"/>
                  <w:vMerge w:val="continue"/>
                  <w:vAlign w:val="center"/>
                </w:tcPr>
                <w:p>
                  <w:pPr>
                    <w:pStyle w:val="28"/>
                    <w:spacing w:line="360" w:lineRule="exact"/>
                    <w:rPr>
                      <w:color w:val="auto"/>
                      <w:kern w:val="0"/>
                      <w:szCs w:val="21"/>
                    </w:rPr>
                  </w:pPr>
                </w:p>
              </w:tc>
              <w:tc>
                <w:tcPr>
                  <w:tcW w:w="1276" w:type="dxa"/>
                  <w:vMerge w:val="continue"/>
                  <w:vAlign w:val="center"/>
                </w:tcPr>
                <w:p>
                  <w:pPr>
                    <w:pStyle w:val="28"/>
                    <w:spacing w:line="360" w:lineRule="exact"/>
                    <w:rPr>
                      <w:color w:val="auto"/>
                      <w:kern w:val="0"/>
                      <w:szCs w:val="21"/>
                    </w:rPr>
                  </w:pPr>
                </w:p>
              </w:tc>
              <w:tc>
                <w:tcPr>
                  <w:tcW w:w="850" w:type="dxa"/>
                  <w:vMerge w:val="continue"/>
                  <w:vAlign w:val="center"/>
                </w:tcPr>
                <w:p>
                  <w:pPr>
                    <w:pStyle w:val="28"/>
                    <w:spacing w:line="360" w:lineRule="exact"/>
                    <w:rPr>
                      <w:color w:val="auto"/>
                      <w:kern w:val="0"/>
                      <w:szCs w:val="21"/>
                    </w:rPr>
                  </w:pPr>
                </w:p>
              </w:tc>
              <w:tc>
                <w:tcPr>
                  <w:tcW w:w="851" w:type="dxa"/>
                  <w:vMerge w:val="continue"/>
                  <w:vAlign w:val="center"/>
                </w:tcPr>
                <w:p>
                  <w:pPr>
                    <w:pStyle w:val="28"/>
                    <w:spacing w:line="360" w:lineRule="exact"/>
                    <w:rPr>
                      <w:color w:val="auto"/>
                      <w:kern w:val="0"/>
                      <w:szCs w:val="21"/>
                    </w:rPr>
                  </w:pPr>
                </w:p>
              </w:tc>
              <w:tc>
                <w:tcPr>
                  <w:tcW w:w="924" w:type="dxa"/>
                  <w:vMerge w:val="continue"/>
                  <w:vAlign w:val="center"/>
                </w:tcPr>
                <w:p>
                  <w:pPr>
                    <w:pStyle w:val="28"/>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77" w:type="dxa"/>
                  <w:vAlign w:val="center"/>
                </w:tcPr>
                <w:p>
                  <w:pPr>
                    <w:pStyle w:val="28"/>
                    <w:spacing w:line="360" w:lineRule="exact"/>
                    <w:rPr>
                      <w:color w:val="auto"/>
                      <w:kern w:val="0"/>
                      <w:szCs w:val="21"/>
                    </w:rPr>
                  </w:pPr>
                  <w:r>
                    <w:rPr>
                      <w:color w:val="auto"/>
                      <w:kern w:val="0"/>
                      <w:szCs w:val="21"/>
                    </w:rPr>
                    <w:t>凉水井</w:t>
                  </w:r>
                </w:p>
              </w:tc>
              <w:tc>
                <w:tcPr>
                  <w:tcW w:w="1559" w:type="dxa"/>
                  <w:vAlign w:val="center"/>
                </w:tcPr>
                <w:p>
                  <w:pPr>
                    <w:pStyle w:val="28"/>
                    <w:spacing w:line="360" w:lineRule="exact"/>
                    <w:rPr>
                      <w:color w:val="auto"/>
                      <w:kern w:val="0"/>
                      <w:szCs w:val="21"/>
                    </w:rPr>
                  </w:pPr>
                  <w:r>
                    <w:rPr>
                      <w:color w:val="auto"/>
                      <w:kern w:val="0"/>
                      <w:szCs w:val="21"/>
                    </w:rPr>
                    <w:t>103°07′55.33″</w:t>
                  </w:r>
                </w:p>
              </w:tc>
              <w:tc>
                <w:tcPr>
                  <w:tcW w:w="1417" w:type="dxa"/>
                  <w:vAlign w:val="center"/>
                </w:tcPr>
                <w:p>
                  <w:pPr>
                    <w:pStyle w:val="28"/>
                    <w:spacing w:line="360" w:lineRule="exact"/>
                    <w:rPr>
                      <w:color w:val="auto"/>
                      <w:kern w:val="0"/>
                      <w:szCs w:val="21"/>
                    </w:rPr>
                  </w:pPr>
                  <w:r>
                    <w:rPr>
                      <w:color w:val="auto"/>
                      <w:kern w:val="0"/>
                      <w:szCs w:val="21"/>
                    </w:rPr>
                    <w:t>26°11′00.11″</w:t>
                  </w:r>
                </w:p>
              </w:tc>
              <w:tc>
                <w:tcPr>
                  <w:tcW w:w="851" w:type="dxa"/>
                  <w:vAlign w:val="center"/>
                </w:tcPr>
                <w:p>
                  <w:pPr>
                    <w:pStyle w:val="28"/>
                    <w:spacing w:line="360" w:lineRule="exact"/>
                    <w:rPr>
                      <w:color w:val="auto"/>
                      <w:kern w:val="0"/>
                      <w:szCs w:val="21"/>
                    </w:rPr>
                  </w:pPr>
                  <w:r>
                    <w:rPr>
                      <w:color w:val="auto"/>
                      <w:kern w:val="0"/>
                      <w:szCs w:val="21"/>
                    </w:rPr>
                    <w:t>居民区</w:t>
                  </w:r>
                </w:p>
              </w:tc>
              <w:tc>
                <w:tcPr>
                  <w:tcW w:w="1276" w:type="dxa"/>
                  <w:vAlign w:val="center"/>
                </w:tcPr>
                <w:p>
                  <w:pPr>
                    <w:pStyle w:val="28"/>
                    <w:spacing w:line="360" w:lineRule="exact"/>
                    <w:rPr>
                      <w:color w:val="auto"/>
                      <w:kern w:val="0"/>
                      <w:szCs w:val="21"/>
                    </w:rPr>
                  </w:pPr>
                  <w:r>
                    <w:rPr>
                      <w:color w:val="auto"/>
                      <w:kern w:val="0"/>
                      <w:szCs w:val="21"/>
                    </w:rPr>
                    <w:t>34户</w:t>
                  </w:r>
                  <w:r>
                    <w:rPr>
                      <w:rFonts w:hint="eastAsia"/>
                      <w:color w:val="auto"/>
                      <w:kern w:val="0"/>
                      <w:szCs w:val="21"/>
                    </w:rPr>
                    <w:t>/</w:t>
                  </w:r>
                  <w:r>
                    <w:rPr>
                      <w:color w:val="auto"/>
                      <w:kern w:val="0"/>
                      <w:szCs w:val="21"/>
                    </w:rPr>
                    <w:t>152人</w:t>
                  </w:r>
                </w:p>
              </w:tc>
              <w:tc>
                <w:tcPr>
                  <w:tcW w:w="850" w:type="dxa"/>
                  <w:vAlign w:val="center"/>
                </w:tcPr>
                <w:p>
                  <w:pPr>
                    <w:pStyle w:val="28"/>
                    <w:spacing w:line="360" w:lineRule="exact"/>
                    <w:rPr>
                      <w:color w:val="auto"/>
                      <w:kern w:val="0"/>
                      <w:szCs w:val="21"/>
                    </w:rPr>
                  </w:pPr>
                  <w:r>
                    <w:rPr>
                      <w:color w:val="auto"/>
                      <w:kern w:val="0"/>
                      <w:szCs w:val="21"/>
                    </w:rPr>
                    <w:t>二类区</w:t>
                  </w:r>
                </w:p>
              </w:tc>
              <w:tc>
                <w:tcPr>
                  <w:tcW w:w="851" w:type="dxa"/>
                  <w:vAlign w:val="center"/>
                </w:tcPr>
                <w:p>
                  <w:pPr>
                    <w:pStyle w:val="28"/>
                    <w:spacing w:line="360" w:lineRule="exact"/>
                    <w:rPr>
                      <w:color w:val="auto"/>
                      <w:kern w:val="0"/>
                      <w:szCs w:val="21"/>
                    </w:rPr>
                  </w:pPr>
                  <w:r>
                    <w:rPr>
                      <w:rFonts w:hint="eastAsia"/>
                      <w:color w:val="auto"/>
                      <w:kern w:val="0"/>
                      <w:szCs w:val="21"/>
                    </w:rPr>
                    <w:t>东南侧</w:t>
                  </w:r>
                </w:p>
              </w:tc>
              <w:tc>
                <w:tcPr>
                  <w:tcW w:w="924" w:type="dxa"/>
                  <w:vAlign w:val="center"/>
                </w:tcPr>
                <w:p>
                  <w:pPr>
                    <w:pStyle w:val="28"/>
                    <w:spacing w:line="360" w:lineRule="exact"/>
                    <w:rPr>
                      <w:color w:val="auto"/>
                      <w:kern w:val="0"/>
                      <w:szCs w:val="21"/>
                    </w:rPr>
                  </w:pPr>
                  <w:r>
                    <w:rPr>
                      <w:rFonts w:hint="eastAsia"/>
                      <w:color w:val="auto"/>
                      <w:kern w:val="0"/>
                      <w:szCs w:val="21"/>
                    </w:rPr>
                    <w:t>278m</w:t>
                  </w:r>
                </w:p>
              </w:tc>
            </w:tr>
          </w:tbl>
          <w:p>
            <w:pPr>
              <w:pStyle w:val="36"/>
              <w:spacing w:beforeLines="50"/>
              <w:ind w:firstLine="482"/>
              <w:rPr>
                <w:rFonts w:eastAsiaTheme="minorEastAsia"/>
                <w:b/>
                <w:szCs w:val="24"/>
              </w:rPr>
            </w:pPr>
            <w:r>
              <w:rPr>
                <w:rFonts w:eastAsiaTheme="minorEastAsia"/>
                <w:b/>
                <w:szCs w:val="24"/>
              </w:rPr>
              <w:t>3.2.2 地表水环境保护目标</w:t>
            </w:r>
          </w:p>
          <w:p>
            <w:pPr>
              <w:pStyle w:val="36"/>
              <w:ind w:firstLine="480"/>
              <w:rPr>
                <w:rFonts w:eastAsiaTheme="minorEastAsia"/>
                <w:szCs w:val="24"/>
              </w:rPr>
            </w:pPr>
            <w:r>
              <w:rPr>
                <w:rFonts w:eastAsiaTheme="minorEastAsia"/>
                <w:szCs w:val="24"/>
              </w:rPr>
              <w:t>根据《建设项目环境影响报告表编制技术指南》（污染影响类）（试行）的要求，未要求设施地表水环境保护目标；但项目所在区域属于小江的汇水范围，因此拟将小江列入该项目水环境保护目标。具体如下表所示。</w:t>
            </w:r>
          </w:p>
          <w:p>
            <w:pPr>
              <w:jc w:val="center"/>
              <w:rPr>
                <w:rFonts w:ascii="Times New Roman" w:hAnsi="Times New Roman" w:cs="Times New Roman"/>
                <w:b/>
                <w:szCs w:val="24"/>
              </w:rPr>
            </w:pPr>
            <w:r>
              <w:rPr>
                <w:rFonts w:ascii="Times New Roman" w:hAnsi="Times New Roman" w:cs="Times New Roman"/>
                <w:b/>
                <w:szCs w:val="24"/>
              </w:rPr>
              <w:t>表3.2.2-1  地表水环境保护目标及保护级别一览表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92"/>
              <w:gridCol w:w="2835"/>
              <w:gridCol w:w="1418"/>
              <w:gridCol w:w="85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保护目标</w:t>
                  </w:r>
                </w:p>
              </w:tc>
              <w:tc>
                <w:tcPr>
                  <w:tcW w:w="283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坐标</w:t>
                  </w:r>
                </w:p>
              </w:tc>
              <w:tc>
                <w:tcPr>
                  <w:tcW w:w="1418"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与项目区的方位及距离</w:t>
                  </w:r>
                </w:p>
              </w:tc>
              <w:tc>
                <w:tcPr>
                  <w:tcW w:w="850"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高差</w:t>
                  </w:r>
                </w:p>
              </w:tc>
              <w:tc>
                <w:tcPr>
                  <w:tcW w:w="177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35" w:type="dxa"/>
                  <w:tcBorders>
                    <w:top w:val="single" w:color="auto" w:sz="4" w:space="0"/>
                    <w:left w:val="single" w:color="auto" w:sz="4" w:space="0"/>
                    <w:right w:val="single" w:color="auto" w:sz="4" w:space="0"/>
                  </w:tcBorders>
                  <w:vAlign w:val="center"/>
                </w:tcPr>
                <w:p>
                  <w:pPr>
                    <w:pStyle w:val="28"/>
                    <w:spacing w:line="360" w:lineRule="exact"/>
                    <w:rPr>
                      <w:color w:val="auto"/>
                      <w:szCs w:val="21"/>
                    </w:rPr>
                  </w:pPr>
                  <w:r>
                    <w:rPr>
                      <w:color w:val="auto"/>
                      <w:szCs w:val="21"/>
                    </w:rPr>
                    <w:t>地表水</w:t>
                  </w:r>
                </w:p>
              </w:tc>
              <w:tc>
                <w:tcPr>
                  <w:tcW w:w="992"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bCs w:val="0"/>
                      <w:color w:val="auto"/>
                      <w:szCs w:val="24"/>
                    </w:rPr>
                    <w:t>小江</w:t>
                  </w:r>
                </w:p>
              </w:tc>
              <w:tc>
                <w:tcPr>
                  <w:tcW w:w="2835" w:type="dxa"/>
                  <w:tcBorders>
                    <w:top w:val="single" w:color="auto" w:sz="4" w:space="0"/>
                    <w:left w:val="single" w:color="auto" w:sz="4" w:space="0"/>
                    <w:right w:val="single" w:color="auto" w:sz="4" w:space="0"/>
                  </w:tcBorders>
                  <w:vAlign w:val="center"/>
                </w:tcPr>
                <w:p>
                  <w:pPr>
                    <w:pStyle w:val="28"/>
                    <w:spacing w:line="360" w:lineRule="exact"/>
                    <w:ind w:firstLine="210" w:firstLineChars="100"/>
                    <w:jc w:val="left"/>
                    <w:rPr>
                      <w:color w:val="auto"/>
                      <w:szCs w:val="21"/>
                    </w:rPr>
                  </w:pPr>
                  <w:r>
                    <w:rPr>
                      <w:color w:val="auto"/>
                      <w:szCs w:val="21"/>
                    </w:rPr>
                    <w:t>起点：东经103°</w:t>
                  </w:r>
                  <w:r>
                    <w:rPr>
                      <w:rFonts w:hint="eastAsia"/>
                      <w:color w:val="auto"/>
                      <w:szCs w:val="21"/>
                    </w:rPr>
                    <w:t>7</w:t>
                  </w:r>
                  <w:r>
                    <w:rPr>
                      <w:color w:val="auto"/>
                      <w:szCs w:val="21"/>
                    </w:rPr>
                    <w:t>′</w:t>
                  </w:r>
                  <w:r>
                    <w:rPr>
                      <w:rFonts w:hint="eastAsia"/>
                      <w:color w:val="auto"/>
                      <w:szCs w:val="21"/>
                    </w:rPr>
                    <w:t>13.06</w:t>
                  </w:r>
                  <w:r>
                    <w:rPr>
                      <w:color w:val="auto"/>
                      <w:szCs w:val="21"/>
                    </w:rPr>
                    <w:t>″，北纬2</w:t>
                  </w:r>
                  <w:r>
                    <w:rPr>
                      <w:rFonts w:hint="eastAsia"/>
                      <w:color w:val="auto"/>
                      <w:szCs w:val="21"/>
                    </w:rPr>
                    <w:t>6</w:t>
                  </w:r>
                  <w:r>
                    <w:rPr>
                      <w:color w:val="auto"/>
                      <w:szCs w:val="21"/>
                    </w:rPr>
                    <w:t>°</w:t>
                  </w:r>
                  <w:r>
                    <w:rPr>
                      <w:rFonts w:hint="eastAsia"/>
                      <w:color w:val="auto"/>
                      <w:szCs w:val="21"/>
                    </w:rPr>
                    <w:t>9</w:t>
                  </w:r>
                  <w:r>
                    <w:rPr>
                      <w:color w:val="auto"/>
                      <w:szCs w:val="21"/>
                    </w:rPr>
                    <w:t>′4</w:t>
                  </w:r>
                  <w:r>
                    <w:rPr>
                      <w:rFonts w:hint="eastAsia"/>
                      <w:color w:val="auto"/>
                      <w:szCs w:val="21"/>
                    </w:rPr>
                    <w:t>6.39</w:t>
                  </w:r>
                  <w:r>
                    <w:rPr>
                      <w:color w:val="auto"/>
                      <w:szCs w:val="21"/>
                    </w:rPr>
                    <w:t>″</w:t>
                  </w:r>
                </w:p>
                <w:p>
                  <w:pPr>
                    <w:pStyle w:val="28"/>
                    <w:spacing w:line="360" w:lineRule="exact"/>
                    <w:ind w:firstLine="210" w:firstLineChars="100"/>
                    <w:jc w:val="left"/>
                    <w:rPr>
                      <w:color w:val="auto"/>
                      <w:szCs w:val="21"/>
                    </w:rPr>
                  </w:pPr>
                  <w:r>
                    <w:rPr>
                      <w:color w:val="auto"/>
                      <w:szCs w:val="21"/>
                    </w:rPr>
                    <w:t>终点：东经103°</w:t>
                  </w:r>
                  <w:r>
                    <w:rPr>
                      <w:rFonts w:hint="eastAsia"/>
                      <w:color w:val="auto"/>
                      <w:szCs w:val="21"/>
                    </w:rPr>
                    <w:t>6</w:t>
                  </w:r>
                  <w:r>
                    <w:rPr>
                      <w:color w:val="auto"/>
                      <w:szCs w:val="21"/>
                    </w:rPr>
                    <w:t>′</w:t>
                  </w:r>
                  <w:r>
                    <w:rPr>
                      <w:rFonts w:hint="eastAsia"/>
                      <w:color w:val="auto"/>
                      <w:szCs w:val="21"/>
                    </w:rPr>
                    <w:t>27.79</w:t>
                  </w:r>
                  <w:r>
                    <w:rPr>
                      <w:color w:val="auto"/>
                      <w:szCs w:val="21"/>
                    </w:rPr>
                    <w:t>″，北纬2</w:t>
                  </w:r>
                  <w:r>
                    <w:rPr>
                      <w:rFonts w:hint="eastAsia"/>
                      <w:color w:val="auto"/>
                      <w:szCs w:val="21"/>
                    </w:rPr>
                    <w:t>6</w:t>
                  </w:r>
                  <w:r>
                    <w:rPr>
                      <w:color w:val="auto"/>
                      <w:szCs w:val="21"/>
                    </w:rPr>
                    <w:t>°</w:t>
                  </w:r>
                  <w:r>
                    <w:rPr>
                      <w:rFonts w:hint="eastAsia"/>
                      <w:color w:val="auto"/>
                      <w:szCs w:val="21"/>
                    </w:rPr>
                    <w:t>11</w:t>
                  </w:r>
                  <w:r>
                    <w:rPr>
                      <w:color w:val="auto"/>
                      <w:szCs w:val="21"/>
                    </w:rPr>
                    <w:t>′</w:t>
                  </w:r>
                  <w:r>
                    <w:rPr>
                      <w:rFonts w:hint="eastAsia"/>
                      <w:color w:val="auto"/>
                      <w:szCs w:val="21"/>
                    </w:rPr>
                    <w:t>14.66</w:t>
                  </w:r>
                  <w:r>
                    <w:rPr>
                      <w:color w:val="auto"/>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bCs w:val="0"/>
                      <w:color w:val="auto"/>
                      <w:szCs w:val="24"/>
                    </w:rPr>
                    <w:t>西侧1</w:t>
                  </w:r>
                  <w:r>
                    <w:rPr>
                      <w:rFonts w:hint="eastAsia"/>
                      <w:bCs w:val="0"/>
                      <w:color w:val="auto"/>
                      <w:szCs w:val="24"/>
                    </w:rPr>
                    <w:t>872</w:t>
                  </w:r>
                  <w:r>
                    <w:rPr>
                      <w:bCs w:val="0"/>
                      <w:color w:val="auto"/>
                      <w:szCs w:val="24"/>
                    </w:rPr>
                    <w:t>m</w:t>
                  </w:r>
                </w:p>
              </w:tc>
              <w:tc>
                <w:tcPr>
                  <w:tcW w:w="850"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rPr>
                      <w:color w:val="auto"/>
                      <w:szCs w:val="21"/>
                    </w:rPr>
                  </w:pPr>
                  <w:r>
                    <w:rPr>
                      <w:rFonts w:hint="eastAsia"/>
                      <w:color w:val="auto"/>
                      <w:szCs w:val="21"/>
                    </w:rPr>
                    <w:t>438</w:t>
                  </w:r>
                  <w:r>
                    <w:rPr>
                      <w:color w:val="auto"/>
                      <w:szCs w:val="21"/>
                    </w:rPr>
                    <w:t>m</w:t>
                  </w:r>
                </w:p>
              </w:tc>
              <w:tc>
                <w:tcPr>
                  <w:tcW w:w="1775" w:type="dxa"/>
                  <w:tcBorders>
                    <w:top w:val="single" w:color="auto" w:sz="4" w:space="0"/>
                    <w:left w:val="single" w:color="auto" w:sz="4" w:space="0"/>
                    <w:right w:val="single" w:color="auto" w:sz="4" w:space="0"/>
                  </w:tcBorders>
                  <w:vAlign w:val="center"/>
                </w:tcPr>
                <w:p>
                  <w:pPr>
                    <w:pStyle w:val="28"/>
                    <w:spacing w:line="360" w:lineRule="exact"/>
                    <w:ind w:firstLine="210" w:firstLineChars="100"/>
                    <w:jc w:val="left"/>
                    <w:rPr>
                      <w:color w:val="auto"/>
                      <w:szCs w:val="21"/>
                    </w:rPr>
                  </w:pPr>
                  <w:r>
                    <w:rPr>
                      <w:color w:val="auto"/>
                      <w:szCs w:val="21"/>
                    </w:rPr>
                    <w:t>《地表水环境质量标准》（GB</w:t>
                  </w:r>
                  <w:r>
                    <w:rPr>
                      <w:rFonts w:hint="eastAsia"/>
                      <w:color w:val="auto"/>
                      <w:szCs w:val="21"/>
                      <w:lang w:eastAsia="zh-CN"/>
                    </w:rPr>
                    <w:t>****</w:t>
                  </w:r>
                  <w:r>
                    <w:rPr>
                      <w:color w:val="auto"/>
                      <w:szCs w:val="21"/>
                    </w:rPr>
                    <w:t>-2002）III类标准</w:t>
                  </w:r>
                </w:p>
              </w:tc>
            </w:tr>
          </w:tbl>
          <w:p>
            <w:pPr>
              <w:pStyle w:val="36"/>
              <w:spacing w:beforeLines="50"/>
              <w:ind w:firstLine="482"/>
              <w:rPr>
                <w:rFonts w:eastAsiaTheme="minorEastAsia"/>
                <w:b/>
                <w:szCs w:val="24"/>
              </w:rPr>
            </w:pPr>
            <w:r>
              <w:rPr>
                <w:rFonts w:eastAsiaTheme="minorEastAsia"/>
                <w:b/>
                <w:szCs w:val="24"/>
              </w:rPr>
              <w:t>3.2.3地下水环境保护目标</w:t>
            </w:r>
          </w:p>
          <w:p>
            <w:pPr>
              <w:pStyle w:val="36"/>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该项目位于云南东川产业园区四方地片区昆明旭鑫环保科技有限公司厂区，该项目选址不涉及到地下水集中式饮用水水源和热水、矿泉水、温泉等特殊地下水资源。</w:t>
            </w:r>
          </w:p>
          <w:p>
            <w:pPr>
              <w:pStyle w:val="36"/>
              <w:ind w:firstLine="482"/>
              <w:rPr>
                <w:rFonts w:eastAsiaTheme="minorEastAsia"/>
                <w:b/>
                <w:szCs w:val="24"/>
              </w:rPr>
            </w:pPr>
            <w:r>
              <w:rPr>
                <w:rFonts w:eastAsiaTheme="minorEastAsia"/>
                <w:b/>
                <w:szCs w:val="24"/>
              </w:rPr>
              <w:t>3.2.4 声环境环境保护目标</w:t>
            </w:r>
          </w:p>
          <w:p>
            <w:pPr>
              <w:pStyle w:val="36"/>
              <w:ind w:firstLine="480"/>
              <w:rPr>
                <w:rFonts w:eastAsiaTheme="minorEastAsia"/>
                <w:szCs w:val="24"/>
              </w:rPr>
            </w:pPr>
            <w:r>
              <w:rPr>
                <w:rFonts w:eastAsiaTheme="minorEastAsia"/>
                <w:szCs w:val="24"/>
              </w:rPr>
              <w:t>根据《建设项目环境影响报告表编制技术指南》（污染影响类）（试行）的要求，该项目声环境评价范围为50m，根据调查，</w:t>
            </w:r>
            <w:r>
              <w:rPr>
                <w:rFonts w:hint="eastAsia" w:eastAsiaTheme="minorEastAsia"/>
                <w:szCs w:val="24"/>
              </w:rPr>
              <w:t>50m评价范围内无声环境保护目标。</w:t>
            </w:r>
          </w:p>
          <w:p>
            <w:pPr>
              <w:pStyle w:val="36"/>
              <w:ind w:firstLine="482"/>
              <w:rPr>
                <w:rFonts w:eastAsiaTheme="minorEastAsia"/>
                <w:b/>
                <w:szCs w:val="24"/>
              </w:rPr>
            </w:pPr>
            <w:r>
              <w:rPr>
                <w:rFonts w:eastAsiaTheme="minorEastAsia"/>
                <w:b/>
                <w:szCs w:val="24"/>
              </w:rPr>
              <w:t>3.2.5生态环境保护目标</w:t>
            </w:r>
          </w:p>
          <w:p>
            <w:pPr>
              <w:pStyle w:val="36"/>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该项目位于云南东川产业园区四方地片区昆明旭鑫环保科技有限公司厂区，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8831" w:type="dxa"/>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w:t>
            </w:r>
            <w:r>
              <w:rPr>
                <w:rFonts w:hint="eastAsia" w:ascii="Times New Roman" w:hAnsi="Times New Roman" w:cs="Times New Roman"/>
                <w:b/>
                <w:sz w:val="24"/>
                <w:szCs w:val="24"/>
              </w:rPr>
              <w:t xml:space="preserve">3 </w:t>
            </w:r>
            <w:r>
              <w:rPr>
                <w:rFonts w:ascii="Times New Roman" w:hAnsi="Times New Roman" w:cs="Times New Roman"/>
                <w:b/>
                <w:sz w:val="24"/>
                <w:szCs w:val="24"/>
              </w:rPr>
              <w:t>污染物排放控制标准</w:t>
            </w:r>
          </w:p>
          <w:p>
            <w:pPr>
              <w:pStyle w:val="36"/>
              <w:ind w:firstLine="482"/>
              <w:rPr>
                <w:rFonts w:eastAsiaTheme="minorEastAsia"/>
                <w:b/>
                <w:szCs w:val="24"/>
              </w:rPr>
            </w:pPr>
            <w:r>
              <w:rPr>
                <w:rFonts w:hint="eastAsia" w:eastAsiaTheme="minorEastAsia"/>
                <w:b/>
                <w:szCs w:val="24"/>
              </w:rPr>
              <w:t>3.3.1 施工期污染物排放控制标准</w:t>
            </w:r>
          </w:p>
          <w:p>
            <w:pPr>
              <w:pStyle w:val="36"/>
              <w:ind w:firstLine="361" w:firstLineChars="150"/>
              <w:rPr>
                <w:rFonts w:eastAsiaTheme="minorEastAsia"/>
                <w:b/>
              </w:rPr>
            </w:pPr>
            <w:r>
              <w:rPr>
                <w:rFonts w:eastAsiaTheme="minorEastAsia"/>
                <w:b/>
              </w:rPr>
              <w:t>（1）施工期</w:t>
            </w:r>
            <w:r>
              <w:rPr>
                <w:rFonts w:hint="eastAsia" w:eastAsiaTheme="minorEastAsia"/>
                <w:b/>
              </w:rPr>
              <w:t>废气排放标准</w:t>
            </w:r>
          </w:p>
          <w:p>
            <w:pPr>
              <w:pStyle w:val="36"/>
              <w:ind w:firstLine="480"/>
              <w:rPr>
                <w:szCs w:val="24"/>
              </w:rPr>
            </w:pPr>
            <w:r>
              <w:rPr>
                <w:szCs w:val="24"/>
              </w:rPr>
              <w:t>施工期扬尘执行《大气污染物综合排放标准》（GB</w:t>
            </w:r>
            <w:r>
              <w:rPr>
                <w:rFonts w:hint="eastAsia"/>
                <w:szCs w:val="24"/>
                <w:lang w:eastAsia="zh-CN"/>
              </w:rPr>
              <w:t>*****</w:t>
            </w:r>
            <w:r>
              <w:rPr>
                <w:szCs w:val="24"/>
              </w:rPr>
              <w:t>-1996）中表2无组织排放监控浓度限值，周界外浓度最高点≤1.0mg/m³。</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2</w:t>
            </w:r>
            <w:r>
              <w:rPr>
                <w:rFonts w:ascii="Times New Roman" w:hAnsi="Times New Roman" w:cs="Times New Roman"/>
                <w:b/>
                <w:sz w:val="24"/>
                <w:szCs w:val="24"/>
              </w:rPr>
              <w:t>）施工期</w:t>
            </w:r>
            <w:r>
              <w:rPr>
                <w:rFonts w:hint="eastAsia" w:ascii="Times New Roman" w:hAnsi="Times New Roman" w:cs="Times New Roman"/>
                <w:b/>
                <w:sz w:val="24"/>
                <w:szCs w:val="24"/>
              </w:rPr>
              <w:t>废水排放标准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根据项目特点，该项目施工量较小，施工过程使用的少量施工用水全部自然蒸发，无废水产生。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）施工期</w:t>
            </w:r>
            <w:r>
              <w:rPr>
                <w:rFonts w:hint="eastAsia" w:ascii="Times New Roman" w:hAnsi="Times New Roman" w:cs="Times New Roman"/>
                <w:b/>
                <w:sz w:val="24"/>
                <w:szCs w:val="24"/>
              </w:rPr>
              <w:t>噪声排放标准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-2011）。标准值详见下表。</w:t>
            </w:r>
          </w:p>
          <w:p>
            <w:pPr>
              <w:jc w:val="center"/>
              <w:rPr>
                <w:rFonts w:ascii="Times New Roman" w:hAnsi="Times New Roman" w:cs="Times New Roman"/>
                <w:b/>
                <w:szCs w:val="24"/>
              </w:rPr>
            </w:pPr>
            <w:r>
              <w:rPr>
                <w:rFonts w:ascii="Times New Roman" w:hAnsi="Times New Roman" w:cs="Times New Roman"/>
                <w:b/>
                <w:szCs w:val="24"/>
              </w:rPr>
              <w:t>表3.3.3-1 建筑施工场界噪声标准限值单位：dB（A）</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15" w:type="dxa"/>
                  <w:vMerge w:val="restart"/>
                  <w:vAlign w:val="center"/>
                </w:tcPr>
                <w:p>
                  <w:pPr>
                    <w:pStyle w:val="28"/>
                    <w:spacing w:line="360" w:lineRule="exact"/>
                    <w:ind w:left="11"/>
                    <w:rPr>
                      <w:rFonts w:eastAsiaTheme="minorEastAsia"/>
                      <w:color w:val="auto"/>
                      <w:szCs w:val="21"/>
                    </w:rPr>
                  </w:pPr>
                  <w:r>
                    <w:rPr>
                      <w:rFonts w:eastAsiaTheme="minorEastAsia"/>
                      <w:color w:val="auto"/>
                      <w:szCs w:val="21"/>
                    </w:rPr>
                    <w:t>控制区域</w:t>
                  </w:r>
                </w:p>
              </w:tc>
              <w:tc>
                <w:tcPr>
                  <w:tcW w:w="5857" w:type="dxa"/>
                  <w:gridSpan w:val="2"/>
                  <w:vAlign w:val="center"/>
                </w:tcPr>
                <w:p>
                  <w:pPr>
                    <w:pStyle w:val="28"/>
                    <w:spacing w:line="360" w:lineRule="exact"/>
                    <w:ind w:left="11"/>
                    <w:rPr>
                      <w:rFonts w:eastAsiaTheme="minorEastAsia"/>
                      <w:color w:val="auto"/>
                      <w:szCs w:val="21"/>
                    </w:rPr>
                  </w:pPr>
                  <w:r>
                    <w:rPr>
                      <w:rFonts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28"/>
                    <w:spacing w:line="360" w:lineRule="exact"/>
                    <w:ind w:left="11"/>
                    <w:rPr>
                      <w:rFonts w:eastAsiaTheme="minorEastAsia"/>
                      <w:color w:val="auto"/>
                      <w:szCs w:val="21"/>
                    </w:rPr>
                  </w:pPr>
                </w:p>
              </w:tc>
              <w:tc>
                <w:tcPr>
                  <w:tcW w:w="2977" w:type="dxa"/>
                  <w:vAlign w:val="center"/>
                </w:tcPr>
                <w:p>
                  <w:pPr>
                    <w:pStyle w:val="28"/>
                    <w:spacing w:line="360" w:lineRule="exact"/>
                    <w:ind w:left="11"/>
                    <w:rPr>
                      <w:rFonts w:eastAsiaTheme="minorEastAsia"/>
                      <w:color w:val="auto"/>
                      <w:szCs w:val="21"/>
                    </w:rPr>
                  </w:pPr>
                  <w:r>
                    <w:rPr>
                      <w:rFonts w:eastAsiaTheme="minorEastAsia"/>
                      <w:color w:val="auto"/>
                      <w:szCs w:val="21"/>
                    </w:rPr>
                    <w:t>昼间</w:t>
                  </w:r>
                </w:p>
              </w:tc>
              <w:tc>
                <w:tcPr>
                  <w:tcW w:w="2880" w:type="dxa"/>
                  <w:vAlign w:val="center"/>
                </w:tcPr>
                <w:p>
                  <w:pPr>
                    <w:pStyle w:val="28"/>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28"/>
                    <w:spacing w:line="360" w:lineRule="exact"/>
                    <w:ind w:left="11"/>
                    <w:rPr>
                      <w:rFonts w:eastAsiaTheme="minorEastAsia"/>
                      <w:color w:val="auto"/>
                      <w:szCs w:val="21"/>
                    </w:rPr>
                  </w:pPr>
                  <w:r>
                    <w:rPr>
                      <w:rFonts w:eastAsiaTheme="minorEastAsia"/>
                      <w:color w:val="auto"/>
                      <w:szCs w:val="21"/>
                    </w:rPr>
                    <w:t>厂界</w:t>
                  </w:r>
                </w:p>
              </w:tc>
              <w:tc>
                <w:tcPr>
                  <w:tcW w:w="2977" w:type="dxa"/>
                  <w:vAlign w:val="center"/>
                </w:tcPr>
                <w:p>
                  <w:pPr>
                    <w:pStyle w:val="28"/>
                    <w:spacing w:line="360" w:lineRule="exact"/>
                    <w:ind w:left="11"/>
                    <w:rPr>
                      <w:rFonts w:eastAsiaTheme="minorEastAsia"/>
                      <w:color w:val="auto"/>
                      <w:szCs w:val="21"/>
                    </w:rPr>
                  </w:pPr>
                  <w:r>
                    <w:rPr>
                      <w:rFonts w:eastAsiaTheme="minorEastAsia"/>
                      <w:color w:val="auto"/>
                      <w:szCs w:val="21"/>
                    </w:rPr>
                    <w:t>70</w:t>
                  </w:r>
                </w:p>
              </w:tc>
              <w:tc>
                <w:tcPr>
                  <w:tcW w:w="2880" w:type="dxa"/>
                  <w:vAlign w:val="center"/>
                </w:tcPr>
                <w:p>
                  <w:pPr>
                    <w:pStyle w:val="28"/>
                    <w:spacing w:line="360" w:lineRule="exact"/>
                    <w:ind w:left="11"/>
                    <w:rPr>
                      <w:rFonts w:eastAsiaTheme="minorEastAsia"/>
                      <w:color w:val="auto"/>
                      <w:szCs w:val="21"/>
                    </w:rPr>
                  </w:pPr>
                  <w:r>
                    <w:rPr>
                      <w:rFonts w:eastAsiaTheme="minorEastAsia"/>
                      <w:color w:val="auto"/>
                      <w:szCs w:val="21"/>
                    </w:rPr>
                    <w:t>55</w:t>
                  </w:r>
                </w:p>
              </w:tc>
            </w:tr>
          </w:tbl>
          <w:p>
            <w:pPr>
              <w:pStyle w:val="36"/>
              <w:ind w:firstLine="482"/>
              <w:rPr>
                <w:rFonts w:eastAsiaTheme="minorEastAsia"/>
                <w:b/>
                <w:szCs w:val="24"/>
              </w:rPr>
            </w:pPr>
            <w:r>
              <w:rPr>
                <w:rFonts w:eastAsiaTheme="minorEastAsia"/>
                <w:b/>
                <w:szCs w:val="24"/>
              </w:rPr>
              <w:t>3.3.</w:t>
            </w:r>
            <w:r>
              <w:rPr>
                <w:rFonts w:hint="eastAsia" w:eastAsiaTheme="minorEastAsia"/>
                <w:b/>
                <w:szCs w:val="24"/>
              </w:rPr>
              <w:t xml:space="preserve">3 </w:t>
            </w:r>
            <w:r>
              <w:rPr>
                <w:rFonts w:eastAsiaTheme="minorEastAsia"/>
                <w:b/>
                <w:szCs w:val="24"/>
              </w:rPr>
              <w:t>运营期</w:t>
            </w:r>
            <w:r>
              <w:rPr>
                <w:rFonts w:hint="eastAsia" w:eastAsiaTheme="minorEastAsia"/>
                <w:b/>
                <w:szCs w:val="24"/>
              </w:rPr>
              <w:t>污染物排放控制标准</w:t>
            </w:r>
          </w:p>
          <w:p>
            <w:pPr>
              <w:pStyle w:val="36"/>
              <w:ind w:firstLine="361" w:firstLineChars="150"/>
              <w:rPr>
                <w:rFonts w:eastAsiaTheme="minorEastAsia"/>
                <w:b/>
              </w:rPr>
            </w:pPr>
            <w:r>
              <w:rPr>
                <w:rFonts w:eastAsiaTheme="minorEastAsia"/>
                <w:b/>
              </w:rPr>
              <w:t>（</w:t>
            </w:r>
            <w:r>
              <w:rPr>
                <w:rFonts w:hint="eastAsia" w:eastAsiaTheme="minorEastAsia"/>
                <w:b/>
              </w:rPr>
              <w:t>1</w:t>
            </w:r>
            <w:r>
              <w:rPr>
                <w:rFonts w:eastAsiaTheme="minorEastAsia"/>
                <w:b/>
              </w:rPr>
              <w:t>）运营期废气排放标准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该项目产生的主要废气污染物为</w:t>
            </w:r>
            <w:r>
              <w:rPr>
                <w:rFonts w:hint="eastAsia" w:ascii="Times New Roman" w:hAnsi="Times New Roman" w:cs="Times New Roman"/>
                <w:sz w:val="24"/>
                <w:szCs w:val="24"/>
              </w:rPr>
              <w:t>有机废气（非甲烷总烃）、酸性废气（HCl）、恶臭废气（氨、硫化氢和臭气浓度）。小微企业危险废物贮存库区产生的废气，通过1套负压收集系统对其收集后，拟设置1套废气处理装置对其进行处理，处理后通过1根Φ0.68、高15m的排气筒（DA001）外排。执行标准如下：</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①有机废气（非甲烷总烃）、酸性废气（HCl）执行标准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有机废气（非甲烷总烃）、酸性废气（HCl）执行</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表2 标准限值。具体如下表所示。</w:t>
            </w:r>
          </w:p>
          <w:p>
            <w:pPr>
              <w:jc w:val="center"/>
              <w:rPr>
                <w:rFonts w:ascii="Times New Roman" w:hAnsi="Times New Roman" w:cs="Times New Roman"/>
                <w:b/>
                <w:szCs w:val="24"/>
              </w:rPr>
            </w:pPr>
            <w:r>
              <w:rPr>
                <w:rFonts w:hint="eastAsia" w:ascii="Times New Roman" w:hAnsi="Times New Roman" w:cs="Times New Roman"/>
                <w:b/>
                <w:szCs w:val="24"/>
              </w:rPr>
              <w:t>表3.3.3-1 污染源大气污染物排放限值</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3"/>
              <w:gridCol w:w="1276"/>
              <w:gridCol w:w="1559"/>
              <w:gridCol w:w="1559"/>
              <w:gridCol w:w="993"/>
              <w:gridCol w:w="1275"/>
              <w:gridCol w:w="13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Merge w:val="restart"/>
                  <w:vAlign w:val="center"/>
                </w:tcPr>
                <w:p>
                  <w:pPr>
                    <w:pStyle w:val="28"/>
                    <w:spacing w:line="360" w:lineRule="exact"/>
                    <w:rPr>
                      <w:color w:val="auto"/>
                      <w:szCs w:val="21"/>
                    </w:rPr>
                  </w:pPr>
                  <w:r>
                    <w:rPr>
                      <w:rFonts w:hint="eastAsia"/>
                      <w:color w:val="auto"/>
                      <w:szCs w:val="21"/>
                    </w:rPr>
                    <w:t>序号</w:t>
                  </w:r>
                </w:p>
              </w:tc>
              <w:tc>
                <w:tcPr>
                  <w:tcW w:w="1276" w:type="dxa"/>
                  <w:vMerge w:val="restart"/>
                  <w:vAlign w:val="center"/>
                </w:tcPr>
                <w:p>
                  <w:pPr>
                    <w:pStyle w:val="28"/>
                    <w:spacing w:line="360" w:lineRule="exact"/>
                    <w:rPr>
                      <w:color w:val="auto"/>
                      <w:szCs w:val="21"/>
                    </w:rPr>
                  </w:pPr>
                  <w:r>
                    <w:rPr>
                      <w:rFonts w:hint="eastAsia"/>
                      <w:color w:val="auto"/>
                      <w:szCs w:val="21"/>
                    </w:rPr>
                    <w:t>污染物</w:t>
                  </w:r>
                </w:p>
              </w:tc>
              <w:tc>
                <w:tcPr>
                  <w:tcW w:w="1559" w:type="dxa"/>
                  <w:vMerge w:val="restart"/>
                  <w:vAlign w:val="center"/>
                </w:tcPr>
                <w:p>
                  <w:pPr>
                    <w:pStyle w:val="28"/>
                    <w:spacing w:line="360" w:lineRule="exact"/>
                    <w:rPr>
                      <w:color w:val="auto"/>
                      <w:szCs w:val="21"/>
                    </w:rPr>
                  </w:pPr>
                  <w:r>
                    <w:rPr>
                      <w:rFonts w:hint="eastAsia"/>
                      <w:color w:val="auto"/>
                      <w:szCs w:val="21"/>
                    </w:rPr>
                    <w:t>最高允许排放浓度mg/m³</w:t>
                  </w:r>
                </w:p>
              </w:tc>
              <w:tc>
                <w:tcPr>
                  <w:tcW w:w="2552" w:type="dxa"/>
                  <w:gridSpan w:val="2"/>
                  <w:vAlign w:val="center"/>
                </w:tcPr>
                <w:p>
                  <w:pPr>
                    <w:pStyle w:val="28"/>
                    <w:spacing w:line="360" w:lineRule="exact"/>
                    <w:rPr>
                      <w:color w:val="auto"/>
                      <w:szCs w:val="21"/>
                    </w:rPr>
                  </w:pPr>
                  <w:r>
                    <w:rPr>
                      <w:rFonts w:hint="eastAsia"/>
                      <w:color w:val="auto"/>
                      <w:szCs w:val="21"/>
                    </w:rPr>
                    <w:t>最高允许排放速率，kg/h</w:t>
                  </w:r>
                </w:p>
              </w:tc>
              <w:tc>
                <w:tcPr>
                  <w:tcW w:w="2625" w:type="dxa"/>
                  <w:gridSpan w:val="2"/>
                  <w:vAlign w:val="center"/>
                </w:tcPr>
                <w:p>
                  <w:pPr>
                    <w:pStyle w:val="28"/>
                    <w:spacing w:line="360" w:lineRule="exact"/>
                    <w:rPr>
                      <w:color w:val="auto"/>
                      <w:szCs w:val="21"/>
                    </w:rPr>
                  </w:pPr>
                  <w:r>
                    <w:rPr>
                      <w:rFonts w:hint="eastAsia"/>
                      <w:color w:val="auto"/>
                      <w:szCs w:val="21"/>
                    </w:rPr>
                    <w:t>无组织排放监控浓度限制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Merge w:val="continue"/>
                  <w:vAlign w:val="center"/>
                </w:tcPr>
                <w:p>
                  <w:pPr>
                    <w:pStyle w:val="28"/>
                    <w:spacing w:line="360" w:lineRule="exact"/>
                    <w:rPr>
                      <w:color w:val="auto"/>
                      <w:szCs w:val="21"/>
                    </w:rPr>
                  </w:pPr>
                </w:p>
              </w:tc>
              <w:tc>
                <w:tcPr>
                  <w:tcW w:w="1276" w:type="dxa"/>
                  <w:vMerge w:val="continue"/>
                  <w:vAlign w:val="center"/>
                </w:tcPr>
                <w:p>
                  <w:pPr>
                    <w:pStyle w:val="28"/>
                    <w:spacing w:line="360" w:lineRule="exact"/>
                    <w:rPr>
                      <w:color w:val="auto"/>
                      <w:szCs w:val="21"/>
                    </w:rPr>
                  </w:pPr>
                </w:p>
              </w:tc>
              <w:tc>
                <w:tcPr>
                  <w:tcW w:w="1559" w:type="dxa"/>
                  <w:vMerge w:val="continue"/>
                  <w:vAlign w:val="center"/>
                </w:tcPr>
                <w:p>
                  <w:pPr>
                    <w:pStyle w:val="28"/>
                    <w:spacing w:line="360" w:lineRule="exact"/>
                    <w:rPr>
                      <w:color w:val="auto"/>
                      <w:szCs w:val="21"/>
                    </w:rPr>
                  </w:pPr>
                </w:p>
              </w:tc>
              <w:tc>
                <w:tcPr>
                  <w:tcW w:w="1559" w:type="dxa"/>
                  <w:vAlign w:val="center"/>
                </w:tcPr>
                <w:p>
                  <w:pPr>
                    <w:pStyle w:val="28"/>
                    <w:spacing w:line="360" w:lineRule="exact"/>
                    <w:rPr>
                      <w:color w:val="auto"/>
                      <w:szCs w:val="21"/>
                    </w:rPr>
                  </w:pPr>
                  <w:r>
                    <w:rPr>
                      <w:rFonts w:hint="eastAsia"/>
                      <w:color w:val="auto"/>
                      <w:szCs w:val="21"/>
                    </w:rPr>
                    <w:t>排气筒高度m</w:t>
                  </w:r>
                </w:p>
              </w:tc>
              <w:tc>
                <w:tcPr>
                  <w:tcW w:w="993" w:type="dxa"/>
                  <w:vAlign w:val="center"/>
                </w:tcPr>
                <w:p>
                  <w:pPr>
                    <w:pStyle w:val="28"/>
                    <w:spacing w:line="360" w:lineRule="exact"/>
                    <w:rPr>
                      <w:color w:val="auto"/>
                      <w:szCs w:val="21"/>
                    </w:rPr>
                  </w:pPr>
                  <w:r>
                    <w:rPr>
                      <w:rFonts w:hint="eastAsia"/>
                      <w:color w:val="auto"/>
                      <w:szCs w:val="21"/>
                    </w:rPr>
                    <w:t>二级</w:t>
                  </w:r>
                </w:p>
              </w:tc>
              <w:tc>
                <w:tcPr>
                  <w:tcW w:w="1275" w:type="dxa"/>
                  <w:vAlign w:val="center"/>
                </w:tcPr>
                <w:p>
                  <w:pPr>
                    <w:pStyle w:val="28"/>
                    <w:spacing w:line="360" w:lineRule="exact"/>
                    <w:rPr>
                      <w:color w:val="auto"/>
                      <w:szCs w:val="21"/>
                    </w:rPr>
                  </w:pPr>
                  <w:r>
                    <w:rPr>
                      <w:rFonts w:hint="eastAsia"/>
                      <w:color w:val="auto"/>
                      <w:szCs w:val="21"/>
                    </w:rPr>
                    <w:t>监控点</w:t>
                  </w:r>
                </w:p>
              </w:tc>
              <w:tc>
                <w:tcPr>
                  <w:tcW w:w="1350" w:type="dxa"/>
                  <w:vAlign w:val="center"/>
                </w:tcPr>
                <w:p>
                  <w:pPr>
                    <w:pStyle w:val="28"/>
                    <w:spacing w:line="360" w:lineRule="exact"/>
                    <w:rPr>
                      <w:color w:val="auto"/>
                      <w:szCs w:val="21"/>
                    </w:rPr>
                  </w:pPr>
                  <w:r>
                    <w:rPr>
                      <w:rFonts w:hint="eastAsia"/>
                      <w:color w:val="auto"/>
                      <w:szCs w:val="21"/>
                    </w:rPr>
                    <w:t>浓度mg/m³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color w:val="auto"/>
                      <w:szCs w:val="21"/>
                    </w:rPr>
                  </w:pPr>
                  <w:r>
                    <w:rPr>
                      <w:rFonts w:hint="eastAsia"/>
                      <w:color w:val="auto"/>
                      <w:szCs w:val="21"/>
                    </w:rPr>
                    <w:t>1</w:t>
                  </w:r>
                </w:p>
              </w:tc>
              <w:tc>
                <w:tcPr>
                  <w:tcW w:w="1276" w:type="dxa"/>
                  <w:vAlign w:val="center"/>
                </w:tcPr>
                <w:p>
                  <w:pPr>
                    <w:pStyle w:val="28"/>
                    <w:spacing w:line="360" w:lineRule="exact"/>
                    <w:rPr>
                      <w:color w:val="auto"/>
                      <w:szCs w:val="21"/>
                    </w:rPr>
                  </w:pPr>
                  <w:r>
                    <w:rPr>
                      <w:rFonts w:hint="eastAsia"/>
                      <w:color w:val="auto"/>
                      <w:szCs w:val="21"/>
                    </w:rPr>
                    <w:t>非甲烷总烃</w:t>
                  </w:r>
                </w:p>
              </w:tc>
              <w:tc>
                <w:tcPr>
                  <w:tcW w:w="1559" w:type="dxa"/>
                  <w:vAlign w:val="center"/>
                </w:tcPr>
                <w:p>
                  <w:pPr>
                    <w:pStyle w:val="28"/>
                    <w:spacing w:line="360" w:lineRule="exact"/>
                    <w:rPr>
                      <w:color w:val="auto"/>
                      <w:szCs w:val="21"/>
                    </w:rPr>
                  </w:pPr>
                  <w:r>
                    <w:rPr>
                      <w:rFonts w:hint="eastAsia"/>
                      <w:color w:val="auto"/>
                      <w:szCs w:val="21"/>
                    </w:rPr>
                    <w:t>120</w:t>
                  </w:r>
                </w:p>
              </w:tc>
              <w:tc>
                <w:tcPr>
                  <w:tcW w:w="1559" w:type="dxa"/>
                  <w:vMerge w:val="restart"/>
                  <w:vAlign w:val="center"/>
                </w:tcPr>
                <w:p>
                  <w:pPr>
                    <w:pStyle w:val="28"/>
                    <w:spacing w:line="360" w:lineRule="exact"/>
                    <w:rPr>
                      <w:color w:val="auto"/>
                      <w:szCs w:val="21"/>
                    </w:rPr>
                  </w:pPr>
                  <w:r>
                    <w:rPr>
                      <w:rFonts w:hint="eastAsia"/>
                      <w:color w:val="auto"/>
                      <w:szCs w:val="21"/>
                    </w:rPr>
                    <w:t>15</w:t>
                  </w:r>
                </w:p>
              </w:tc>
              <w:tc>
                <w:tcPr>
                  <w:tcW w:w="993" w:type="dxa"/>
                  <w:vAlign w:val="center"/>
                </w:tcPr>
                <w:p>
                  <w:pPr>
                    <w:pStyle w:val="28"/>
                    <w:spacing w:line="360" w:lineRule="exact"/>
                    <w:rPr>
                      <w:color w:val="auto"/>
                      <w:szCs w:val="21"/>
                    </w:rPr>
                  </w:pPr>
                  <w:r>
                    <w:rPr>
                      <w:rFonts w:hint="eastAsia"/>
                      <w:color w:val="auto"/>
                      <w:szCs w:val="21"/>
                    </w:rPr>
                    <w:t>10</w:t>
                  </w:r>
                </w:p>
              </w:tc>
              <w:tc>
                <w:tcPr>
                  <w:tcW w:w="1275" w:type="dxa"/>
                  <w:vMerge w:val="restart"/>
                  <w:vAlign w:val="center"/>
                </w:tcPr>
                <w:p>
                  <w:pPr>
                    <w:pStyle w:val="28"/>
                    <w:spacing w:line="360" w:lineRule="exact"/>
                    <w:rPr>
                      <w:color w:val="auto"/>
                      <w:szCs w:val="21"/>
                    </w:rPr>
                  </w:pPr>
                  <w:r>
                    <w:rPr>
                      <w:rFonts w:hint="eastAsia"/>
                      <w:color w:val="auto"/>
                      <w:szCs w:val="21"/>
                    </w:rPr>
                    <w:t>周界外浓度最高点</w:t>
                  </w:r>
                </w:p>
              </w:tc>
              <w:tc>
                <w:tcPr>
                  <w:tcW w:w="1350" w:type="dxa"/>
                  <w:vAlign w:val="center"/>
                </w:tcPr>
                <w:p>
                  <w:pPr>
                    <w:pStyle w:val="28"/>
                    <w:spacing w:line="360" w:lineRule="exact"/>
                    <w:rPr>
                      <w:color w:val="auto"/>
                      <w:szCs w:val="21"/>
                    </w:rPr>
                  </w:pPr>
                  <w:r>
                    <w:rPr>
                      <w:rFonts w:hint="eastAsia"/>
                      <w:color w:val="auto"/>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color w:val="auto"/>
                      <w:szCs w:val="21"/>
                    </w:rPr>
                  </w:pPr>
                  <w:r>
                    <w:rPr>
                      <w:rFonts w:hint="eastAsia"/>
                      <w:color w:val="auto"/>
                      <w:szCs w:val="21"/>
                    </w:rPr>
                    <w:t>2</w:t>
                  </w:r>
                </w:p>
              </w:tc>
              <w:tc>
                <w:tcPr>
                  <w:tcW w:w="1276" w:type="dxa"/>
                  <w:vAlign w:val="center"/>
                </w:tcPr>
                <w:p>
                  <w:pPr>
                    <w:pStyle w:val="28"/>
                    <w:spacing w:line="360" w:lineRule="exact"/>
                    <w:rPr>
                      <w:color w:val="auto"/>
                      <w:szCs w:val="21"/>
                    </w:rPr>
                  </w:pPr>
                  <w:r>
                    <w:rPr>
                      <w:rFonts w:hint="eastAsia"/>
                      <w:color w:val="auto"/>
                      <w:szCs w:val="21"/>
                    </w:rPr>
                    <w:t>HCl</w:t>
                  </w:r>
                </w:p>
              </w:tc>
              <w:tc>
                <w:tcPr>
                  <w:tcW w:w="1559" w:type="dxa"/>
                  <w:vAlign w:val="center"/>
                </w:tcPr>
                <w:p>
                  <w:pPr>
                    <w:pStyle w:val="28"/>
                    <w:spacing w:line="360" w:lineRule="exact"/>
                    <w:rPr>
                      <w:color w:val="auto"/>
                      <w:szCs w:val="21"/>
                    </w:rPr>
                  </w:pPr>
                  <w:r>
                    <w:rPr>
                      <w:rFonts w:hint="eastAsia"/>
                      <w:color w:val="auto"/>
                      <w:szCs w:val="21"/>
                    </w:rPr>
                    <w:t>100</w:t>
                  </w:r>
                </w:p>
              </w:tc>
              <w:tc>
                <w:tcPr>
                  <w:tcW w:w="1559" w:type="dxa"/>
                  <w:vMerge w:val="continue"/>
                  <w:vAlign w:val="center"/>
                </w:tcPr>
                <w:p>
                  <w:pPr>
                    <w:pStyle w:val="28"/>
                    <w:spacing w:line="360" w:lineRule="exact"/>
                    <w:rPr>
                      <w:color w:val="auto"/>
                      <w:szCs w:val="21"/>
                    </w:rPr>
                  </w:pPr>
                </w:p>
              </w:tc>
              <w:tc>
                <w:tcPr>
                  <w:tcW w:w="993" w:type="dxa"/>
                  <w:vAlign w:val="center"/>
                </w:tcPr>
                <w:p>
                  <w:pPr>
                    <w:pStyle w:val="28"/>
                    <w:spacing w:line="360" w:lineRule="exact"/>
                    <w:rPr>
                      <w:color w:val="auto"/>
                      <w:szCs w:val="21"/>
                    </w:rPr>
                  </w:pPr>
                  <w:r>
                    <w:rPr>
                      <w:rFonts w:hint="eastAsia"/>
                      <w:color w:val="auto"/>
                      <w:szCs w:val="21"/>
                    </w:rPr>
                    <w:t>0.26</w:t>
                  </w:r>
                </w:p>
              </w:tc>
              <w:tc>
                <w:tcPr>
                  <w:tcW w:w="1275" w:type="dxa"/>
                  <w:vMerge w:val="continue"/>
                  <w:vAlign w:val="center"/>
                </w:tcPr>
                <w:p>
                  <w:pPr>
                    <w:pStyle w:val="28"/>
                    <w:spacing w:line="360" w:lineRule="exact"/>
                    <w:rPr>
                      <w:color w:val="auto"/>
                      <w:szCs w:val="21"/>
                    </w:rPr>
                  </w:pPr>
                </w:p>
              </w:tc>
              <w:tc>
                <w:tcPr>
                  <w:tcW w:w="1350" w:type="dxa"/>
                  <w:vAlign w:val="center"/>
                </w:tcPr>
                <w:p>
                  <w:pPr>
                    <w:pStyle w:val="28"/>
                    <w:spacing w:line="360" w:lineRule="exact"/>
                    <w:rPr>
                      <w:color w:val="auto"/>
                      <w:szCs w:val="21"/>
                    </w:rPr>
                  </w:pPr>
                  <w:r>
                    <w:rPr>
                      <w:rFonts w:hint="eastAsia"/>
                      <w:color w:val="auto"/>
                      <w:szCs w:val="21"/>
                    </w:rPr>
                    <w:t>0.20</w:t>
                  </w:r>
                </w:p>
              </w:tc>
            </w:tr>
          </w:tbl>
          <w:p>
            <w:pPr>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②恶臭废气（氨、硫化氢和臭气浓度）执行标准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恶臭废气（氨、硫化氢和臭气浓度）执行</w:t>
            </w:r>
            <w:r>
              <w:rPr>
                <w:rFonts w:ascii="Times New Roman" w:hAnsi="Times New Roman" w:cs="Times New Roman"/>
                <w:sz w:val="24"/>
                <w:szCs w:val="24"/>
              </w:rPr>
              <w:t>《恶臭污染物排放标准》（GB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-93）</w:t>
            </w:r>
            <w:r>
              <w:rPr>
                <w:rFonts w:hint="eastAsia" w:ascii="Times New Roman" w:hAnsi="Times New Roman" w:cs="Times New Roman"/>
                <w:sz w:val="24"/>
                <w:szCs w:val="24"/>
              </w:rPr>
              <w:t>表1和表2标准限值。具体如下表所示。</w:t>
            </w:r>
          </w:p>
          <w:p>
            <w:pPr>
              <w:jc w:val="center"/>
              <w:rPr>
                <w:rFonts w:ascii="Times New Roman" w:hAnsi="Times New Roman" w:cs="Times New Roman"/>
                <w:b/>
                <w:szCs w:val="24"/>
              </w:rPr>
            </w:pPr>
            <w:r>
              <w:rPr>
                <w:rFonts w:hint="eastAsia" w:ascii="Times New Roman" w:hAnsi="Times New Roman" w:cs="Times New Roman"/>
                <w:b/>
                <w:szCs w:val="24"/>
              </w:rPr>
              <w:t>表3.3.3-1 恶臭污染物排放标准值及厂界标准值</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5"/>
              <w:gridCol w:w="1512"/>
              <w:gridCol w:w="1848"/>
              <w:gridCol w:w="1854"/>
              <w:gridCol w:w="2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Merge w:val="restart"/>
                  <w:vAlign w:val="center"/>
                </w:tcPr>
                <w:p>
                  <w:pPr>
                    <w:pStyle w:val="28"/>
                    <w:spacing w:line="360" w:lineRule="exact"/>
                    <w:rPr>
                      <w:color w:val="auto"/>
                      <w:szCs w:val="21"/>
                    </w:rPr>
                  </w:pPr>
                  <w:r>
                    <w:rPr>
                      <w:color w:val="auto"/>
                      <w:szCs w:val="21"/>
                    </w:rPr>
                    <w:t>序号</w:t>
                  </w:r>
                </w:p>
              </w:tc>
              <w:tc>
                <w:tcPr>
                  <w:tcW w:w="1275" w:type="dxa"/>
                  <w:vMerge w:val="restart"/>
                  <w:tcBorders>
                    <w:right w:val="single" w:color="auto" w:sz="4" w:space="0"/>
                  </w:tcBorders>
                  <w:vAlign w:val="center"/>
                </w:tcPr>
                <w:p>
                  <w:pPr>
                    <w:pStyle w:val="28"/>
                    <w:spacing w:line="360" w:lineRule="exact"/>
                    <w:rPr>
                      <w:color w:val="auto"/>
                      <w:szCs w:val="21"/>
                    </w:rPr>
                  </w:pPr>
                  <w:r>
                    <w:rPr>
                      <w:color w:val="auto"/>
                      <w:szCs w:val="21"/>
                    </w:rPr>
                    <w:t>控制项目</w:t>
                  </w:r>
                </w:p>
              </w:tc>
              <w:tc>
                <w:tcPr>
                  <w:tcW w:w="3121" w:type="dxa"/>
                  <w:gridSpan w:val="2"/>
                  <w:tcBorders>
                    <w:left w:val="single" w:color="auto" w:sz="4" w:space="0"/>
                  </w:tcBorders>
                  <w:vAlign w:val="center"/>
                </w:tcPr>
                <w:p>
                  <w:pPr>
                    <w:pStyle w:val="28"/>
                    <w:spacing w:line="360" w:lineRule="exact"/>
                    <w:rPr>
                      <w:color w:val="auto"/>
                      <w:szCs w:val="21"/>
                    </w:rPr>
                  </w:pPr>
                  <w:r>
                    <w:rPr>
                      <w:color w:val="auto"/>
                      <w:szCs w:val="21"/>
                    </w:rPr>
                    <w:t>污染物排放标准值</w:t>
                  </w:r>
                </w:p>
              </w:tc>
              <w:tc>
                <w:tcPr>
                  <w:tcW w:w="2265" w:type="dxa"/>
                  <w:tcBorders>
                    <w:right w:val="single" w:color="auto" w:sz="4" w:space="0"/>
                  </w:tcBorders>
                  <w:vAlign w:val="center"/>
                </w:tcPr>
                <w:p>
                  <w:pPr>
                    <w:pStyle w:val="28"/>
                    <w:spacing w:line="360" w:lineRule="exact"/>
                    <w:rPr>
                      <w:color w:val="auto"/>
                      <w:szCs w:val="21"/>
                    </w:rPr>
                  </w:pPr>
                  <w:r>
                    <w:rPr>
                      <w:color w:val="auto"/>
                      <w:szCs w:val="21"/>
                    </w:rPr>
                    <w:t>污染物厂界标准值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Merge w:val="continue"/>
                  <w:vAlign w:val="center"/>
                </w:tcPr>
                <w:p>
                  <w:pPr>
                    <w:pStyle w:val="28"/>
                    <w:spacing w:line="360" w:lineRule="exact"/>
                    <w:rPr>
                      <w:color w:val="auto"/>
                      <w:szCs w:val="21"/>
                    </w:rPr>
                  </w:pPr>
                </w:p>
              </w:tc>
              <w:tc>
                <w:tcPr>
                  <w:tcW w:w="1275" w:type="dxa"/>
                  <w:vMerge w:val="continue"/>
                  <w:tcBorders>
                    <w:right w:val="single" w:color="auto" w:sz="4" w:space="0"/>
                  </w:tcBorders>
                  <w:vAlign w:val="center"/>
                </w:tcPr>
                <w:p>
                  <w:pPr>
                    <w:pStyle w:val="28"/>
                    <w:spacing w:line="360" w:lineRule="exact"/>
                    <w:rPr>
                      <w:color w:val="auto"/>
                      <w:szCs w:val="21"/>
                    </w:rPr>
                  </w:pPr>
                </w:p>
              </w:tc>
              <w:tc>
                <w:tcPr>
                  <w:tcW w:w="1558" w:type="dxa"/>
                  <w:tcBorders>
                    <w:left w:val="single" w:color="auto" w:sz="4" w:space="0"/>
                  </w:tcBorders>
                  <w:vAlign w:val="center"/>
                </w:tcPr>
                <w:p>
                  <w:pPr>
                    <w:pStyle w:val="28"/>
                    <w:spacing w:line="360" w:lineRule="exact"/>
                    <w:rPr>
                      <w:color w:val="auto"/>
                      <w:szCs w:val="21"/>
                    </w:rPr>
                  </w:pPr>
                  <w:r>
                    <w:rPr>
                      <w:color w:val="auto"/>
                      <w:szCs w:val="21"/>
                    </w:rPr>
                    <w:t>排气筒高度，m</w:t>
                  </w:r>
                </w:p>
              </w:tc>
              <w:tc>
                <w:tcPr>
                  <w:tcW w:w="1563" w:type="dxa"/>
                  <w:vAlign w:val="center"/>
                </w:tcPr>
                <w:p>
                  <w:pPr>
                    <w:pStyle w:val="28"/>
                    <w:spacing w:line="360" w:lineRule="exact"/>
                    <w:rPr>
                      <w:color w:val="auto"/>
                      <w:szCs w:val="21"/>
                    </w:rPr>
                  </w:pPr>
                  <w:r>
                    <w:rPr>
                      <w:color w:val="auto"/>
                      <w:szCs w:val="21"/>
                    </w:rPr>
                    <w:t>排放量，kg/h</w:t>
                  </w:r>
                </w:p>
              </w:tc>
              <w:tc>
                <w:tcPr>
                  <w:tcW w:w="2265" w:type="dxa"/>
                  <w:tcBorders>
                    <w:right w:val="single" w:color="auto" w:sz="4" w:space="0"/>
                  </w:tcBorders>
                  <w:vAlign w:val="center"/>
                </w:tcPr>
                <w:p>
                  <w:pPr>
                    <w:pStyle w:val="28"/>
                    <w:spacing w:line="360" w:lineRule="exact"/>
                    <w:rPr>
                      <w:color w:val="auto"/>
                      <w:szCs w:val="21"/>
                    </w:rPr>
                  </w:pPr>
                  <w:r>
                    <w:rPr>
                      <w:color w:val="auto"/>
                      <w:szCs w:val="21"/>
                    </w:rPr>
                    <w:t>二级（新扩改建）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94" w:type="dxa"/>
                  <w:vAlign w:val="center"/>
                </w:tcPr>
                <w:p>
                  <w:pPr>
                    <w:pStyle w:val="28"/>
                    <w:spacing w:line="360" w:lineRule="exact"/>
                    <w:rPr>
                      <w:color w:val="auto"/>
                      <w:szCs w:val="21"/>
                    </w:rPr>
                  </w:pPr>
                  <w:r>
                    <w:rPr>
                      <w:color w:val="auto"/>
                      <w:szCs w:val="21"/>
                    </w:rPr>
                    <w:t>1</w:t>
                  </w:r>
                </w:p>
              </w:tc>
              <w:tc>
                <w:tcPr>
                  <w:tcW w:w="1275" w:type="dxa"/>
                  <w:vAlign w:val="center"/>
                </w:tcPr>
                <w:p>
                  <w:pPr>
                    <w:pStyle w:val="28"/>
                    <w:spacing w:line="360" w:lineRule="exact"/>
                    <w:rPr>
                      <w:color w:val="auto"/>
                      <w:szCs w:val="21"/>
                    </w:rPr>
                  </w:pPr>
                  <w:r>
                    <w:rPr>
                      <w:color w:val="auto"/>
                      <w:szCs w:val="21"/>
                    </w:rPr>
                    <w:t>硫化氢</w:t>
                  </w:r>
                </w:p>
              </w:tc>
              <w:tc>
                <w:tcPr>
                  <w:tcW w:w="1558" w:type="dxa"/>
                  <w:vMerge w:val="restart"/>
                  <w:vAlign w:val="center"/>
                </w:tcPr>
                <w:p>
                  <w:pPr>
                    <w:pStyle w:val="28"/>
                    <w:spacing w:line="360" w:lineRule="exact"/>
                    <w:rPr>
                      <w:color w:val="auto"/>
                      <w:szCs w:val="21"/>
                    </w:rPr>
                  </w:pPr>
                  <w:r>
                    <w:rPr>
                      <w:color w:val="auto"/>
                      <w:szCs w:val="21"/>
                    </w:rPr>
                    <w:t>15</w:t>
                  </w:r>
                </w:p>
              </w:tc>
              <w:tc>
                <w:tcPr>
                  <w:tcW w:w="1563" w:type="dxa"/>
                  <w:vAlign w:val="center"/>
                </w:tcPr>
                <w:p>
                  <w:pPr>
                    <w:pStyle w:val="28"/>
                    <w:spacing w:line="360" w:lineRule="exact"/>
                    <w:rPr>
                      <w:color w:val="auto"/>
                      <w:szCs w:val="21"/>
                    </w:rPr>
                  </w:pPr>
                  <w:r>
                    <w:rPr>
                      <w:color w:val="auto"/>
                      <w:szCs w:val="21"/>
                    </w:rPr>
                    <w:t>0.33</w:t>
                  </w:r>
                </w:p>
              </w:tc>
              <w:tc>
                <w:tcPr>
                  <w:tcW w:w="2265" w:type="dxa"/>
                  <w:vAlign w:val="center"/>
                </w:tcPr>
                <w:p>
                  <w:pPr>
                    <w:pStyle w:val="28"/>
                    <w:spacing w:line="360" w:lineRule="exact"/>
                    <w:rPr>
                      <w:color w:val="auto"/>
                      <w:szCs w:val="21"/>
                    </w:rPr>
                  </w:pPr>
                  <w:r>
                    <w:rPr>
                      <w:color w:val="auto"/>
                      <w:szCs w:val="21"/>
                    </w:rPr>
                    <w:t>0.06mg/m³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Align w:val="center"/>
                </w:tcPr>
                <w:p>
                  <w:pPr>
                    <w:pStyle w:val="28"/>
                    <w:spacing w:line="360" w:lineRule="exact"/>
                    <w:rPr>
                      <w:color w:val="auto"/>
                      <w:szCs w:val="21"/>
                    </w:rPr>
                  </w:pPr>
                  <w:r>
                    <w:rPr>
                      <w:color w:val="auto"/>
                      <w:szCs w:val="21"/>
                    </w:rPr>
                    <w:t>2</w:t>
                  </w:r>
                </w:p>
              </w:tc>
              <w:tc>
                <w:tcPr>
                  <w:tcW w:w="1275" w:type="dxa"/>
                  <w:vAlign w:val="center"/>
                </w:tcPr>
                <w:p>
                  <w:pPr>
                    <w:pStyle w:val="28"/>
                    <w:spacing w:line="360" w:lineRule="exact"/>
                    <w:rPr>
                      <w:color w:val="auto"/>
                      <w:szCs w:val="21"/>
                    </w:rPr>
                  </w:pPr>
                  <w:r>
                    <w:rPr>
                      <w:color w:val="auto"/>
                      <w:szCs w:val="21"/>
                    </w:rPr>
                    <w:t>氨</w:t>
                  </w:r>
                </w:p>
              </w:tc>
              <w:tc>
                <w:tcPr>
                  <w:tcW w:w="1558" w:type="dxa"/>
                  <w:vMerge w:val="continue"/>
                  <w:vAlign w:val="center"/>
                </w:tcPr>
                <w:p>
                  <w:pPr>
                    <w:pStyle w:val="28"/>
                    <w:spacing w:line="360" w:lineRule="exact"/>
                    <w:rPr>
                      <w:color w:val="auto"/>
                      <w:szCs w:val="21"/>
                    </w:rPr>
                  </w:pPr>
                </w:p>
              </w:tc>
              <w:tc>
                <w:tcPr>
                  <w:tcW w:w="1563" w:type="dxa"/>
                  <w:vAlign w:val="center"/>
                </w:tcPr>
                <w:p>
                  <w:pPr>
                    <w:pStyle w:val="28"/>
                    <w:spacing w:line="360" w:lineRule="exact"/>
                    <w:rPr>
                      <w:color w:val="auto"/>
                      <w:szCs w:val="21"/>
                    </w:rPr>
                  </w:pPr>
                  <w:r>
                    <w:rPr>
                      <w:color w:val="auto"/>
                      <w:szCs w:val="21"/>
                    </w:rPr>
                    <w:t>4.9</w:t>
                  </w:r>
                </w:p>
              </w:tc>
              <w:tc>
                <w:tcPr>
                  <w:tcW w:w="2265" w:type="dxa"/>
                  <w:vAlign w:val="center"/>
                </w:tcPr>
                <w:p>
                  <w:pPr>
                    <w:pStyle w:val="28"/>
                    <w:spacing w:line="360" w:lineRule="exact"/>
                    <w:rPr>
                      <w:color w:val="auto"/>
                      <w:szCs w:val="21"/>
                    </w:rPr>
                  </w:pPr>
                  <w:r>
                    <w:rPr>
                      <w:color w:val="auto"/>
                      <w:szCs w:val="21"/>
                    </w:rPr>
                    <w:t>1.5mg/m³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4" w:type="dxa"/>
                  <w:vAlign w:val="center"/>
                </w:tcPr>
                <w:p>
                  <w:pPr>
                    <w:pStyle w:val="28"/>
                    <w:spacing w:line="360" w:lineRule="exact"/>
                    <w:rPr>
                      <w:color w:val="auto"/>
                      <w:szCs w:val="21"/>
                    </w:rPr>
                  </w:pPr>
                  <w:r>
                    <w:rPr>
                      <w:color w:val="auto"/>
                      <w:szCs w:val="21"/>
                    </w:rPr>
                    <w:t>3</w:t>
                  </w:r>
                </w:p>
              </w:tc>
              <w:tc>
                <w:tcPr>
                  <w:tcW w:w="1275" w:type="dxa"/>
                  <w:vAlign w:val="center"/>
                </w:tcPr>
                <w:p>
                  <w:pPr>
                    <w:pStyle w:val="28"/>
                    <w:spacing w:line="360" w:lineRule="exact"/>
                    <w:rPr>
                      <w:color w:val="auto"/>
                      <w:szCs w:val="21"/>
                    </w:rPr>
                  </w:pPr>
                  <w:r>
                    <w:rPr>
                      <w:color w:val="auto"/>
                      <w:szCs w:val="21"/>
                    </w:rPr>
                    <w:t>臭气浓度</w:t>
                  </w:r>
                </w:p>
              </w:tc>
              <w:tc>
                <w:tcPr>
                  <w:tcW w:w="1558" w:type="dxa"/>
                  <w:vMerge w:val="continue"/>
                  <w:vAlign w:val="center"/>
                </w:tcPr>
                <w:p>
                  <w:pPr>
                    <w:pStyle w:val="28"/>
                    <w:spacing w:line="360" w:lineRule="exact"/>
                    <w:rPr>
                      <w:color w:val="auto"/>
                      <w:szCs w:val="21"/>
                    </w:rPr>
                  </w:pPr>
                </w:p>
              </w:tc>
              <w:tc>
                <w:tcPr>
                  <w:tcW w:w="1563" w:type="dxa"/>
                  <w:vAlign w:val="center"/>
                </w:tcPr>
                <w:p>
                  <w:pPr>
                    <w:pStyle w:val="28"/>
                    <w:spacing w:line="360" w:lineRule="exact"/>
                    <w:rPr>
                      <w:color w:val="auto"/>
                      <w:szCs w:val="21"/>
                    </w:rPr>
                  </w:pPr>
                  <w:r>
                    <w:rPr>
                      <w:color w:val="auto"/>
                      <w:szCs w:val="21"/>
                    </w:rPr>
                    <w:t>2000（无量纲）</w:t>
                  </w:r>
                </w:p>
              </w:tc>
              <w:tc>
                <w:tcPr>
                  <w:tcW w:w="2265" w:type="dxa"/>
                  <w:vAlign w:val="center"/>
                </w:tcPr>
                <w:p>
                  <w:pPr>
                    <w:pStyle w:val="28"/>
                    <w:spacing w:line="360" w:lineRule="exact"/>
                    <w:rPr>
                      <w:color w:val="auto"/>
                      <w:szCs w:val="21"/>
                    </w:rPr>
                  </w:pPr>
                  <w:r>
                    <w:rPr>
                      <w:color w:val="auto"/>
                      <w:szCs w:val="21"/>
                    </w:rPr>
                    <w:t>20（无量纲）</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③</w:t>
            </w:r>
            <w:r>
              <w:rPr>
                <w:rFonts w:hint="eastAsia" w:ascii="Times New Roman" w:hAnsi="Times New Roman" w:cs="Times New Roman"/>
                <w:b/>
                <w:sz w:val="24"/>
                <w:szCs w:val="24"/>
              </w:rPr>
              <w:t>有机废气（非甲烷总烃）</w:t>
            </w:r>
            <w:r>
              <w:rPr>
                <w:rFonts w:ascii="Times New Roman" w:hAnsi="Times New Roman" w:cs="Times New Roman"/>
                <w:b/>
                <w:sz w:val="24"/>
                <w:szCs w:val="24"/>
              </w:rPr>
              <w:t>厂界内执行标准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无组织排放的</w:t>
            </w:r>
            <w:r>
              <w:rPr>
                <w:rFonts w:hint="eastAsia" w:ascii="Times New Roman" w:hAnsi="Times New Roman" w:cs="Times New Roman"/>
                <w:sz w:val="24"/>
                <w:szCs w:val="24"/>
              </w:rPr>
              <w:t>有机废气（非甲烷总烃）</w:t>
            </w:r>
            <w:r>
              <w:rPr>
                <w:rFonts w:ascii="Times New Roman" w:hAnsi="Times New Roman" w:cs="Times New Roman"/>
                <w:sz w:val="24"/>
                <w:szCs w:val="24"/>
              </w:rPr>
              <w:t>厂界内需执行《挥发性有机物无组织排放控制标准》（GB</w:t>
            </w:r>
            <w:r>
              <w:rPr>
                <w:rFonts w:hint="eastAsia" w:ascii="Times New Roman" w:hAnsi="Times New Roman" w:cs="Times New Roman"/>
                <w:sz w:val="24"/>
                <w:szCs w:val="24"/>
                <w:lang w:eastAsia="zh-CN"/>
              </w:rPr>
              <w:t>*****</w:t>
            </w:r>
            <w:r>
              <w:rPr>
                <w:rFonts w:ascii="Times New Roman" w:hAnsi="Times New Roman" w:cs="Times New Roman"/>
                <w:sz w:val="24"/>
                <w:szCs w:val="24"/>
              </w:rPr>
              <w:t>-2019）中附录A的排放限值要求。标准值如下表所示。</w:t>
            </w:r>
          </w:p>
          <w:p>
            <w:pPr>
              <w:jc w:val="center"/>
              <w:rPr>
                <w:rFonts w:ascii="Times New Roman" w:hAnsi="Times New Roman" w:cs="Times New Roman"/>
                <w:b/>
                <w:szCs w:val="24"/>
              </w:rPr>
            </w:pPr>
            <w:r>
              <w:rPr>
                <w:rFonts w:ascii="Times New Roman" w:hAnsi="Times New Roman" w:cs="Times New Roman"/>
                <w:b/>
                <w:szCs w:val="24"/>
              </w:rPr>
              <w:t>表3.3.1-4  项目厂界内</w:t>
            </w:r>
            <w:r>
              <w:rPr>
                <w:rFonts w:hint="eastAsia" w:ascii="Times New Roman" w:hAnsi="Times New Roman" w:cs="Times New Roman"/>
                <w:b/>
                <w:szCs w:val="24"/>
              </w:rPr>
              <w:t>有机废气（非甲烷总烃）</w:t>
            </w:r>
            <w:r>
              <w:rPr>
                <w:rFonts w:ascii="Times New Roman" w:hAnsi="Times New Roman" w:cs="Times New Roman"/>
                <w:b/>
                <w:szCs w:val="24"/>
              </w:rPr>
              <w:t>排放标准  单位mg/m³</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5"/>
              <w:gridCol w:w="1278"/>
              <w:gridCol w:w="2981"/>
              <w:gridCol w:w="2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1853" w:type="dxa"/>
                  <w:tcBorders>
                    <w:top w:val="single" w:color="auto" w:sz="4" w:space="0"/>
                  </w:tcBorders>
                  <w:vAlign w:val="center"/>
                </w:tcPr>
                <w:p>
                  <w:pPr>
                    <w:pStyle w:val="28"/>
                    <w:spacing w:line="360" w:lineRule="exact"/>
                    <w:rPr>
                      <w:color w:val="auto"/>
                      <w:szCs w:val="21"/>
                    </w:rPr>
                  </w:pPr>
                  <w:r>
                    <w:rPr>
                      <w:color w:val="auto"/>
                      <w:szCs w:val="21"/>
                    </w:rPr>
                    <w:t>污染物</w:t>
                  </w:r>
                </w:p>
              </w:tc>
              <w:tc>
                <w:tcPr>
                  <w:tcW w:w="1276" w:type="dxa"/>
                  <w:vAlign w:val="center"/>
                </w:tcPr>
                <w:p>
                  <w:pPr>
                    <w:pStyle w:val="28"/>
                    <w:spacing w:line="360" w:lineRule="exact"/>
                    <w:rPr>
                      <w:color w:val="auto"/>
                      <w:szCs w:val="21"/>
                    </w:rPr>
                  </w:pPr>
                  <w:r>
                    <w:rPr>
                      <w:color w:val="auto"/>
                      <w:szCs w:val="21"/>
                    </w:rPr>
                    <w:t>排放限值</w:t>
                  </w:r>
                </w:p>
              </w:tc>
              <w:tc>
                <w:tcPr>
                  <w:tcW w:w="2976" w:type="dxa"/>
                  <w:tcBorders>
                    <w:right w:val="single" w:color="auto" w:sz="4" w:space="0"/>
                  </w:tcBorders>
                  <w:vAlign w:val="center"/>
                </w:tcPr>
                <w:p>
                  <w:pPr>
                    <w:pStyle w:val="28"/>
                    <w:spacing w:line="360" w:lineRule="exact"/>
                    <w:rPr>
                      <w:color w:val="auto"/>
                      <w:szCs w:val="21"/>
                    </w:rPr>
                  </w:pPr>
                  <w:r>
                    <w:rPr>
                      <w:color w:val="auto"/>
                      <w:szCs w:val="21"/>
                    </w:rPr>
                    <w:t>限值含义</w:t>
                  </w:r>
                </w:p>
              </w:tc>
              <w:tc>
                <w:tcPr>
                  <w:tcW w:w="2481" w:type="dxa"/>
                  <w:tcBorders>
                    <w:left w:val="single" w:color="auto" w:sz="4" w:space="0"/>
                  </w:tcBorders>
                  <w:vAlign w:val="center"/>
                </w:tcPr>
                <w:p>
                  <w:pPr>
                    <w:pStyle w:val="28"/>
                    <w:spacing w:line="360" w:lineRule="exact"/>
                    <w:rPr>
                      <w:color w:val="auto"/>
                      <w:szCs w:val="21"/>
                    </w:rPr>
                  </w:pPr>
                  <w:r>
                    <w:rPr>
                      <w:color w:val="auto"/>
                      <w:szCs w:val="21"/>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restart"/>
                  <w:vAlign w:val="center"/>
                </w:tcPr>
                <w:p>
                  <w:pPr>
                    <w:pStyle w:val="28"/>
                    <w:spacing w:line="360" w:lineRule="exact"/>
                    <w:rPr>
                      <w:color w:val="auto"/>
                      <w:szCs w:val="21"/>
                    </w:rPr>
                  </w:pPr>
                  <w:r>
                    <w:rPr>
                      <w:color w:val="auto"/>
                      <w:szCs w:val="21"/>
                    </w:rPr>
                    <w:t>NMHC</w:t>
                  </w:r>
                </w:p>
                <w:p>
                  <w:pPr>
                    <w:pStyle w:val="28"/>
                    <w:spacing w:line="360" w:lineRule="exact"/>
                    <w:rPr>
                      <w:color w:val="auto"/>
                      <w:szCs w:val="21"/>
                    </w:rPr>
                  </w:pPr>
                  <w:r>
                    <w:rPr>
                      <w:color w:val="auto"/>
                      <w:szCs w:val="21"/>
                    </w:rPr>
                    <w:t>（非甲烷总烃）</w:t>
                  </w:r>
                </w:p>
              </w:tc>
              <w:tc>
                <w:tcPr>
                  <w:tcW w:w="1276" w:type="dxa"/>
                  <w:vAlign w:val="center"/>
                </w:tcPr>
                <w:p>
                  <w:pPr>
                    <w:pStyle w:val="28"/>
                    <w:spacing w:line="360" w:lineRule="exact"/>
                    <w:rPr>
                      <w:color w:val="auto"/>
                      <w:szCs w:val="21"/>
                    </w:rPr>
                  </w:pPr>
                  <w:r>
                    <w:rPr>
                      <w:color w:val="auto"/>
                      <w:szCs w:val="21"/>
                    </w:rPr>
                    <w:t>10</w:t>
                  </w:r>
                </w:p>
              </w:tc>
              <w:tc>
                <w:tcPr>
                  <w:tcW w:w="2976" w:type="dxa"/>
                  <w:tcBorders>
                    <w:right w:val="single" w:color="auto" w:sz="4" w:space="0"/>
                  </w:tcBorders>
                  <w:vAlign w:val="center"/>
                </w:tcPr>
                <w:p>
                  <w:pPr>
                    <w:pStyle w:val="28"/>
                    <w:spacing w:line="360" w:lineRule="exact"/>
                    <w:rPr>
                      <w:color w:val="auto"/>
                      <w:szCs w:val="21"/>
                    </w:rPr>
                  </w:pPr>
                  <w:r>
                    <w:rPr>
                      <w:color w:val="auto"/>
                      <w:szCs w:val="21"/>
                    </w:rPr>
                    <w:t>监控点处1h平均浓度值</w:t>
                  </w:r>
                </w:p>
              </w:tc>
              <w:tc>
                <w:tcPr>
                  <w:tcW w:w="2481" w:type="dxa"/>
                  <w:vMerge w:val="restart"/>
                  <w:tcBorders>
                    <w:left w:val="single" w:color="auto" w:sz="4" w:space="0"/>
                  </w:tcBorders>
                  <w:vAlign w:val="center"/>
                </w:tcPr>
                <w:p>
                  <w:pPr>
                    <w:pStyle w:val="28"/>
                    <w:spacing w:line="360" w:lineRule="exact"/>
                    <w:rPr>
                      <w:color w:val="auto"/>
                      <w:szCs w:val="21"/>
                    </w:rPr>
                  </w:pPr>
                  <w:r>
                    <w:rPr>
                      <w:color w:val="auto"/>
                      <w:szCs w:val="21"/>
                    </w:rPr>
                    <w:t>在厂房外设置监控点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continue"/>
                  <w:vAlign w:val="center"/>
                </w:tcPr>
                <w:p>
                  <w:pPr>
                    <w:pStyle w:val="28"/>
                    <w:spacing w:line="360" w:lineRule="exact"/>
                    <w:rPr>
                      <w:color w:val="auto"/>
                      <w:szCs w:val="21"/>
                    </w:rPr>
                  </w:pPr>
                </w:p>
              </w:tc>
              <w:tc>
                <w:tcPr>
                  <w:tcW w:w="1276" w:type="dxa"/>
                  <w:vAlign w:val="center"/>
                </w:tcPr>
                <w:p>
                  <w:pPr>
                    <w:pStyle w:val="28"/>
                    <w:spacing w:line="360" w:lineRule="exact"/>
                    <w:rPr>
                      <w:color w:val="auto"/>
                      <w:szCs w:val="21"/>
                    </w:rPr>
                  </w:pPr>
                  <w:r>
                    <w:rPr>
                      <w:color w:val="auto"/>
                      <w:szCs w:val="21"/>
                    </w:rPr>
                    <w:t>30</w:t>
                  </w:r>
                </w:p>
              </w:tc>
              <w:tc>
                <w:tcPr>
                  <w:tcW w:w="2976" w:type="dxa"/>
                  <w:tcBorders>
                    <w:right w:val="single" w:color="auto" w:sz="4" w:space="0"/>
                  </w:tcBorders>
                  <w:vAlign w:val="center"/>
                </w:tcPr>
                <w:p>
                  <w:pPr>
                    <w:pStyle w:val="28"/>
                    <w:spacing w:line="360" w:lineRule="exact"/>
                    <w:rPr>
                      <w:color w:val="auto"/>
                      <w:szCs w:val="21"/>
                    </w:rPr>
                  </w:pPr>
                  <w:r>
                    <w:rPr>
                      <w:color w:val="auto"/>
                      <w:szCs w:val="21"/>
                    </w:rPr>
                    <w:t>监控点处任意一次浓度值</w:t>
                  </w:r>
                </w:p>
              </w:tc>
              <w:tc>
                <w:tcPr>
                  <w:tcW w:w="2481" w:type="dxa"/>
                  <w:vMerge w:val="continue"/>
                  <w:tcBorders>
                    <w:left w:val="single" w:color="auto" w:sz="4" w:space="0"/>
                  </w:tcBorders>
                  <w:vAlign w:val="center"/>
                </w:tcPr>
                <w:p>
                  <w:pPr>
                    <w:pStyle w:val="28"/>
                    <w:spacing w:line="360" w:lineRule="exact"/>
                    <w:rPr>
                      <w:color w:val="auto"/>
                      <w:szCs w:val="21"/>
                    </w:rPr>
                  </w:pPr>
                </w:p>
              </w:tc>
            </w:tr>
          </w:tbl>
          <w:p>
            <w:pPr>
              <w:pStyle w:val="36"/>
              <w:spacing w:beforeLines="50"/>
              <w:ind w:firstLine="361" w:firstLineChars="150"/>
              <w:rPr>
                <w:rFonts w:eastAsiaTheme="minorEastAsia"/>
                <w:b/>
              </w:rPr>
            </w:pPr>
            <w:r>
              <w:rPr>
                <w:rFonts w:eastAsiaTheme="minorEastAsia"/>
                <w:b/>
              </w:rPr>
              <w:t>（2）运营期废水排放标准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该项目为危险废物收集暂存项目，无生产废水。</w:t>
            </w:r>
            <w:r>
              <w:rPr>
                <w:rFonts w:ascii="Times New Roman" w:hAnsi="Times New Roman" w:cs="Times New Roman"/>
                <w:sz w:val="24"/>
                <w:szCs w:val="24"/>
              </w:rPr>
              <w:t>建设单位已在厂区外单独建设办公生活区，该生活区属于厂区主体项目的配套项目，不属于该项目的附属工程，该项目依托使用。</w:t>
            </w:r>
            <w:r>
              <w:rPr>
                <w:rFonts w:hint="eastAsia" w:ascii="Times New Roman" w:hAnsi="Times New Roman" w:cs="Times New Roman"/>
                <w:sz w:val="24"/>
                <w:szCs w:val="24"/>
              </w:rPr>
              <w:t>本次建设项目无生活污水产生，综上项目无废水产生，不执行废水排放标准。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项目雨水直接排入市政雨水管网，不执行排放标准。</w:t>
            </w:r>
          </w:p>
          <w:p>
            <w:pPr>
              <w:pStyle w:val="36"/>
              <w:ind w:firstLine="482"/>
              <w:rPr>
                <w:rFonts w:eastAsiaTheme="minorEastAsia"/>
                <w:b/>
                <w:szCs w:val="24"/>
              </w:rPr>
            </w:pPr>
            <w:r>
              <w:rPr>
                <w:rFonts w:eastAsiaTheme="minorEastAsia"/>
                <w:b/>
                <w:szCs w:val="24"/>
              </w:rPr>
              <w:t>3.3.3</w:t>
            </w:r>
            <w:r>
              <w:rPr>
                <w:b/>
                <w:szCs w:val="24"/>
              </w:rPr>
              <w:t>运营期</w:t>
            </w:r>
            <w:r>
              <w:rPr>
                <w:rFonts w:eastAsiaTheme="minorEastAsia"/>
                <w:b/>
                <w:szCs w:val="24"/>
              </w:rPr>
              <w:t>噪声排放标准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项目位于云南东川产业园区四方地片区昆明旭鑫环保科技有限公司厂区，</w:t>
            </w:r>
            <w:r>
              <w:rPr>
                <w:rFonts w:hint="eastAsia" w:ascii="Times New Roman" w:hAnsi="Times New Roman" w:cs="Times New Roman"/>
                <w:sz w:val="24"/>
                <w:szCs w:val="24"/>
              </w:rPr>
              <w:t>根据</w:t>
            </w:r>
            <w:r>
              <w:rPr>
                <w:rFonts w:ascii="Times New Roman" w:hAnsi="Times New Roman" w:cs="Times New Roman"/>
                <w:sz w:val="24"/>
                <w:szCs w:val="24"/>
              </w:rPr>
              <w:t>《云南东川产业园区总体规划修编（2021-2035）环境影响报告书</w:t>
            </w:r>
            <w:r>
              <w:rPr>
                <w:rFonts w:hint="eastAsia" w:ascii="Times New Roman" w:hAnsi="Times New Roman" w:cs="Times New Roman"/>
                <w:sz w:val="24"/>
                <w:szCs w:val="24"/>
              </w:rPr>
              <w:t>》，</w:t>
            </w:r>
            <w:r>
              <w:rPr>
                <w:rFonts w:ascii="Times New Roman" w:hAnsi="Times New Roman" w:cs="Times New Roman"/>
                <w:sz w:val="24"/>
                <w:szCs w:val="24"/>
              </w:rPr>
              <w:t>该项目</w:t>
            </w:r>
            <w:r>
              <w:rPr>
                <w:rFonts w:hint="eastAsia" w:ascii="Times New Roman" w:hAnsi="Times New Roman" w:cs="Times New Roman"/>
                <w:sz w:val="24"/>
                <w:szCs w:val="24"/>
              </w:rPr>
              <w:t>区域执行</w:t>
            </w:r>
            <w:r>
              <w:rPr>
                <w:rFonts w:ascii="Times New Roman" w:hAnsi="Times New Roman" w:cs="Times New Roman"/>
                <w:sz w:val="24"/>
                <w:szCs w:val="24"/>
              </w:rPr>
              <w:t>《工业企业厂界环境噪声排放标准》（GB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-2008）</w:t>
            </w:r>
            <w:r>
              <w:rPr>
                <w:rFonts w:hint="eastAsia" w:ascii="Times New Roman" w:hAnsi="Times New Roman" w:cs="Times New Roman"/>
                <w:sz w:val="24"/>
                <w:szCs w:val="24"/>
              </w:rPr>
              <w:t>3</w:t>
            </w:r>
            <w:r>
              <w:rPr>
                <w:rFonts w:ascii="Times New Roman" w:hAnsi="Times New Roman" w:cs="Times New Roman"/>
                <w:sz w:val="24"/>
                <w:szCs w:val="24"/>
              </w:rPr>
              <w:t>类标准。标准限值详见下表。</w:t>
            </w:r>
          </w:p>
          <w:p>
            <w:pPr>
              <w:jc w:val="center"/>
              <w:rPr>
                <w:rFonts w:ascii="Times New Roman" w:hAnsi="Times New Roman" w:cs="Times New Roman"/>
                <w:b/>
                <w:szCs w:val="24"/>
              </w:rPr>
            </w:pPr>
            <w:r>
              <w:rPr>
                <w:rFonts w:ascii="Times New Roman" w:hAnsi="Times New Roman" w:cs="Times New Roman"/>
                <w:b/>
                <w:szCs w:val="24"/>
              </w:rPr>
              <w:t>表3.3.3-2 《工业企业厂界环境噪声排放标准》  Leq[dB（A）]</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8"/>
                    <w:spacing w:line="360" w:lineRule="exact"/>
                    <w:ind w:left="11"/>
                    <w:rPr>
                      <w:rFonts w:eastAsiaTheme="minorEastAsia"/>
                      <w:color w:val="auto"/>
                      <w:szCs w:val="21"/>
                    </w:rPr>
                  </w:pPr>
                  <w:r>
                    <w:rPr>
                      <w:rFonts w:eastAsiaTheme="minorEastAsia"/>
                      <w:color w:val="auto"/>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8"/>
                    <w:spacing w:line="360" w:lineRule="exact"/>
                    <w:ind w:left="11"/>
                    <w:rPr>
                      <w:rFonts w:eastAsiaTheme="minorEastAsia"/>
                      <w:color w:val="auto"/>
                      <w:szCs w:val="21"/>
                    </w:rPr>
                  </w:pP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8"/>
                    <w:spacing w:line="360" w:lineRule="exact"/>
                    <w:ind w:left="11"/>
                    <w:rPr>
                      <w:rFonts w:eastAsiaTheme="minorEastAsia"/>
                      <w:color w:val="auto"/>
                      <w:szCs w:val="21"/>
                    </w:rPr>
                  </w:pPr>
                  <w:r>
                    <w:rPr>
                      <w:rFonts w:hint="eastAsia" w:eastAsiaTheme="minorEastAsia"/>
                      <w:color w:val="auto"/>
                      <w:szCs w:val="21"/>
                    </w:rPr>
                    <w:t>3</w:t>
                  </w:r>
                  <w:r>
                    <w:rPr>
                      <w:rFonts w:eastAsiaTheme="minorEastAsia"/>
                      <w:color w:val="auto"/>
                      <w:szCs w:val="21"/>
                    </w:rPr>
                    <w:t>类</w:t>
                  </w: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w:t>
                  </w:r>
                  <w:r>
                    <w:rPr>
                      <w:rFonts w:hint="eastAsia" w:ascii="Times New Roman" w:hAnsi="Times New Roman" w:cs="Times New Roman"/>
                      <w:bCs/>
                      <w:snapToGrid w:val="0"/>
                      <w:kern w:val="32"/>
                      <w:lang w:val="zh-CN"/>
                    </w:rPr>
                    <w:t>5</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w:t>
                  </w:r>
                  <w:r>
                    <w:rPr>
                      <w:rFonts w:hint="eastAsia" w:ascii="Times New Roman" w:hAnsi="Times New Roman" w:cs="Times New Roman"/>
                      <w:bCs/>
                      <w:snapToGrid w:val="0"/>
                      <w:kern w:val="32"/>
                      <w:lang w:val="zh-CN"/>
                    </w:rPr>
                    <w:t>5</w:t>
                  </w:r>
                </w:p>
              </w:tc>
            </w:tr>
          </w:tbl>
          <w:p>
            <w:pPr>
              <w:pStyle w:val="36"/>
              <w:spacing w:beforeLines="50"/>
              <w:ind w:firstLine="482"/>
              <w:rPr>
                <w:rFonts w:eastAsiaTheme="minorEastAsia"/>
                <w:b/>
                <w:szCs w:val="24"/>
              </w:rPr>
            </w:pPr>
            <w:r>
              <w:rPr>
                <w:rFonts w:eastAsiaTheme="minorEastAsia"/>
                <w:b/>
                <w:szCs w:val="24"/>
              </w:rPr>
              <w:t xml:space="preserve">3.3.4 </w:t>
            </w:r>
            <w:r>
              <w:rPr>
                <w:b/>
                <w:szCs w:val="24"/>
              </w:rPr>
              <w:t>运营期</w:t>
            </w:r>
            <w:r>
              <w:rPr>
                <w:rFonts w:eastAsiaTheme="minorEastAsia"/>
                <w:b/>
                <w:szCs w:val="24"/>
              </w:rPr>
              <w:t>固废执行标准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危险废物</w:t>
            </w:r>
            <w:r>
              <w:rPr>
                <w:rFonts w:hint="eastAsia" w:ascii="Times New Roman" w:hAnsi="Times New Roman" w:cs="Times New Roman"/>
                <w:sz w:val="24"/>
                <w:szCs w:val="24"/>
              </w:rPr>
              <w:t>执行《危险废物贮存污染控制标准》（</w:t>
            </w:r>
            <w:r>
              <w:rPr>
                <w:rFonts w:ascii="Times New Roman" w:hAnsi="Times New Roman" w:cs="Times New Roman"/>
                <w:sz w:val="24"/>
                <w:szCs w:val="24"/>
              </w:rPr>
              <w:t>GB</w:t>
            </w:r>
            <w:r>
              <w:rPr>
                <w:rFonts w:hint="eastAsia" w:ascii="Times New Roman" w:hAnsi="Times New Roman" w:cs="Times New Roman"/>
                <w:sz w:val="24"/>
                <w:szCs w:val="24"/>
                <w:lang w:eastAsia="zh-CN"/>
              </w:rPr>
              <w:t>*****</w:t>
            </w:r>
            <w:r>
              <w:rPr>
                <w:rFonts w:ascii="Times New Roman" w:hAnsi="Times New Roman" w:cs="Times New Roman"/>
                <w:sz w:val="24"/>
                <w:szCs w:val="24"/>
              </w:rPr>
              <w:t>-2023</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8831" w:type="dxa"/>
            <w:vAlign w:val="center"/>
          </w:tcPr>
          <w:p>
            <w:pPr>
              <w:spacing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（1）废气产排量</w:t>
            </w:r>
          </w:p>
          <w:p>
            <w:pPr>
              <w:pStyle w:val="36"/>
              <w:ind w:firstLine="480"/>
              <w:rPr>
                <w:rFonts w:hint="eastAsia"/>
                <w:szCs w:val="24"/>
              </w:rPr>
            </w:pPr>
            <w:r>
              <w:rPr>
                <w:szCs w:val="24"/>
              </w:rPr>
              <w:t>有组织排放废气：废气量14016</w:t>
            </w:r>
            <w:r>
              <w:rPr>
                <w:rFonts w:hint="eastAsia"/>
                <w:szCs w:val="24"/>
              </w:rPr>
              <w:t>万</w:t>
            </w:r>
            <w:r>
              <w:rPr>
                <w:szCs w:val="24"/>
              </w:rPr>
              <w:t>m³</w:t>
            </w:r>
            <w:r>
              <w:rPr>
                <w:rFonts w:hint="eastAsia"/>
                <w:szCs w:val="24"/>
              </w:rPr>
              <w:t>/a</w:t>
            </w:r>
            <w:r>
              <w:rPr>
                <w:szCs w:val="24"/>
              </w:rPr>
              <w:t>，</w:t>
            </w:r>
            <w:r>
              <w:rPr>
                <w:rFonts w:hint="eastAsia"/>
                <w:szCs w:val="24"/>
              </w:rPr>
              <w:t>非甲烷总烃：</w:t>
            </w:r>
            <w:r>
              <w:rPr>
                <w:szCs w:val="24"/>
              </w:rPr>
              <w:t>0.38t/a</w:t>
            </w:r>
            <w:r>
              <w:rPr>
                <w:rFonts w:hint="eastAsia"/>
                <w:szCs w:val="24"/>
              </w:rPr>
              <w:t>；</w:t>
            </w:r>
            <w:r>
              <w:rPr>
                <w:szCs w:val="24"/>
              </w:rPr>
              <w:t>HCl</w:t>
            </w:r>
            <w:r>
              <w:rPr>
                <w:rFonts w:hint="eastAsia"/>
                <w:szCs w:val="24"/>
              </w:rPr>
              <w:t>：</w:t>
            </w:r>
            <w:r>
              <w:rPr>
                <w:szCs w:val="24"/>
              </w:rPr>
              <w:t>0.01t/a</w:t>
            </w:r>
            <w:r>
              <w:rPr>
                <w:rFonts w:hint="eastAsia"/>
                <w:szCs w:val="24"/>
              </w:rPr>
              <w:t>；氨：</w:t>
            </w:r>
            <w:r>
              <w:rPr>
                <w:szCs w:val="24"/>
              </w:rPr>
              <w:t>0.0</w:t>
            </w:r>
            <w:r>
              <w:rPr>
                <w:rFonts w:hint="eastAsia"/>
                <w:szCs w:val="24"/>
              </w:rPr>
              <w:t>8</w:t>
            </w:r>
            <w:r>
              <w:rPr>
                <w:szCs w:val="24"/>
              </w:rPr>
              <w:t>t/a</w:t>
            </w:r>
            <w:r>
              <w:rPr>
                <w:rFonts w:hint="eastAsia"/>
                <w:szCs w:val="24"/>
              </w:rPr>
              <w:t>；硫化氢：</w:t>
            </w:r>
            <w:r>
              <w:rPr>
                <w:szCs w:val="24"/>
              </w:rPr>
              <w:t>0.0</w:t>
            </w:r>
            <w:r>
              <w:rPr>
                <w:rFonts w:hint="eastAsia"/>
                <w:szCs w:val="24"/>
              </w:rPr>
              <w:t>006</w:t>
            </w:r>
            <w:r>
              <w:rPr>
                <w:szCs w:val="24"/>
              </w:rPr>
              <w:t>t/a</w:t>
            </w:r>
            <w:r>
              <w:rPr>
                <w:rFonts w:hint="eastAsia"/>
                <w:szCs w:val="24"/>
              </w:rPr>
              <w:t>。</w:t>
            </w:r>
          </w:p>
          <w:p>
            <w:pPr>
              <w:pStyle w:val="36"/>
              <w:ind w:firstLine="480"/>
              <w:rPr>
                <w:rFonts w:hint="eastAsia"/>
                <w:szCs w:val="24"/>
              </w:rPr>
            </w:pPr>
            <w:r>
              <w:rPr>
                <w:rFonts w:hint="eastAsia"/>
                <w:szCs w:val="24"/>
              </w:rPr>
              <w:t>无</w:t>
            </w:r>
            <w:r>
              <w:rPr>
                <w:szCs w:val="24"/>
              </w:rPr>
              <w:t>组织排放废气：</w:t>
            </w:r>
            <w:r>
              <w:rPr>
                <w:rFonts w:hint="eastAsia"/>
                <w:szCs w:val="24"/>
              </w:rPr>
              <w:t>非甲烷总烃：</w:t>
            </w:r>
            <w:r>
              <w:rPr>
                <w:szCs w:val="24"/>
              </w:rPr>
              <w:t>0.14t/a</w:t>
            </w:r>
            <w:r>
              <w:rPr>
                <w:rFonts w:hint="eastAsia"/>
                <w:szCs w:val="24"/>
              </w:rPr>
              <w:t>；</w:t>
            </w:r>
            <w:r>
              <w:rPr>
                <w:szCs w:val="24"/>
              </w:rPr>
              <w:t>HCl</w:t>
            </w:r>
            <w:r>
              <w:rPr>
                <w:rFonts w:hint="eastAsia"/>
                <w:szCs w:val="24"/>
              </w:rPr>
              <w:t>：</w:t>
            </w:r>
            <w:r>
              <w:rPr>
                <w:szCs w:val="24"/>
              </w:rPr>
              <w:t>0.056t/a</w:t>
            </w:r>
            <w:r>
              <w:rPr>
                <w:rFonts w:hint="eastAsia"/>
                <w:szCs w:val="24"/>
              </w:rPr>
              <w:t>；氨：</w:t>
            </w:r>
            <w:r>
              <w:rPr>
                <w:szCs w:val="24"/>
              </w:rPr>
              <w:t>0.05t/a</w:t>
            </w:r>
            <w:r>
              <w:rPr>
                <w:rFonts w:hint="eastAsia"/>
                <w:szCs w:val="24"/>
              </w:rPr>
              <w:t>；硫化氢：</w:t>
            </w:r>
            <w:r>
              <w:rPr>
                <w:szCs w:val="24"/>
              </w:rPr>
              <w:t>0.0</w:t>
            </w:r>
            <w:r>
              <w:rPr>
                <w:rFonts w:hint="eastAsia"/>
                <w:szCs w:val="24"/>
              </w:rPr>
              <w:t>004</w:t>
            </w:r>
            <w:r>
              <w:rPr>
                <w:szCs w:val="24"/>
              </w:rPr>
              <w:t>t/a</w:t>
            </w:r>
            <w:r>
              <w:rPr>
                <w:rFonts w:hint="eastAsia"/>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（2）废水总量控制指标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项目无生产废水和生活污水产生。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固体废物处置率为100%。</w:t>
            </w:r>
          </w:p>
          <w:p>
            <w:pPr>
              <w:pStyle w:val="36"/>
              <w:ind w:firstLine="480"/>
              <w:rPr>
                <w:rFonts w:hint="eastAsia"/>
                <w:szCs w:val="24"/>
                <w:highlight w:val="yellow"/>
              </w:rPr>
            </w:pPr>
          </w:p>
          <w:p>
            <w:pPr>
              <w:pStyle w:val="36"/>
              <w:ind w:firstLine="480"/>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四、主要环境影响和保护措施</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4.1 施工期环境保护措施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项目施工期仅为对</w:t>
            </w:r>
            <w:r>
              <w:rPr>
                <w:rFonts w:hint="eastAsia" w:ascii="Times New Roman" w:hAnsi="Times New Roman" w:cs="Times New Roman"/>
                <w:sz w:val="24"/>
                <w:szCs w:val="24"/>
              </w:rPr>
              <w:t>设计和</w:t>
            </w:r>
            <w:r>
              <w:rPr>
                <w:rFonts w:ascii="Times New Roman" w:hAnsi="Times New Roman" w:cs="Times New Roman"/>
                <w:sz w:val="24"/>
                <w:szCs w:val="24"/>
              </w:rPr>
              <w:t>环评提出的环保设施建设，拟采取的环境保护措施具体如下。</w:t>
            </w:r>
          </w:p>
          <w:p>
            <w:pPr>
              <w:pStyle w:val="36"/>
              <w:ind w:firstLine="482"/>
              <w:rPr>
                <w:rFonts w:eastAsiaTheme="minorEastAsia"/>
                <w:b/>
                <w:szCs w:val="24"/>
              </w:rPr>
            </w:pPr>
            <w:r>
              <w:rPr>
                <w:rFonts w:eastAsiaTheme="minorEastAsia"/>
                <w:b/>
                <w:szCs w:val="24"/>
              </w:rPr>
              <w:t>4.1.1 施工期废气污染防治措施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项目施工期拟采取的扬尘防治措施主要包括：</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焊接废气自然扩散；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Times New Roman" w:hAnsi="Times New Roman"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加强施工现场运输车辆管理。</w:t>
            </w:r>
            <w:bookmarkStart w:id="15" w:name="_Hlk137323025"/>
            <w:r>
              <w:rPr>
                <w:rFonts w:ascii="Times New Roman" w:hAnsi="Times New Roman" w:cs="Times New Roman"/>
                <w:sz w:val="24"/>
                <w:szCs w:val="24"/>
              </w:rPr>
              <w:t>运输扬尘</w:t>
            </w:r>
            <w:r>
              <w:rPr>
                <w:rFonts w:hint="eastAsia" w:ascii="Times New Roman" w:hAnsi="Times New Roman" w:cs="Times New Roman"/>
                <w:sz w:val="24"/>
                <w:szCs w:val="24"/>
              </w:rPr>
              <w:t>控制</w:t>
            </w:r>
            <w:r>
              <w:rPr>
                <w:rFonts w:ascii="Times New Roman" w:hAnsi="Times New Roman" w:cs="Times New Roman"/>
                <w:sz w:val="24"/>
                <w:szCs w:val="24"/>
              </w:rPr>
              <w:t>要求对运输车辆进行遮盖，并适时对场地内进行洒水降尘</w:t>
            </w:r>
            <w:bookmarkEnd w:id="15"/>
            <w:r>
              <w:rPr>
                <w:rFonts w:ascii="Times New Roman" w:hAnsi="Times New Roman" w:cs="Times New Roman"/>
                <w:sz w:val="24"/>
                <w:szCs w:val="24"/>
              </w:rPr>
              <w:t>。</w:t>
            </w:r>
          </w:p>
          <w:p>
            <w:pPr>
              <w:pStyle w:val="36"/>
              <w:ind w:firstLine="482"/>
              <w:rPr>
                <w:rFonts w:eastAsiaTheme="minorEastAsia"/>
                <w:b/>
                <w:szCs w:val="24"/>
              </w:rPr>
            </w:pPr>
            <w:r>
              <w:rPr>
                <w:rFonts w:eastAsiaTheme="minorEastAsia"/>
                <w:b/>
                <w:szCs w:val="24"/>
              </w:rPr>
              <w:t>4.1.2 施工期废水污染防治措施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①施工期施工人员不在项目区食宿，生活污水仅为洗手污水，通过收集后，回用于施工场地洒水降尘，不外排。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w:t>
            </w:r>
            <w:r>
              <w:rPr>
                <w:sz w:val="24"/>
                <w:szCs w:val="24"/>
              </w:rPr>
              <w:t>项目施工产生废水较</w:t>
            </w:r>
            <w:r>
              <w:rPr>
                <w:rFonts w:hint="eastAsia"/>
                <w:sz w:val="24"/>
                <w:szCs w:val="24"/>
              </w:rPr>
              <w:t>少</w:t>
            </w:r>
            <w:r>
              <w:rPr>
                <w:sz w:val="24"/>
                <w:szCs w:val="24"/>
              </w:rPr>
              <w:t>。用水主要为混凝土养护水，可采取合理使用混凝土养护水的方式避免产生废水</w:t>
            </w:r>
            <w:r>
              <w:rPr>
                <w:rFonts w:ascii="Times New Roman" w:hAnsi="Times New Roman" w:cs="Times New Roman"/>
                <w:sz w:val="24"/>
                <w:szCs w:val="24"/>
              </w:rPr>
              <w:t>。</w:t>
            </w:r>
          </w:p>
          <w:p>
            <w:pPr>
              <w:pStyle w:val="36"/>
              <w:ind w:firstLine="482"/>
              <w:rPr>
                <w:rFonts w:eastAsiaTheme="minorEastAsia"/>
                <w:b/>
                <w:szCs w:val="24"/>
              </w:rPr>
            </w:pPr>
            <w:r>
              <w:rPr>
                <w:rFonts w:eastAsiaTheme="minorEastAsia"/>
                <w:b/>
                <w:szCs w:val="24"/>
              </w:rPr>
              <w:t>4.1.3 施工期噪声污染防治措施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①加强施工期的操作规范；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③加强与周围居民的沟通，避免扰民事件发生。</w:t>
            </w:r>
          </w:p>
          <w:p>
            <w:pPr>
              <w:pStyle w:val="36"/>
              <w:ind w:firstLine="482"/>
              <w:rPr>
                <w:rFonts w:eastAsiaTheme="minorEastAsia"/>
                <w:b/>
                <w:szCs w:val="24"/>
              </w:rPr>
            </w:pPr>
            <w:r>
              <w:rPr>
                <w:rFonts w:eastAsiaTheme="minorEastAsia"/>
                <w:b/>
                <w:szCs w:val="24"/>
              </w:rPr>
              <w:t>4.1.4 施工期固体废物污染防治措施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①建设垃圾包括混凝土块、废木材、废钢材等，严格按照相关部门的要求，对其进行分类收集，其中废钢材收集后外售废品收购站，其他不能回收部分运至</w:t>
            </w:r>
            <w:r>
              <w:rPr>
                <w:rFonts w:hint="eastAsia" w:ascii="Times New Roman" w:hAnsi="Times New Roman" w:cs="Times New Roman"/>
                <w:sz w:val="24"/>
                <w:szCs w:val="24"/>
              </w:rPr>
              <w:t>园区</w:t>
            </w:r>
            <w:r>
              <w:rPr>
                <w:rFonts w:ascii="Times New Roman" w:hAnsi="Times New Roman" w:cs="Times New Roman"/>
                <w:sz w:val="24"/>
                <w:szCs w:val="24"/>
              </w:rPr>
              <w:t>指定地点进行合理处置。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②生活垃圾委托环卫部门清运处置。</w:t>
            </w: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（1）废气污染源强核算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根据项目贮存的危险废物类别分析，</w:t>
            </w:r>
            <w:r>
              <w:rPr>
                <w:rFonts w:ascii="Times New Roman" w:hAnsi="Times New Roman" w:cs="Times New Roman"/>
                <w:sz w:val="24"/>
                <w:szCs w:val="24"/>
              </w:rPr>
              <w:t>该项目产生的主要废气污染物为</w:t>
            </w:r>
            <w:r>
              <w:rPr>
                <w:rFonts w:hint="eastAsia" w:ascii="Times New Roman" w:hAnsi="Times New Roman" w:cs="Times New Roman"/>
                <w:sz w:val="24"/>
                <w:szCs w:val="24"/>
              </w:rPr>
              <w:t>有机废气（非甲烷总烃）、酸性废气（HCl）、恶臭废气（氨、硫化氢和臭气浓度）。</w:t>
            </w:r>
            <w:r>
              <w:rPr>
                <w:rFonts w:ascii="Times New Roman" w:hAnsi="Times New Roman" w:cs="Times New Roman"/>
                <w:sz w:val="24"/>
                <w:szCs w:val="24"/>
              </w:rPr>
              <w:t>具体产排情况核算如下：</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①有机废气（非甲烷总烃）产排核算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根据项目拟收集的危险废物种类中</w:t>
            </w:r>
            <w:r>
              <w:rPr>
                <w:rFonts w:ascii="Times New Roman" w:hAnsi="Times New Roman" w:cs="Times New Roman"/>
                <w:sz w:val="24"/>
                <w:szCs w:val="24"/>
              </w:rPr>
              <w:t>HW04</w:t>
            </w:r>
            <w:r>
              <w:rPr>
                <w:rFonts w:hint="eastAsia" w:ascii="Times New Roman" w:hAnsi="Times New Roman" w:cs="Times New Roman"/>
                <w:sz w:val="24"/>
                <w:szCs w:val="24"/>
              </w:rPr>
              <w:t xml:space="preserve"> </w:t>
            </w:r>
            <w:r>
              <w:rPr>
                <w:rFonts w:ascii="Times New Roman" w:hAnsi="Times New Roman" w:cs="Times New Roman"/>
                <w:sz w:val="24"/>
                <w:szCs w:val="24"/>
              </w:rPr>
              <w:t>农药废物</w:t>
            </w:r>
            <w:r>
              <w:rPr>
                <w:rFonts w:hint="eastAsia" w:ascii="Times New Roman" w:hAnsi="Times New Roman" w:cs="Times New Roman"/>
                <w:sz w:val="24"/>
                <w:szCs w:val="24"/>
              </w:rPr>
              <w:t>、</w:t>
            </w:r>
            <w:r>
              <w:rPr>
                <w:rFonts w:ascii="Times New Roman" w:hAnsi="Times New Roman" w:cs="Times New Roman"/>
                <w:sz w:val="24"/>
                <w:szCs w:val="24"/>
              </w:rPr>
              <w:t>HW06</w:t>
            </w:r>
            <w:r>
              <w:rPr>
                <w:rFonts w:hint="eastAsia" w:ascii="Times New Roman" w:hAnsi="Times New Roman" w:cs="Times New Roman"/>
                <w:sz w:val="24"/>
                <w:szCs w:val="24"/>
              </w:rPr>
              <w:t xml:space="preserve"> </w:t>
            </w:r>
            <w:r>
              <w:rPr>
                <w:rFonts w:ascii="Times New Roman" w:hAnsi="Times New Roman" w:cs="Times New Roman"/>
                <w:sz w:val="24"/>
                <w:szCs w:val="24"/>
              </w:rPr>
              <w:t>废有机溶剂与含有机溶剂废物</w:t>
            </w:r>
            <w:r>
              <w:rPr>
                <w:rFonts w:hint="eastAsia" w:ascii="Times New Roman" w:hAnsi="Times New Roman" w:cs="Times New Roman"/>
                <w:sz w:val="24"/>
                <w:szCs w:val="24"/>
              </w:rPr>
              <w:t>、</w:t>
            </w:r>
            <w:r>
              <w:rPr>
                <w:rFonts w:ascii="Times New Roman" w:hAnsi="Times New Roman" w:cs="Times New Roman"/>
                <w:sz w:val="24"/>
                <w:szCs w:val="24"/>
              </w:rPr>
              <w:t>HW08</w:t>
            </w:r>
            <w:r>
              <w:rPr>
                <w:rFonts w:hint="eastAsia" w:ascii="Times New Roman" w:hAnsi="Times New Roman" w:cs="Times New Roman"/>
                <w:sz w:val="24"/>
                <w:szCs w:val="24"/>
              </w:rPr>
              <w:t xml:space="preserve"> </w:t>
            </w:r>
            <w:r>
              <w:rPr>
                <w:rFonts w:ascii="Times New Roman" w:hAnsi="Times New Roman" w:cs="Times New Roman"/>
                <w:sz w:val="24"/>
                <w:szCs w:val="24"/>
              </w:rPr>
              <w:t>废矿物油与含矿物油废物</w:t>
            </w:r>
            <w:r>
              <w:rPr>
                <w:rFonts w:hint="eastAsia" w:ascii="Times New Roman" w:hAnsi="Times New Roman" w:cs="Times New Roman"/>
                <w:sz w:val="24"/>
                <w:szCs w:val="24"/>
              </w:rPr>
              <w:t>、</w:t>
            </w:r>
            <w:r>
              <w:rPr>
                <w:rFonts w:ascii="Times New Roman" w:hAnsi="Times New Roman" w:cs="Times New Roman"/>
                <w:sz w:val="24"/>
                <w:szCs w:val="24"/>
              </w:rPr>
              <w:t>HW09</w:t>
            </w:r>
            <w:r>
              <w:rPr>
                <w:rFonts w:hint="eastAsia" w:ascii="Times New Roman" w:hAnsi="Times New Roman" w:cs="Times New Roman"/>
                <w:sz w:val="24"/>
                <w:szCs w:val="24"/>
              </w:rPr>
              <w:t xml:space="preserve"> </w:t>
            </w:r>
            <w:r>
              <w:rPr>
                <w:rFonts w:ascii="Times New Roman" w:hAnsi="Times New Roman" w:cs="Times New Roman"/>
                <w:sz w:val="24"/>
                <w:szCs w:val="24"/>
              </w:rPr>
              <w:t>油/水、烃/水混合物或乳化液</w:t>
            </w:r>
            <w:r>
              <w:rPr>
                <w:rFonts w:hint="eastAsia" w:ascii="Times New Roman" w:hAnsi="Times New Roman" w:cs="Times New Roman"/>
                <w:sz w:val="24"/>
                <w:szCs w:val="24"/>
              </w:rPr>
              <w:t>、</w:t>
            </w:r>
            <w:r>
              <w:rPr>
                <w:rFonts w:ascii="Times New Roman" w:hAnsi="Times New Roman" w:cs="Times New Roman"/>
                <w:sz w:val="24"/>
                <w:szCs w:val="24"/>
              </w:rPr>
              <w:t>HW11</w:t>
            </w:r>
            <w:r>
              <w:rPr>
                <w:rFonts w:hint="eastAsia" w:ascii="Times New Roman" w:hAnsi="Times New Roman" w:cs="Times New Roman"/>
                <w:sz w:val="24"/>
                <w:szCs w:val="24"/>
              </w:rPr>
              <w:t xml:space="preserve"> </w:t>
            </w:r>
            <w:r>
              <w:rPr>
                <w:rFonts w:ascii="Times New Roman" w:hAnsi="Times New Roman" w:cs="Times New Roman"/>
                <w:sz w:val="24"/>
                <w:szCs w:val="24"/>
              </w:rPr>
              <w:t>精（蒸）馏残渣</w:t>
            </w:r>
            <w:r>
              <w:rPr>
                <w:rFonts w:hint="eastAsia" w:ascii="Times New Roman" w:hAnsi="Times New Roman" w:cs="Times New Roman"/>
                <w:sz w:val="24"/>
                <w:szCs w:val="24"/>
              </w:rPr>
              <w:t>、</w:t>
            </w:r>
            <w:r>
              <w:rPr>
                <w:rFonts w:ascii="Times New Roman" w:hAnsi="Times New Roman" w:cs="Times New Roman"/>
                <w:sz w:val="24"/>
                <w:szCs w:val="24"/>
              </w:rPr>
              <w:t>HW12</w:t>
            </w:r>
            <w:r>
              <w:rPr>
                <w:rFonts w:hint="eastAsia" w:ascii="Times New Roman" w:hAnsi="Times New Roman" w:cs="Times New Roman"/>
                <w:sz w:val="24"/>
                <w:szCs w:val="24"/>
              </w:rPr>
              <w:t xml:space="preserve"> </w:t>
            </w:r>
            <w:r>
              <w:rPr>
                <w:rFonts w:ascii="Times New Roman" w:hAnsi="Times New Roman" w:cs="Times New Roman"/>
                <w:sz w:val="24"/>
                <w:szCs w:val="24"/>
              </w:rPr>
              <w:t>染料、涂料废物</w:t>
            </w:r>
            <w:r>
              <w:rPr>
                <w:rFonts w:hint="eastAsia" w:ascii="Times New Roman" w:hAnsi="Times New Roman" w:cs="Times New Roman"/>
                <w:sz w:val="24"/>
                <w:szCs w:val="24"/>
              </w:rPr>
              <w:t>、</w:t>
            </w:r>
            <w:r>
              <w:rPr>
                <w:rFonts w:ascii="Times New Roman" w:hAnsi="Times New Roman" w:cs="Times New Roman"/>
                <w:sz w:val="24"/>
                <w:szCs w:val="24"/>
              </w:rPr>
              <w:t>HW13</w:t>
            </w:r>
            <w:r>
              <w:rPr>
                <w:rFonts w:hint="eastAsia" w:ascii="Times New Roman" w:hAnsi="Times New Roman" w:cs="Times New Roman"/>
                <w:sz w:val="24"/>
                <w:szCs w:val="24"/>
              </w:rPr>
              <w:t xml:space="preserve"> </w:t>
            </w:r>
            <w:r>
              <w:rPr>
                <w:rFonts w:ascii="Times New Roman" w:hAnsi="Times New Roman" w:cs="Times New Roman"/>
                <w:sz w:val="24"/>
                <w:szCs w:val="24"/>
              </w:rPr>
              <w:t>有机树脂类废物</w:t>
            </w:r>
            <w:r>
              <w:rPr>
                <w:rFonts w:hint="eastAsia" w:ascii="Times New Roman" w:hAnsi="Times New Roman" w:cs="Times New Roman"/>
                <w:sz w:val="24"/>
                <w:szCs w:val="24"/>
              </w:rPr>
              <w:t>类危险废物均含有可挥发性有机物，根据贮存方式可知，该项目上述危险废物的贮存情况如下表所示。</w:t>
            </w:r>
          </w:p>
          <w:p>
            <w:pPr>
              <w:jc w:val="center"/>
              <w:rPr>
                <w:rFonts w:ascii="Times New Roman" w:hAnsi="Times New Roman" w:eastAsia="宋体" w:cs="Times New Roman"/>
                <w:b/>
              </w:rPr>
            </w:pPr>
            <w:r>
              <w:rPr>
                <w:rFonts w:hint="eastAsia" w:ascii="Times New Roman" w:hAnsi="Times New Roman" w:eastAsia="宋体" w:cs="Times New Roman"/>
                <w:b/>
              </w:rPr>
              <w:t>表4.2.1-1 含有可挥发性有机物贮存情况一览表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701"/>
              <w:gridCol w:w="1276"/>
              <w:gridCol w:w="155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rFonts w:hint="eastAsia"/>
                      <w:color w:val="auto"/>
                      <w:kern w:val="0"/>
                      <w:szCs w:val="21"/>
                    </w:rPr>
                    <w:t>危险废物类别</w:t>
                  </w:r>
                </w:p>
              </w:tc>
              <w:tc>
                <w:tcPr>
                  <w:tcW w:w="1701" w:type="dxa"/>
                  <w:vAlign w:val="center"/>
                </w:tcPr>
                <w:p>
                  <w:pPr>
                    <w:pStyle w:val="28"/>
                    <w:spacing w:line="360" w:lineRule="exact"/>
                    <w:rPr>
                      <w:color w:val="auto"/>
                      <w:kern w:val="0"/>
                      <w:szCs w:val="21"/>
                    </w:rPr>
                  </w:pPr>
                  <w:r>
                    <w:rPr>
                      <w:rFonts w:hint="eastAsia"/>
                      <w:color w:val="auto"/>
                      <w:kern w:val="0"/>
                      <w:szCs w:val="21"/>
                    </w:rPr>
                    <w:t>液态危险废物包装形式</w:t>
                  </w:r>
                </w:p>
              </w:tc>
              <w:tc>
                <w:tcPr>
                  <w:tcW w:w="1276" w:type="dxa"/>
                  <w:vAlign w:val="center"/>
                </w:tcPr>
                <w:p>
                  <w:pPr>
                    <w:pStyle w:val="28"/>
                    <w:spacing w:line="360" w:lineRule="exact"/>
                    <w:rPr>
                      <w:color w:val="auto"/>
                      <w:kern w:val="0"/>
                      <w:szCs w:val="21"/>
                    </w:rPr>
                  </w:pPr>
                  <w:r>
                    <w:rPr>
                      <w:rFonts w:hint="eastAsia"/>
                      <w:color w:val="auto"/>
                      <w:kern w:val="0"/>
                      <w:szCs w:val="21"/>
                    </w:rPr>
                    <w:t>贮存区域</w:t>
                  </w:r>
                </w:p>
              </w:tc>
              <w:tc>
                <w:tcPr>
                  <w:tcW w:w="1559" w:type="dxa"/>
                  <w:vAlign w:val="center"/>
                </w:tcPr>
                <w:p>
                  <w:pPr>
                    <w:pStyle w:val="28"/>
                    <w:spacing w:line="360" w:lineRule="exact"/>
                    <w:rPr>
                      <w:color w:val="auto"/>
                      <w:kern w:val="0"/>
                      <w:szCs w:val="21"/>
                    </w:rPr>
                  </w:pPr>
                  <w:r>
                    <w:rPr>
                      <w:rFonts w:hint="eastAsia"/>
                      <w:color w:val="auto"/>
                      <w:kern w:val="0"/>
                      <w:szCs w:val="21"/>
                    </w:rPr>
                    <w:t>最大贮存量（t）</w:t>
                  </w:r>
                </w:p>
              </w:tc>
              <w:tc>
                <w:tcPr>
                  <w:tcW w:w="1350" w:type="dxa"/>
                  <w:vAlign w:val="center"/>
                </w:tcPr>
                <w:p>
                  <w:pPr>
                    <w:pStyle w:val="28"/>
                    <w:spacing w:line="360" w:lineRule="exact"/>
                    <w:rPr>
                      <w:color w:val="auto"/>
                      <w:kern w:val="0"/>
                      <w:szCs w:val="21"/>
                    </w:rPr>
                  </w:pPr>
                  <w:r>
                    <w:rPr>
                      <w:rFonts w:hint="eastAsia"/>
                      <w:color w:val="auto"/>
                      <w:kern w:val="0"/>
                      <w:szCs w:val="21"/>
                    </w:rPr>
                    <w:t>年收集量（</w:t>
                  </w:r>
                  <w:r>
                    <w:rPr>
                      <w:color w:val="auto"/>
                      <w:kern w:val="0"/>
                      <w:szCs w:val="21"/>
                    </w:rPr>
                    <w:t>t</w:t>
                  </w:r>
                  <w:r>
                    <w:rPr>
                      <w:rFonts w:hint="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color w:val="auto"/>
                      <w:kern w:val="0"/>
                      <w:szCs w:val="21"/>
                    </w:rPr>
                    <w:t>HW08</w:t>
                  </w:r>
                  <w:r>
                    <w:rPr>
                      <w:rFonts w:hint="eastAsia"/>
                      <w:color w:val="auto"/>
                      <w:kern w:val="0"/>
                      <w:szCs w:val="21"/>
                    </w:rPr>
                    <w:t>废矿物油与含矿物油废物</w:t>
                  </w:r>
                </w:p>
              </w:tc>
              <w:tc>
                <w:tcPr>
                  <w:tcW w:w="1701" w:type="dxa"/>
                  <w:vAlign w:val="center"/>
                </w:tcPr>
                <w:p>
                  <w:pPr>
                    <w:pStyle w:val="28"/>
                    <w:spacing w:line="360" w:lineRule="exact"/>
                    <w:rPr>
                      <w:color w:val="auto"/>
                      <w:kern w:val="0"/>
                      <w:szCs w:val="21"/>
                    </w:rPr>
                  </w:pPr>
                  <w:r>
                    <w:rPr>
                      <w:rFonts w:hint="eastAsia"/>
                      <w:color w:val="auto"/>
                      <w:kern w:val="0"/>
                      <w:szCs w:val="21"/>
                    </w:rPr>
                    <w:t>储罐、铁桶</w:t>
                  </w:r>
                </w:p>
              </w:tc>
              <w:tc>
                <w:tcPr>
                  <w:tcW w:w="1276" w:type="dxa"/>
                  <w:vAlign w:val="center"/>
                </w:tcPr>
                <w:p>
                  <w:pPr>
                    <w:pStyle w:val="28"/>
                    <w:spacing w:line="360" w:lineRule="exact"/>
                    <w:rPr>
                      <w:color w:val="auto"/>
                      <w:kern w:val="0"/>
                      <w:szCs w:val="21"/>
                    </w:rPr>
                  </w:pPr>
                  <w:r>
                    <w:rPr>
                      <w:rFonts w:hint="eastAsia"/>
                      <w:color w:val="auto"/>
                      <w:kern w:val="0"/>
                      <w:szCs w:val="21"/>
                    </w:rPr>
                    <w:t>1#贮存区</w:t>
                  </w:r>
                </w:p>
              </w:tc>
              <w:tc>
                <w:tcPr>
                  <w:tcW w:w="1559" w:type="dxa"/>
                  <w:vAlign w:val="center"/>
                </w:tcPr>
                <w:p>
                  <w:pPr>
                    <w:pStyle w:val="28"/>
                    <w:spacing w:line="360" w:lineRule="exact"/>
                    <w:rPr>
                      <w:color w:val="auto"/>
                      <w:kern w:val="0"/>
                      <w:szCs w:val="21"/>
                    </w:rPr>
                  </w:pPr>
                  <w:r>
                    <w:rPr>
                      <w:color w:val="auto"/>
                      <w:kern w:val="0"/>
                      <w:szCs w:val="21"/>
                    </w:rPr>
                    <w:t>98.33</w:t>
                  </w:r>
                </w:p>
              </w:tc>
              <w:tc>
                <w:tcPr>
                  <w:tcW w:w="1350" w:type="dxa"/>
                  <w:vAlign w:val="center"/>
                </w:tcPr>
                <w:p>
                  <w:pPr>
                    <w:pStyle w:val="28"/>
                    <w:spacing w:line="360" w:lineRule="exact"/>
                    <w:rPr>
                      <w:color w:val="auto"/>
                      <w:kern w:val="0"/>
                      <w:szCs w:val="21"/>
                    </w:rPr>
                  </w:pPr>
                  <w:r>
                    <w:rPr>
                      <w:color w:val="auto"/>
                      <w:kern w:val="0"/>
                      <w:szCs w:val="21"/>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color w:val="auto"/>
                      <w:kern w:val="0"/>
                      <w:szCs w:val="21"/>
                    </w:rPr>
                    <w:t>HW11</w:t>
                  </w:r>
                  <w:r>
                    <w:rPr>
                      <w:rFonts w:hint="eastAsia"/>
                      <w:color w:val="auto"/>
                      <w:kern w:val="0"/>
                      <w:szCs w:val="21"/>
                    </w:rPr>
                    <w:t>精（蒸）馏残渣</w:t>
                  </w:r>
                </w:p>
              </w:tc>
              <w:tc>
                <w:tcPr>
                  <w:tcW w:w="1701" w:type="dxa"/>
                  <w:vAlign w:val="center"/>
                </w:tcPr>
                <w:p>
                  <w:pPr>
                    <w:pStyle w:val="28"/>
                    <w:spacing w:line="360" w:lineRule="exact"/>
                    <w:rPr>
                      <w:color w:val="auto"/>
                      <w:kern w:val="0"/>
                      <w:szCs w:val="21"/>
                    </w:rPr>
                  </w:pPr>
                  <w:r>
                    <w:rPr>
                      <w:rFonts w:hint="eastAsia"/>
                      <w:color w:val="auto"/>
                      <w:kern w:val="0"/>
                      <w:szCs w:val="21"/>
                    </w:rPr>
                    <w:t>塑料桶</w:t>
                  </w:r>
                </w:p>
              </w:tc>
              <w:tc>
                <w:tcPr>
                  <w:tcW w:w="1276" w:type="dxa"/>
                  <w:vAlign w:val="center"/>
                </w:tcPr>
                <w:p>
                  <w:pPr>
                    <w:pStyle w:val="28"/>
                    <w:spacing w:line="360" w:lineRule="exact"/>
                    <w:rPr>
                      <w:color w:val="auto"/>
                      <w:kern w:val="0"/>
                      <w:szCs w:val="21"/>
                    </w:rPr>
                  </w:pPr>
                  <w:r>
                    <w:rPr>
                      <w:rFonts w:hint="eastAsia"/>
                      <w:color w:val="auto"/>
                      <w:kern w:val="0"/>
                      <w:szCs w:val="21"/>
                    </w:rPr>
                    <w:t>1#贮存区</w:t>
                  </w:r>
                </w:p>
              </w:tc>
              <w:tc>
                <w:tcPr>
                  <w:tcW w:w="1559" w:type="dxa"/>
                  <w:vAlign w:val="center"/>
                </w:tcPr>
                <w:p>
                  <w:pPr>
                    <w:pStyle w:val="28"/>
                    <w:spacing w:line="360" w:lineRule="exact"/>
                    <w:rPr>
                      <w:color w:val="auto"/>
                      <w:kern w:val="0"/>
                      <w:szCs w:val="21"/>
                    </w:rPr>
                  </w:pPr>
                  <w:r>
                    <w:rPr>
                      <w:color w:val="auto"/>
                      <w:kern w:val="0"/>
                      <w:szCs w:val="21"/>
                    </w:rPr>
                    <w:t>5.83</w:t>
                  </w:r>
                </w:p>
              </w:tc>
              <w:tc>
                <w:tcPr>
                  <w:tcW w:w="1350" w:type="dxa"/>
                  <w:vAlign w:val="center"/>
                </w:tcPr>
                <w:p>
                  <w:pPr>
                    <w:pStyle w:val="28"/>
                    <w:spacing w:line="360" w:lineRule="exact"/>
                    <w:rPr>
                      <w:color w:val="auto"/>
                      <w:kern w:val="0"/>
                      <w:szCs w:val="21"/>
                    </w:rPr>
                  </w:pPr>
                  <w:r>
                    <w:rPr>
                      <w:color w:val="auto"/>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color w:val="auto"/>
                      <w:kern w:val="0"/>
                      <w:szCs w:val="21"/>
                    </w:rPr>
                    <w:t>HW06</w:t>
                  </w:r>
                  <w:r>
                    <w:rPr>
                      <w:rFonts w:hint="eastAsia"/>
                      <w:color w:val="auto"/>
                      <w:kern w:val="0"/>
                      <w:szCs w:val="21"/>
                    </w:rPr>
                    <w:t>废有机溶剂与含有机溶剂废物</w:t>
                  </w:r>
                </w:p>
              </w:tc>
              <w:tc>
                <w:tcPr>
                  <w:tcW w:w="1701" w:type="dxa"/>
                  <w:vAlign w:val="center"/>
                </w:tcPr>
                <w:p>
                  <w:pPr>
                    <w:pStyle w:val="28"/>
                    <w:spacing w:line="360" w:lineRule="exact"/>
                    <w:rPr>
                      <w:color w:val="auto"/>
                      <w:kern w:val="0"/>
                      <w:szCs w:val="21"/>
                    </w:rPr>
                  </w:pPr>
                  <w:r>
                    <w:rPr>
                      <w:rFonts w:hint="eastAsia"/>
                      <w:color w:val="auto"/>
                      <w:kern w:val="0"/>
                      <w:szCs w:val="21"/>
                    </w:rPr>
                    <w:t>塑料桶</w:t>
                  </w:r>
                </w:p>
              </w:tc>
              <w:tc>
                <w:tcPr>
                  <w:tcW w:w="1276" w:type="dxa"/>
                  <w:vAlign w:val="center"/>
                </w:tcPr>
                <w:p>
                  <w:pPr>
                    <w:pStyle w:val="28"/>
                    <w:spacing w:line="360" w:lineRule="exact"/>
                    <w:rPr>
                      <w:color w:val="auto"/>
                      <w:kern w:val="0"/>
                      <w:szCs w:val="21"/>
                    </w:rPr>
                  </w:pPr>
                  <w:r>
                    <w:rPr>
                      <w:color w:val="auto"/>
                      <w:kern w:val="0"/>
                      <w:szCs w:val="21"/>
                    </w:rPr>
                    <w:t>2#</w:t>
                  </w:r>
                  <w:r>
                    <w:rPr>
                      <w:rFonts w:hint="eastAsia"/>
                      <w:color w:val="auto"/>
                      <w:kern w:val="0"/>
                      <w:szCs w:val="21"/>
                    </w:rPr>
                    <w:t>贮存区</w:t>
                  </w:r>
                </w:p>
              </w:tc>
              <w:tc>
                <w:tcPr>
                  <w:tcW w:w="1559" w:type="dxa"/>
                  <w:vAlign w:val="center"/>
                </w:tcPr>
                <w:p>
                  <w:pPr>
                    <w:pStyle w:val="28"/>
                    <w:spacing w:line="360" w:lineRule="exact"/>
                    <w:rPr>
                      <w:color w:val="auto"/>
                      <w:kern w:val="0"/>
                      <w:szCs w:val="21"/>
                    </w:rPr>
                  </w:pPr>
                  <w:r>
                    <w:rPr>
                      <w:color w:val="auto"/>
                      <w:kern w:val="0"/>
                      <w:szCs w:val="21"/>
                    </w:rPr>
                    <w:t>25.83</w:t>
                  </w:r>
                </w:p>
              </w:tc>
              <w:tc>
                <w:tcPr>
                  <w:tcW w:w="1350" w:type="dxa"/>
                  <w:vAlign w:val="center"/>
                </w:tcPr>
                <w:p>
                  <w:pPr>
                    <w:pStyle w:val="28"/>
                    <w:spacing w:line="360" w:lineRule="exact"/>
                    <w:rPr>
                      <w:color w:val="auto"/>
                      <w:kern w:val="0"/>
                      <w:szCs w:val="21"/>
                    </w:rPr>
                  </w:pPr>
                  <w:r>
                    <w:rPr>
                      <w:color w:val="auto"/>
                      <w:kern w:val="0"/>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color w:val="auto"/>
                      <w:kern w:val="0"/>
                      <w:szCs w:val="21"/>
                    </w:rPr>
                    <w:t>HW09</w:t>
                  </w:r>
                  <w:r>
                    <w:rPr>
                      <w:rFonts w:hint="eastAsia"/>
                      <w:color w:val="auto"/>
                      <w:kern w:val="0"/>
                      <w:szCs w:val="21"/>
                    </w:rPr>
                    <w:t>油</w:t>
                  </w:r>
                  <w:r>
                    <w:rPr>
                      <w:color w:val="auto"/>
                      <w:kern w:val="0"/>
                      <w:szCs w:val="21"/>
                    </w:rPr>
                    <w:t>/</w:t>
                  </w:r>
                  <w:r>
                    <w:rPr>
                      <w:rFonts w:hint="eastAsia"/>
                      <w:color w:val="auto"/>
                      <w:kern w:val="0"/>
                      <w:szCs w:val="21"/>
                    </w:rPr>
                    <w:t>水、烃</w:t>
                  </w:r>
                  <w:r>
                    <w:rPr>
                      <w:color w:val="auto"/>
                      <w:kern w:val="0"/>
                      <w:szCs w:val="21"/>
                    </w:rPr>
                    <w:t>/</w:t>
                  </w:r>
                  <w:r>
                    <w:rPr>
                      <w:rFonts w:hint="eastAsia"/>
                      <w:color w:val="auto"/>
                      <w:kern w:val="0"/>
                      <w:szCs w:val="21"/>
                    </w:rPr>
                    <w:t>水混合物或乳化液</w:t>
                  </w:r>
                </w:p>
              </w:tc>
              <w:tc>
                <w:tcPr>
                  <w:tcW w:w="1701" w:type="dxa"/>
                  <w:vAlign w:val="center"/>
                </w:tcPr>
                <w:p>
                  <w:pPr>
                    <w:pStyle w:val="28"/>
                    <w:spacing w:line="360" w:lineRule="exact"/>
                    <w:rPr>
                      <w:color w:val="auto"/>
                      <w:kern w:val="0"/>
                      <w:szCs w:val="21"/>
                    </w:rPr>
                  </w:pPr>
                  <w:r>
                    <w:rPr>
                      <w:rFonts w:hint="eastAsia"/>
                      <w:color w:val="auto"/>
                      <w:kern w:val="0"/>
                      <w:szCs w:val="21"/>
                    </w:rPr>
                    <w:t>塑料桶</w:t>
                  </w:r>
                </w:p>
              </w:tc>
              <w:tc>
                <w:tcPr>
                  <w:tcW w:w="1276" w:type="dxa"/>
                  <w:vAlign w:val="center"/>
                </w:tcPr>
                <w:p>
                  <w:pPr>
                    <w:pStyle w:val="28"/>
                    <w:spacing w:line="360" w:lineRule="exact"/>
                    <w:rPr>
                      <w:color w:val="auto"/>
                      <w:kern w:val="0"/>
                      <w:szCs w:val="21"/>
                    </w:rPr>
                  </w:pPr>
                  <w:r>
                    <w:rPr>
                      <w:color w:val="auto"/>
                      <w:kern w:val="0"/>
                      <w:szCs w:val="21"/>
                    </w:rPr>
                    <w:t>2#</w:t>
                  </w:r>
                  <w:r>
                    <w:rPr>
                      <w:rFonts w:hint="eastAsia"/>
                      <w:color w:val="auto"/>
                      <w:kern w:val="0"/>
                      <w:szCs w:val="21"/>
                    </w:rPr>
                    <w:t>贮存区</w:t>
                  </w:r>
                </w:p>
              </w:tc>
              <w:tc>
                <w:tcPr>
                  <w:tcW w:w="1559" w:type="dxa"/>
                  <w:vAlign w:val="center"/>
                </w:tcPr>
                <w:p>
                  <w:pPr>
                    <w:pStyle w:val="28"/>
                    <w:spacing w:line="360" w:lineRule="exact"/>
                    <w:rPr>
                      <w:color w:val="auto"/>
                      <w:kern w:val="0"/>
                      <w:szCs w:val="21"/>
                    </w:rPr>
                  </w:pPr>
                  <w:r>
                    <w:rPr>
                      <w:color w:val="auto"/>
                      <w:kern w:val="0"/>
                      <w:szCs w:val="21"/>
                    </w:rPr>
                    <w:t>17.5</w:t>
                  </w:r>
                </w:p>
              </w:tc>
              <w:tc>
                <w:tcPr>
                  <w:tcW w:w="1350" w:type="dxa"/>
                  <w:vAlign w:val="center"/>
                </w:tcPr>
                <w:p>
                  <w:pPr>
                    <w:pStyle w:val="28"/>
                    <w:spacing w:line="360" w:lineRule="exact"/>
                    <w:rPr>
                      <w:color w:val="auto"/>
                      <w:kern w:val="0"/>
                      <w:szCs w:val="21"/>
                    </w:rPr>
                  </w:pPr>
                  <w:r>
                    <w:rPr>
                      <w:color w:val="auto"/>
                      <w:kern w:val="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color w:val="auto"/>
                      <w:kern w:val="0"/>
                      <w:szCs w:val="21"/>
                    </w:rPr>
                    <w:t>HW12</w:t>
                  </w:r>
                  <w:r>
                    <w:rPr>
                      <w:rFonts w:hint="eastAsia"/>
                      <w:color w:val="auto"/>
                      <w:kern w:val="0"/>
                      <w:szCs w:val="21"/>
                    </w:rPr>
                    <w:t>染料、涂料废物</w:t>
                  </w:r>
                </w:p>
              </w:tc>
              <w:tc>
                <w:tcPr>
                  <w:tcW w:w="1701" w:type="dxa"/>
                  <w:vAlign w:val="center"/>
                </w:tcPr>
                <w:p>
                  <w:pPr>
                    <w:pStyle w:val="28"/>
                    <w:spacing w:line="360" w:lineRule="exact"/>
                    <w:rPr>
                      <w:color w:val="auto"/>
                      <w:kern w:val="0"/>
                      <w:szCs w:val="21"/>
                    </w:rPr>
                  </w:pPr>
                  <w:r>
                    <w:rPr>
                      <w:rFonts w:hint="eastAsia"/>
                      <w:color w:val="auto"/>
                      <w:kern w:val="0"/>
                      <w:szCs w:val="21"/>
                    </w:rPr>
                    <w:t>塑料桶/铁桶</w:t>
                  </w:r>
                </w:p>
              </w:tc>
              <w:tc>
                <w:tcPr>
                  <w:tcW w:w="1276" w:type="dxa"/>
                  <w:vAlign w:val="center"/>
                </w:tcPr>
                <w:p>
                  <w:pPr>
                    <w:pStyle w:val="28"/>
                    <w:spacing w:line="360" w:lineRule="exact"/>
                    <w:rPr>
                      <w:color w:val="auto"/>
                      <w:kern w:val="0"/>
                      <w:szCs w:val="21"/>
                    </w:rPr>
                  </w:pPr>
                  <w:r>
                    <w:rPr>
                      <w:color w:val="auto"/>
                      <w:kern w:val="0"/>
                      <w:szCs w:val="21"/>
                    </w:rPr>
                    <w:t>2#</w:t>
                  </w:r>
                  <w:r>
                    <w:rPr>
                      <w:rFonts w:hint="eastAsia"/>
                      <w:color w:val="auto"/>
                      <w:kern w:val="0"/>
                      <w:szCs w:val="21"/>
                    </w:rPr>
                    <w:t>贮存区</w:t>
                  </w:r>
                </w:p>
              </w:tc>
              <w:tc>
                <w:tcPr>
                  <w:tcW w:w="1559" w:type="dxa"/>
                  <w:vAlign w:val="center"/>
                </w:tcPr>
                <w:p>
                  <w:pPr>
                    <w:pStyle w:val="28"/>
                    <w:spacing w:line="360" w:lineRule="exact"/>
                    <w:rPr>
                      <w:color w:val="auto"/>
                      <w:kern w:val="0"/>
                      <w:szCs w:val="21"/>
                    </w:rPr>
                  </w:pPr>
                  <w:r>
                    <w:rPr>
                      <w:color w:val="auto"/>
                      <w:kern w:val="0"/>
                      <w:szCs w:val="21"/>
                    </w:rPr>
                    <w:t>50</w:t>
                  </w:r>
                </w:p>
              </w:tc>
              <w:tc>
                <w:tcPr>
                  <w:tcW w:w="1350" w:type="dxa"/>
                  <w:vAlign w:val="center"/>
                </w:tcPr>
                <w:p>
                  <w:pPr>
                    <w:pStyle w:val="28"/>
                    <w:spacing w:line="360" w:lineRule="exact"/>
                    <w:rPr>
                      <w:color w:val="auto"/>
                      <w:kern w:val="0"/>
                      <w:szCs w:val="21"/>
                    </w:rPr>
                  </w:pPr>
                  <w:r>
                    <w:rPr>
                      <w:color w:val="auto"/>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color w:val="auto"/>
                      <w:kern w:val="0"/>
                      <w:szCs w:val="21"/>
                    </w:rPr>
                    <w:t>HW13</w:t>
                  </w:r>
                  <w:r>
                    <w:rPr>
                      <w:rFonts w:hint="eastAsia"/>
                      <w:color w:val="auto"/>
                      <w:kern w:val="0"/>
                      <w:szCs w:val="21"/>
                    </w:rPr>
                    <w:t>有机树脂类废物</w:t>
                  </w:r>
                </w:p>
              </w:tc>
              <w:tc>
                <w:tcPr>
                  <w:tcW w:w="1701" w:type="dxa"/>
                  <w:vAlign w:val="center"/>
                </w:tcPr>
                <w:p>
                  <w:pPr>
                    <w:pStyle w:val="28"/>
                    <w:spacing w:line="360" w:lineRule="exact"/>
                    <w:rPr>
                      <w:color w:val="auto"/>
                      <w:kern w:val="0"/>
                      <w:szCs w:val="21"/>
                    </w:rPr>
                  </w:pPr>
                  <w:r>
                    <w:rPr>
                      <w:rFonts w:hint="eastAsia"/>
                      <w:color w:val="auto"/>
                      <w:kern w:val="0"/>
                      <w:szCs w:val="21"/>
                    </w:rPr>
                    <w:t>塑料桶</w:t>
                  </w:r>
                </w:p>
              </w:tc>
              <w:tc>
                <w:tcPr>
                  <w:tcW w:w="1276" w:type="dxa"/>
                  <w:vAlign w:val="center"/>
                </w:tcPr>
                <w:p>
                  <w:pPr>
                    <w:pStyle w:val="28"/>
                    <w:spacing w:line="360" w:lineRule="exact"/>
                    <w:rPr>
                      <w:color w:val="auto"/>
                      <w:kern w:val="0"/>
                      <w:szCs w:val="21"/>
                    </w:rPr>
                  </w:pPr>
                  <w:r>
                    <w:rPr>
                      <w:color w:val="auto"/>
                      <w:kern w:val="0"/>
                      <w:szCs w:val="21"/>
                    </w:rPr>
                    <w:t>2#</w:t>
                  </w:r>
                  <w:r>
                    <w:rPr>
                      <w:rFonts w:hint="eastAsia"/>
                      <w:color w:val="auto"/>
                      <w:kern w:val="0"/>
                      <w:szCs w:val="21"/>
                    </w:rPr>
                    <w:t>贮存区</w:t>
                  </w:r>
                </w:p>
              </w:tc>
              <w:tc>
                <w:tcPr>
                  <w:tcW w:w="1559" w:type="dxa"/>
                  <w:vAlign w:val="center"/>
                </w:tcPr>
                <w:p>
                  <w:pPr>
                    <w:pStyle w:val="28"/>
                    <w:spacing w:line="360" w:lineRule="exact"/>
                    <w:rPr>
                      <w:color w:val="auto"/>
                      <w:kern w:val="0"/>
                      <w:szCs w:val="21"/>
                    </w:rPr>
                  </w:pPr>
                  <w:r>
                    <w:rPr>
                      <w:color w:val="auto"/>
                      <w:kern w:val="0"/>
                      <w:szCs w:val="21"/>
                    </w:rPr>
                    <w:t>26.67</w:t>
                  </w:r>
                </w:p>
              </w:tc>
              <w:tc>
                <w:tcPr>
                  <w:tcW w:w="1350" w:type="dxa"/>
                  <w:vAlign w:val="center"/>
                </w:tcPr>
                <w:p>
                  <w:pPr>
                    <w:pStyle w:val="28"/>
                    <w:spacing w:line="360" w:lineRule="exact"/>
                    <w:rPr>
                      <w:color w:val="auto"/>
                      <w:kern w:val="0"/>
                      <w:szCs w:val="21"/>
                    </w:rPr>
                  </w:pPr>
                  <w:r>
                    <w:rPr>
                      <w:color w:val="auto"/>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dxa"/>
                  <w:vAlign w:val="center"/>
                </w:tcPr>
                <w:p>
                  <w:pPr>
                    <w:pStyle w:val="28"/>
                    <w:spacing w:line="360" w:lineRule="exact"/>
                    <w:rPr>
                      <w:color w:val="auto"/>
                      <w:kern w:val="0"/>
                      <w:szCs w:val="21"/>
                    </w:rPr>
                  </w:pPr>
                  <w:r>
                    <w:rPr>
                      <w:color w:val="auto"/>
                      <w:kern w:val="0"/>
                      <w:szCs w:val="21"/>
                    </w:rPr>
                    <w:t>HW04</w:t>
                  </w:r>
                  <w:r>
                    <w:rPr>
                      <w:rFonts w:hint="eastAsia"/>
                      <w:color w:val="auto"/>
                      <w:kern w:val="0"/>
                      <w:szCs w:val="21"/>
                    </w:rPr>
                    <w:t>农药废物</w:t>
                  </w:r>
                </w:p>
              </w:tc>
              <w:tc>
                <w:tcPr>
                  <w:tcW w:w="1701" w:type="dxa"/>
                  <w:vAlign w:val="center"/>
                </w:tcPr>
                <w:p>
                  <w:pPr>
                    <w:pStyle w:val="28"/>
                    <w:spacing w:line="360" w:lineRule="exact"/>
                    <w:rPr>
                      <w:color w:val="auto"/>
                      <w:kern w:val="0"/>
                      <w:szCs w:val="21"/>
                    </w:rPr>
                  </w:pPr>
                  <w:r>
                    <w:rPr>
                      <w:rFonts w:hint="eastAsia"/>
                      <w:color w:val="auto"/>
                      <w:kern w:val="0"/>
                      <w:szCs w:val="21"/>
                    </w:rPr>
                    <w:t>塑料桶</w:t>
                  </w:r>
                </w:p>
              </w:tc>
              <w:tc>
                <w:tcPr>
                  <w:tcW w:w="1276" w:type="dxa"/>
                  <w:vAlign w:val="center"/>
                </w:tcPr>
                <w:p>
                  <w:pPr>
                    <w:pStyle w:val="28"/>
                    <w:spacing w:line="360" w:lineRule="exact"/>
                    <w:rPr>
                      <w:color w:val="auto"/>
                      <w:kern w:val="0"/>
                      <w:szCs w:val="21"/>
                    </w:rPr>
                  </w:pPr>
                  <w:r>
                    <w:rPr>
                      <w:color w:val="auto"/>
                      <w:kern w:val="0"/>
                      <w:szCs w:val="21"/>
                    </w:rPr>
                    <w:t>3#</w:t>
                  </w:r>
                  <w:r>
                    <w:rPr>
                      <w:rFonts w:hint="eastAsia"/>
                      <w:color w:val="auto"/>
                      <w:kern w:val="0"/>
                      <w:szCs w:val="21"/>
                    </w:rPr>
                    <w:t>贮存区</w:t>
                  </w:r>
                </w:p>
              </w:tc>
              <w:tc>
                <w:tcPr>
                  <w:tcW w:w="1559" w:type="dxa"/>
                  <w:vAlign w:val="center"/>
                </w:tcPr>
                <w:p>
                  <w:pPr>
                    <w:pStyle w:val="28"/>
                    <w:spacing w:line="360" w:lineRule="exact"/>
                    <w:rPr>
                      <w:color w:val="auto"/>
                      <w:kern w:val="0"/>
                      <w:szCs w:val="21"/>
                    </w:rPr>
                  </w:pPr>
                  <w:r>
                    <w:rPr>
                      <w:color w:val="auto"/>
                      <w:kern w:val="0"/>
                      <w:szCs w:val="21"/>
                    </w:rPr>
                    <w:t>3.33</w:t>
                  </w:r>
                </w:p>
              </w:tc>
              <w:tc>
                <w:tcPr>
                  <w:tcW w:w="1350" w:type="dxa"/>
                  <w:vAlign w:val="center"/>
                </w:tcPr>
                <w:p>
                  <w:pPr>
                    <w:pStyle w:val="28"/>
                    <w:spacing w:line="360" w:lineRule="exact"/>
                    <w:rPr>
                      <w:color w:val="auto"/>
                      <w:kern w:val="0"/>
                      <w:szCs w:val="21"/>
                    </w:rPr>
                  </w:pPr>
                  <w:r>
                    <w:rPr>
                      <w:color w:val="auto"/>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6" w:type="dxa"/>
                  <w:gridSpan w:val="3"/>
                  <w:vAlign w:val="center"/>
                </w:tcPr>
                <w:p>
                  <w:pPr>
                    <w:pStyle w:val="28"/>
                    <w:spacing w:line="360" w:lineRule="exact"/>
                    <w:rPr>
                      <w:color w:val="auto"/>
                      <w:kern w:val="0"/>
                      <w:szCs w:val="21"/>
                    </w:rPr>
                  </w:pPr>
                  <w:r>
                    <w:rPr>
                      <w:rFonts w:hint="eastAsia"/>
                      <w:color w:val="auto"/>
                      <w:kern w:val="0"/>
                      <w:szCs w:val="21"/>
                    </w:rPr>
                    <w:t>合计</w:t>
                  </w:r>
                </w:p>
              </w:tc>
              <w:tc>
                <w:tcPr>
                  <w:tcW w:w="1559" w:type="dxa"/>
                  <w:vAlign w:val="center"/>
                </w:tcPr>
                <w:p>
                  <w:pPr>
                    <w:pStyle w:val="28"/>
                    <w:spacing w:line="360" w:lineRule="exact"/>
                    <w:rPr>
                      <w:color w:val="auto"/>
                      <w:kern w:val="0"/>
                      <w:szCs w:val="21"/>
                    </w:rPr>
                  </w:pPr>
                  <w:r>
                    <w:rPr>
                      <w:rFonts w:hint="eastAsia"/>
                      <w:color w:val="auto"/>
                      <w:kern w:val="0"/>
                      <w:szCs w:val="21"/>
                    </w:rPr>
                    <w:t>227.49</w:t>
                  </w:r>
                </w:p>
              </w:tc>
              <w:tc>
                <w:tcPr>
                  <w:tcW w:w="1350" w:type="dxa"/>
                  <w:vAlign w:val="center"/>
                </w:tcPr>
                <w:p>
                  <w:pPr>
                    <w:pStyle w:val="28"/>
                    <w:spacing w:line="360" w:lineRule="exact"/>
                    <w:rPr>
                      <w:color w:val="auto"/>
                      <w:kern w:val="0"/>
                      <w:szCs w:val="21"/>
                    </w:rPr>
                  </w:pPr>
                  <w:r>
                    <w:rPr>
                      <w:rFonts w:hint="eastAsia"/>
                      <w:color w:val="auto"/>
                      <w:kern w:val="0"/>
                      <w:szCs w:val="21"/>
                    </w:rPr>
                    <w:t>2730</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根据项目贮存的含有可挥发性有机物的危险废物的特点可知，废矿物油类危险废物不同于汽油、柴油等未使用的产品，矿物油中可能挥发的有机物大部分已在使用过程挥发，如</w:t>
            </w:r>
            <w:r>
              <w:rPr>
                <w:rFonts w:ascii="Times New Roman" w:hAnsi="Times New Roman" w:cs="Times New Roman"/>
                <w:sz w:val="24"/>
                <w:szCs w:val="24"/>
              </w:rPr>
              <w:t>HW08</w:t>
            </w:r>
            <w:r>
              <w:rPr>
                <w:rFonts w:hint="eastAsia" w:ascii="Times New Roman" w:hAnsi="Times New Roman" w:cs="Times New Roman"/>
                <w:sz w:val="24"/>
                <w:szCs w:val="24"/>
              </w:rPr>
              <w:t>废矿物油与含矿物油废物，其主要成分是芳烃系列混合物、多环芳烃、醚类等，其使用工序主要包括各类机械设备的润滑抗磨和降温等过程，大部分使用环境都经历过高温等条件，其易挥发的醚类、烃类物质已挥发；而主要收集到的</w:t>
            </w:r>
            <w:r>
              <w:rPr>
                <w:rFonts w:ascii="Times New Roman" w:hAnsi="Times New Roman" w:cs="Times New Roman"/>
                <w:sz w:val="24"/>
                <w:szCs w:val="24"/>
              </w:rPr>
              <w:t>HW08</w:t>
            </w:r>
            <w:r>
              <w:rPr>
                <w:rFonts w:hint="eastAsia" w:ascii="Times New Roman" w:hAnsi="Times New Roman" w:cs="Times New Roman"/>
                <w:sz w:val="24"/>
                <w:szCs w:val="24"/>
              </w:rPr>
              <w:t>废矿物油与含矿物油废物所含成分都是不易挥发的芳烃系列混合物、多环芳烃和杂质等，其他类别的含有可挥发性有机物也是同理，可挥发的有机物大部分已在使用过程挥发，仅少部分在变为危险废物之后挥发；且上述危险废物主要采用储罐、铁桶、塑料桶等</w:t>
            </w:r>
            <w:r>
              <w:rPr>
                <w:rFonts w:ascii="Times New Roman" w:hAnsi="Times New Roman" w:cs="Times New Roman"/>
                <w:sz w:val="24"/>
                <w:szCs w:val="24"/>
              </w:rPr>
              <w:t>盛装，从入库到出库整个环节都保持</w:t>
            </w:r>
            <w:r>
              <w:rPr>
                <w:rFonts w:hint="eastAsia" w:ascii="Times New Roman" w:hAnsi="Times New Roman" w:cs="Times New Roman"/>
                <w:sz w:val="24"/>
                <w:szCs w:val="24"/>
              </w:rPr>
              <w:t>危险废物</w:t>
            </w:r>
            <w:r>
              <w:rPr>
                <w:rFonts w:ascii="Times New Roman" w:hAnsi="Times New Roman" w:cs="Times New Roman"/>
                <w:sz w:val="24"/>
                <w:szCs w:val="24"/>
              </w:rPr>
              <w:t>的原始包装状态，贮存过程没有打开包装和分装环节</w:t>
            </w:r>
            <w:r>
              <w:rPr>
                <w:rFonts w:hint="eastAsia" w:ascii="Times New Roman" w:hAnsi="Times New Roman" w:cs="Times New Roman"/>
                <w:sz w:val="24"/>
                <w:szCs w:val="24"/>
              </w:rPr>
              <w:t>，因此该项目收集的危险废物在贮存和转移过程中，其有机废气（非甲烷总烃）产生量不大。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环评参考《环境影响评价实用技术指南》提供的数据对有机废气（非甲烷总烃）进行核算，有机物挥发排污系数按物料量的0.1‰-0.4‰，基于上述原因，本环评取平均值0.25‰，项目拟收集的各类含有可挥发性有机物的危险废物最大贮存量为227.49t/d、年收集量为2730t/a，则有机废气（非甲烷总烃）产生量为0.68t/a，最大日产生量为0.057t/a（2.37kg/h）。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有机废气（非甲烷总烃）的处理效率约为30%，则有机废气（非甲烷总烃）：有组织产生浓度为118.5mg/m³，排放浓度为82.95mg/m³，排放速率为1.33kg/h，排放量为0.38t/a，无组织排放量为0.14t/a。</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②酸性废气（HCl）产排核算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根据项目拟收集的危险废物种类中</w:t>
            </w:r>
            <w:r>
              <w:rPr>
                <w:rFonts w:ascii="Times New Roman" w:hAnsi="Times New Roman" w:cs="Times New Roman"/>
                <w:sz w:val="24"/>
                <w:szCs w:val="24"/>
              </w:rPr>
              <w:t>HW16感光材料废物</w:t>
            </w:r>
            <w:r>
              <w:rPr>
                <w:rFonts w:hint="eastAsia" w:ascii="Times New Roman" w:hAnsi="Times New Roman" w:cs="Times New Roman"/>
                <w:sz w:val="24"/>
                <w:szCs w:val="24"/>
              </w:rPr>
              <w:t>、</w:t>
            </w:r>
            <w:r>
              <w:rPr>
                <w:rFonts w:ascii="Times New Roman" w:hAnsi="Times New Roman" w:cs="Times New Roman"/>
                <w:sz w:val="24"/>
                <w:szCs w:val="24"/>
              </w:rPr>
              <w:t>HW17表面处理废物</w:t>
            </w:r>
            <w:r>
              <w:rPr>
                <w:rFonts w:hint="eastAsia" w:ascii="Times New Roman" w:hAnsi="Times New Roman" w:cs="Times New Roman"/>
                <w:sz w:val="24"/>
                <w:szCs w:val="24"/>
              </w:rPr>
              <w:t>、</w:t>
            </w:r>
            <w:r>
              <w:rPr>
                <w:rFonts w:ascii="Times New Roman" w:hAnsi="Times New Roman" w:cs="Times New Roman"/>
                <w:sz w:val="24"/>
                <w:szCs w:val="24"/>
              </w:rPr>
              <w:t>HW34废酸</w:t>
            </w:r>
            <w:r>
              <w:rPr>
                <w:rFonts w:hint="eastAsia" w:ascii="Times New Roman" w:hAnsi="Times New Roman" w:cs="Times New Roman"/>
                <w:sz w:val="24"/>
                <w:szCs w:val="24"/>
              </w:rPr>
              <w:t>危险废物均含挥发性酸性物质，根据贮存方式可知，该项目上述危险废物的贮存情况如下表所示。</w:t>
            </w:r>
          </w:p>
          <w:p>
            <w:pPr>
              <w:jc w:val="center"/>
              <w:rPr>
                <w:rFonts w:ascii="Times New Roman" w:hAnsi="Times New Roman" w:eastAsia="宋体" w:cs="Times New Roman"/>
                <w:b/>
              </w:rPr>
            </w:pPr>
            <w:r>
              <w:rPr>
                <w:rFonts w:hint="eastAsia" w:ascii="Times New Roman" w:hAnsi="Times New Roman" w:eastAsia="宋体" w:cs="Times New Roman"/>
                <w:b/>
              </w:rPr>
              <w:t>表4.2.1-2 含挥发性酸性物质贮存情况一览表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574"/>
              <w:gridCol w:w="1578"/>
              <w:gridCol w:w="1559"/>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8"/>
                    <w:spacing w:line="360" w:lineRule="exact"/>
                    <w:rPr>
                      <w:color w:val="auto"/>
                      <w:szCs w:val="21"/>
                    </w:rPr>
                  </w:pPr>
                  <w:r>
                    <w:rPr>
                      <w:rFonts w:hint="eastAsia"/>
                      <w:color w:val="auto"/>
                      <w:szCs w:val="21"/>
                    </w:rPr>
                    <w:t>危险废物类别</w:t>
                  </w:r>
                </w:p>
              </w:tc>
              <w:tc>
                <w:tcPr>
                  <w:tcW w:w="1559" w:type="dxa"/>
                  <w:vAlign w:val="center"/>
                </w:tcPr>
                <w:p>
                  <w:pPr>
                    <w:pStyle w:val="28"/>
                    <w:spacing w:line="360" w:lineRule="exact"/>
                    <w:rPr>
                      <w:color w:val="auto"/>
                      <w:szCs w:val="21"/>
                    </w:rPr>
                  </w:pPr>
                  <w:r>
                    <w:rPr>
                      <w:rFonts w:hint="eastAsia"/>
                      <w:color w:val="auto"/>
                      <w:szCs w:val="21"/>
                    </w:rPr>
                    <w:t>液态危险废物包装形式</w:t>
                  </w:r>
                </w:p>
              </w:tc>
              <w:tc>
                <w:tcPr>
                  <w:tcW w:w="1563" w:type="dxa"/>
                  <w:vAlign w:val="center"/>
                </w:tcPr>
                <w:p>
                  <w:pPr>
                    <w:pStyle w:val="28"/>
                    <w:spacing w:line="360" w:lineRule="exact"/>
                    <w:rPr>
                      <w:color w:val="auto"/>
                      <w:szCs w:val="21"/>
                    </w:rPr>
                  </w:pPr>
                  <w:r>
                    <w:rPr>
                      <w:rFonts w:hint="eastAsia"/>
                      <w:color w:val="auto"/>
                      <w:szCs w:val="21"/>
                    </w:rPr>
                    <w:t>贮存区域</w:t>
                  </w:r>
                </w:p>
              </w:tc>
              <w:tc>
                <w:tcPr>
                  <w:tcW w:w="1544" w:type="dxa"/>
                  <w:vAlign w:val="center"/>
                </w:tcPr>
                <w:p>
                  <w:pPr>
                    <w:pStyle w:val="28"/>
                    <w:spacing w:line="360" w:lineRule="exact"/>
                    <w:rPr>
                      <w:color w:val="auto"/>
                      <w:szCs w:val="21"/>
                    </w:rPr>
                  </w:pPr>
                  <w:r>
                    <w:rPr>
                      <w:rFonts w:hint="eastAsia"/>
                      <w:color w:val="auto"/>
                      <w:szCs w:val="21"/>
                    </w:rPr>
                    <w:t>最大贮存量（t）</w:t>
                  </w:r>
                </w:p>
              </w:tc>
              <w:tc>
                <w:tcPr>
                  <w:tcW w:w="1338" w:type="dxa"/>
                  <w:vAlign w:val="center"/>
                </w:tcPr>
                <w:p>
                  <w:pPr>
                    <w:pStyle w:val="28"/>
                    <w:spacing w:line="360" w:lineRule="exact"/>
                    <w:rPr>
                      <w:color w:val="auto"/>
                      <w:szCs w:val="21"/>
                    </w:rPr>
                  </w:pPr>
                  <w:r>
                    <w:rPr>
                      <w:rFonts w:hint="eastAsia"/>
                      <w:color w:val="auto"/>
                      <w:szCs w:val="21"/>
                    </w:rPr>
                    <w:t>年收集量（</w:t>
                  </w:r>
                  <w:r>
                    <w:rPr>
                      <w:color w:val="auto"/>
                      <w:szCs w:val="21"/>
                    </w:rPr>
                    <w:t>t</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8"/>
                    <w:spacing w:line="360" w:lineRule="exact"/>
                    <w:rPr>
                      <w:color w:val="auto"/>
                      <w:szCs w:val="21"/>
                    </w:rPr>
                  </w:pPr>
                  <w:r>
                    <w:rPr>
                      <w:color w:val="auto"/>
                      <w:szCs w:val="21"/>
                    </w:rPr>
                    <w:t>HW16感光材料废物</w:t>
                  </w:r>
                </w:p>
              </w:tc>
              <w:tc>
                <w:tcPr>
                  <w:tcW w:w="1559" w:type="dxa"/>
                  <w:vAlign w:val="center"/>
                </w:tcPr>
                <w:p>
                  <w:pPr>
                    <w:pStyle w:val="28"/>
                    <w:spacing w:line="360" w:lineRule="exact"/>
                    <w:rPr>
                      <w:color w:val="auto"/>
                      <w:szCs w:val="21"/>
                    </w:rPr>
                  </w:pPr>
                  <w:r>
                    <w:rPr>
                      <w:rFonts w:hint="eastAsia"/>
                      <w:color w:val="auto"/>
                      <w:szCs w:val="21"/>
                    </w:rPr>
                    <w:t>塑料桶</w:t>
                  </w:r>
                </w:p>
              </w:tc>
              <w:tc>
                <w:tcPr>
                  <w:tcW w:w="1563" w:type="dxa"/>
                  <w:vAlign w:val="center"/>
                </w:tcPr>
                <w:p>
                  <w:pPr>
                    <w:pStyle w:val="28"/>
                    <w:spacing w:line="360" w:lineRule="exact"/>
                    <w:rPr>
                      <w:color w:val="auto"/>
                      <w:szCs w:val="21"/>
                    </w:rPr>
                  </w:pPr>
                  <w:r>
                    <w:rPr>
                      <w:color w:val="auto"/>
                      <w:szCs w:val="21"/>
                    </w:rPr>
                    <w:t>4#</w:t>
                  </w:r>
                  <w:r>
                    <w:rPr>
                      <w:rFonts w:hint="eastAsia"/>
                      <w:color w:val="auto"/>
                      <w:szCs w:val="21"/>
                    </w:rPr>
                    <w:t>贮存区</w:t>
                  </w:r>
                </w:p>
              </w:tc>
              <w:tc>
                <w:tcPr>
                  <w:tcW w:w="1544" w:type="dxa"/>
                  <w:vAlign w:val="center"/>
                </w:tcPr>
                <w:p>
                  <w:pPr>
                    <w:pStyle w:val="28"/>
                    <w:spacing w:line="360" w:lineRule="exact"/>
                    <w:rPr>
                      <w:color w:val="auto"/>
                      <w:szCs w:val="21"/>
                    </w:rPr>
                  </w:pPr>
                  <w:r>
                    <w:rPr>
                      <w:color w:val="auto"/>
                      <w:szCs w:val="21"/>
                    </w:rPr>
                    <w:t>15.83</w:t>
                  </w:r>
                </w:p>
              </w:tc>
              <w:tc>
                <w:tcPr>
                  <w:tcW w:w="1338" w:type="dxa"/>
                  <w:vAlign w:val="center"/>
                </w:tcPr>
                <w:p>
                  <w:pPr>
                    <w:pStyle w:val="28"/>
                    <w:spacing w:line="360" w:lineRule="exact"/>
                    <w:rPr>
                      <w:color w:val="auto"/>
                      <w:szCs w:val="21"/>
                    </w:rPr>
                  </w:pPr>
                  <w:r>
                    <w:rPr>
                      <w:color w:val="auto"/>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8"/>
                    <w:spacing w:line="360" w:lineRule="exact"/>
                    <w:rPr>
                      <w:color w:val="auto"/>
                      <w:szCs w:val="21"/>
                    </w:rPr>
                  </w:pPr>
                  <w:r>
                    <w:rPr>
                      <w:color w:val="auto"/>
                      <w:szCs w:val="21"/>
                    </w:rPr>
                    <w:t>HW17表面处理废物</w:t>
                  </w:r>
                </w:p>
              </w:tc>
              <w:tc>
                <w:tcPr>
                  <w:tcW w:w="1559" w:type="dxa"/>
                  <w:vAlign w:val="center"/>
                </w:tcPr>
                <w:p>
                  <w:pPr>
                    <w:pStyle w:val="28"/>
                    <w:spacing w:line="360" w:lineRule="exact"/>
                    <w:rPr>
                      <w:color w:val="auto"/>
                      <w:szCs w:val="21"/>
                    </w:rPr>
                  </w:pPr>
                  <w:r>
                    <w:rPr>
                      <w:rFonts w:hint="eastAsia"/>
                      <w:color w:val="auto"/>
                      <w:szCs w:val="21"/>
                    </w:rPr>
                    <w:t>塑料桶</w:t>
                  </w:r>
                </w:p>
              </w:tc>
              <w:tc>
                <w:tcPr>
                  <w:tcW w:w="1563" w:type="dxa"/>
                  <w:vAlign w:val="center"/>
                </w:tcPr>
                <w:p>
                  <w:pPr>
                    <w:pStyle w:val="28"/>
                    <w:spacing w:line="360" w:lineRule="exact"/>
                    <w:rPr>
                      <w:color w:val="auto"/>
                      <w:szCs w:val="21"/>
                    </w:rPr>
                  </w:pPr>
                  <w:r>
                    <w:rPr>
                      <w:color w:val="auto"/>
                      <w:szCs w:val="21"/>
                    </w:rPr>
                    <w:t>6#</w:t>
                  </w:r>
                  <w:r>
                    <w:rPr>
                      <w:rFonts w:hint="eastAsia"/>
                      <w:color w:val="auto"/>
                      <w:szCs w:val="21"/>
                    </w:rPr>
                    <w:t>贮存区</w:t>
                  </w:r>
                </w:p>
              </w:tc>
              <w:tc>
                <w:tcPr>
                  <w:tcW w:w="1544" w:type="dxa"/>
                  <w:vAlign w:val="center"/>
                </w:tcPr>
                <w:p>
                  <w:pPr>
                    <w:pStyle w:val="28"/>
                    <w:spacing w:line="360" w:lineRule="exact"/>
                    <w:rPr>
                      <w:color w:val="auto"/>
                      <w:szCs w:val="21"/>
                    </w:rPr>
                  </w:pPr>
                  <w:r>
                    <w:rPr>
                      <w:color w:val="auto"/>
                      <w:szCs w:val="21"/>
                    </w:rPr>
                    <w:t>14.17</w:t>
                  </w:r>
                </w:p>
              </w:tc>
              <w:tc>
                <w:tcPr>
                  <w:tcW w:w="1338" w:type="dxa"/>
                  <w:vAlign w:val="center"/>
                </w:tcPr>
                <w:p>
                  <w:pPr>
                    <w:pStyle w:val="28"/>
                    <w:spacing w:line="360" w:lineRule="exact"/>
                    <w:rPr>
                      <w:color w:val="auto"/>
                      <w:szCs w:val="21"/>
                    </w:rPr>
                  </w:pPr>
                  <w:r>
                    <w:rPr>
                      <w:color w:val="auto"/>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28"/>
                    <w:spacing w:line="360" w:lineRule="exact"/>
                    <w:rPr>
                      <w:color w:val="auto"/>
                      <w:szCs w:val="21"/>
                    </w:rPr>
                  </w:pPr>
                  <w:r>
                    <w:rPr>
                      <w:color w:val="auto"/>
                      <w:szCs w:val="21"/>
                    </w:rPr>
                    <w:t>HW34废酸</w:t>
                  </w:r>
                </w:p>
              </w:tc>
              <w:tc>
                <w:tcPr>
                  <w:tcW w:w="1559" w:type="dxa"/>
                  <w:vAlign w:val="center"/>
                </w:tcPr>
                <w:p>
                  <w:pPr>
                    <w:pStyle w:val="28"/>
                    <w:spacing w:line="360" w:lineRule="exact"/>
                    <w:rPr>
                      <w:color w:val="auto"/>
                      <w:szCs w:val="21"/>
                    </w:rPr>
                  </w:pPr>
                  <w:r>
                    <w:rPr>
                      <w:rFonts w:hint="eastAsia"/>
                      <w:color w:val="auto"/>
                      <w:szCs w:val="21"/>
                    </w:rPr>
                    <w:t>塑料桶</w:t>
                  </w:r>
                </w:p>
              </w:tc>
              <w:tc>
                <w:tcPr>
                  <w:tcW w:w="1563" w:type="dxa"/>
                  <w:vAlign w:val="center"/>
                </w:tcPr>
                <w:p>
                  <w:pPr>
                    <w:pStyle w:val="28"/>
                    <w:spacing w:line="360" w:lineRule="exact"/>
                    <w:rPr>
                      <w:color w:val="auto"/>
                      <w:szCs w:val="21"/>
                    </w:rPr>
                  </w:pPr>
                  <w:r>
                    <w:rPr>
                      <w:color w:val="auto"/>
                      <w:szCs w:val="21"/>
                    </w:rPr>
                    <w:t>4#</w:t>
                  </w:r>
                  <w:r>
                    <w:rPr>
                      <w:rFonts w:hint="eastAsia"/>
                      <w:color w:val="auto"/>
                      <w:szCs w:val="21"/>
                    </w:rPr>
                    <w:t>贮存区</w:t>
                  </w:r>
                </w:p>
              </w:tc>
              <w:tc>
                <w:tcPr>
                  <w:tcW w:w="1544" w:type="dxa"/>
                  <w:vAlign w:val="center"/>
                </w:tcPr>
                <w:p>
                  <w:pPr>
                    <w:pStyle w:val="28"/>
                    <w:spacing w:line="360" w:lineRule="exact"/>
                    <w:rPr>
                      <w:color w:val="auto"/>
                      <w:szCs w:val="21"/>
                    </w:rPr>
                  </w:pPr>
                  <w:r>
                    <w:rPr>
                      <w:color w:val="auto"/>
                      <w:szCs w:val="21"/>
                    </w:rPr>
                    <w:t>16.67</w:t>
                  </w:r>
                </w:p>
              </w:tc>
              <w:tc>
                <w:tcPr>
                  <w:tcW w:w="1338" w:type="dxa"/>
                  <w:vAlign w:val="center"/>
                </w:tcPr>
                <w:p>
                  <w:pPr>
                    <w:pStyle w:val="28"/>
                    <w:spacing w:line="360" w:lineRule="exact"/>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0" w:type="dxa"/>
                  <w:gridSpan w:val="3"/>
                  <w:vAlign w:val="center"/>
                </w:tcPr>
                <w:p>
                  <w:pPr>
                    <w:pStyle w:val="28"/>
                    <w:spacing w:line="360" w:lineRule="exact"/>
                    <w:rPr>
                      <w:color w:val="auto"/>
                      <w:szCs w:val="21"/>
                    </w:rPr>
                  </w:pPr>
                  <w:r>
                    <w:rPr>
                      <w:rFonts w:hint="eastAsia"/>
                      <w:color w:val="auto"/>
                      <w:szCs w:val="21"/>
                    </w:rPr>
                    <w:t>合计</w:t>
                  </w:r>
                </w:p>
              </w:tc>
              <w:tc>
                <w:tcPr>
                  <w:tcW w:w="1544" w:type="dxa"/>
                  <w:vAlign w:val="center"/>
                </w:tcPr>
                <w:p>
                  <w:pPr>
                    <w:pStyle w:val="28"/>
                    <w:spacing w:line="360" w:lineRule="exact"/>
                    <w:rPr>
                      <w:color w:val="auto"/>
                      <w:szCs w:val="21"/>
                    </w:rPr>
                  </w:pPr>
                  <w:r>
                    <w:rPr>
                      <w:rFonts w:hint="eastAsia"/>
                      <w:color w:val="auto"/>
                      <w:szCs w:val="21"/>
                    </w:rPr>
                    <w:t>46.67</w:t>
                  </w:r>
                </w:p>
              </w:tc>
              <w:tc>
                <w:tcPr>
                  <w:tcW w:w="1338" w:type="dxa"/>
                  <w:vAlign w:val="center"/>
                </w:tcPr>
                <w:p>
                  <w:pPr>
                    <w:pStyle w:val="28"/>
                    <w:spacing w:line="360" w:lineRule="exact"/>
                    <w:rPr>
                      <w:color w:val="auto"/>
                      <w:szCs w:val="21"/>
                    </w:rPr>
                  </w:pPr>
                  <w:r>
                    <w:rPr>
                      <w:rFonts w:hint="eastAsia"/>
                      <w:color w:val="auto"/>
                      <w:szCs w:val="21"/>
                    </w:rPr>
                    <w:t>560</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根据项目贮存的含挥发性酸性物质的危险废物特性可知，其主要成分包括盐酸、硫酸、硝酸和磷酸等，其中磷酸不易挥发，根据硫酸雾的产生原理可知，硫酸雾主要产生于发烟硫酸（浓度大于9</w:t>
            </w:r>
            <w:r>
              <w:rPr>
                <w:rFonts w:ascii="Times New Roman" w:hAnsi="Times New Roman" w:cs="Times New Roman"/>
                <w:sz w:val="24"/>
                <w:szCs w:val="24"/>
              </w:rPr>
              <w:t>8</w:t>
            </w:r>
            <w:r>
              <w:rPr>
                <w:rFonts w:hint="eastAsia" w:ascii="Times New Roman" w:hAnsi="Times New Roman" w:cs="Times New Roman"/>
                <w:sz w:val="24"/>
                <w:szCs w:val="24"/>
              </w:rPr>
              <w:t>%的硫酸），浓度大于9</w:t>
            </w:r>
            <w:r>
              <w:rPr>
                <w:rFonts w:ascii="Times New Roman" w:hAnsi="Times New Roman" w:cs="Times New Roman"/>
                <w:sz w:val="24"/>
                <w:szCs w:val="24"/>
              </w:rPr>
              <w:t>8</w:t>
            </w:r>
            <w:r>
              <w:rPr>
                <w:rFonts w:hint="eastAsia" w:ascii="Times New Roman" w:hAnsi="Times New Roman" w:cs="Times New Roman"/>
                <w:sz w:val="24"/>
                <w:szCs w:val="24"/>
              </w:rPr>
              <w:t>%的硫酸中溶有过量的SO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，在敞口时会挥发出一些SO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气体，和空气中的水蒸气结合成细小的硫酸雾滴，即形成硫酸雾），而该项目收集到的废酸或含有硫酸溶液的危险废物，基本为废稀硫酸，则基本不会有硫酸雾产生；而同样仅浓硝酸才容易分解挥发，项目所收集的废稀硝酸分解挥发的可能性较小；因此项目产生的主要有毒有害的酸性气体主要为HCl。项目所收集的酸性物质均采用密闭塑料桶收集，贮存运输，其挥发量很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本环评</w:t>
            </w:r>
            <w:r>
              <w:rPr>
                <w:rFonts w:hint="eastAsia" w:ascii="Times New Roman" w:hAnsi="Times New Roman" w:cs="Times New Roman"/>
                <w:sz w:val="24"/>
                <w:szCs w:val="24"/>
              </w:rPr>
              <w:t>类比</w:t>
            </w:r>
            <w:r>
              <w:rPr>
                <w:rFonts w:ascii="Times New Roman" w:hAnsi="Times New Roman" w:cs="Times New Roman"/>
                <w:sz w:val="24"/>
                <w:szCs w:val="24"/>
              </w:rPr>
              <w:t>《云南广莱再生资源回收有限公司危险废物收集试点污染防治设施建设项目环境影响报告表》的计算方法对其进行计算，根据调查，类比项目同为昆明市试点的小微企业危险废物收集试点项目，其收集规模和收集类别和本次建设项目相似，具有可类别性，类比该建设项目，酸性废气（HCl）产生量按含挥发性酸性物质贮存量的0.5‰计，项目拟收集的各类挥发性酸性物质的危险废物最大贮存量为46.67t/d、年收集量为560t/a，则酸性废气（HCl）产生量为0.28t/a，最大日产生量为0.023t/a（0.97kg/h）。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酸性废气（HCl）处理效率约为95%，则酸性废气（HCl）：有组织产生浓度为48.61mg/m³，排放浓度为2.43mg/m³，排放速率为0.04kg/h，排放量为0.01t/a，无组织排放量为0.056t/a。</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③恶臭废气（氨、硫化氢和臭气浓度）产排核算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根据项目拟收集的各类危险废物暂存过程中均可能挥发产生恶臭废气，恶臭废气主要包括氨、硫化氢和臭气浓度，</w:t>
            </w:r>
            <w:r>
              <w:rPr>
                <w:rFonts w:ascii="Times New Roman" w:hAnsi="Times New Roman" w:cs="Times New Roman"/>
                <w:sz w:val="24"/>
                <w:szCs w:val="24"/>
              </w:rPr>
              <w:t>本环评</w:t>
            </w:r>
            <w:r>
              <w:rPr>
                <w:rFonts w:hint="eastAsia" w:ascii="Times New Roman" w:hAnsi="Times New Roman" w:cs="Times New Roman"/>
                <w:sz w:val="24"/>
                <w:szCs w:val="24"/>
              </w:rPr>
              <w:t>类比</w:t>
            </w:r>
            <w:r>
              <w:rPr>
                <w:rFonts w:ascii="Times New Roman" w:hAnsi="Times New Roman" w:cs="Times New Roman"/>
                <w:sz w:val="24"/>
                <w:szCs w:val="24"/>
              </w:rPr>
              <w:t>《云南广莱再生资源回收有限公司危险废物收集试点污染防治设施建设项目环境影响报告表》的计算方法对其进行计算，根据调查，类比项目同为昆明市试点的小微企业危险废物收集试点项目，其收集规模和收集类别和本次建设项目相似，具有可类别性，类比该建设项目，</w:t>
            </w:r>
            <w:r>
              <w:rPr>
                <w:rFonts w:hint="eastAsia" w:ascii="Times New Roman" w:hAnsi="Times New Roman" w:cs="Times New Roman"/>
                <w:sz w:val="24"/>
                <w:szCs w:val="24"/>
              </w:rPr>
              <w:t>项目氨产生速率约为0</w:t>
            </w:r>
            <w:r>
              <w:rPr>
                <w:rFonts w:ascii="Times New Roman" w:hAnsi="Times New Roman" w:cs="Times New Roman"/>
                <w:sz w:val="24"/>
                <w:szCs w:val="24"/>
              </w:rPr>
              <w:t>.027</w:t>
            </w:r>
            <w:r>
              <w:rPr>
                <w:rFonts w:hint="eastAsia" w:ascii="Times New Roman" w:hAnsi="Times New Roman" w:cs="Times New Roman"/>
                <w:sz w:val="24"/>
                <w:szCs w:val="24"/>
              </w:rPr>
              <w:t>kg/h，氨产生量约为0</w:t>
            </w:r>
            <w:r>
              <w:rPr>
                <w:rFonts w:ascii="Times New Roman" w:hAnsi="Times New Roman" w:cs="Times New Roman"/>
                <w:sz w:val="24"/>
                <w:szCs w:val="24"/>
              </w:rPr>
              <w:t>.237</w:t>
            </w:r>
            <w:r>
              <w:rPr>
                <w:rFonts w:hint="eastAsia" w:ascii="Times New Roman" w:hAnsi="Times New Roman" w:cs="Times New Roman"/>
                <w:sz w:val="24"/>
                <w:szCs w:val="24"/>
              </w:rPr>
              <w:t>t/a，硫化氢产生速率约为</w:t>
            </w:r>
            <w:r>
              <w:rPr>
                <w:rFonts w:ascii="Times New Roman" w:hAnsi="Times New Roman" w:cs="Times New Roman"/>
                <w:sz w:val="24"/>
                <w:szCs w:val="24"/>
              </w:rPr>
              <w:t>0.2</w:t>
            </w:r>
            <w:r>
              <w:rPr>
                <w:rFonts w:hint="eastAsia" w:ascii="Times New Roman" w:hAnsi="Times New Roman" w:cs="Times New Roman"/>
                <w:sz w:val="24"/>
                <w:szCs w:val="24"/>
              </w:rPr>
              <w:t>g/h，硫化氢产生量约为0</w:t>
            </w:r>
            <w:r>
              <w:rPr>
                <w:rFonts w:ascii="Times New Roman" w:hAnsi="Times New Roman" w:cs="Times New Roman"/>
                <w:sz w:val="24"/>
                <w:szCs w:val="24"/>
              </w:rPr>
              <w:t>.002</w:t>
            </w:r>
            <w:r>
              <w:rPr>
                <w:rFonts w:hint="eastAsia" w:ascii="Times New Roman" w:hAnsi="Times New Roman" w:cs="Times New Roman"/>
                <w:sz w:val="24"/>
                <w:szCs w:val="24"/>
              </w:rPr>
              <w:t>t/a，而臭气浓度无量纲，不进行定量计算。</w:t>
            </w:r>
            <w:r>
              <w:rPr>
                <w:rFonts w:ascii="Times New Roman" w:hAnsi="Times New Roman" w:cs="Times New Roman"/>
                <w:sz w:val="24"/>
                <w:szCs w:val="24"/>
              </w:rPr>
              <w:t>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该装置</w:t>
            </w:r>
            <w:r>
              <w:rPr>
                <w:rFonts w:hint="eastAsia" w:ascii="Times New Roman" w:hAnsi="Times New Roman" w:cs="Times New Roman"/>
                <w:sz w:val="24"/>
                <w:szCs w:val="24"/>
              </w:rPr>
              <w:t>恶臭废气（氨、硫化氢和臭气浓度）处理效率约为60%</w:t>
            </w:r>
            <w:r>
              <w:rPr>
                <w:rFonts w:ascii="Times New Roman" w:hAnsi="Times New Roman" w:cs="Times New Roman"/>
                <w:sz w:val="24"/>
                <w:szCs w:val="24"/>
              </w:rPr>
              <w:t>，则氨有组织产生浓度为</w:t>
            </w:r>
            <w:r>
              <w:rPr>
                <w:rFonts w:hint="eastAsia" w:ascii="Times New Roman" w:hAnsi="Times New Roman" w:cs="Times New Roman"/>
                <w:sz w:val="24"/>
                <w:szCs w:val="24"/>
              </w:rPr>
              <w:t>1.35</w:t>
            </w:r>
            <w:r>
              <w:rPr>
                <w:rFonts w:ascii="Times New Roman" w:hAnsi="Times New Roman" w:cs="Times New Roman"/>
                <w:sz w:val="24"/>
                <w:szCs w:val="24"/>
              </w:rPr>
              <w:t>mg/m³，氨有组织排放浓度为</w:t>
            </w:r>
            <w:r>
              <w:rPr>
                <w:rFonts w:hint="eastAsia" w:ascii="Times New Roman" w:hAnsi="Times New Roman" w:cs="Times New Roman"/>
                <w:sz w:val="24"/>
                <w:szCs w:val="24"/>
              </w:rPr>
              <w:t>0.54</w:t>
            </w:r>
            <w:r>
              <w:rPr>
                <w:rFonts w:ascii="Times New Roman" w:hAnsi="Times New Roman" w:cs="Times New Roman"/>
                <w:sz w:val="24"/>
                <w:szCs w:val="24"/>
              </w:rPr>
              <w:t>mg/m³，氨有组织排放速率为0.0</w:t>
            </w:r>
            <w:r>
              <w:rPr>
                <w:rFonts w:hint="eastAsia" w:ascii="Times New Roman" w:hAnsi="Times New Roman" w:cs="Times New Roman"/>
                <w:sz w:val="24"/>
                <w:szCs w:val="24"/>
              </w:rPr>
              <w:t>09</w:t>
            </w:r>
            <w:r>
              <w:rPr>
                <w:rFonts w:ascii="Times New Roman" w:hAnsi="Times New Roman" w:cs="Times New Roman"/>
                <w:sz w:val="24"/>
                <w:szCs w:val="24"/>
              </w:rPr>
              <w:t>kg/h，氨有组织排放量为0.0</w:t>
            </w:r>
            <w:r>
              <w:rPr>
                <w:rFonts w:hint="eastAsia" w:ascii="Times New Roman" w:hAnsi="Times New Roman" w:cs="Times New Roman"/>
                <w:sz w:val="24"/>
                <w:szCs w:val="24"/>
              </w:rPr>
              <w:t>8</w:t>
            </w:r>
            <w:r>
              <w:rPr>
                <w:rFonts w:ascii="Times New Roman" w:hAnsi="Times New Roman" w:cs="Times New Roman"/>
                <w:sz w:val="24"/>
                <w:szCs w:val="24"/>
              </w:rPr>
              <w:t>t/a，氨无组织排放量为0.05t/a</w:t>
            </w:r>
            <w:r>
              <w:rPr>
                <w:rFonts w:hint="eastAsia" w:ascii="Times New Roman" w:hAnsi="Times New Roman" w:cs="Times New Roman"/>
                <w:sz w:val="24"/>
                <w:szCs w:val="24"/>
              </w:rPr>
              <w:t>；</w:t>
            </w:r>
            <w:r>
              <w:rPr>
                <w:rFonts w:ascii="Times New Roman" w:hAnsi="Times New Roman" w:cs="Times New Roman"/>
                <w:sz w:val="24"/>
                <w:szCs w:val="24"/>
              </w:rPr>
              <w:t>硫化氢有组织产生浓度为</w:t>
            </w:r>
            <w:r>
              <w:rPr>
                <w:rFonts w:hint="eastAsia" w:ascii="Times New Roman" w:hAnsi="Times New Roman" w:cs="Times New Roman"/>
                <w:sz w:val="24"/>
                <w:szCs w:val="24"/>
              </w:rPr>
              <w:t>0.01</w:t>
            </w:r>
            <w:r>
              <w:rPr>
                <w:rFonts w:ascii="Times New Roman" w:hAnsi="Times New Roman" w:cs="Times New Roman"/>
                <w:sz w:val="24"/>
                <w:szCs w:val="24"/>
              </w:rPr>
              <w:t>mg/m³，硫化氢有组织排放浓度为</w:t>
            </w:r>
            <w:r>
              <w:rPr>
                <w:rFonts w:hint="eastAsia" w:ascii="Times New Roman" w:hAnsi="Times New Roman" w:cs="Times New Roman"/>
                <w:sz w:val="24"/>
                <w:szCs w:val="24"/>
              </w:rPr>
              <w:t>0.004</w:t>
            </w:r>
            <w:r>
              <w:rPr>
                <w:rFonts w:ascii="Times New Roman" w:hAnsi="Times New Roman" w:cs="Times New Roman"/>
                <w:sz w:val="24"/>
                <w:szCs w:val="24"/>
              </w:rPr>
              <w:t>mg/m³，硫化氢有组织排放速率为0.0</w:t>
            </w:r>
            <w:r>
              <w:rPr>
                <w:rFonts w:hint="eastAsia" w:ascii="Times New Roman" w:hAnsi="Times New Roman" w:cs="Times New Roman"/>
                <w:sz w:val="24"/>
                <w:szCs w:val="24"/>
              </w:rPr>
              <w:t>6</w:t>
            </w:r>
            <w:r>
              <w:rPr>
                <w:rFonts w:ascii="Times New Roman" w:hAnsi="Times New Roman" w:cs="Times New Roman"/>
                <w:sz w:val="24"/>
                <w:szCs w:val="24"/>
              </w:rPr>
              <w:t>g/h，硫化氢有组织排放量为0.0</w:t>
            </w:r>
            <w:r>
              <w:rPr>
                <w:rFonts w:hint="eastAsia" w:ascii="Times New Roman" w:hAnsi="Times New Roman" w:cs="Times New Roman"/>
                <w:sz w:val="24"/>
                <w:szCs w:val="24"/>
              </w:rPr>
              <w:t>006</w:t>
            </w:r>
            <w:r>
              <w:rPr>
                <w:rFonts w:ascii="Times New Roman" w:hAnsi="Times New Roman" w:cs="Times New Roman"/>
                <w:sz w:val="24"/>
                <w:szCs w:val="24"/>
              </w:rPr>
              <w:t>t/a，硫化氢无组织排放量为0.0</w:t>
            </w:r>
            <w:r>
              <w:rPr>
                <w:rFonts w:hint="eastAsia" w:ascii="Times New Roman" w:hAnsi="Times New Roman" w:cs="Times New Roman"/>
                <w:sz w:val="24"/>
                <w:szCs w:val="24"/>
              </w:rPr>
              <w:t>004</w:t>
            </w:r>
            <w:r>
              <w:rPr>
                <w:rFonts w:ascii="Times New Roman" w:hAnsi="Times New Roman" w:cs="Times New Roman"/>
                <w:sz w:val="24"/>
                <w:szCs w:val="24"/>
              </w:rPr>
              <w:t>t/a。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（2）废气污染物污染防治措施及达标性分析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①废气污染物治理措施及排放方式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表4.2.1-1废气污染物治理措施及排放方式一览表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6"/>
              <w:gridCol w:w="853"/>
              <w:gridCol w:w="852"/>
              <w:gridCol w:w="3112"/>
              <w:gridCol w:w="710"/>
              <w:gridCol w:w="710"/>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4" w:type="dxa"/>
                  <w:gridSpan w:val="2"/>
                  <w:vAlign w:val="center"/>
                </w:tcPr>
                <w:p>
                  <w:pPr>
                    <w:pStyle w:val="28"/>
                    <w:spacing w:line="360" w:lineRule="exact"/>
                    <w:rPr>
                      <w:color w:val="auto"/>
                      <w:szCs w:val="21"/>
                    </w:rPr>
                  </w:pPr>
                  <w:r>
                    <w:rPr>
                      <w:color w:val="auto"/>
                      <w:szCs w:val="21"/>
                    </w:rPr>
                    <w:t>产排污环节</w:t>
                  </w:r>
                </w:p>
              </w:tc>
              <w:tc>
                <w:tcPr>
                  <w:tcW w:w="844" w:type="dxa"/>
                  <w:vAlign w:val="center"/>
                </w:tcPr>
                <w:p>
                  <w:pPr>
                    <w:pStyle w:val="28"/>
                    <w:spacing w:line="360" w:lineRule="exact"/>
                    <w:rPr>
                      <w:color w:val="auto"/>
                      <w:szCs w:val="21"/>
                    </w:rPr>
                  </w:pPr>
                  <w:r>
                    <w:rPr>
                      <w:color w:val="auto"/>
                      <w:szCs w:val="21"/>
                    </w:rPr>
                    <w:t>污染物种类</w:t>
                  </w:r>
                </w:p>
              </w:tc>
              <w:tc>
                <w:tcPr>
                  <w:tcW w:w="3082" w:type="dxa"/>
                  <w:vAlign w:val="center"/>
                </w:tcPr>
                <w:p>
                  <w:pPr>
                    <w:pStyle w:val="28"/>
                    <w:spacing w:line="360" w:lineRule="exact"/>
                    <w:rPr>
                      <w:color w:val="auto"/>
                      <w:szCs w:val="21"/>
                    </w:rPr>
                  </w:pPr>
                  <w:r>
                    <w:rPr>
                      <w:color w:val="auto"/>
                      <w:szCs w:val="21"/>
                    </w:rPr>
                    <w:t>治理设施及效率</w:t>
                  </w:r>
                </w:p>
              </w:tc>
              <w:tc>
                <w:tcPr>
                  <w:tcW w:w="703"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eastAsia="宋体" w:cs="Times New Roman"/>
                      <w:bCs/>
                      <w:snapToGrid w:val="0"/>
                      <w:kern w:val="32"/>
                      <w:lang w:val="zh-CN"/>
                    </w:rPr>
                    <w:t>排放形式</w:t>
                  </w:r>
                </w:p>
              </w:tc>
              <w:tc>
                <w:tcPr>
                  <w:tcW w:w="2319" w:type="dxa"/>
                  <w:gridSpan w:val="2"/>
                  <w:vAlign w:val="center"/>
                </w:tcPr>
                <w:p>
                  <w:pPr>
                    <w:pStyle w:val="28"/>
                    <w:spacing w:line="360" w:lineRule="exact"/>
                    <w:rPr>
                      <w:color w:val="auto"/>
                      <w:szCs w:val="21"/>
                    </w:rPr>
                  </w:pPr>
                  <w:r>
                    <w:rPr>
                      <w:color w:val="auto"/>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729" w:type="dxa"/>
                  <w:vMerge w:val="restart"/>
                  <w:tcBorders>
                    <w:right w:val="single" w:color="auto" w:sz="4" w:space="0"/>
                  </w:tcBorders>
                  <w:vAlign w:val="center"/>
                </w:tcPr>
                <w:p>
                  <w:pPr>
                    <w:pStyle w:val="28"/>
                    <w:spacing w:line="360" w:lineRule="exact"/>
                    <w:rPr>
                      <w:color w:val="auto"/>
                      <w:szCs w:val="21"/>
                    </w:rPr>
                  </w:pPr>
                  <w:r>
                    <w:rPr>
                      <w:rFonts w:hint="eastAsia"/>
                      <w:color w:val="auto"/>
                      <w:szCs w:val="21"/>
                    </w:rPr>
                    <w:t>危险废物贮存</w:t>
                  </w:r>
                </w:p>
              </w:tc>
              <w:tc>
                <w:tcPr>
                  <w:tcW w:w="845" w:type="dxa"/>
                  <w:vMerge w:val="restart"/>
                  <w:tcBorders>
                    <w:left w:val="single" w:color="auto" w:sz="4" w:space="0"/>
                  </w:tcBorders>
                  <w:vAlign w:val="center"/>
                </w:tcPr>
                <w:p>
                  <w:pPr>
                    <w:pStyle w:val="28"/>
                    <w:spacing w:line="360" w:lineRule="exact"/>
                    <w:rPr>
                      <w:color w:val="auto"/>
                      <w:szCs w:val="21"/>
                    </w:rPr>
                  </w:pPr>
                  <w:r>
                    <w:rPr>
                      <w:rFonts w:hint="eastAsia"/>
                      <w:color w:val="auto"/>
                      <w:szCs w:val="21"/>
                    </w:rPr>
                    <w:t>贮存、转运</w:t>
                  </w:r>
                </w:p>
              </w:tc>
              <w:tc>
                <w:tcPr>
                  <w:tcW w:w="844" w:type="dxa"/>
                  <w:vMerge w:val="restart"/>
                  <w:vAlign w:val="center"/>
                </w:tcPr>
                <w:p>
                  <w:pPr>
                    <w:pStyle w:val="28"/>
                    <w:spacing w:line="360" w:lineRule="exact"/>
                    <w:rPr>
                      <w:color w:val="auto"/>
                      <w:szCs w:val="21"/>
                    </w:rPr>
                  </w:pPr>
                  <w:r>
                    <w:rPr>
                      <w:rFonts w:hint="eastAsia"/>
                      <w:color w:val="auto"/>
                      <w:szCs w:val="21"/>
                    </w:rPr>
                    <w:t>非甲烷总烃</w:t>
                  </w:r>
                </w:p>
              </w:tc>
              <w:tc>
                <w:tcPr>
                  <w:tcW w:w="3082" w:type="dxa"/>
                  <w:vMerge w:val="restart"/>
                  <w:vAlign w:val="center"/>
                </w:tcPr>
                <w:p>
                  <w:pPr>
                    <w:pStyle w:val="28"/>
                    <w:spacing w:line="360" w:lineRule="exact"/>
                    <w:ind w:firstLine="210" w:firstLineChars="100"/>
                    <w:jc w:val="both"/>
                    <w:rPr>
                      <w:color w:val="auto"/>
                      <w:szCs w:val="21"/>
                      <w:lang w:val="en-US"/>
                    </w:rPr>
                  </w:pPr>
                  <w:r>
                    <w:rPr>
                      <w:color w:val="auto"/>
                      <w:szCs w:val="21"/>
                    </w:rPr>
                    <w:t>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w:t>
                  </w:r>
                  <w:r>
                    <w:rPr>
                      <w:rFonts w:hint="eastAsia"/>
                      <w:color w:val="auto"/>
                      <w:szCs w:val="21"/>
                    </w:rPr>
                    <w:t>该装置有机废气（非甲烷总烃）的处理效率约为30%，</w:t>
                  </w:r>
                  <w:r>
                    <w:rPr>
                      <w:color w:val="auto"/>
                      <w:szCs w:val="21"/>
                    </w:rPr>
                    <w:t>酸性</w:t>
                  </w:r>
                  <w:r>
                    <w:rPr>
                      <w:rFonts w:hint="eastAsia"/>
                      <w:color w:val="auto"/>
                      <w:szCs w:val="21"/>
                    </w:rPr>
                    <w:t>废气（HCl）处理效率约为95%，恶臭废气（氨、硫化氢和臭气浓度）处理效率约为60%。</w:t>
                  </w:r>
                </w:p>
              </w:tc>
              <w:tc>
                <w:tcPr>
                  <w:tcW w:w="703"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有组织</w:t>
                  </w:r>
                </w:p>
              </w:tc>
              <w:tc>
                <w:tcPr>
                  <w:tcW w:w="2319" w:type="dxa"/>
                  <w:gridSpan w:val="2"/>
                  <w:tcBorders>
                    <w:bottom w:val="single" w:color="auto" w:sz="4" w:space="0"/>
                  </w:tcBorders>
                  <w:vAlign w:val="center"/>
                </w:tcPr>
                <w:p>
                  <w:pPr>
                    <w:pStyle w:val="28"/>
                    <w:spacing w:line="360" w:lineRule="exact"/>
                    <w:rPr>
                      <w:color w:val="auto"/>
                      <w:szCs w:val="30"/>
                      <w:lang w:val="en-US"/>
                    </w:rPr>
                  </w:pPr>
                  <w:r>
                    <w:rPr>
                      <w:color w:val="auto"/>
                      <w:szCs w:val="30"/>
                      <w:lang w:val="en-US"/>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729" w:type="dxa"/>
                  <w:vMerge w:val="continue"/>
                  <w:tcBorders>
                    <w:right w:val="single" w:color="auto" w:sz="4" w:space="0"/>
                  </w:tcBorders>
                  <w:vAlign w:val="center"/>
                </w:tcPr>
                <w:p>
                  <w:pPr>
                    <w:pStyle w:val="28"/>
                    <w:spacing w:line="360" w:lineRule="exact"/>
                    <w:rPr>
                      <w:color w:val="auto"/>
                      <w:szCs w:val="21"/>
                    </w:rPr>
                  </w:pPr>
                </w:p>
              </w:tc>
              <w:tc>
                <w:tcPr>
                  <w:tcW w:w="845" w:type="dxa"/>
                  <w:vMerge w:val="continue"/>
                  <w:tcBorders>
                    <w:left w:val="single" w:color="auto" w:sz="4" w:space="0"/>
                  </w:tcBorders>
                  <w:vAlign w:val="center"/>
                </w:tcPr>
                <w:p>
                  <w:pPr>
                    <w:pStyle w:val="28"/>
                    <w:spacing w:line="360" w:lineRule="exact"/>
                    <w:rPr>
                      <w:color w:val="auto"/>
                      <w:szCs w:val="21"/>
                    </w:rPr>
                  </w:pPr>
                </w:p>
              </w:tc>
              <w:tc>
                <w:tcPr>
                  <w:tcW w:w="844" w:type="dxa"/>
                  <w:vMerge w:val="continue"/>
                  <w:vAlign w:val="center"/>
                </w:tcPr>
                <w:p>
                  <w:pPr>
                    <w:pStyle w:val="28"/>
                    <w:spacing w:line="360" w:lineRule="exact"/>
                    <w:rPr>
                      <w:color w:val="auto"/>
                      <w:szCs w:val="21"/>
                    </w:rPr>
                  </w:pPr>
                </w:p>
              </w:tc>
              <w:tc>
                <w:tcPr>
                  <w:tcW w:w="3082" w:type="dxa"/>
                  <w:vMerge w:val="continue"/>
                  <w:vAlign w:val="center"/>
                </w:tcPr>
                <w:p>
                  <w:pPr>
                    <w:pStyle w:val="28"/>
                    <w:spacing w:line="360" w:lineRule="exact"/>
                    <w:ind w:firstLine="210" w:firstLineChars="100"/>
                    <w:jc w:val="both"/>
                    <w:rPr>
                      <w:color w:val="auto"/>
                      <w:szCs w:val="21"/>
                    </w:rPr>
                  </w:pPr>
                </w:p>
              </w:tc>
              <w:tc>
                <w:tcPr>
                  <w:tcW w:w="70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703" w:type="dxa"/>
                  <w:tcBorders>
                    <w:top w:val="single" w:color="auto" w:sz="4" w:space="0"/>
                    <w:bottom w:val="single" w:color="auto" w:sz="4" w:space="0"/>
                    <w:right w:val="single" w:color="auto" w:sz="4" w:space="0"/>
                  </w:tcBorders>
                  <w:vAlign w:val="center"/>
                </w:tcPr>
                <w:p>
                  <w:pPr>
                    <w:pStyle w:val="28"/>
                    <w:spacing w:line="360" w:lineRule="exact"/>
                    <w:rPr>
                      <w:color w:val="auto"/>
                      <w:szCs w:val="30"/>
                      <w:lang w:val="en-US"/>
                    </w:rPr>
                  </w:pPr>
                  <w:r>
                    <w:rPr>
                      <w:color w:val="auto"/>
                      <w:szCs w:val="30"/>
                      <w:lang w:val="en-US"/>
                    </w:rPr>
                    <w:t>高度</w:t>
                  </w:r>
                </w:p>
              </w:tc>
              <w:tc>
                <w:tcPr>
                  <w:tcW w:w="1616" w:type="dxa"/>
                  <w:tcBorders>
                    <w:top w:val="single" w:color="auto" w:sz="4" w:space="0"/>
                    <w:left w:val="single" w:color="auto" w:sz="4" w:space="0"/>
                    <w:bottom w:val="single" w:color="auto" w:sz="4" w:space="0"/>
                  </w:tcBorders>
                  <w:vAlign w:val="center"/>
                </w:tcPr>
                <w:p>
                  <w:pPr>
                    <w:pStyle w:val="28"/>
                    <w:spacing w:line="360" w:lineRule="exact"/>
                    <w:rPr>
                      <w:color w:val="auto"/>
                      <w:szCs w:val="30"/>
                      <w:lang w:val="en-US"/>
                    </w:rPr>
                  </w:pPr>
                  <w:r>
                    <w:rPr>
                      <w:color w:val="auto"/>
                      <w:szCs w:val="30"/>
                      <w:lang w:val="en-US"/>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tcBorders>
                    <w:right w:val="single" w:color="auto" w:sz="4" w:space="0"/>
                  </w:tcBorders>
                  <w:vAlign w:val="center"/>
                </w:tcPr>
                <w:p>
                  <w:pPr>
                    <w:pStyle w:val="28"/>
                    <w:spacing w:line="360" w:lineRule="exact"/>
                    <w:rPr>
                      <w:color w:val="auto"/>
                      <w:szCs w:val="21"/>
                    </w:rPr>
                  </w:pPr>
                </w:p>
              </w:tc>
              <w:tc>
                <w:tcPr>
                  <w:tcW w:w="845" w:type="dxa"/>
                  <w:vMerge w:val="continue"/>
                  <w:tcBorders>
                    <w:left w:val="single" w:color="auto" w:sz="4" w:space="0"/>
                  </w:tcBorders>
                  <w:vAlign w:val="center"/>
                </w:tcPr>
                <w:p>
                  <w:pPr>
                    <w:pStyle w:val="28"/>
                    <w:spacing w:line="360" w:lineRule="exact"/>
                    <w:rPr>
                      <w:color w:val="auto"/>
                      <w:szCs w:val="21"/>
                    </w:rPr>
                  </w:pPr>
                </w:p>
              </w:tc>
              <w:tc>
                <w:tcPr>
                  <w:tcW w:w="844" w:type="dxa"/>
                  <w:vAlign w:val="center"/>
                </w:tcPr>
                <w:p>
                  <w:pPr>
                    <w:pStyle w:val="28"/>
                    <w:spacing w:line="360" w:lineRule="exact"/>
                    <w:rPr>
                      <w:color w:val="auto"/>
                      <w:szCs w:val="21"/>
                    </w:rPr>
                  </w:pPr>
                  <w:r>
                    <w:rPr>
                      <w:rFonts w:hint="eastAsia"/>
                      <w:color w:val="auto"/>
                      <w:szCs w:val="21"/>
                    </w:rPr>
                    <w:t>HCl</w:t>
                  </w:r>
                </w:p>
              </w:tc>
              <w:tc>
                <w:tcPr>
                  <w:tcW w:w="3082" w:type="dxa"/>
                  <w:vMerge w:val="continue"/>
                  <w:vAlign w:val="center"/>
                </w:tcPr>
                <w:p>
                  <w:pPr>
                    <w:pStyle w:val="28"/>
                    <w:spacing w:line="360" w:lineRule="exact"/>
                    <w:rPr>
                      <w:color w:val="auto"/>
                      <w:szCs w:val="21"/>
                    </w:rPr>
                  </w:pPr>
                </w:p>
              </w:tc>
              <w:tc>
                <w:tcPr>
                  <w:tcW w:w="70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703" w:type="dxa"/>
                  <w:tcBorders>
                    <w:top w:val="single" w:color="auto" w:sz="4" w:space="0"/>
                    <w:bottom w:val="single" w:color="auto" w:sz="4" w:space="0"/>
                    <w:right w:val="single" w:color="auto" w:sz="4" w:space="0"/>
                  </w:tcBorders>
                  <w:vAlign w:val="center"/>
                </w:tcPr>
                <w:p>
                  <w:pPr>
                    <w:pStyle w:val="28"/>
                    <w:spacing w:line="360" w:lineRule="exact"/>
                    <w:rPr>
                      <w:color w:val="auto"/>
                      <w:szCs w:val="30"/>
                      <w:lang w:val="en-US"/>
                    </w:rPr>
                  </w:pPr>
                  <w:r>
                    <w:rPr>
                      <w:color w:val="auto"/>
                      <w:szCs w:val="30"/>
                      <w:lang w:val="en-US"/>
                    </w:rPr>
                    <w:t>内径</w:t>
                  </w:r>
                </w:p>
              </w:tc>
              <w:tc>
                <w:tcPr>
                  <w:tcW w:w="1616" w:type="dxa"/>
                  <w:tcBorders>
                    <w:top w:val="single" w:color="auto" w:sz="4" w:space="0"/>
                    <w:left w:val="single" w:color="auto" w:sz="4" w:space="0"/>
                    <w:bottom w:val="single" w:color="auto" w:sz="4" w:space="0"/>
                  </w:tcBorders>
                  <w:vAlign w:val="center"/>
                </w:tcPr>
                <w:p>
                  <w:pPr>
                    <w:pStyle w:val="28"/>
                    <w:spacing w:line="360" w:lineRule="exact"/>
                    <w:rPr>
                      <w:color w:val="auto"/>
                      <w:szCs w:val="30"/>
                      <w:lang w:val="en-US"/>
                    </w:rPr>
                  </w:pPr>
                  <w:r>
                    <w:rPr>
                      <w:rFonts w:hint="eastAsia"/>
                      <w:color w:val="auto"/>
                      <w:szCs w:val="30"/>
                      <w:lang w:val="en-US"/>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tcBorders>
                    <w:right w:val="single" w:color="auto" w:sz="4" w:space="0"/>
                  </w:tcBorders>
                  <w:vAlign w:val="center"/>
                </w:tcPr>
                <w:p>
                  <w:pPr>
                    <w:pStyle w:val="28"/>
                    <w:spacing w:line="360" w:lineRule="exact"/>
                    <w:rPr>
                      <w:color w:val="auto"/>
                      <w:szCs w:val="21"/>
                    </w:rPr>
                  </w:pPr>
                </w:p>
              </w:tc>
              <w:tc>
                <w:tcPr>
                  <w:tcW w:w="845" w:type="dxa"/>
                  <w:vMerge w:val="continue"/>
                  <w:tcBorders>
                    <w:left w:val="single" w:color="auto" w:sz="4" w:space="0"/>
                  </w:tcBorders>
                  <w:vAlign w:val="center"/>
                </w:tcPr>
                <w:p>
                  <w:pPr>
                    <w:pStyle w:val="28"/>
                    <w:spacing w:line="360" w:lineRule="exact"/>
                    <w:rPr>
                      <w:color w:val="auto"/>
                      <w:szCs w:val="21"/>
                    </w:rPr>
                  </w:pPr>
                </w:p>
              </w:tc>
              <w:tc>
                <w:tcPr>
                  <w:tcW w:w="844" w:type="dxa"/>
                  <w:vAlign w:val="center"/>
                </w:tcPr>
                <w:p>
                  <w:pPr>
                    <w:pStyle w:val="28"/>
                    <w:spacing w:line="360" w:lineRule="exact"/>
                    <w:rPr>
                      <w:color w:val="auto"/>
                      <w:szCs w:val="21"/>
                    </w:rPr>
                  </w:pPr>
                  <w:r>
                    <w:rPr>
                      <w:rFonts w:hint="eastAsia"/>
                      <w:color w:val="auto"/>
                      <w:szCs w:val="21"/>
                    </w:rPr>
                    <w:t>氨</w:t>
                  </w:r>
                </w:p>
              </w:tc>
              <w:tc>
                <w:tcPr>
                  <w:tcW w:w="3082" w:type="dxa"/>
                  <w:vMerge w:val="continue"/>
                  <w:vAlign w:val="center"/>
                </w:tcPr>
                <w:p>
                  <w:pPr>
                    <w:pStyle w:val="28"/>
                    <w:spacing w:line="360" w:lineRule="exact"/>
                    <w:rPr>
                      <w:color w:val="auto"/>
                      <w:szCs w:val="21"/>
                    </w:rPr>
                  </w:pPr>
                </w:p>
              </w:tc>
              <w:tc>
                <w:tcPr>
                  <w:tcW w:w="70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703" w:type="dxa"/>
                  <w:tcBorders>
                    <w:top w:val="single" w:color="auto" w:sz="4" w:space="0"/>
                    <w:bottom w:val="single" w:color="auto" w:sz="4" w:space="0"/>
                    <w:right w:val="single" w:color="auto" w:sz="4" w:space="0"/>
                  </w:tcBorders>
                  <w:vAlign w:val="center"/>
                </w:tcPr>
                <w:p>
                  <w:pPr>
                    <w:pStyle w:val="28"/>
                    <w:spacing w:line="360" w:lineRule="exact"/>
                    <w:rPr>
                      <w:color w:val="auto"/>
                      <w:szCs w:val="30"/>
                      <w:lang w:val="en-US"/>
                    </w:rPr>
                  </w:pPr>
                  <w:r>
                    <w:rPr>
                      <w:color w:val="auto"/>
                      <w:szCs w:val="30"/>
                      <w:lang w:val="en-US"/>
                    </w:rPr>
                    <w:t>温度</w:t>
                  </w:r>
                </w:p>
              </w:tc>
              <w:tc>
                <w:tcPr>
                  <w:tcW w:w="1616" w:type="dxa"/>
                  <w:tcBorders>
                    <w:top w:val="single" w:color="auto" w:sz="4" w:space="0"/>
                    <w:left w:val="single" w:color="auto" w:sz="4" w:space="0"/>
                    <w:bottom w:val="single" w:color="auto" w:sz="4" w:space="0"/>
                  </w:tcBorders>
                  <w:vAlign w:val="center"/>
                </w:tcPr>
                <w:p>
                  <w:pPr>
                    <w:pStyle w:val="28"/>
                    <w:spacing w:line="360" w:lineRule="exact"/>
                    <w:rPr>
                      <w:color w:val="auto"/>
                      <w:szCs w:val="30"/>
                      <w:lang w:val="en-US"/>
                    </w:rPr>
                  </w:pPr>
                  <w:r>
                    <w:rPr>
                      <w:color w:val="auto"/>
                      <w:szCs w:val="30"/>
                      <w:lang w:val="en-US"/>
                    </w:rPr>
                    <w:t>0.68</w:t>
                  </w:r>
                  <w:r>
                    <w:rPr>
                      <w:rFonts w:hint="eastAsia"/>
                      <w:color w:val="auto"/>
                      <w:szCs w:val="30"/>
                      <w:lang w:val="en-US"/>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729" w:type="dxa"/>
                  <w:vMerge w:val="continue"/>
                  <w:tcBorders>
                    <w:right w:val="single" w:color="auto" w:sz="4" w:space="0"/>
                  </w:tcBorders>
                  <w:vAlign w:val="center"/>
                </w:tcPr>
                <w:p>
                  <w:pPr>
                    <w:pStyle w:val="28"/>
                    <w:spacing w:line="360" w:lineRule="exact"/>
                    <w:rPr>
                      <w:color w:val="auto"/>
                      <w:szCs w:val="21"/>
                    </w:rPr>
                  </w:pPr>
                </w:p>
              </w:tc>
              <w:tc>
                <w:tcPr>
                  <w:tcW w:w="845" w:type="dxa"/>
                  <w:vMerge w:val="continue"/>
                  <w:tcBorders>
                    <w:left w:val="single" w:color="auto" w:sz="4" w:space="0"/>
                  </w:tcBorders>
                  <w:vAlign w:val="center"/>
                </w:tcPr>
                <w:p>
                  <w:pPr>
                    <w:pStyle w:val="28"/>
                    <w:spacing w:line="360" w:lineRule="exact"/>
                    <w:rPr>
                      <w:color w:val="auto"/>
                      <w:szCs w:val="21"/>
                    </w:rPr>
                  </w:pPr>
                </w:p>
              </w:tc>
              <w:tc>
                <w:tcPr>
                  <w:tcW w:w="844" w:type="dxa"/>
                  <w:vMerge w:val="restart"/>
                  <w:vAlign w:val="center"/>
                </w:tcPr>
                <w:p>
                  <w:pPr>
                    <w:pStyle w:val="28"/>
                    <w:spacing w:line="360" w:lineRule="exact"/>
                    <w:rPr>
                      <w:color w:val="auto"/>
                      <w:szCs w:val="21"/>
                    </w:rPr>
                  </w:pPr>
                  <w:r>
                    <w:rPr>
                      <w:rFonts w:hint="eastAsia"/>
                      <w:color w:val="auto"/>
                      <w:szCs w:val="21"/>
                    </w:rPr>
                    <w:t>硫化氢</w:t>
                  </w:r>
                </w:p>
              </w:tc>
              <w:tc>
                <w:tcPr>
                  <w:tcW w:w="3082" w:type="dxa"/>
                  <w:vMerge w:val="continue"/>
                  <w:vAlign w:val="center"/>
                </w:tcPr>
                <w:p>
                  <w:pPr>
                    <w:pStyle w:val="28"/>
                    <w:spacing w:line="360" w:lineRule="exact"/>
                    <w:rPr>
                      <w:color w:val="auto"/>
                      <w:szCs w:val="21"/>
                    </w:rPr>
                  </w:pPr>
                </w:p>
              </w:tc>
              <w:tc>
                <w:tcPr>
                  <w:tcW w:w="70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703" w:type="dxa"/>
                  <w:tcBorders>
                    <w:top w:val="single" w:color="auto" w:sz="4" w:space="0"/>
                    <w:bottom w:val="single" w:color="auto" w:sz="4" w:space="0"/>
                    <w:right w:val="single" w:color="auto" w:sz="4" w:space="0"/>
                  </w:tcBorders>
                  <w:vAlign w:val="center"/>
                </w:tcPr>
                <w:p>
                  <w:pPr>
                    <w:pStyle w:val="28"/>
                    <w:spacing w:line="360" w:lineRule="exact"/>
                    <w:rPr>
                      <w:color w:val="auto"/>
                      <w:szCs w:val="30"/>
                      <w:lang w:val="en-US"/>
                    </w:rPr>
                  </w:pPr>
                  <w:r>
                    <w:rPr>
                      <w:color w:val="auto"/>
                      <w:szCs w:val="30"/>
                      <w:lang w:val="en-US"/>
                    </w:rPr>
                    <w:t>编号</w:t>
                  </w:r>
                </w:p>
              </w:tc>
              <w:tc>
                <w:tcPr>
                  <w:tcW w:w="1616" w:type="dxa"/>
                  <w:tcBorders>
                    <w:top w:val="single" w:color="auto" w:sz="4" w:space="0"/>
                    <w:left w:val="single" w:color="auto" w:sz="4" w:space="0"/>
                    <w:bottom w:val="single" w:color="auto" w:sz="4" w:space="0"/>
                  </w:tcBorders>
                  <w:vAlign w:val="center"/>
                </w:tcPr>
                <w:p>
                  <w:pPr>
                    <w:pStyle w:val="28"/>
                    <w:spacing w:line="360" w:lineRule="exact"/>
                    <w:rPr>
                      <w:color w:val="auto"/>
                      <w:szCs w:val="30"/>
                      <w:lang w:val="en-US"/>
                    </w:rPr>
                  </w:pPr>
                  <w:r>
                    <w:rPr>
                      <w:color w:val="auto"/>
                      <w:szCs w:val="30"/>
                      <w:lang w:val="en-US"/>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729" w:type="dxa"/>
                  <w:vMerge w:val="continue"/>
                  <w:tcBorders>
                    <w:right w:val="single" w:color="auto" w:sz="4" w:space="0"/>
                  </w:tcBorders>
                  <w:vAlign w:val="center"/>
                </w:tcPr>
                <w:p>
                  <w:pPr>
                    <w:pStyle w:val="28"/>
                    <w:spacing w:line="360" w:lineRule="exact"/>
                    <w:rPr>
                      <w:color w:val="auto"/>
                      <w:szCs w:val="21"/>
                    </w:rPr>
                  </w:pPr>
                </w:p>
              </w:tc>
              <w:tc>
                <w:tcPr>
                  <w:tcW w:w="845" w:type="dxa"/>
                  <w:vMerge w:val="continue"/>
                  <w:tcBorders>
                    <w:left w:val="single" w:color="auto" w:sz="4" w:space="0"/>
                  </w:tcBorders>
                  <w:vAlign w:val="center"/>
                </w:tcPr>
                <w:p>
                  <w:pPr>
                    <w:pStyle w:val="28"/>
                    <w:spacing w:line="360" w:lineRule="exact"/>
                    <w:rPr>
                      <w:color w:val="auto"/>
                      <w:szCs w:val="21"/>
                    </w:rPr>
                  </w:pPr>
                </w:p>
              </w:tc>
              <w:tc>
                <w:tcPr>
                  <w:tcW w:w="844" w:type="dxa"/>
                  <w:vMerge w:val="continue"/>
                  <w:vAlign w:val="center"/>
                </w:tcPr>
                <w:p>
                  <w:pPr>
                    <w:pStyle w:val="28"/>
                    <w:spacing w:line="360" w:lineRule="exact"/>
                    <w:rPr>
                      <w:color w:val="auto"/>
                      <w:szCs w:val="21"/>
                    </w:rPr>
                  </w:pPr>
                </w:p>
              </w:tc>
              <w:tc>
                <w:tcPr>
                  <w:tcW w:w="3082" w:type="dxa"/>
                  <w:vMerge w:val="continue"/>
                  <w:vAlign w:val="center"/>
                </w:tcPr>
                <w:p>
                  <w:pPr>
                    <w:pStyle w:val="28"/>
                    <w:spacing w:line="360" w:lineRule="exact"/>
                    <w:rPr>
                      <w:color w:val="auto"/>
                      <w:szCs w:val="21"/>
                    </w:rPr>
                  </w:pPr>
                </w:p>
              </w:tc>
              <w:tc>
                <w:tcPr>
                  <w:tcW w:w="70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703" w:type="dxa"/>
                  <w:tcBorders>
                    <w:top w:val="single" w:color="auto" w:sz="4" w:space="0"/>
                    <w:bottom w:val="single" w:color="auto" w:sz="4" w:space="0"/>
                    <w:right w:val="single" w:color="auto" w:sz="4" w:space="0"/>
                  </w:tcBorders>
                  <w:vAlign w:val="center"/>
                </w:tcPr>
                <w:p>
                  <w:pPr>
                    <w:pStyle w:val="28"/>
                    <w:spacing w:line="360" w:lineRule="exact"/>
                    <w:rPr>
                      <w:color w:val="auto"/>
                      <w:szCs w:val="30"/>
                      <w:lang w:val="en-US"/>
                    </w:rPr>
                  </w:pPr>
                  <w:r>
                    <w:rPr>
                      <w:color w:val="auto"/>
                      <w:szCs w:val="30"/>
                      <w:lang w:val="en-US"/>
                    </w:rPr>
                    <w:t>类型</w:t>
                  </w:r>
                </w:p>
              </w:tc>
              <w:tc>
                <w:tcPr>
                  <w:tcW w:w="1616" w:type="dxa"/>
                  <w:tcBorders>
                    <w:top w:val="single" w:color="auto" w:sz="4" w:space="0"/>
                    <w:left w:val="single" w:color="auto" w:sz="4" w:space="0"/>
                    <w:bottom w:val="single" w:color="auto" w:sz="4" w:space="0"/>
                  </w:tcBorders>
                  <w:vAlign w:val="center"/>
                </w:tcPr>
                <w:p>
                  <w:pPr>
                    <w:pStyle w:val="28"/>
                    <w:spacing w:line="360" w:lineRule="exact"/>
                    <w:rPr>
                      <w:color w:val="auto"/>
                      <w:szCs w:val="30"/>
                      <w:lang w:val="en-US"/>
                    </w:rPr>
                  </w:pPr>
                  <w:r>
                    <w:rPr>
                      <w:rFonts w:hint="eastAsia"/>
                      <w:color w:val="auto"/>
                      <w:szCs w:val="30"/>
                      <w:lang w:val="en-US"/>
                    </w:rPr>
                    <w:t>一般排放口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729" w:type="dxa"/>
                  <w:vMerge w:val="continue"/>
                  <w:tcBorders>
                    <w:right w:val="single" w:color="auto" w:sz="4" w:space="0"/>
                  </w:tcBorders>
                  <w:vAlign w:val="center"/>
                </w:tcPr>
                <w:p>
                  <w:pPr>
                    <w:pStyle w:val="28"/>
                    <w:spacing w:line="360" w:lineRule="exact"/>
                    <w:rPr>
                      <w:color w:val="auto"/>
                      <w:szCs w:val="21"/>
                    </w:rPr>
                  </w:pPr>
                </w:p>
              </w:tc>
              <w:tc>
                <w:tcPr>
                  <w:tcW w:w="845" w:type="dxa"/>
                  <w:vMerge w:val="continue"/>
                  <w:tcBorders>
                    <w:left w:val="single" w:color="auto" w:sz="4" w:space="0"/>
                  </w:tcBorders>
                  <w:vAlign w:val="center"/>
                </w:tcPr>
                <w:p>
                  <w:pPr>
                    <w:pStyle w:val="28"/>
                    <w:spacing w:line="360" w:lineRule="exact"/>
                    <w:rPr>
                      <w:color w:val="auto"/>
                      <w:szCs w:val="21"/>
                    </w:rPr>
                  </w:pPr>
                </w:p>
              </w:tc>
              <w:tc>
                <w:tcPr>
                  <w:tcW w:w="844" w:type="dxa"/>
                  <w:vMerge w:val="continue"/>
                  <w:vAlign w:val="center"/>
                </w:tcPr>
                <w:p>
                  <w:pPr>
                    <w:pStyle w:val="28"/>
                    <w:spacing w:line="360" w:lineRule="exact"/>
                    <w:rPr>
                      <w:color w:val="auto"/>
                      <w:szCs w:val="21"/>
                    </w:rPr>
                  </w:pPr>
                </w:p>
              </w:tc>
              <w:tc>
                <w:tcPr>
                  <w:tcW w:w="3082" w:type="dxa"/>
                  <w:vMerge w:val="continue"/>
                  <w:vAlign w:val="center"/>
                </w:tcPr>
                <w:p>
                  <w:pPr>
                    <w:pStyle w:val="28"/>
                    <w:spacing w:line="360" w:lineRule="exact"/>
                    <w:rPr>
                      <w:color w:val="auto"/>
                      <w:szCs w:val="21"/>
                    </w:rPr>
                  </w:pPr>
                </w:p>
              </w:tc>
              <w:tc>
                <w:tcPr>
                  <w:tcW w:w="703"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703" w:type="dxa"/>
                  <w:tcBorders>
                    <w:top w:val="single" w:color="auto" w:sz="4" w:space="0"/>
                    <w:right w:val="single" w:color="auto" w:sz="4" w:space="0"/>
                  </w:tcBorders>
                  <w:vAlign w:val="center"/>
                </w:tcPr>
                <w:p>
                  <w:pPr>
                    <w:pStyle w:val="28"/>
                    <w:spacing w:line="360" w:lineRule="exact"/>
                    <w:rPr>
                      <w:color w:val="auto"/>
                      <w:szCs w:val="30"/>
                      <w:lang w:val="en-US"/>
                    </w:rPr>
                  </w:pPr>
                  <w:r>
                    <w:rPr>
                      <w:color w:val="auto"/>
                      <w:szCs w:val="30"/>
                      <w:lang w:val="en-US"/>
                    </w:rPr>
                    <w:t>坐标</w:t>
                  </w:r>
                </w:p>
              </w:tc>
              <w:tc>
                <w:tcPr>
                  <w:tcW w:w="1616" w:type="dxa"/>
                  <w:tcBorders>
                    <w:top w:val="single" w:color="auto" w:sz="4" w:space="0"/>
                    <w:left w:val="single" w:color="auto" w:sz="4" w:space="0"/>
                  </w:tcBorders>
                  <w:vAlign w:val="center"/>
                </w:tcPr>
                <w:p>
                  <w:pPr>
                    <w:pStyle w:val="28"/>
                    <w:spacing w:line="360" w:lineRule="exact"/>
                    <w:rPr>
                      <w:color w:val="auto"/>
                      <w:szCs w:val="30"/>
                      <w:lang w:val="en-US"/>
                    </w:rPr>
                  </w:pPr>
                  <w:r>
                    <w:rPr>
                      <w:color w:val="auto"/>
                      <w:szCs w:val="30"/>
                      <w:lang w:val="en-US"/>
                    </w:rPr>
                    <w:t>E103.128554°、N26.184814°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 w:hRule="atLeast"/>
              </w:trPr>
              <w:tc>
                <w:tcPr>
                  <w:tcW w:w="729" w:type="dxa"/>
                  <w:vMerge w:val="continue"/>
                  <w:tcBorders>
                    <w:right w:val="single" w:color="auto" w:sz="4" w:space="0"/>
                  </w:tcBorders>
                  <w:vAlign w:val="center"/>
                </w:tcPr>
                <w:p>
                  <w:pPr>
                    <w:pStyle w:val="28"/>
                    <w:spacing w:line="360" w:lineRule="exact"/>
                    <w:rPr>
                      <w:color w:val="auto"/>
                      <w:szCs w:val="21"/>
                    </w:rPr>
                  </w:pPr>
                </w:p>
              </w:tc>
              <w:tc>
                <w:tcPr>
                  <w:tcW w:w="845" w:type="dxa"/>
                  <w:vMerge w:val="continue"/>
                  <w:tcBorders>
                    <w:left w:val="single" w:color="auto" w:sz="4" w:space="0"/>
                    <w:bottom w:val="single" w:color="auto" w:sz="4" w:space="0"/>
                  </w:tcBorders>
                  <w:vAlign w:val="center"/>
                </w:tcPr>
                <w:p>
                  <w:pPr>
                    <w:pStyle w:val="28"/>
                    <w:spacing w:line="360" w:lineRule="exact"/>
                    <w:rPr>
                      <w:color w:val="auto"/>
                      <w:szCs w:val="21"/>
                    </w:rPr>
                  </w:pPr>
                </w:p>
              </w:tc>
              <w:tc>
                <w:tcPr>
                  <w:tcW w:w="3926" w:type="dxa"/>
                  <w:gridSpan w:val="2"/>
                  <w:tcBorders>
                    <w:bottom w:val="single" w:color="auto" w:sz="4" w:space="0"/>
                  </w:tcBorders>
                  <w:vAlign w:val="center"/>
                </w:tcPr>
                <w:p>
                  <w:pPr>
                    <w:pStyle w:val="28"/>
                    <w:spacing w:line="360" w:lineRule="exact"/>
                    <w:ind w:firstLine="210" w:firstLineChars="100"/>
                    <w:jc w:val="both"/>
                    <w:rPr>
                      <w:color w:val="auto"/>
                      <w:szCs w:val="21"/>
                    </w:rPr>
                  </w:pPr>
                  <w:r>
                    <w:rPr>
                      <w:rFonts w:hint="eastAsia"/>
                      <w:color w:val="auto"/>
                      <w:szCs w:val="21"/>
                    </w:rPr>
                    <w:t>未收集部分无组织排放</w:t>
                  </w:r>
                </w:p>
              </w:tc>
              <w:tc>
                <w:tcPr>
                  <w:tcW w:w="703" w:type="dxa"/>
                  <w:vAlign w:val="center"/>
                </w:tcPr>
                <w:p>
                  <w:pPr>
                    <w:pStyle w:val="28"/>
                    <w:spacing w:line="360" w:lineRule="exact"/>
                    <w:rPr>
                      <w:color w:val="auto"/>
                      <w:szCs w:val="21"/>
                    </w:rPr>
                  </w:pPr>
                  <w:r>
                    <w:rPr>
                      <w:color w:val="auto"/>
                      <w:szCs w:val="21"/>
                    </w:rPr>
                    <w:t>无组织</w:t>
                  </w:r>
                </w:p>
              </w:tc>
              <w:tc>
                <w:tcPr>
                  <w:tcW w:w="2319" w:type="dxa"/>
                  <w:gridSpan w:val="2"/>
                  <w:vAlign w:val="center"/>
                </w:tcPr>
                <w:p>
                  <w:pPr>
                    <w:pStyle w:val="28"/>
                    <w:spacing w:line="360" w:lineRule="exact"/>
                    <w:rPr>
                      <w:color w:val="auto"/>
                      <w:szCs w:val="21"/>
                    </w:rPr>
                  </w:pPr>
                  <w:r>
                    <w:rPr>
                      <w:color w:val="auto"/>
                      <w:szCs w:val="21"/>
                    </w:rPr>
                    <w:t>--</w:t>
                  </w:r>
                </w:p>
              </w:tc>
            </w:tr>
          </w:tbl>
          <w:p>
            <w:pPr>
              <w:spacing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废气污染物排放源产排量及达标情况</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sz w:val="24"/>
                <w:szCs w:val="24"/>
              </w:rPr>
            </w:pPr>
          </w:p>
          <w:p>
            <w:pPr>
              <w:jc w:val="center"/>
              <w:rPr>
                <w:rFonts w:ascii="Times New Roman" w:hAnsi="Times New Roman" w:cs="Times New Roman"/>
                <w:b/>
                <w:szCs w:val="24"/>
              </w:rPr>
            </w:pPr>
            <w:r>
              <w:rPr>
                <w:rFonts w:ascii="Times New Roman" w:hAnsi="Times New Roman" w:cs="Times New Roman"/>
                <w:b/>
                <w:szCs w:val="24"/>
              </w:rPr>
              <w:t>表4.2.1-3  废气污染物排放源产排量及达标情况一览表</w:t>
            </w:r>
          </w:p>
          <w:tbl>
            <w:tblPr>
              <w:tblStyle w:val="17"/>
              <w:tblW w:w="8595" w:type="dxa"/>
              <w:jc w:val="center"/>
              <w:tblLayout w:type="fixed"/>
              <w:tblCellMar>
                <w:top w:w="0" w:type="dxa"/>
                <w:left w:w="108" w:type="dxa"/>
                <w:bottom w:w="0" w:type="dxa"/>
                <w:right w:w="108" w:type="dxa"/>
              </w:tblCellMar>
            </w:tblPr>
            <w:tblGrid>
              <w:gridCol w:w="477"/>
              <w:gridCol w:w="438"/>
              <w:gridCol w:w="567"/>
              <w:gridCol w:w="851"/>
              <w:gridCol w:w="850"/>
              <w:gridCol w:w="851"/>
              <w:gridCol w:w="850"/>
              <w:gridCol w:w="851"/>
              <w:gridCol w:w="850"/>
              <w:gridCol w:w="1276"/>
              <w:gridCol w:w="734"/>
            </w:tblGrid>
            <w:tr>
              <w:tblPrEx>
                <w:tblCellMar>
                  <w:top w:w="0" w:type="dxa"/>
                  <w:left w:w="108" w:type="dxa"/>
                  <w:bottom w:w="0" w:type="dxa"/>
                  <w:right w:w="108" w:type="dxa"/>
                </w:tblCellMar>
              </w:tblPrEx>
              <w:trPr>
                <w:trHeight w:val="324" w:hRule="atLeast"/>
                <w:jc w:val="center"/>
              </w:trPr>
              <w:tc>
                <w:tcPr>
                  <w:tcW w:w="9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产排污环节</w:t>
                  </w:r>
                </w:p>
              </w:tc>
              <w:tc>
                <w:tcPr>
                  <w:tcW w:w="1418"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污染物种类</w:t>
                  </w:r>
                </w:p>
              </w:tc>
              <w:tc>
                <w:tcPr>
                  <w:tcW w:w="1701"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污染物产生情况</w:t>
                  </w:r>
                </w:p>
              </w:tc>
              <w:tc>
                <w:tcPr>
                  <w:tcW w:w="2551" w:type="dxa"/>
                  <w:gridSpan w:val="3"/>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污染物排放量和浓度</w:t>
                  </w:r>
                </w:p>
              </w:tc>
              <w:tc>
                <w:tcPr>
                  <w:tcW w:w="12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排放标准</w:t>
                  </w:r>
                </w:p>
              </w:tc>
              <w:tc>
                <w:tcPr>
                  <w:tcW w:w="7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达标情况</w:t>
                  </w:r>
                </w:p>
              </w:tc>
            </w:tr>
            <w:tr>
              <w:tblPrEx>
                <w:tblCellMar>
                  <w:top w:w="0" w:type="dxa"/>
                  <w:left w:w="108" w:type="dxa"/>
                  <w:bottom w:w="0" w:type="dxa"/>
                  <w:right w:w="108" w:type="dxa"/>
                </w:tblCellMar>
              </w:tblPrEx>
              <w:trPr>
                <w:trHeight w:val="588" w:hRule="atLeast"/>
                <w:jc w:val="center"/>
              </w:trPr>
              <w:tc>
                <w:tcPr>
                  <w:tcW w:w="915" w:type="dxa"/>
                  <w:gridSpan w:val="2"/>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1418" w:type="dxa"/>
                  <w:gridSpan w:val="2"/>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850" w:type="dxa"/>
                  <w:tcBorders>
                    <w:top w:val="nil"/>
                    <w:left w:val="nil"/>
                    <w:bottom w:val="single" w:color="000000" w:sz="8" w:space="0"/>
                    <w:right w:val="single" w:color="auto" w:sz="4" w:space="0"/>
                  </w:tcBorders>
                  <w:shd w:val="clear" w:color="auto" w:fill="auto"/>
                  <w:vAlign w:val="center"/>
                </w:tcPr>
                <w:p>
                  <w:pPr>
                    <w:pStyle w:val="28"/>
                    <w:spacing w:line="360" w:lineRule="exact"/>
                    <w:rPr>
                      <w:color w:val="auto"/>
                      <w:szCs w:val="21"/>
                    </w:rPr>
                  </w:pPr>
                  <w:r>
                    <w:rPr>
                      <w:rFonts w:hint="eastAsia"/>
                      <w:color w:val="auto"/>
                      <w:szCs w:val="21"/>
                    </w:rPr>
                    <w:t>产生浓度</w:t>
                  </w:r>
                  <w:r>
                    <w:rPr>
                      <w:color w:val="auto"/>
                      <w:szCs w:val="21"/>
                    </w:rPr>
                    <w:t>mg/m³</w:t>
                  </w:r>
                </w:p>
              </w:tc>
              <w:tc>
                <w:tcPr>
                  <w:tcW w:w="851"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产生量</w:t>
                  </w:r>
                  <w:r>
                    <w:rPr>
                      <w:color w:val="auto"/>
                      <w:szCs w:val="21"/>
                    </w:rPr>
                    <w:t>t/a</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排放浓度</w:t>
                  </w:r>
                  <w:r>
                    <w:rPr>
                      <w:color w:val="auto"/>
                      <w:szCs w:val="21"/>
                    </w:rPr>
                    <w:t>mg/m³</w:t>
                  </w:r>
                </w:p>
              </w:tc>
              <w:tc>
                <w:tcPr>
                  <w:tcW w:w="851" w:type="dxa"/>
                  <w:tcBorders>
                    <w:top w:val="nil"/>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最大排放速率</w:t>
                  </w:r>
                  <w:r>
                    <w:rPr>
                      <w:color w:val="auto"/>
                      <w:szCs w:val="21"/>
                    </w:rPr>
                    <w:t>kg/h</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排放量</w:t>
                  </w:r>
                  <w:r>
                    <w:rPr>
                      <w:color w:val="auto"/>
                      <w:szCs w:val="21"/>
                    </w:rPr>
                    <w:t>t/a</w:t>
                  </w: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734"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color w:val="auto"/>
                      <w:szCs w:val="21"/>
                    </w:rPr>
                  </w:pPr>
                </w:p>
              </w:tc>
            </w:tr>
            <w:tr>
              <w:trPr>
                <w:trHeight w:val="324" w:hRule="atLeast"/>
                <w:jc w:val="center"/>
              </w:trPr>
              <w:tc>
                <w:tcPr>
                  <w:tcW w:w="477" w:type="dxa"/>
                  <w:vMerge w:val="restart"/>
                  <w:tcBorders>
                    <w:top w:val="nil"/>
                    <w:left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危险废物贮存</w:t>
                  </w:r>
                </w:p>
              </w:tc>
              <w:tc>
                <w:tcPr>
                  <w:tcW w:w="438" w:type="dxa"/>
                  <w:vMerge w:val="restart"/>
                  <w:tcBorders>
                    <w:top w:val="nil"/>
                    <w:left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贮存、转运</w:t>
                  </w:r>
                </w:p>
              </w:tc>
              <w:tc>
                <w:tcPr>
                  <w:tcW w:w="1418"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废气量</w:t>
                  </w:r>
                </w:p>
              </w:tc>
              <w:tc>
                <w:tcPr>
                  <w:tcW w:w="1701" w:type="dxa"/>
                  <w:gridSpan w:val="2"/>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14016</w:t>
                  </w:r>
                  <w:r>
                    <w:rPr>
                      <w:rFonts w:hint="eastAsia"/>
                      <w:color w:val="auto"/>
                      <w:szCs w:val="21"/>
                    </w:rPr>
                    <w:t>万</w:t>
                  </w:r>
                  <w:r>
                    <w:rPr>
                      <w:color w:val="auto"/>
                      <w:szCs w:val="21"/>
                    </w:rPr>
                    <w:t>m³</w:t>
                  </w:r>
                </w:p>
              </w:tc>
              <w:tc>
                <w:tcPr>
                  <w:tcW w:w="2551" w:type="dxa"/>
                  <w:gridSpan w:val="3"/>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14016</w:t>
                  </w:r>
                  <w:r>
                    <w:rPr>
                      <w:rFonts w:hint="eastAsia"/>
                      <w:color w:val="auto"/>
                      <w:szCs w:val="21"/>
                    </w:rPr>
                    <w:t>万</w:t>
                  </w:r>
                  <w:r>
                    <w:rPr>
                      <w:color w:val="auto"/>
                      <w:szCs w:val="21"/>
                    </w:rPr>
                    <w:t>m³</w:t>
                  </w:r>
                </w:p>
              </w:tc>
              <w:tc>
                <w:tcPr>
                  <w:tcW w:w="1276"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w:t>
                  </w:r>
                </w:p>
              </w:tc>
              <w:tc>
                <w:tcPr>
                  <w:tcW w:w="7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w:t>
                  </w:r>
                </w:p>
              </w:tc>
            </w:tr>
            <w:tr>
              <w:tblPrEx>
                <w:tblCellMar>
                  <w:top w:w="0" w:type="dxa"/>
                  <w:left w:w="108" w:type="dxa"/>
                  <w:bottom w:w="0" w:type="dxa"/>
                  <w:right w:w="108" w:type="dxa"/>
                </w:tblCellMar>
              </w:tblPrEx>
              <w:trPr>
                <w:trHeight w:val="588" w:hRule="atLeast"/>
                <w:jc w:val="center"/>
              </w:trPr>
              <w:tc>
                <w:tcPr>
                  <w:tcW w:w="477"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567" w:type="dxa"/>
                  <w:vMerge w:val="restart"/>
                  <w:tcBorders>
                    <w:top w:val="nil"/>
                    <w:left w:val="nil"/>
                    <w:right w:val="single" w:color="auto" w:sz="4" w:space="0"/>
                  </w:tcBorders>
                  <w:shd w:val="clear" w:color="auto" w:fill="auto"/>
                  <w:vAlign w:val="center"/>
                </w:tcPr>
                <w:p>
                  <w:pPr>
                    <w:pStyle w:val="28"/>
                    <w:spacing w:line="360" w:lineRule="exact"/>
                    <w:rPr>
                      <w:color w:val="auto"/>
                      <w:szCs w:val="21"/>
                    </w:rPr>
                  </w:pPr>
                  <w:r>
                    <w:rPr>
                      <w:rFonts w:hint="eastAsia"/>
                      <w:color w:val="auto"/>
                      <w:szCs w:val="21"/>
                    </w:rPr>
                    <w:t>非甲烷总烃</w:t>
                  </w: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有组织</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118.5</w:t>
                  </w:r>
                </w:p>
              </w:tc>
              <w:tc>
                <w:tcPr>
                  <w:tcW w:w="851" w:type="dxa"/>
                  <w:vMerge w:val="restart"/>
                  <w:tcBorders>
                    <w:top w:val="nil"/>
                    <w:left w:val="nil"/>
                    <w:right w:val="single" w:color="000000" w:sz="8" w:space="0"/>
                  </w:tcBorders>
                  <w:shd w:val="clear" w:color="auto" w:fill="auto"/>
                  <w:vAlign w:val="center"/>
                </w:tcPr>
                <w:p>
                  <w:pPr>
                    <w:pStyle w:val="28"/>
                    <w:spacing w:line="360" w:lineRule="exact"/>
                    <w:rPr>
                      <w:color w:val="auto"/>
                      <w:szCs w:val="21"/>
                    </w:rPr>
                  </w:pPr>
                  <w:r>
                    <w:rPr>
                      <w:color w:val="auto"/>
                      <w:szCs w:val="21"/>
                    </w:rPr>
                    <w:t>0.68</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82.95</w:t>
                  </w:r>
                </w:p>
              </w:tc>
              <w:tc>
                <w:tcPr>
                  <w:tcW w:w="851" w:type="dxa"/>
                  <w:tcBorders>
                    <w:top w:val="nil"/>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color w:val="auto"/>
                      <w:szCs w:val="21"/>
                    </w:rPr>
                    <w:t>1.33</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0.38</w:t>
                  </w:r>
                </w:p>
              </w:tc>
              <w:tc>
                <w:tcPr>
                  <w:tcW w:w="1276"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≤120mg/m³、10kg/h</w:t>
                  </w:r>
                </w:p>
              </w:tc>
              <w:tc>
                <w:tcPr>
                  <w:tcW w:w="7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r>
              <w:tblPrEx>
                <w:tblCellMar>
                  <w:top w:w="0" w:type="dxa"/>
                  <w:left w:w="108" w:type="dxa"/>
                  <w:bottom w:w="0" w:type="dxa"/>
                  <w:right w:w="108" w:type="dxa"/>
                </w:tblCellMar>
              </w:tblPrEx>
              <w:trPr>
                <w:trHeight w:val="588" w:hRule="atLeast"/>
                <w:jc w:val="center"/>
              </w:trPr>
              <w:tc>
                <w:tcPr>
                  <w:tcW w:w="477"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8"/>
                    <w:spacing w:line="360" w:lineRule="exact"/>
                    <w:rPr>
                      <w:color w:val="auto"/>
                      <w:szCs w:val="21"/>
                    </w:rPr>
                  </w:pP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无组织</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8"/>
                    <w:spacing w:line="360" w:lineRule="exact"/>
                    <w:rPr>
                      <w:color w:val="auto"/>
                      <w:szCs w:val="21"/>
                    </w:rPr>
                  </w:pP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0.198</w:t>
                  </w:r>
                </w:p>
              </w:tc>
              <w:tc>
                <w:tcPr>
                  <w:tcW w:w="851" w:type="dxa"/>
                  <w:tcBorders>
                    <w:top w:val="nil"/>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0.14</w:t>
                  </w:r>
                </w:p>
              </w:tc>
              <w:tc>
                <w:tcPr>
                  <w:tcW w:w="1276"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4.0mg/m³</w:t>
                  </w:r>
                </w:p>
              </w:tc>
              <w:tc>
                <w:tcPr>
                  <w:tcW w:w="7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567" w:type="dxa"/>
                  <w:vMerge w:val="restart"/>
                  <w:tcBorders>
                    <w:top w:val="nil"/>
                    <w:left w:val="nil"/>
                    <w:right w:val="single" w:color="auto" w:sz="4" w:space="0"/>
                  </w:tcBorders>
                  <w:shd w:val="clear" w:color="auto" w:fill="auto"/>
                  <w:vAlign w:val="center"/>
                </w:tcPr>
                <w:p>
                  <w:pPr>
                    <w:pStyle w:val="28"/>
                    <w:spacing w:line="360" w:lineRule="exact"/>
                    <w:rPr>
                      <w:color w:val="auto"/>
                      <w:szCs w:val="21"/>
                    </w:rPr>
                  </w:pPr>
                  <w:r>
                    <w:rPr>
                      <w:color w:val="auto"/>
                      <w:szCs w:val="21"/>
                    </w:rPr>
                    <w:t>HCl</w:t>
                  </w: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有组织</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48.61</w:t>
                  </w:r>
                </w:p>
              </w:tc>
              <w:tc>
                <w:tcPr>
                  <w:tcW w:w="851" w:type="dxa"/>
                  <w:vMerge w:val="restart"/>
                  <w:tcBorders>
                    <w:top w:val="nil"/>
                    <w:left w:val="nil"/>
                    <w:right w:val="single" w:color="000000" w:sz="8" w:space="0"/>
                  </w:tcBorders>
                  <w:shd w:val="clear" w:color="auto" w:fill="auto"/>
                  <w:vAlign w:val="center"/>
                </w:tcPr>
                <w:p>
                  <w:pPr>
                    <w:pStyle w:val="28"/>
                    <w:spacing w:line="360" w:lineRule="exact"/>
                    <w:rPr>
                      <w:color w:val="auto"/>
                      <w:szCs w:val="21"/>
                    </w:rPr>
                  </w:pPr>
                  <w:r>
                    <w:rPr>
                      <w:color w:val="auto"/>
                      <w:szCs w:val="21"/>
                    </w:rPr>
                    <w:t>0.28</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2.43</w:t>
                  </w:r>
                </w:p>
              </w:tc>
              <w:tc>
                <w:tcPr>
                  <w:tcW w:w="851" w:type="dxa"/>
                  <w:tcBorders>
                    <w:top w:val="nil"/>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color w:val="auto"/>
                      <w:szCs w:val="21"/>
                    </w:rPr>
                    <w:t>0.04</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0.01</w:t>
                  </w:r>
                </w:p>
              </w:tc>
              <w:tc>
                <w:tcPr>
                  <w:tcW w:w="1276"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≤1</w:t>
                  </w:r>
                  <w:r>
                    <w:rPr>
                      <w:rFonts w:hint="eastAsia"/>
                      <w:color w:val="auto"/>
                      <w:szCs w:val="21"/>
                    </w:rPr>
                    <w:t>0</w:t>
                  </w:r>
                  <w:r>
                    <w:rPr>
                      <w:color w:val="auto"/>
                      <w:szCs w:val="21"/>
                    </w:rPr>
                    <w:t>0mg/m³、</w:t>
                  </w:r>
                  <w:r>
                    <w:rPr>
                      <w:rFonts w:hint="eastAsia"/>
                      <w:color w:val="auto"/>
                      <w:szCs w:val="21"/>
                    </w:rPr>
                    <w:t>0.26</w:t>
                  </w:r>
                  <w:r>
                    <w:rPr>
                      <w:color w:val="auto"/>
                      <w:szCs w:val="21"/>
                    </w:rPr>
                    <w:t>kg/h</w:t>
                  </w:r>
                </w:p>
              </w:tc>
              <w:tc>
                <w:tcPr>
                  <w:tcW w:w="7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r>
              <w:tblPrEx>
                <w:tblCellMar>
                  <w:top w:w="0" w:type="dxa"/>
                  <w:left w:w="108" w:type="dxa"/>
                  <w:bottom w:w="0" w:type="dxa"/>
                  <w:right w:w="108" w:type="dxa"/>
                </w:tblCellMar>
              </w:tblPrEx>
              <w:trPr>
                <w:trHeight w:val="275" w:hRule="atLeast"/>
                <w:jc w:val="center"/>
              </w:trPr>
              <w:tc>
                <w:tcPr>
                  <w:tcW w:w="477"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8"/>
                    <w:spacing w:line="360" w:lineRule="exact"/>
                    <w:rPr>
                      <w:color w:val="auto"/>
                      <w:szCs w:val="21"/>
                    </w:rPr>
                  </w:pP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无组织</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8"/>
                    <w:spacing w:line="360" w:lineRule="exact"/>
                    <w:rPr>
                      <w:color w:val="auto"/>
                      <w:szCs w:val="21"/>
                    </w:rPr>
                  </w:pP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0.012</w:t>
                  </w:r>
                </w:p>
              </w:tc>
              <w:tc>
                <w:tcPr>
                  <w:tcW w:w="851" w:type="dxa"/>
                  <w:tcBorders>
                    <w:top w:val="nil"/>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0.056</w:t>
                  </w:r>
                </w:p>
              </w:tc>
              <w:tc>
                <w:tcPr>
                  <w:tcW w:w="1276"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0.20</w:t>
                  </w:r>
                  <w:r>
                    <w:rPr>
                      <w:color w:val="auto"/>
                      <w:szCs w:val="21"/>
                    </w:rPr>
                    <w:t>mg/m³</w:t>
                  </w:r>
                </w:p>
              </w:tc>
              <w:tc>
                <w:tcPr>
                  <w:tcW w:w="7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567" w:type="dxa"/>
                  <w:vMerge w:val="restart"/>
                  <w:tcBorders>
                    <w:top w:val="nil"/>
                    <w:left w:val="nil"/>
                    <w:right w:val="single" w:color="auto" w:sz="4" w:space="0"/>
                  </w:tcBorders>
                  <w:shd w:val="clear" w:color="auto" w:fill="auto"/>
                  <w:vAlign w:val="center"/>
                </w:tcPr>
                <w:p>
                  <w:pPr>
                    <w:pStyle w:val="28"/>
                    <w:spacing w:line="360" w:lineRule="exact"/>
                    <w:rPr>
                      <w:color w:val="auto"/>
                      <w:szCs w:val="21"/>
                    </w:rPr>
                  </w:pPr>
                  <w:r>
                    <w:rPr>
                      <w:rFonts w:hint="eastAsia"/>
                      <w:color w:val="auto"/>
                      <w:szCs w:val="21"/>
                    </w:rPr>
                    <w:t>氨</w:t>
                  </w: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有组织</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1.35</w:t>
                  </w:r>
                </w:p>
              </w:tc>
              <w:tc>
                <w:tcPr>
                  <w:tcW w:w="851" w:type="dxa"/>
                  <w:vMerge w:val="restart"/>
                  <w:tcBorders>
                    <w:top w:val="nil"/>
                    <w:left w:val="nil"/>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w:t>
                  </w:r>
                  <w:r>
                    <w:rPr>
                      <w:color w:val="auto"/>
                      <w:szCs w:val="21"/>
                    </w:rPr>
                    <w:t>.237</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0.54</w:t>
                  </w:r>
                </w:p>
              </w:tc>
              <w:tc>
                <w:tcPr>
                  <w:tcW w:w="851" w:type="dxa"/>
                  <w:tcBorders>
                    <w:top w:val="nil"/>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color w:val="auto"/>
                      <w:szCs w:val="21"/>
                    </w:rPr>
                    <w:t>0.0</w:t>
                  </w:r>
                  <w:r>
                    <w:rPr>
                      <w:rFonts w:hint="eastAsia"/>
                      <w:color w:val="auto"/>
                      <w:szCs w:val="21"/>
                    </w:rPr>
                    <w:t>09</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0.0</w:t>
                  </w:r>
                  <w:r>
                    <w:rPr>
                      <w:rFonts w:hint="eastAsia"/>
                      <w:color w:val="auto"/>
                      <w:szCs w:val="21"/>
                    </w:rPr>
                    <w:t>8</w:t>
                  </w:r>
                </w:p>
              </w:tc>
              <w:tc>
                <w:tcPr>
                  <w:tcW w:w="1276"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4.9kg/h</w:t>
                  </w:r>
                </w:p>
              </w:tc>
              <w:tc>
                <w:tcPr>
                  <w:tcW w:w="7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8"/>
                    <w:spacing w:line="360" w:lineRule="exact"/>
                    <w:rPr>
                      <w:color w:val="auto"/>
                      <w:szCs w:val="21"/>
                    </w:rPr>
                  </w:pPr>
                </w:p>
              </w:tc>
              <w:tc>
                <w:tcPr>
                  <w:tcW w:w="851" w:type="dxa"/>
                  <w:tcBorders>
                    <w:top w:val="nil"/>
                    <w:left w:val="single" w:color="auto" w:sz="4"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无组织</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8"/>
                    <w:spacing w:line="360" w:lineRule="exact"/>
                    <w:rPr>
                      <w:color w:val="auto"/>
                      <w:szCs w:val="21"/>
                    </w:rPr>
                  </w:pP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0.013</w:t>
                  </w:r>
                </w:p>
              </w:tc>
              <w:tc>
                <w:tcPr>
                  <w:tcW w:w="851" w:type="dxa"/>
                  <w:tcBorders>
                    <w:top w:val="nil"/>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0.05</w:t>
                  </w:r>
                </w:p>
              </w:tc>
              <w:tc>
                <w:tcPr>
                  <w:tcW w:w="1276"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1.5mg/m³</w:t>
                  </w:r>
                </w:p>
              </w:tc>
              <w:tc>
                <w:tcPr>
                  <w:tcW w:w="7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right w:val="single" w:color="000000" w:sz="8" w:space="0"/>
                  </w:tcBorders>
                  <w:vAlign w:val="center"/>
                </w:tcPr>
                <w:p>
                  <w:pPr>
                    <w:pStyle w:val="28"/>
                    <w:spacing w:line="360" w:lineRule="exact"/>
                    <w:rPr>
                      <w:color w:val="auto"/>
                      <w:szCs w:val="21"/>
                    </w:rPr>
                  </w:pPr>
                </w:p>
              </w:tc>
              <w:tc>
                <w:tcPr>
                  <w:tcW w:w="567" w:type="dxa"/>
                  <w:vMerge w:val="restart"/>
                  <w:tcBorders>
                    <w:top w:val="nil"/>
                    <w:left w:val="nil"/>
                    <w:right w:val="single" w:color="auto" w:sz="4" w:space="0"/>
                  </w:tcBorders>
                  <w:shd w:val="clear" w:color="auto" w:fill="auto"/>
                  <w:vAlign w:val="center"/>
                </w:tcPr>
                <w:p>
                  <w:pPr>
                    <w:pStyle w:val="28"/>
                    <w:spacing w:line="360" w:lineRule="exact"/>
                    <w:rPr>
                      <w:color w:val="auto"/>
                      <w:szCs w:val="21"/>
                    </w:rPr>
                  </w:pPr>
                  <w:r>
                    <w:rPr>
                      <w:rFonts w:hint="eastAsia"/>
                      <w:color w:val="auto"/>
                      <w:szCs w:val="21"/>
                    </w:rPr>
                    <w:t>硫化氢</w:t>
                  </w:r>
                </w:p>
              </w:tc>
              <w:tc>
                <w:tcPr>
                  <w:tcW w:w="851" w:type="dxa"/>
                  <w:tcBorders>
                    <w:top w:val="nil"/>
                    <w:left w:val="single" w:color="auto" w:sz="4" w:space="0"/>
                    <w:bottom w:val="single" w:color="auto" w:sz="4"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有组织</w:t>
                  </w:r>
                </w:p>
              </w:tc>
              <w:tc>
                <w:tcPr>
                  <w:tcW w:w="850" w:type="dxa"/>
                  <w:tcBorders>
                    <w:top w:val="nil"/>
                    <w:left w:val="nil"/>
                    <w:bottom w:val="single" w:color="auto" w:sz="4"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0.01</w:t>
                  </w:r>
                </w:p>
              </w:tc>
              <w:tc>
                <w:tcPr>
                  <w:tcW w:w="851" w:type="dxa"/>
                  <w:vMerge w:val="restart"/>
                  <w:tcBorders>
                    <w:top w:val="nil"/>
                    <w:left w:val="nil"/>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w:t>
                  </w:r>
                  <w:r>
                    <w:rPr>
                      <w:color w:val="auto"/>
                      <w:szCs w:val="21"/>
                    </w:rPr>
                    <w:t>.002</w:t>
                  </w:r>
                </w:p>
              </w:tc>
              <w:tc>
                <w:tcPr>
                  <w:tcW w:w="850" w:type="dxa"/>
                  <w:tcBorders>
                    <w:top w:val="nil"/>
                    <w:left w:val="nil"/>
                    <w:bottom w:val="single" w:color="auto" w:sz="4"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0.004</w:t>
                  </w:r>
                </w:p>
              </w:tc>
              <w:tc>
                <w:tcPr>
                  <w:tcW w:w="851" w:type="dxa"/>
                  <w:tcBorders>
                    <w:top w:val="nil"/>
                    <w:left w:val="nil"/>
                    <w:bottom w:val="single" w:color="auto" w:sz="4" w:space="0"/>
                    <w:right w:val="single" w:color="auto" w:sz="8" w:space="0"/>
                  </w:tcBorders>
                  <w:shd w:val="clear" w:color="auto" w:fill="auto"/>
                  <w:vAlign w:val="center"/>
                </w:tcPr>
                <w:p>
                  <w:pPr>
                    <w:pStyle w:val="28"/>
                    <w:spacing w:line="360" w:lineRule="exact"/>
                    <w:rPr>
                      <w:color w:val="auto"/>
                      <w:szCs w:val="21"/>
                    </w:rPr>
                  </w:pPr>
                  <w:r>
                    <w:rPr>
                      <w:color w:val="auto"/>
                      <w:szCs w:val="21"/>
                    </w:rPr>
                    <w:t>0.0</w:t>
                  </w:r>
                  <w:r>
                    <w:rPr>
                      <w:rFonts w:hint="eastAsia"/>
                      <w:color w:val="auto"/>
                      <w:szCs w:val="21"/>
                    </w:rPr>
                    <w:t>0006</w:t>
                  </w:r>
                </w:p>
              </w:tc>
              <w:tc>
                <w:tcPr>
                  <w:tcW w:w="850" w:type="dxa"/>
                  <w:tcBorders>
                    <w:top w:val="nil"/>
                    <w:left w:val="nil"/>
                    <w:bottom w:val="single" w:color="auto" w:sz="4" w:space="0"/>
                    <w:right w:val="single" w:color="000000" w:sz="8" w:space="0"/>
                  </w:tcBorders>
                  <w:shd w:val="clear" w:color="auto" w:fill="auto"/>
                  <w:vAlign w:val="center"/>
                </w:tcPr>
                <w:p>
                  <w:pPr>
                    <w:pStyle w:val="28"/>
                    <w:spacing w:line="360" w:lineRule="exact"/>
                    <w:rPr>
                      <w:color w:val="auto"/>
                      <w:szCs w:val="21"/>
                    </w:rPr>
                  </w:pPr>
                  <w:r>
                    <w:rPr>
                      <w:color w:val="auto"/>
                      <w:szCs w:val="21"/>
                    </w:rPr>
                    <w:t>0.0</w:t>
                  </w:r>
                  <w:r>
                    <w:rPr>
                      <w:rFonts w:hint="eastAsia"/>
                      <w:color w:val="auto"/>
                      <w:szCs w:val="21"/>
                    </w:rPr>
                    <w:t>006</w:t>
                  </w:r>
                </w:p>
              </w:tc>
              <w:tc>
                <w:tcPr>
                  <w:tcW w:w="1276" w:type="dxa"/>
                  <w:tcBorders>
                    <w:top w:val="nil"/>
                    <w:left w:val="nil"/>
                    <w:bottom w:val="single" w:color="auto" w:sz="4" w:space="0"/>
                    <w:right w:val="single" w:color="000000" w:sz="8" w:space="0"/>
                  </w:tcBorders>
                  <w:shd w:val="clear" w:color="auto" w:fill="auto"/>
                  <w:vAlign w:val="center"/>
                </w:tcPr>
                <w:p>
                  <w:pPr>
                    <w:pStyle w:val="28"/>
                    <w:spacing w:line="360" w:lineRule="exact"/>
                    <w:rPr>
                      <w:color w:val="auto"/>
                      <w:szCs w:val="21"/>
                    </w:rPr>
                  </w:pPr>
                  <w:r>
                    <w:rPr>
                      <w:color w:val="auto"/>
                      <w:szCs w:val="21"/>
                    </w:rPr>
                    <w:t>0.33kg/h</w:t>
                  </w:r>
                </w:p>
              </w:tc>
              <w:tc>
                <w:tcPr>
                  <w:tcW w:w="734" w:type="dxa"/>
                  <w:tcBorders>
                    <w:top w:val="nil"/>
                    <w:left w:val="nil"/>
                    <w:bottom w:val="single" w:color="auto" w:sz="4"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r>
              <w:tblPrEx>
                <w:tblCellMar>
                  <w:top w:w="0" w:type="dxa"/>
                  <w:left w:w="108" w:type="dxa"/>
                  <w:bottom w:w="0" w:type="dxa"/>
                  <w:right w:w="108" w:type="dxa"/>
                </w:tblCellMar>
              </w:tblPrEx>
              <w:trPr>
                <w:trHeight w:val="324" w:hRule="atLeast"/>
                <w:jc w:val="center"/>
              </w:trPr>
              <w:tc>
                <w:tcPr>
                  <w:tcW w:w="477" w:type="dxa"/>
                  <w:vMerge w:val="continue"/>
                  <w:tcBorders>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438" w:type="dxa"/>
                  <w:vMerge w:val="continue"/>
                  <w:tcBorders>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567" w:type="dxa"/>
                  <w:vMerge w:val="continue"/>
                  <w:tcBorders>
                    <w:left w:val="nil"/>
                    <w:bottom w:val="single" w:color="000000" w:sz="8" w:space="0"/>
                    <w:right w:val="single" w:color="auto" w:sz="4" w:space="0"/>
                  </w:tcBorders>
                  <w:shd w:val="clear" w:color="auto" w:fill="auto"/>
                  <w:vAlign w:val="center"/>
                </w:tcPr>
                <w:p>
                  <w:pPr>
                    <w:pStyle w:val="28"/>
                    <w:spacing w:line="360" w:lineRule="exact"/>
                    <w:rPr>
                      <w:color w:val="auto"/>
                      <w:szCs w:val="21"/>
                    </w:rPr>
                  </w:pPr>
                </w:p>
              </w:tc>
              <w:tc>
                <w:tcPr>
                  <w:tcW w:w="851" w:type="dxa"/>
                  <w:tcBorders>
                    <w:top w:val="single" w:color="auto" w:sz="4" w:space="0"/>
                    <w:left w:val="single" w:color="auto" w:sz="4"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无组织</w:t>
                  </w:r>
                </w:p>
              </w:tc>
              <w:tc>
                <w:tcPr>
                  <w:tcW w:w="850" w:type="dxa"/>
                  <w:tcBorders>
                    <w:top w:val="single" w:color="auto" w:sz="4"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1" w:type="dxa"/>
                  <w:vMerge w:val="continue"/>
                  <w:tcBorders>
                    <w:left w:val="nil"/>
                    <w:bottom w:val="single" w:color="000000" w:sz="8" w:space="0"/>
                    <w:right w:val="single" w:color="000000" w:sz="8" w:space="0"/>
                  </w:tcBorders>
                  <w:shd w:val="clear" w:color="auto" w:fill="auto"/>
                  <w:vAlign w:val="center"/>
                </w:tcPr>
                <w:p>
                  <w:pPr>
                    <w:pStyle w:val="28"/>
                    <w:spacing w:line="360" w:lineRule="exact"/>
                    <w:rPr>
                      <w:color w:val="auto"/>
                      <w:szCs w:val="21"/>
                    </w:rPr>
                  </w:pPr>
                </w:p>
              </w:tc>
              <w:tc>
                <w:tcPr>
                  <w:tcW w:w="850" w:type="dxa"/>
                  <w:tcBorders>
                    <w:top w:val="single" w:color="auto" w:sz="4"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0.0001</w:t>
                  </w:r>
                </w:p>
              </w:tc>
              <w:tc>
                <w:tcPr>
                  <w:tcW w:w="851" w:type="dxa"/>
                  <w:tcBorders>
                    <w:top w:val="single" w:color="auto" w:sz="4" w:space="0"/>
                    <w:left w:val="nil"/>
                    <w:bottom w:val="single" w:color="000000" w:sz="8" w:space="0"/>
                    <w:right w:val="single" w:color="auto" w:sz="8" w:space="0"/>
                  </w:tcBorders>
                  <w:shd w:val="clear" w:color="auto" w:fill="auto"/>
                  <w:vAlign w:val="center"/>
                </w:tcPr>
                <w:p>
                  <w:pPr>
                    <w:pStyle w:val="28"/>
                    <w:spacing w:line="360" w:lineRule="exact"/>
                    <w:rPr>
                      <w:color w:val="auto"/>
                      <w:szCs w:val="21"/>
                    </w:rPr>
                  </w:pPr>
                  <w:r>
                    <w:rPr>
                      <w:rFonts w:hint="eastAsia"/>
                      <w:color w:val="auto"/>
                      <w:szCs w:val="21"/>
                    </w:rPr>
                    <w:t>--</w:t>
                  </w:r>
                </w:p>
              </w:tc>
              <w:tc>
                <w:tcPr>
                  <w:tcW w:w="850" w:type="dxa"/>
                  <w:tcBorders>
                    <w:top w:val="single" w:color="auto" w:sz="4"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0.0</w:t>
                  </w:r>
                  <w:r>
                    <w:rPr>
                      <w:rFonts w:hint="eastAsia"/>
                      <w:color w:val="auto"/>
                      <w:szCs w:val="21"/>
                    </w:rPr>
                    <w:t>004</w:t>
                  </w:r>
                </w:p>
              </w:tc>
              <w:tc>
                <w:tcPr>
                  <w:tcW w:w="1276" w:type="dxa"/>
                  <w:tcBorders>
                    <w:top w:val="single" w:color="auto" w:sz="4"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0.06mg/m³</w:t>
                  </w:r>
                </w:p>
              </w:tc>
              <w:tc>
                <w:tcPr>
                  <w:tcW w:w="734" w:type="dxa"/>
                  <w:tcBorders>
                    <w:top w:val="single" w:color="auto" w:sz="4"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达标</w:t>
                  </w:r>
                </w:p>
              </w:tc>
            </w:tr>
          </w:tbl>
          <w:p>
            <w:pPr>
              <w:pStyle w:val="36"/>
              <w:spacing w:beforeLines="50"/>
              <w:ind w:firstLine="480"/>
              <w:rPr>
                <w:szCs w:val="24"/>
              </w:rPr>
            </w:pPr>
            <w:r>
              <w:rPr>
                <w:szCs w:val="24"/>
              </w:rPr>
              <w:t>由上表可知，项目废气达标性结论如下：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⑴</w:t>
            </w:r>
            <w:r>
              <w:rPr>
                <w:rFonts w:ascii="Times New Roman" w:hAnsi="Times New Roman" w:cs="Times New Roman"/>
                <w:sz w:val="24"/>
                <w:szCs w:val="24"/>
              </w:rPr>
              <w:fldChar w:fldCharType="end"/>
            </w:r>
            <w:r>
              <w:rPr>
                <w:rFonts w:hint="eastAsia" w:ascii="Times New Roman" w:hAnsi="Times New Roman" w:cs="Times New Roman"/>
                <w:sz w:val="24"/>
                <w:szCs w:val="24"/>
              </w:rPr>
              <w:t>项目产生的废气包括非甲烷总烃、</w:t>
            </w:r>
            <w:r>
              <w:rPr>
                <w:rFonts w:ascii="Times New Roman" w:hAnsi="Times New Roman" w:cs="Times New Roman"/>
                <w:sz w:val="24"/>
                <w:szCs w:val="24"/>
              </w:rPr>
              <w:t>HCl</w:t>
            </w:r>
            <w:r>
              <w:rPr>
                <w:rFonts w:hint="eastAsia" w:ascii="Times New Roman" w:hAnsi="Times New Roman" w:cs="Times New Roman"/>
                <w:sz w:val="24"/>
                <w:szCs w:val="24"/>
              </w:rPr>
              <w:t>、氨和硫化氢，</w:t>
            </w:r>
            <w:r>
              <w:rPr>
                <w:rFonts w:ascii="Times New Roman" w:hAnsi="Times New Roman" w:cs="Times New Roman"/>
                <w:sz w:val="24"/>
                <w:szCs w:val="24"/>
              </w:rPr>
              <w:t>针对小微企业危险废物贮存库区产生的废气，通过1套负压收集系统对其收集后，拟设置1套废气处理装置对其进行处理，处理后通过1根Φ0.68、高15m的排气筒（DA001）外排</w:t>
            </w:r>
            <w:r>
              <w:rPr>
                <w:rFonts w:hint="eastAsia" w:ascii="Times New Roman" w:hAnsi="Times New Roman" w:cs="Times New Roman"/>
                <w:sz w:val="24"/>
                <w:szCs w:val="24"/>
              </w:rPr>
              <w:t>；其中非甲烷总烃和</w:t>
            </w:r>
            <w:r>
              <w:rPr>
                <w:rFonts w:ascii="Times New Roman" w:hAnsi="Times New Roman" w:cs="Times New Roman"/>
                <w:sz w:val="24"/>
                <w:szCs w:val="24"/>
              </w:rPr>
              <w:t>HCl</w:t>
            </w:r>
            <w:r>
              <w:rPr>
                <w:rFonts w:hint="eastAsia" w:ascii="Times New Roman" w:hAnsi="Times New Roman" w:cs="Times New Roman"/>
                <w:sz w:val="24"/>
                <w:szCs w:val="24"/>
              </w:rPr>
              <w:t>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表2 标准限值，氨和硫化氢可达到</w:t>
            </w:r>
            <w:r>
              <w:rPr>
                <w:rFonts w:ascii="Times New Roman" w:hAnsi="Times New Roman" w:cs="Times New Roman"/>
                <w:sz w:val="24"/>
                <w:szCs w:val="24"/>
              </w:rPr>
              <w:t>《恶臭污染物排放标准》（GB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-93）污染物排放标准值</w:t>
            </w:r>
            <w:r>
              <w:rPr>
                <w:rFonts w:hint="eastAsia" w:ascii="Times New Roman" w:hAnsi="Times New Roman" w:cs="Times New Roman"/>
                <w:sz w:val="24"/>
                <w:szCs w:val="24"/>
              </w:rPr>
              <w:t>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⑵</w:t>
            </w:r>
            <w:r>
              <w:rPr>
                <w:rFonts w:ascii="Times New Roman" w:hAnsi="Times New Roman" w:cs="Times New Roman"/>
                <w:sz w:val="24"/>
                <w:szCs w:val="24"/>
              </w:rPr>
              <w:fldChar w:fldCharType="end"/>
            </w:r>
            <w:r>
              <w:rPr>
                <w:rFonts w:hint="eastAsia" w:ascii="Times New Roman" w:hAnsi="Times New Roman" w:cs="Times New Roman"/>
                <w:sz w:val="24"/>
                <w:szCs w:val="24"/>
              </w:rPr>
              <w:t>项目无组织排放废气包括未被收集的非甲烷总烃、</w:t>
            </w:r>
            <w:r>
              <w:rPr>
                <w:rFonts w:ascii="Times New Roman" w:hAnsi="Times New Roman" w:cs="Times New Roman"/>
                <w:sz w:val="24"/>
                <w:szCs w:val="24"/>
              </w:rPr>
              <w:t>HCl</w:t>
            </w:r>
            <w:r>
              <w:rPr>
                <w:rFonts w:hint="eastAsia" w:ascii="Times New Roman" w:hAnsi="Times New Roman" w:cs="Times New Roman"/>
                <w:sz w:val="24"/>
                <w:szCs w:val="24"/>
              </w:rPr>
              <w:t>、氨和硫化氢，按照</w:t>
            </w:r>
            <w:r>
              <w:rPr>
                <w:rFonts w:ascii="Times New Roman" w:hAnsi="Times New Roman" w:cs="Times New Roman"/>
                <w:sz w:val="24"/>
                <w:szCs w:val="24"/>
              </w:rPr>
              <w:t>《环境影响评价技术导则-大气环境》（HJ2.2-2018）附录A推荐模型中的AERSCREEN模式</w:t>
            </w:r>
            <w:r>
              <w:rPr>
                <w:rFonts w:hint="eastAsia" w:ascii="Times New Roman" w:hAnsi="Times New Roman" w:cs="Times New Roman"/>
                <w:sz w:val="24"/>
                <w:szCs w:val="24"/>
              </w:rPr>
              <w:t>进行预测，非甲烷总烃最大落地浓度为0.198</w:t>
            </w:r>
            <w:r>
              <w:rPr>
                <w:rFonts w:ascii="Times New Roman" w:hAnsi="Times New Roman" w:cs="Times New Roman"/>
                <w:sz w:val="24"/>
                <w:szCs w:val="24"/>
              </w:rPr>
              <w:t>mg/m³</w:t>
            </w:r>
            <w:r>
              <w:rPr>
                <w:rFonts w:hint="eastAsia" w:ascii="Times New Roman" w:hAnsi="Times New Roman" w:cs="Times New Roman"/>
                <w:sz w:val="24"/>
                <w:szCs w:val="24"/>
              </w:rPr>
              <w:t>，</w:t>
            </w:r>
            <w:r>
              <w:rPr>
                <w:rFonts w:ascii="Times New Roman" w:hAnsi="Times New Roman" w:cs="Times New Roman"/>
                <w:sz w:val="24"/>
                <w:szCs w:val="24"/>
              </w:rPr>
              <w:t>HCl</w:t>
            </w:r>
            <w:r>
              <w:rPr>
                <w:rFonts w:hint="eastAsia" w:ascii="Times New Roman" w:hAnsi="Times New Roman" w:cs="Times New Roman"/>
                <w:sz w:val="24"/>
                <w:szCs w:val="24"/>
              </w:rPr>
              <w:t>最大落地浓度为0.012</w:t>
            </w:r>
            <w:r>
              <w:rPr>
                <w:rFonts w:ascii="Times New Roman" w:hAnsi="Times New Roman" w:cs="Times New Roman"/>
                <w:sz w:val="24"/>
                <w:szCs w:val="24"/>
              </w:rPr>
              <w:t>mg/m³</w:t>
            </w:r>
            <w:r>
              <w:rPr>
                <w:rFonts w:hint="eastAsia" w:ascii="Times New Roman" w:hAnsi="Times New Roman" w:cs="Times New Roman"/>
                <w:sz w:val="24"/>
                <w:szCs w:val="24"/>
              </w:rPr>
              <w:t>，可达到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无组织排放监控浓度限制要求；氨最大落地浓度为0.013</w:t>
            </w:r>
            <w:r>
              <w:rPr>
                <w:rFonts w:ascii="Times New Roman" w:hAnsi="Times New Roman" w:cs="Times New Roman"/>
                <w:sz w:val="24"/>
                <w:szCs w:val="24"/>
              </w:rPr>
              <w:t>mg/m³</w:t>
            </w:r>
            <w:r>
              <w:rPr>
                <w:rFonts w:hint="eastAsia" w:ascii="Times New Roman" w:hAnsi="Times New Roman" w:cs="Times New Roman"/>
                <w:sz w:val="24"/>
                <w:szCs w:val="24"/>
              </w:rPr>
              <w:t>，硫化氢最大落地浓度为0.0001</w:t>
            </w:r>
            <w:r>
              <w:rPr>
                <w:rFonts w:ascii="Times New Roman" w:hAnsi="Times New Roman" w:cs="Times New Roman"/>
                <w:sz w:val="24"/>
                <w:szCs w:val="24"/>
              </w:rPr>
              <w:t>mg/m³</w:t>
            </w:r>
            <w:r>
              <w:rPr>
                <w:rFonts w:hint="eastAsia" w:ascii="Times New Roman" w:hAnsi="Times New Roman" w:cs="Times New Roman"/>
                <w:sz w:val="24"/>
                <w:szCs w:val="24"/>
              </w:rPr>
              <w:t>，可达到</w:t>
            </w:r>
            <w:r>
              <w:rPr>
                <w:rFonts w:ascii="Times New Roman" w:hAnsi="Times New Roman" w:cs="Times New Roman"/>
                <w:sz w:val="24"/>
                <w:szCs w:val="24"/>
              </w:rPr>
              <w:t>《恶臭污染物排放标准》（GB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-93）污染物厂界标准值</w:t>
            </w:r>
            <w:r>
              <w:rPr>
                <w:rFonts w:hint="eastAsia" w:ascii="Times New Roman" w:hAnsi="Times New Roman" w:cs="Times New Roman"/>
                <w:sz w:val="24"/>
                <w:szCs w:val="24"/>
              </w:rPr>
              <w:t>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实施方案，针对小微企业危险废物贮存库区，项目拟设置1套负压收集系统，负压收集系统由集气罩和输送管道组成，每个贮存单元内设置1个集气罩，将各贮存单位产生的废气收集后通过管道输送至废气处理装置进行处置，集气罩的风机风量为2000m³/个，合计风量为16000m³，集气效率约为80%。通过负压收集系统收集后的废气通过1套废气处理装置对其进行处理，该项目废气处理装置由活性炭吸附+碱喷淋工艺组成，根据设计参数，该装置有机废气（非甲烷总烃）的处理效率约为30%，酸性废气（HCl）处理效率约为95%，恶臭废气（氨、硫化氢和臭气浓度）处理效率约为60%。处理后经1根Φ0.68、高15m的排气筒（DA001）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该项目产生的主要废气污染物为</w:t>
            </w:r>
            <w:r>
              <w:rPr>
                <w:rFonts w:hint="eastAsia" w:ascii="Times New Roman" w:hAnsi="Times New Roman" w:cs="Times New Roman"/>
                <w:sz w:val="24"/>
                <w:szCs w:val="24"/>
              </w:rPr>
              <w:t>有机废气（非甲烷总烃）、酸性废气（HCl）、恶臭废气（氨、硫化氢和臭气浓度）。</w:t>
            </w:r>
            <w:r>
              <w:rPr>
                <w:rFonts w:ascii="Times New Roman" w:hAnsi="Times New Roman" w:cs="Times New Roman"/>
                <w:sz w:val="24"/>
                <w:szCs w:val="24"/>
              </w:rPr>
              <w:t>该项目废气处理装置</w:t>
            </w:r>
            <w:r>
              <w:rPr>
                <w:rFonts w:hint="eastAsia" w:ascii="Times New Roman" w:hAnsi="Times New Roman" w:cs="Times New Roman"/>
                <w:sz w:val="24"/>
                <w:szCs w:val="24"/>
              </w:rPr>
              <w:t>主要处理工艺为：</w:t>
            </w:r>
            <w:r>
              <w:rPr>
                <w:rFonts w:ascii="Times New Roman" w:hAnsi="Times New Roman" w:cs="Times New Roman"/>
                <w:sz w:val="24"/>
                <w:szCs w:val="24"/>
              </w:rPr>
              <w:t>活性炭吸附+碱喷淋工艺，</w:t>
            </w:r>
            <w:r>
              <w:rPr>
                <w:rFonts w:hint="eastAsia" w:ascii="Times New Roman" w:hAnsi="Times New Roman" w:cs="Times New Roman"/>
                <w:sz w:val="24"/>
                <w:szCs w:val="24"/>
              </w:rPr>
              <w:t>主要工艺简介如下：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①活性炭吸附</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利用活性炭或炭纤维表面的高比表面积对废气中挥发性有机物进行吸附，从而达到净化效果。在短时间内能吸附一定的污染物，主要是针对有机废气（非甲烷总烃）和恶臭废气（氨、硫化氢和臭气浓度），产品本身无二次污染。</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②碱喷淋工艺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贮存区废气经</w:t>
            </w:r>
            <w:r>
              <w:rPr>
                <w:rFonts w:ascii="Times New Roman" w:hAnsi="Times New Roman" w:cs="Times New Roman"/>
                <w:sz w:val="24"/>
                <w:szCs w:val="24"/>
              </w:rPr>
              <w:t>负压收集系统</w:t>
            </w:r>
            <w:r>
              <w:rPr>
                <w:rFonts w:hint="eastAsia" w:ascii="Times New Roman" w:hAnsi="Times New Roman" w:cs="Times New Roman"/>
                <w:sz w:val="24"/>
                <w:szCs w:val="24"/>
              </w:rPr>
              <w:t>进入碱喷淋塔，对酸性气体使用湿法处理，可提高处理效果，并减少处理成本，在碱喷淋塔内部喷入NaOH溶液，废气通过与NaOH溶液充分接触得到很高的脱酸效果。</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类比其他同类型危险废物集中收集、贮存项目废气治理及排放情况，具体见下表。</w:t>
            </w:r>
          </w:p>
          <w:p>
            <w:pPr>
              <w:jc w:val="center"/>
              <w:rPr>
                <w:rFonts w:ascii="Times New Roman" w:hAnsi="Times New Roman" w:cs="Times New Roman"/>
                <w:b/>
                <w:szCs w:val="24"/>
              </w:rPr>
            </w:pPr>
            <w:r>
              <w:rPr>
                <w:rFonts w:hint="eastAsia" w:ascii="Times New Roman" w:hAnsi="Times New Roman" w:cs="Times New Roman"/>
                <w:b/>
                <w:szCs w:val="24"/>
              </w:rPr>
              <w:t>表4.2.1-4 同类型项目废气治理措施及污染物排放情况</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6"/>
              <w:gridCol w:w="1276"/>
              <w:gridCol w:w="1701"/>
              <w:gridCol w:w="2426"/>
              <w:gridCol w:w="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8"/>
                    <w:spacing w:line="360" w:lineRule="exact"/>
                    <w:rPr>
                      <w:color w:val="auto"/>
                      <w:szCs w:val="21"/>
                    </w:rPr>
                  </w:pPr>
                  <w:r>
                    <w:rPr>
                      <w:rFonts w:hint="eastAsia"/>
                      <w:color w:val="auto"/>
                      <w:szCs w:val="21"/>
                    </w:rPr>
                    <w:t>项目名称</w:t>
                  </w:r>
                </w:p>
              </w:tc>
              <w:tc>
                <w:tcPr>
                  <w:tcW w:w="1276" w:type="dxa"/>
                  <w:vAlign w:val="center"/>
                </w:tcPr>
                <w:p>
                  <w:pPr>
                    <w:pStyle w:val="28"/>
                    <w:spacing w:line="360" w:lineRule="exact"/>
                    <w:rPr>
                      <w:color w:val="auto"/>
                      <w:szCs w:val="21"/>
                    </w:rPr>
                  </w:pPr>
                  <w:r>
                    <w:rPr>
                      <w:rFonts w:hint="eastAsia"/>
                      <w:color w:val="auto"/>
                      <w:szCs w:val="21"/>
                    </w:rPr>
                    <w:t>危险废物暂存规模（t/a）</w:t>
                  </w:r>
                </w:p>
              </w:tc>
              <w:tc>
                <w:tcPr>
                  <w:tcW w:w="1701" w:type="dxa"/>
                  <w:vAlign w:val="center"/>
                </w:tcPr>
                <w:p>
                  <w:pPr>
                    <w:pStyle w:val="28"/>
                    <w:spacing w:line="360" w:lineRule="exact"/>
                    <w:rPr>
                      <w:color w:val="auto"/>
                      <w:szCs w:val="21"/>
                    </w:rPr>
                  </w:pPr>
                  <w:r>
                    <w:rPr>
                      <w:rFonts w:hint="eastAsia"/>
                      <w:color w:val="auto"/>
                      <w:szCs w:val="21"/>
                    </w:rPr>
                    <w:t>处理工艺</w:t>
                  </w:r>
                </w:p>
              </w:tc>
              <w:tc>
                <w:tcPr>
                  <w:tcW w:w="2426" w:type="dxa"/>
                  <w:vAlign w:val="center"/>
                </w:tcPr>
                <w:p>
                  <w:pPr>
                    <w:pStyle w:val="28"/>
                    <w:spacing w:line="360" w:lineRule="exact"/>
                    <w:rPr>
                      <w:color w:val="auto"/>
                      <w:szCs w:val="21"/>
                    </w:rPr>
                  </w:pPr>
                  <w:r>
                    <w:rPr>
                      <w:rFonts w:hint="eastAsia"/>
                      <w:color w:val="auto"/>
                      <w:szCs w:val="21"/>
                    </w:rPr>
                    <w:t>污染物排放情况</w:t>
                  </w:r>
                </w:p>
              </w:tc>
              <w:tc>
                <w:tcPr>
                  <w:tcW w:w="746" w:type="dxa"/>
                  <w:vAlign w:val="center"/>
                </w:tcPr>
                <w:p>
                  <w:pPr>
                    <w:pStyle w:val="28"/>
                    <w:spacing w:line="360" w:lineRule="exact"/>
                    <w:rPr>
                      <w:color w:val="auto"/>
                      <w:szCs w:val="21"/>
                    </w:rPr>
                  </w:pPr>
                  <w:r>
                    <w:rPr>
                      <w:rFonts w:hint="eastAsia"/>
                      <w:color w:val="auto"/>
                      <w:szCs w:val="21"/>
                    </w:rPr>
                    <w:t>资料来源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8"/>
                    <w:spacing w:line="360" w:lineRule="exact"/>
                    <w:rPr>
                      <w:color w:val="auto"/>
                      <w:szCs w:val="21"/>
                    </w:rPr>
                  </w:pPr>
                  <w:r>
                    <w:rPr>
                      <w:rFonts w:hint="eastAsia"/>
                      <w:color w:val="auto"/>
                      <w:szCs w:val="21"/>
                    </w:rPr>
                    <w:t>云禾环境科技（常州）股份有限公司危险废物集中收集贮存项目</w:t>
                  </w:r>
                </w:p>
              </w:tc>
              <w:tc>
                <w:tcPr>
                  <w:tcW w:w="1276" w:type="dxa"/>
                  <w:vAlign w:val="center"/>
                </w:tcPr>
                <w:p>
                  <w:pPr>
                    <w:pStyle w:val="28"/>
                    <w:spacing w:line="360" w:lineRule="exact"/>
                    <w:rPr>
                      <w:color w:val="auto"/>
                      <w:szCs w:val="21"/>
                    </w:rPr>
                  </w:pPr>
                  <w:r>
                    <w:rPr>
                      <w:rFonts w:hint="eastAsia"/>
                      <w:color w:val="auto"/>
                      <w:szCs w:val="21"/>
                    </w:rPr>
                    <w:t>5</w:t>
                  </w:r>
                  <w:r>
                    <w:rPr>
                      <w:color w:val="auto"/>
                      <w:szCs w:val="21"/>
                    </w:rPr>
                    <w:t>000</w:t>
                  </w:r>
                </w:p>
              </w:tc>
              <w:tc>
                <w:tcPr>
                  <w:tcW w:w="1701" w:type="dxa"/>
                  <w:vAlign w:val="center"/>
                </w:tcPr>
                <w:p>
                  <w:pPr>
                    <w:pStyle w:val="28"/>
                    <w:spacing w:line="360" w:lineRule="exact"/>
                    <w:rPr>
                      <w:color w:val="auto"/>
                      <w:szCs w:val="21"/>
                    </w:rPr>
                  </w:pPr>
                  <w:r>
                    <w:rPr>
                      <w:rFonts w:hint="eastAsia"/>
                      <w:color w:val="auto"/>
                      <w:szCs w:val="21"/>
                    </w:rPr>
                    <w:t>碱液喷淋+除雾器+两级活性炭吸附</w:t>
                  </w:r>
                </w:p>
              </w:tc>
              <w:tc>
                <w:tcPr>
                  <w:tcW w:w="2426" w:type="dxa"/>
                  <w:vAlign w:val="center"/>
                </w:tcPr>
                <w:p>
                  <w:pPr>
                    <w:pStyle w:val="28"/>
                    <w:spacing w:line="360" w:lineRule="exact"/>
                    <w:rPr>
                      <w:color w:val="auto"/>
                      <w:szCs w:val="21"/>
                    </w:rPr>
                  </w:pPr>
                  <w:r>
                    <w:rPr>
                      <w:rFonts w:hint="eastAsia"/>
                      <w:color w:val="auto"/>
                      <w:szCs w:val="21"/>
                    </w:rPr>
                    <w:t>HCl：未检出</w:t>
                  </w:r>
                </w:p>
                <w:p>
                  <w:pPr>
                    <w:pStyle w:val="28"/>
                    <w:spacing w:line="360" w:lineRule="exact"/>
                    <w:rPr>
                      <w:color w:val="auto"/>
                      <w:szCs w:val="21"/>
                    </w:rPr>
                  </w:pPr>
                  <w:r>
                    <w:rPr>
                      <w:rFonts w:hint="eastAsia"/>
                      <w:color w:val="auto"/>
                      <w:szCs w:val="21"/>
                    </w:rPr>
                    <w:t>非甲烷总烃：0.024kg/h</w:t>
                  </w:r>
                </w:p>
                <w:p>
                  <w:pPr>
                    <w:pStyle w:val="28"/>
                    <w:spacing w:line="360" w:lineRule="exact"/>
                    <w:rPr>
                      <w:color w:val="auto"/>
                      <w:szCs w:val="21"/>
                    </w:rPr>
                  </w:pPr>
                  <w:r>
                    <w:rPr>
                      <w:rFonts w:hint="eastAsia"/>
                      <w:color w:val="auto"/>
                      <w:szCs w:val="21"/>
                    </w:rPr>
                    <w:t>臭气浓度：229（无量纲）</w:t>
                  </w:r>
                </w:p>
              </w:tc>
              <w:tc>
                <w:tcPr>
                  <w:tcW w:w="746" w:type="dxa"/>
                  <w:vMerge w:val="restart"/>
                  <w:vAlign w:val="center"/>
                </w:tcPr>
                <w:p>
                  <w:pPr>
                    <w:pStyle w:val="28"/>
                    <w:spacing w:line="360" w:lineRule="exact"/>
                    <w:rPr>
                      <w:color w:val="auto"/>
                      <w:szCs w:val="21"/>
                    </w:rPr>
                  </w:pPr>
                  <w:r>
                    <w:rPr>
                      <w:rFonts w:hint="eastAsia"/>
                      <w:color w:val="auto"/>
                      <w:szCs w:val="21"/>
                    </w:rPr>
                    <w:t>竣工环境保护验收监测报告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8"/>
                    <w:spacing w:line="360" w:lineRule="exact"/>
                    <w:rPr>
                      <w:color w:val="auto"/>
                      <w:szCs w:val="21"/>
                    </w:rPr>
                  </w:pPr>
                  <w:r>
                    <w:rPr>
                      <w:rFonts w:hint="eastAsia"/>
                      <w:color w:val="auto"/>
                      <w:szCs w:val="21"/>
                    </w:rPr>
                    <w:t>山东泉景环保科技有限公司危险废物集中收集、集中收集贮存项目</w:t>
                  </w:r>
                </w:p>
              </w:tc>
              <w:tc>
                <w:tcPr>
                  <w:tcW w:w="1276" w:type="dxa"/>
                  <w:vAlign w:val="center"/>
                </w:tcPr>
                <w:p>
                  <w:pPr>
                    <w:pStyle w:val="28"/>
                    <w:spacing w:line="360" w:lineRule="exact"/>
                    <w:rPr>
                      <w:color w:val="auto"/>
                      <w:szCs w:val="21"/>
                    </w:rPr>
                  </w:pPr>
                  <w:r>
                    <w:rPr>
                      <w:rFonts w:hint="eastAsia"/>
                      <w:color w:val="auto"/>
                      <w:szCs w:val="21"/>
                    </w:rPr>
                    <w:t>1</w:t>
                  </w:r>
                  <w:r>
                    <w:rPr>
                      <w:color w:val="auto"/>
                      <w:szCs w:val="21"/>
                    </w:rPr>
                    <w:t>0000</w:t>
                  </w:r>
                </w:p>
              </w:tc>
              <w:tc>
                <w:tcPr>
                  <w:tcW w:w="1701" w:type="dxa"/>
                  <w:vAlign w:val="center"/>
                </w:tcPr>
                <w:p>
                  <w:pPr>
                    <w:pStyle w:val="28"/>
                    <w:spacing w:line="360" w:lineRule="exact"/>
                    <w:rPr>
                      <w:color w:val="auto"/>
                      <w:szCs w:val="21"/>
                    </w:rPr>
                  </w:pPr>
                  <w:r>
                    <w:rPr>
                      <w:rFonts w:hint="eastAsia"/>
                      <w:color w:val="auto"/>
                      <w:szCs w:val="21"/>
                    </w:rPr>
                    <w:t>活性炭吸附</w:t>
                  </w:r>
                </w:p>
              </w:tc>
              <w:tc>
                <w:tcPr>
                  <w:tcW w:w="2426" w:type="dxa"/>
                  <w:vAlign w:val="center"/>
                </w:tcPr>
                <w:p>
                  <w:pPr>
                    <w:pStyle w:val="28"/>
                    <w:spacing w:line="360" w:lineRule="exact"/>
                    <w:rPr>
                      <w:color w:val="auto"/>
                      <w:szCs w:val="21"/>
                    </w:rPr>
                  </w:pPr>
                  <w:r>
                    <w:rPr>
                      <w:color w:val="auto"/>
                      <w:szCs w:val="21"/>
                    </w:rPr>
                    <w:t>VOCs</w:t>
                  </w:r>
                  <w:r>
                    <w:rPr>
                      <w:rFonts w:hint="eastAsia"/>
                      <w:color w:val="auto"/>
                      <w:szCs w:val="21"/>
                    </w:rPr>
                    <w:t>：</w:t>
                  </w:r>
                  <w:r>
                    <w:rPr>
                      <w:color w:val="auto"/>
                      <w:szCs w:val="21"/>
                    </w:rPr>
                    <w:t>0.01kg/h</w:t>
                  </w:r>
                </w:p>
              </w:tc>
              <w:tc>
                <w:tcPr>
                  <w:tcW w:w="746" w:type="dxa"/>
                  <w:vMerge w:val="continue"/>
                  <w:vAlign w:val="center"/>
                </w:tcPr>
                <w:p>
                  <w:pPr>
                    <w:pStyle w:val="28"/>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6" w:type="dxa"/>
                  <w:vAlign w:val="center"/>
                </w:tcPr>
                <w:p>
                  <w:pPr>
                    <w:pStyle w:val="28"/>
                    <w:spacing w:line="360" w:lineRule="exact"/>
                    <w:rPr>
                      <w:color w:val="auto"/>
                      <w:szCs w:val="21"/>
                    </w:rPr>
                  </w:pPr>
                  <w:r>
                    <w:rPr>
                      <w:rFonts w:hint="eastAsia"/>
                      <w:color w:val="auto"/>
                      <w:szCs w:val="21"/>
                    </w:rPr>
                    <w:t>温岭市小微企业危险废物集中收集中转项目</w:t>
                  </w:r>
                </w:p>
              </w:tc>
              <w:tc>
                <w:tcPr>
                  <w:tcW w:w="1276" w:type="dxa"/>
                  <w:vAlign w:val="center"/>
                </w:tcPr>
                <w:p>
                  <w:pPr>
                    <w:pStyle w:val="28"/>
                    <w:spacing w:line="360" w:lineRule="exact"/>
                    <w:rPr>
                      <w:color w:val="auto"/>
                      <w:szCs w:val="21"/>
                    </w:rPr>
                  </w:pPr>
                  <w:r>
                    <w:rPr>
                      <w:rFonts w:hint="eastAsia"/>
                      <w:color w:val="auto"/>
                      <w:szCs w:val="21"/>
                    </w:rPr>
                    <w:t>1</w:t>
                  </w:r>
                  <w:r>
                    <w:rPr>
                      <w:color w:val="auto"/>
                      <w:szCs w:val="21"/>
                    </w:rPr>
                    <w:t>0000</w:t>
                  </w:r>
                </w:p>
              </w:tc>
              <w:tc>
                <w:tcPr>
                  <w:tcW w:w="1701" w:type="dxa"/>
                  <w:vAlign w:val="center"/>
                </w:tcPr>
                <w:p>
                  <w:pPr>
                    <w:pStyle w:val="28"/>
                    <w:spacing w:line="360" w:lineRule="exact"/>
                    <w:rPr>
                      <w:color w:val="auto"/>
                      <w:szCs w:val="21"/>
                    </w:rPr>
                  </w:pPr>
                  <w:r>
                    <w:rPr>
                      <w:rFonts w:hint="eastAsia"/>
                      <w:color w:val="auto"/>
                      <w:szCs w:val="21"/>
                    </w:rPr>
                    <w:t>活性炭吸附</w:t>
                  </w:r>
                </w:p>
              </w:tc>
              <w:tc>
                <w:tcPr>
                  <w:tcW w:w="2426" w:type="dxa"/>
                  <w:vAlign w:val="center"/>
                </w:tcPr>
                <w:p>
                  <w:pPr>
                    <w:pStyle w:val="28"/>
                    <w:spacing w:line="360" w:lineRule="exact"/>
                    <w:rPr>
                      <w:color w:val="auto"/>
                      <w:szCs w:val="21"/>
                    </w:rPr>
                  </w:pPr>
                  <w:r>
                    <w:rPr>
                      <w:rFonts w:hint="eastAsia"/>
                      <w:color w:val="auto"/>
                      <w:szCs w:val="21"/>
                    </w:rPr>
                    <w:t>非甲烷总烃：0.013kg/h</w:t>
                  </w:r>
                </w:p>
                <w:p>
                  <w:pPr>
                    <w:pStyle w:val="28"/>
                    <w:spacing w:line="360" w:lineRule="exact"/>
                    <w:rPr>
                      <w:color w:val="auto"/>
                      <w:szCs w:val="21"/>
                    </w:rPr>
                  </w:pPr>
                  <w:r>
                    <w:rPr>
                      <w:rFonts w:hint="eastAsia"/>
                      <w:color w:val="auto"/>
                      <w:szCs w:val="21"/>
                    </w:rPr>
                    <w:t>臭气浓度：417（无量纲）</w:t>
                  </w:r>
                </w:p>
              </w:tc>
              <w:tc>
                <w:tcPr>
                  <w:tcW w:w="746" w:type="dxa"/>
                  <w:vMerge w:val="continue"/>
                  <w:vAlign w:val="center"/>
                </w:tcPr>
                <w:p>
                  <w:pPr>
                    <w:pStyle w:val="28"/>
                    <w:spacing w:line="360" w:lineRule="exact"/>
                    <w:rPr>
                      <w:color w:val="auto"/>
                      <w:szCs w:val="21"/>
                    </w:rPr>
                  </w:pP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根据与上表同类型项目对比情况，项目拟采取的</w:t>
            </w:r>
            <w:r>
              <w:rPr>
                <w:rFonts w:ascii="Times New Roman" w:hAnsi="Times New Roman" w:cs="Times New Roman"/>
                <w:sz w:val="24"/>
                <w:szCs w:val="24"/>
              </w:rPr>
              <w:t>活性炭吸附+碱喷淋工艺</w:t>
            </w:r>
            <w:r>
              <w:rPr>
                <w:rFonts w:hint="eastAsia" w:ascii="Times New Roman" w:hAnsi="Times New Roman" w:cs="Times New Roman"/>
                <w:sz w:val="24"/>
                <w:szCs w:val="24"/>
              </w:rPr>
              <w:t>，类比项目各污染物均可达标排放。因此，项目拟采取的废气治理措施可行。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废气</w:t>
            </w:r>
            <w:r>
              <w:rPr>
                <w:rFonts w:ascii="Times New Roman" w:hAnsi="Times New Roman" w:cs="Times New Roman"/>
                <w:b/>
                <w:sz w:val="24"/>
                <w:szCs w:val="24"/>
              </w:rPr>
              <w:t>监测要求</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①竣工验收监测要求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根据《建设项目竣工环境保护验收技术指南</w:t>
            </w:r>
            <w:r>
              <w:rPr>
                <w:rFonts w:ascii="Times New Roman" w:hAnsi="Times New Roman" w:cs="Times New Roman"/>
                <w:sz w:val="24"/>
                <w:szCs w:val="24"/>
              </w:rPr>
              <w:t xml:space="preserve"> </w:t>
            </w:r>
            <w:r>
              <w:rPr>
                <w:rFonts w:hint="eastAsia" w:ascii="Times New Roman" w:hAnsi="Times New Roman" w:cs="Times New Roman"/>
                <w:sz w:val="24"/>
                <w:szCs w:val="24"/>
              </w:rPr>
              <w:t>污染影响类》的要求，项目竣工验收废气污染物监测计划如下表所示。</w:t>
            </w:r>
          </w:p>
          <w:p>
            <w:pPr>
              <w:jc w:val="center"/>
              <w:rPr>
                <w:rFonts w:ascii="Times New Roman" w:hAnsi="Times New Roman"/>
                <w:b/>
                <w:szCs w:val="24"/>
              </w:rPr>
            </w:pPr>
            <w:r>
              <w:rPr>
                <w:rFonts w:ascii="Times New Roman" w:hAnsi="Times New Roman"/>
                <w:b/>
                <w:szCs w:val="24"/>
              </w:rPr>
              <w:t>表4.2.1-</w:t>
            </w:r>
            <w:r>
              <w:rPr>
                <w:rFonts w:hint="eastAsia" w:ascii="Times New Roman" w:hAnsi="Times New Roman"/>
                <w:b/>
                <w:szCs w:val="24"/>
              </w:rPr>
              <w:t>6</w:t>
            </w:r>
            <w:r>
              <w:rPr>
                <w:rFonts w:ascii="Times New Roman" w:hAnsi="Times New Roman"/>
                <w:b/>
                <w:szCs w:val="24"/>
              </w:rPr>
              <w:t xml:space="preserve">  项目废气</w:t>
            </w:r>
            <w:r>
              <w:rPr>
                <w:rFonts w:hint="eastAsia" w:ascii="Times New Roman" w:hAnsi="Times New Roman"/>
                <w:b/>
                <w:szCs w:val="24"/>
              </w:rPr>
              <w:t>污染物竣工验收</w:t>
            </w:r>
            <w:r>
              <w:rPr>
                <w:rFonts w:ascii="Times New Roman" w:hAnsi="Times New Roman"/>
                <w:b/>
                <w:szCs w:val="24"/>
              </w:rPr>
              <w:t>监测计划一览表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35"/>
              <w:gridCol w:w="2126"/>
              <w:gridCol w:w="1134"/>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pStyle w:val="28"/>
                    <w:spacing w:line="360" w:lineRule="exact"/>
                    <w:rPr>
                      <w:rFonts w:eastAsiaTheme="minorEastAsia"/>
                      <w:color w:val="auto"/>
                      <w:szCs w:val="21"/>
                    </w:rPr>
                  </w:pPr>
                  <w:r>
                    <w:rPr>
                      <w:rFonts w:eastAsiaTheme="minorEastAsia"/>
                      <w:color w:val="auto"/>
                      <w:szCs w:val="21"/>
                    </w:rPr>
                    <w:t>对象</w:t>
                  </w:r>
                </w:p>
              </w:tc>
              <w:tc>
                <w:tcPr>
                  <w:tcW w:w="1535" w:type="dxa"/>
                  <w:vAlign w:val="center"/>
                </w:tcPr>
                <w:p>
                  <w:pPr>
                    <w:pStyle w:val="28"/>
                    <w:spacing w:line="360" w:lineRule="exact"/>
                    <w:rPr>
                      <w:rFonts w:eastAsiaTheme="minorEastAsia"/>
                      <w:color w:val="auto"/>
                      <w:szCs w:val="21"/>
                    </w:rPr>
                  </w:pPr>
                  <w:r>
                    <w:rPr>
                      <w:rFonts w:eastAsiaTheme="minorEastAsia"/>
                      <w:color w:val="auto"/>
                      <w:szCs w:val="21"/>
                    </w:rPr>
                    <w:t>监测点位</w:t>
                  </w:r>
                </w:p>
              </w:tc>
              <w:tc>
                <w:tcPr>
                  <w:tcW w:w="2126" w:type="dxa"/>
                  <w:vAlign w:val="center"/>
                </w:tcPr>
                <w:p>
                  <w:pPr>
                    <w:pStyle w:val="28"/>
                    <w:spacing w:line="360" w:lineRule="exact"/>
                    <w:rPr>
                      <w:rFonts w:eastAsiaTheme="minorEastAsia"/>
                      <w:color w:val="auto"/>
                      <w:szCs w:val="21"/>
                    </w:rPr>
                  </w:pPr>
                  <w:r>
                    <w:rPr>
                      <w:rFonts w:eastAsiaTheme="minorEastAsia"/>
                      <w:color w:val="auto"/>
                      <w:szCs w:val="21"/>
                    </w:rPr>
                    <w:t>监测因子</w:t>
                  </w:r>
                </w:p>
              </w:tc>
              <w:tc>
                <w:tcPr>
                  <w:tcW w:w="1134" w:type="dxa"/>
                  <w:vAlign w:val="center"/>
                </w:tcPr>
                <w:p>
                  <w:pPr>
                    <w:pStyle w:val="28"/>
                    <w:spacing w:line="360" w:lineRule="exact"/>
                    <w:rPr>
                      <w:rFonts w:eastAsiaTheme="minorEastAsia"/>
                      <w:color w:val="auto"/>
                      <w:szCs w:val="21"/>
                    </w:rPr>
                  </w:pPr>
                  <w:r>
                    <w:rPr>
                      <w:rFonts w:eastAsiaTheme="minorEastAsia"/>
                      <w:color w:val="auto"/>
                      <w:szCs w:val="21"/>
                    </w:rPr>
                    <w:t>监测频率</w:t>
                  </w:r>
                </w:p>
              </w:tc>
              <w:tc>
                <w:tcPr>
                  <w:tcW w:w="3051" w:type="dxa"/>
                  <w:vAlign w:val="center"/>
                </w:tcPr>
                <w:p>
                  <w:pPr>
                    <w:pStyle w:val="28"/>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59" w:type="dxa"/>
                  <w:vMerge w:val="restart"/>
                  <w:vAlign w:val="center"/>
                </w:tcPr>
                <w:p>
                  <w:pPr>
                    <w:pStyle w:val="28"/>
                    <w:spacing w:line="360" w:lineRule="exact"/>
                    <w:rPr>
                      <w:rFonts w:eastAsiaTheme="minorEastAsia"/>
                      <w:color w:val="auto"/>
                      <w:szCs w:val="21"/>
                    </w:rPr>
                  </w:pPr>
                  <w:r>
                    <w:rPr>
                      <w:rFonts w:eastAsiaTheme="minorEastAsia"/>
                      <w:color w:val="auto"/>
                      <w:szCs w:val="21"/>
                    </w:rPr>
                    <w:t>废气</w:t>
                  </w:r>
                </w:p>
              </w:tc>
              <w:tc>
                <w:tcPr>
                  <w:tcW w:w="1535" w:type="dxa"/>
                  <w:vMerge w:val="restart"/>
                  <w:vAlign w:val="center"/>
                </w:tcPr>
                <w:p>
                  <w:pPr>
                    <w:pStyle w:val="28"/>
                    <w:spacing w:line="360" w:lineRule="exact"/>
                    <w:rPr>
                      <w:rFonts w:eastAsiaTheme="minorEastAsia"/>
                      <w:color w:val="auto"/>
                      <w:szCs w:val="21"/>
                    </w:rPr>
                  </w:pPr>
                  <w:r>
                    <w:rPr>
                      <w:rFonts w:hint="eastAsia" w:eastAsiaTheme="minorEastAsia"/>
                      <w:color w:val="auto"/>
                      <w:szCs w:val="21"/>
                    </w:rPr>
                    <w:t>DA001</w:t>
                  </w: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非甲烷总烃、HCl</w:t>
                  </w:r>
                </w:p>
              </w:tc>
              <w:tc>
                <w:tcPr>
                  <w:tcW w:w="1134" w:type="dxa"/>
                  <w:vMerge w:val="restart"/>
                  <w:vAlign w:val="center"/>
                </w:tcPr>
                <w:p>
                  <w:pPr>
                    <w:pStyle w:val="28"/>
                    <w:spacing w:line="360" w:lineRule="exact"/>
                    <w:rPr>
                      <w:rFonts w:eastAsiaTheme="minorEastAsia"/>
                      <w:color w:val="auto"/>
                      <w:szCs w:val="21"/>
                    </w:rPr>
                  </w:pPr>
                  <w:r>
                    <w:rPr>
                      <w:rFonts w:hint="eastAsia" w:eastAsiaTheme="minorEastAsia"/>
                      <w:color w:val="auto"/>
                      <w:szCs w:val="21"/>
                    </w:rPr>
                    <w:t>监测2天、每天3次</w:t>
                  </w: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w:t>
                  </w:r>
                  <w:r>
                    <w:rPr>
                      <w:rFonts w:hint="eastAsia" w:eastAsiaTheme="minorEastAsia"/>
                      <w:color w:val="auto"/>
                      <w:szCs w:val="21"/>
                      <w:lang w:eastAsia="zh-CN"/>
                    </w:rPr>
                    <w:t>*****</w:t>
                  </w:r>
                  <w:r>
                    <w:rPr>
                      <w:rFonts w:eastAsiaTheme="minorEastAsia"/>
                      <w:color w:val="auto"/>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Merge w:val="continue"/>
                  <w:vAlign w:val="center"/>
                </w:tcPr>
                <w:p>
                  <w:pPr>
                    <w:pStyle w:val="28"/>
                    <w:spacing w:line="360" w:lineRule="exact"/>
                    <w:rPr>
                      <w:rFonts w:eastAsiaTheme="minorEastAsia"/>
                      <w:color w:val="auto"/>
                      <w:szCs w:val="21"/>
                    </w:rPr>
                  </w:pP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氨、硫化氢、臭气浓度</w:t>
                  </w:r>
                </w:p>
              </w:tc>
              <w:tc>
                <w:tcPr>
                  <w:tcW w:w="1134" w:type="dxa"/>
                  <w:vMerge w:val="continue"/>
                  <w:vAlign w:val="center"/>
                </w:tcPr>
                <w:p>
                  <w:pPr>
                    <w:pStyle w:val="28"/>
                    <w:spacing w:line="360" w:lineRule="exact"/>
                    <w:rPr>
                      <w:rFonts w:eastAsiaTheme="minorEastAsia"/>
                      <w:color w:val="auto"/>
                      <w:szCs w:val="21"/>
                    </w:rPr>
                  </w:pP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《恶臭污染物排放标准》（GB</w:t>
                  </w:r>
                  <w:r>
                    <w:rPr>
                      <w:rFonts w:hint="eastAsia" w:eastAsiaTheme="minorEastAsia"/>
                      <w:color w:val="auto"/>
                      <w:szCs w:val="21"/>
                      <w:lang w:eastAsia="zh-CN"/>
                    </w:rPr>
                    <w:t>*****</w:t>
                  </w:r>
                  <w:r>
                    <w:rPr>
                      <w:rFonts w:eastAsiaTheme="minorEastAsia"/>
                      <w:color w:val="auto"/>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Merge w:val="restart"/>
                  <w:vAlign w:val="center"/>
                </w:tcPr>
                <w:p>
                  <w:pPr>
                    <w:pStyle w:val="28"/>
                    <w:spacing w:line="360" w:lineRule="exact"/>
                    <w:rPr>
                      <w:rFonts w:eastAsiaTheme="minorEastAsia"/>
                      <w:color w:val="auto"/>
                      <w:szCs w:val="21"/>
                    </w:rPr>
                  </w:pPr>
                  <w:r>
                    <w:rPr>
                      <w:rFonts w:hint="eastAsia" w:eastAsiaTheme="minorEastAsia"/>
                      <w:color w:val="auto"/>
                      <w:szCs w:val="21"/>
                    </w:rPr>
                    <w:t>厂界上风向1参照点和下风向3个监控点</w:t>
                  </w: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非甲烷总烃、HCl</w:t>
                  </w:r>
                </w:p>
              </w:tc>
              <w:tc>
                <w:tcPr>
                  <w:tcW w:w="1134" w:type="dxa"/>
                  <w:vMerge w:val="continue"/>
                  <w:vAlign w:val="center"/>
                </w:tcPr>
                <w:p>
                  <w:pPr>
                    <w:pStyle w:val="28"/>
                    <w:spacing w:line="360" w:lineRule="exact"/>
                    <w:rPr>
                      <w:rFonts w:eastAsiaTheme="minorEastAsia"/>
                      <w:color w:val="auto"/>
                      <w:szCs w:val="21"/>
                    </w:rPr>
                  </w:pP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w:t>
                  </w:r>
                  <w:r>
                    <w:rPr>
                      <w:rFonts w:hint="eastAsia" w:eastAsiaTheme="minorEastAsia"/>
                      <w:color w:val="auto"/>
                      <w:szCs w:val="21"/>
                      <w:lang w:eastAsia="zh-CN"/>
                    </w:rPr>
                    <w:t>*****</w:t>
                  </w:r>
                  <w:r>
                    <w:rPr>
                      <w:rFonts w:eastAsiaTheme="minorEastAsia"/>
                      <w:color w:val="auto"/>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Merge w:val="continue"/>
                  <w:vAlign w:val="center"/>
                </w:tcPr>
                <w:p>
                  <w:pPr>
                    <w:pStyle w:val="28"/>
                    <w:spacing w:line="360" w:lineRule="exact"/>
                    <w:rPr>
                      <w:rFonts w:eastAsiaTheme="minorEastAsia"/>
                      <w:color w:val="auto"/>
                      <w:szCs w:val="21"/>
                    </w:rPr>
                  </w:pP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氨、硫化氢、臭气浓度</w:t>
                  </w:r>
                </w:p>
              </w:tc>
              <w:tc>
                <w:tcPr>
                  <w:tcW w:w="1134" w:type="dxa"/>
                  <w:vMerge w:val="continue"/>
                  <w:vAlign w:val="center"/>
                </w:tcPr>
                <w:p>
                  <w:pPr>
                    <w:pStyle w:val="28"/>
                    <w:spacing w:line="360" w:lineRule="exact"/>
                    <w:rPr>
                      <w:rFonts w:eastAsiaTheme="minorEastAsia"/>
                      <w:color w:val="auto"/>
                      <w:szCs w:val="21"/>
                    </w:rPr>
                  </w:pP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《恶臭污染物排放标准》（GB</w:t>
                  </w:r>
                  <w:r>
                    <w:rPr>
                      <w:rFonts w:hint="eastAsia" w:eastAsiaTheme="minorEastAsia"/>
                      <w:color w:val="auto"/>
                      <w:szCs w:val="21"/>
                      <w:lang w:eastAsia="zh-CN"/>
                    </w:rPr>
                    <w:t>*****</w:t>
                  </w:r>
                  <w:r>
                    <w:rPr>
                      <w:rFonts w:eastAsiaTheme="minorEastAsia"/>
                      <w:color w:val="auto"/>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Align w:val="center"/>
                </w:tcPr>
                <w:p>
                  <w:pPr>
                    <w:pStyle w:val="28"/>
                    <w:spacing w:line="360" w:lineRule="exact"/>
                    <w:rPr>
                      <w:rFonts w:eastAsiaTheme="minorEastAsia"/>
                      <w:color w:val="auto"/>
                      <w:szCs w:val="21"/>
                    </w:rPr>
                  </w:pPr>
                  <w:r>
                    <w:rPr>
                      <w:rFonts w:eastAsiaTheme="minorEastAsia"/>
                      <w:color w:val="auto"/>
                      <w:szCs w:val="21"/>
                    </w:rPr>
                    <w:t>厂区内车间外</w:t>
                  </w:r>
                  <w:r>
                    <w:rPr>
                      <w:rFonts w:hint="eastAsia" w:eastAsiaTheme="minorEastAsia"/>
                      <w:color w:val="auto"/>
                      <w:szCs w:val="21"/>
                    </w:rPr>
                    <w:t>任意1个点</w:t>
                  </w: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非甲烷总烃</w:t>
                  </w:r>
                </w:p>
              </w:tc>
              <w:tc>
                <w:tcPr>
                  <w:tcW w:w="1134" w:type="dxa"/>
                  <w:vMerge w:val="continue"/>
                  <w:vAlign w:val="center"/>
                </w:tcPr>
                <w:p>
                  <w:pPr>
                    <w:pStyle w:val="28"/>
                    <w:spacing w:line="360" w:lineRule="exact"/>
                    <w:rPr>
                      <w:rFonts w:eastAsiaTheme="minorEastAsia"/>
                      <w:color w:val="auto"/>
                      <w:szCs w:val="21"/>
                    </w:rPr>
                  </w:pP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《挥发性有机物无组织排放控制标准》（GB</w:t>
                  </w:r>
                  <w:r>
                    <w:rPr>
                      <w:rFonts w:hint="eastAsia" w:eastAsiaTheme="minorEastAsia"/>
                      <w:color w:val="auto"/>
                      <w:szCs w:val="21"/>
                      <w:lang w:eastAsia="zh-CN"/>
                    </w:rPr>
                    <w:t>*****</w:t>
                  </w:r>
                  <w:r>
                    <w:rPr>
                      <w:rFonts w:eastAsiaTheme="minorEastAsia"/>
                      <w:color w:val="auto"/>
                      <w:szCs w:val="21"/>
                    </w:rPr>
                    <w:t>-2019）</w:t>
                  </w:r>
                </w:p>
              </w:tc>
            </w:tr>
          </w:tbl>
          <w:p>
            <w:pPr>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w:t>
            </w:r>
            <w:r>
              <w:rPr>
                <w:rFonts w:hint="eastAsia" w:ascii="Times New Roman" w:hAnsi="Times New Roman" w:cs="Times New Roman"/>
                <w:sz w:val="24"/>
                <w:szCs w:val="24"/>
                <w:lang w:eastAsia="zh-CN"/>
              </w:rPr>
              <w:t>***</w:t>
            </w:r>
            <w:r>
              <w:rPr>
                <w:rFonts w:ascii="Times New Roman" w:hAnsi="Times New Roman" w:cs="Times New Roman"/>
                <w:sz w:val="24"/>
                <w:szCs w:val="24"/>
              </w:rPr>
              <w:t>-2017）</w:t>
            </w:r>
            <w:r>
              <w:rPr>
                <w:rFonts w:hint="eastAsia" w:ascii="Times New Roman" w:hAnsi="Times New Roman" w:cs="Times New Roman"/>
                <w:sz w:val="24"/>
                <w:szCs w:val="24"/>
              </w:rPr>
              <w:t>及《</w:t>
            </w:r>
            <w:r>
              <w:rPr>
                <w:rFonts w:ascii="Times New Roman" w:hAnsi="Times New Roman" w:cs="Times New Roman"/>
                <w:sz w:val="24"/>
                <w:szCs w:val="24"/>
              </w:rPr>
              <w:t>排污单位自行监测技术指南</w:t>
            </w:r>
            <w:r>
              <w:rPr>
                <w:rFonts w:hint="eastAsia" w:ascii="Times New Roman" w:hAnsi="Times New Roman" w:cs="Times New Roman"/>
                <w:sz w:val="24"/>
                <w:szCs w:val="24"/>
              </w:rPr>
              <w:t xml:space="preserve"> </w:t>
            </w:r>
            <w:r>
              <w:rPr>
                <w:rFonts w:ascii="Times New Roman" w:hAnsi="Times New Roman" w:cs="Times New Roman"/>
                <w:sz w:val="24"/>
                <w:szCs w:val="24"/>
              </w:rPr>
              <w:t>工业固体废物和危险废物治理</w:t>
            </w:r>
            <w:r>
              <w:rPr>
                <w:rFonts w:hint="eastAsia" w:ascii="Times New Roman" w:hAnsi="Times New Roman" w:cs="Times New Roman"/>
                <w:sz w:val="24"/>
                <w:szCs w:val="24"/>
              </w:rPr>
              <w:t>》（</w:t>
            </w:r>
            <w:r>
              <w:rPr>
                <w:rFonts w:ascii="Times New Roman" w:hAnsi="Times New Roman" w:cs="Times New Roman"/>
                <w:sz w:val="24"/>
                <w:szCs w:val="24"/>
              </w:rPr>
              <w:t>HJ</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w:t>
            </w:r>
            <w:r>
              <w:rPr>
                <w:rFonts w:ascii="Times New Roman" w:hAnsi="Times New Roman" w:cs="Times New Roman"/>
                <w:sz w:val="24"/>
                <w:szCs w:val="24"/>
              </w:rPr>
              <w:t>2022</w:t>
            </w:r>
            <w:r>
              <w:rPr>
                <w:rFonts w:hint="eastAsia" w:ascii="Times New Roman" w:hAnsi="Times New Roman" w:cs="Times New Roman"/>
                <w:sz w:val="24"/>
                <w:szCs w:val="24"/>
              </w:rPr>
              <w:t>）</w:t>
            </w:r>
            <w:r>
              <w:rPr>
                <w:rFonts w:ascii="Times New Roman" w:hAnsi="Times New Roman" w:cs="Times New Roman"/>
                <w:sz w:val="24"/>
                <w:szCs w:val="24"/>
              </w:rPr>
              <w:t>的要求，项目废气自行监测要求如下表所示。</w:t>
            </w:r>
          </w:p>
          <w:p>
            <w:pPr>
              <w:jc w:val="center"/>
              <w:rPr>
                <w:rFonts w:ascii="Times New Roman" w:hAnsi="Times New Roman"/>
                <w:b/>
                <w:szCs w:val="24"/>
              </w:rPr>
            </w:pPr>
            <w:r>
              <w:rPr>
                <w:rFonts w:ascii="Times New Roman" w:hAnsi="Times New Roman"/>
                <w:b/>
                <w:szCs w:val="24"/>
              </w:rPr>
              <w:t>表4.2.1-</w:t>
            </w:r>
            <w:r>
              <w:rPr>
                <w:rFonts w:hint="eastAsia" w:ascii="Times New Roman" w:hAnsi="Times New Roman"/>
                <w:b/>
                <w:szCs w:val="24"/>
              </w:rPr>
              <w:t>7</w:t>
            </w:r>
            <w:r>
              <w:rPr>
                <w:rFonts w:ascii="Times New Roman" w:hAnsi="Times New Roman"/>
                <w:b/>
                <w:szCs w:val="24"/>
              </w:rPr>
              <w:t xml:space="preserve">  项目运营期废气自行监测计划一览表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35"/>
              <w:gridCol w:w="2126"/>
              <w:gridCol w:w="1134"/>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pStyle w:val="28"/>
                    <w:spacing w:line="360" w:lineRule="exact"/>
                    <w:rPr>
                      <w:rFonts w:eastAsiaTheme="minorEastAsia"/>
                      <w:color w:val="auto"/>
                      <w:szCs w:val="21"/>
                    </w:rPr>
                  </w:pPr>
                  <w:r>
                    <w:rPr>
                      <w:rFonts w:eastAsiaTheme="minorEastAsia"/>
                      <w:color w:val="auto"/>
                      <w:szCs w:val="21"/>
                    </w:rPr>
                    <w:t>对象</w:t>
                  </w:r>
                </w:p>
              </w:tc>
              <w:tc>
                <w:tcPr>
                  <w:tcW w:w="1535" w:type="dxa"/>
                  <w:vAlign w:val="center"/>
                </w:tcPr>
                <w:p>
                  <w:pPr>
                    <w:pStyle w:val="28"/>
                    <w:spacing w:line="360" w:lineRule="exact"/>
                    <w:rPr>
                      <w:rFonts w:eastAsiaTheme="minorEastAsia"/>
                      <w:color w:val="auto"/>
                      <w:szCs w:val="21"/>
                    </w:rPr>
                  </w:pPr>
                  <w:r>
                    <w:rPr>
                      <w:rFonts w:eastAsiaTheme="minorEastAsia"/>
                      <w:color w:val="auto"/>
                      <w:szCs w:val="21"/>
                    </w:rPr>
                    <w:t>监测点位</w:t>
                  </w:r>
                </w:p>
              </w:tc>
              <w:tc>
                <w:tcPr>
                  <w:tcW w:w="2126" w:type="dxa"/>
                  <w:vAlign w:val="center"/>
                </w:tcPr>
                <w:p>
                  <w:pPr>
                    <w:pStyle w:val="28"/>
                    <w:spacing w:line="360" w:lineRule="exact"/>
                    <w:rPr>
                      <w:rFonts w:eastAsiaTheme="minorEastAsia"/>
                      <w:color w:val="auto"/>
                      <w:szCs w:val="21"/>
                    </w:rPr>
                  </w:pPr>
                  <w:r>
                    <w:rPr>
                      <w:rFonts w:eastAsiaTheme="minorEastAsia"/>
                      <w:color w:val="auto"/>
                      <w:szCs w:val="21"/>
                    </w:rPr>
                    <w:t>监测因子</w:t>
                  </w:r>
                </w:p>
              </w:tc>
              <w:tc>
                <w:tcPr>
                  <w:tcW w:w="1134" w:type="dxa"/>
                  <w:vAlign w:val="center"/>
                </w:tcPr>
                <w:p>
                  <w:pPr>
                    <w:pStyle w:val="28"/>
                    <w:spacing w:line="360" w:lineRule="exact"/>
                    <w:rPr>
                      <w:rFonts w:eastAsiaTheme="minorEastAsia"/>
                      <w:color w:val="auto"/>
                      <w:szCs w:val="21"/>
                    </w:rPr>
                  </w:pPr>
                  <w:r>
                    <w:rPr>
                      <w:rFonts w:eastAsiaTheme="minorEastAsia"/>
                      <w:color w:val="auto"/>
                      <w:szCs w:val="21"/>
                    </w:rPr>
                    <w:t>监测频率</w:t>
                  </w:r>
                </w:p>
              </w:tc>
              <w:tc>
                <w:tcPr>
                  <w:tcW w:w="3051" w:type="dxa"/>
                  <w:vAlign w:val="center"/>
                </w:tcPr>
                <w:p>
                  <w:pPr>
                    <w:pStyle w:val="28"/>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59" w:type="dxa"/>
                  <w:vMerge w:val="restart"/>
                  <w:vAlign w:val="center"/>
                </w:tcPr>
                <w:p>
                  <w:pPr>
                    <w:pStyle w:val="28"/>
                    <w:spacing w:line="360" w:lineRule="exact"/>
                    <w:rPr>
                      <w:rFonts w:eastAsiaTheme="minorEastAsia"/>
                      <w:color w:val="auto"/>
                      <w:szCs w:val="21"/>
                    </w:rPr>
                  </w:pPr>
                  <w:r>
                    <w:rPr>
                      <w:rFonts w:eastAsiaTheme="minorEastAsia"/>
                      <w:color w:val="auto"/>
                      <w:szCs w:val="21"/>
                    </w:rPr>
                    <w:t>废气</w:t>
                  </w:r>
                </w:p>
              </w:tc>
              <w:tc>
                <w:tcPr>
                  <w:tcW w:w="1535" w:type="dxa"/>
                  <w:vMerge w:val="restart"/>
                  <w:vAlign w:val="center"/>
                </w:tcPr>
                <w:p>
                  <w:pPr>
                    <w:pStyle w:val="28"/>
                    <w:spacing w:line="360" w:lineRule="exact"/>
                    <w:rPr>
                      <w:rFonts w:eastAsiaTheme="minorEastAsia"/>
                      <w:color w:val="auto"/>
                      <w:szCs w:val="21"/>
                    </w:rPr>
                  </w:pPr>
                  <w:r>
                    <w:rPr>
                      <w:rFonts w:hint="eastAsia" w:eastAsiaTheme="minorEastAsia"/>
                      <w:color w:val="auto"/>
                      <w:szCs w:val="21"/>
                    </w:rPr>
                    <w:t>DA001</w:t>
                  </w: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非甲烷总烃、HCl</w:t>
                  </w:r>
                </w:p>
              </w:tc>
              <w:tc>
                <w:tcPr>
                  <w:tcW w:w="1134" w:type="dxa"/>
                  <w:vAlign w:val="center"/>
                </w:tcPr>
                <w:p>
                  <w:pPr>
                    <w:pStyle w:val="28"/>
                    <w:spacing w:line="360" w:lineRule="exact"/>
                    <w:rPr>
                      <w:rFonts w:eastAsiaTheme="minorEastAsia"/>
                      <w:color w:val="auto"/>
                      <w:szCs w:val="21"/>
                    </w:rPr>
                  </w:pPr>
                  <w:r>
                    <w:rPr>
                      <w:rFonts w:hint="eastAsia" w:eastAsiaTheme="minorEastAsia"/>
                      <w:color w:val="auto"/>
                      <w:szCs w:val="21"/>
                    </w:rPr>
                    <w:t>1次/半年</w:t>
                  </w: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w:t>
                  </w:r>
                  <w:r>
                    <w:rPr>
                      <w:rFonts w:hint="eastAsia" w:eastAsiaTheme="minorEastAsia"/>
                      <w:color w:val="auto"/>
                      <w:szCs w:val="21"/>
                      <w:lang w:eastAsia="zh-CN"/>
                    </w:rPr>
                    <w:t>*****</w:t>
                  </w:r>
                  <w:r>
                    <w:rPr>
                      <w:rFonts w:eastAsiaTheme="minorEastAsia"/>
                      <w:color w:val="auto"/>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Merge w:val="continue"/>
                  <w:vAlign w:val="center"/>
                </w:tcPr>
                <w:p>
                  <w:pPr>
                    <w:pStyle w:val="28"/>
                    <w:spacing w:line="360" w:lineRule="exact"/>
                    <w:rPr>
                      <w:rFonts w:eastAsiaTheme="minorEastAsia"/>
                      <w:color w:val="auto"/>
                      <w:szCs w:val="21"/>
                    </w:rPr>
                  </w:pP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氨、硫化氢、臭气浓度</w:t>
                  </w:r>
                </w:p>
              </w:tc>
              <w:tc>
                <w:tcPr>
                  <w:tcW w:w="1134" w:type="dxa"/>
                  <w:vAlign w:val="center"/>
                </w:tcPr>
                <w:p>
                  <w:pPr>
                    <w:pStyle w:val="28"/>
                    <w:spacing w:line="360" w:lineRule="exact"/>
                    <w:rPr>
                      <w:rFonts w:eastAsiaTheme="minorEastAsia"/>
                      <w:color w:val="auto"/>
                      <w:szCs w:val="21"/>
                    </w:rPr>
                  </w:pPr>
                  <w:r>
                    <w:rPr>
                      <w:rFonts w:hint="eastAsia" w:eastAsiaTheme="minorEastAsia"/>
                      <w:color w:val="auto"/>
                      <w:szCs w:val="21"/>
                    </w:rPr>
                    <w:t>1次/半年</w:t>
                  </w: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《恶臭污染物排放标准》（GB</w:t>
                  </w:r>
                  <w:r>
                    <w:rPr>
                      <w:rFonts w:hint="eastAsia" w:eastAsiaTheme="minorEastAsia"/>
                      <w:color w:val="auto"/>
                      <w:szCs w:val="21"/>
                      <w:lang w:eastAsia="zh-CN"/>
                    </w:rPr>
                    <w:t>*****</w:t>
                  </w:r>
                  <w:r>
                    <w:rPr>
                      <w:rFonts w:eastAsiaTheme="minorEastAsia"/>
                      <w:color w:val="auto"/>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Merge w:val="restart"/>
                  <w:vAlign w:val="center"/>
                </w:tcPr>
                <w:p>
                  <w:pPr>
                    <w:pStyle w:val="28"/>
                    <w:spacing w:line="360" w:lineRule="exact"/>
                    <w:rPr>
                      <w:rFonts w:eastAsiaTheme="minorEastAsia"/>
                      <w:color w:val="auto"/>
                      <w:szCs w:val="21"/>
                    </w:rPr>
                  </w:pPr>
                  <w:r>
                    <w:rPr>
                      <w:rFonts w:hint="eastAsia" w:eastAsiaTheme="minorEastAsia"/>
                      <w:color w:val="auto"/>
                      <w:szCs w:val="21"/>
                    </w:rPr>
                    <w:t>厂界上风向1参照点和下风向3个监控点</w:t>
                  </w: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非甲烷总烃、HCl</w:t>
                  </w:r>
                </w:p>
              </w:tc>
              <w:tc>
                <w:tcPr>
                  <w:tcW w:w="1134" w:type="dxa"/>
                  <w:vAlign w:val="center"/>
                </w:tcPr>
                <w:p>
                  <w:pPr>
                    <w:pStyle w:val="28"/>
                    <w:spacing w:line="360" w:lineRule="exact"/>
                    <w:rPr>
                      <w:rFonts w:eastAsiaTheme="minorEastAsia"/>
                      <w:color w:val="auto"/>
                      <w:szCs w:val="21"/>
                    </w:rPr>
                  </w:pPr>
                  <w:r>
                    <w:rPr>
                      <w:rFonts w:hint="eastAsia" w:eastAsiaTheme="minorEastAsia"/>
                      <w:color w:val="auto"/>
                      <w:szCs w:val="21"/>
                    </w:rPr>
                    <w:t>1次/半年</w:t>
                  </w: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w:t>
                  </w:r>
                  <w:r>
                    <w:rPr>
                      <w:rFonts w:hint="eastAsia" w:eastAsiaTheme="minorEastAsia"/>
                      <w:color w:val="auto"/>
                      <w:szCs w:val="21"/>
                      <w:lang w:eastAsia="zh-CN"/>
                    </w:rPr>
                    <w:t>*****</w:t>
                  </w:r>
                  <w:r>
                    <w:rPr>
                      <w:rFonts w:eastAsiaTheme="minorEastAsia"/>
                      <w:color w:val="auto"/>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Merge w:val="continue"/>
                  <w:vAlign w:val="center"/>
                </w:tcPr>
                <w:p>
                  <w:pPr>
                    <w:pStyle w:val="28"/>
                    <w:spacing w:line="360" w:lineRule="exact"/>
                    <w:rPr>
                      <w:rFonts w:eastAsiaTheme="minorEastAsia"/>
                      <w:color w:val="auto"/>
                      <w:szCs w:val="21"/>
                    </w:rPr>
                  </w:pP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氨、硫化氢、臭气浓度</w:t>
                  </w:r>
                </w:p>
              </w:tc>
              <w:tc>
                <w:tcPr>
                  <w:tcW w:w="1134" w:type="dxa"/>
                  <w:vAlign w:val="center"/>
                </w:tcPr>
                <w:p>
                  <w:pPr>
                    <w:pStyle w:val="28"/>
                    <w:spacing w:line="360" w:lineRule="exact"/>
                    <w:rPr>
                      <w:rFonts w:eastAsiaTheme="minorEastAsia"/>
                      <w:color w:val="auto"/>
                      <w:szCs w:val="21"/>
                    </w:rPr>
                  </w:pPr>
                  <w:r>
                    <w:rPr>
                      <w:rFonts w:hint="eastAsia" w:eastAsiaTheme="minorEastAsia"/>
                      <w:color w:val="auto"/>
                      <w:szCs w:val="21"/>
                    </w:rPr>
                    <w:t>1次/半年</w:t>
                  </w: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《恶臭污染物排放标准》（GB</w:t>
                  </w:r>
                  <w:r>
                    <w:rPr>
                      <w:rFonts w:hint="eastAsia" w:eastAsiaTheme="minorEastAsia"/>
                      <w:color w:val="auto"/>
                      <w:szCs w:val="21"/>
                      <w:lang w:eastAsia="zh-CN"/>
                    </w:rPr>
                    <w:t>*****</w:t>
                  </w:r>
                  <w:r>
                    <w:rPr>
                      <w:rFonts w:eastAsiaTheme="minorEastAsia"/>
                      <w:color w:val="auto"/>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59" w:type="dxa"/>
                  <w:vMerge w:val="continue"/>
                  <w:vAlign w:val="center"/>
                </w:tcPr>
                <w:p>
                  <w:pPr>
                    <w:pStyle w:val="28"/>
                    <w:spacing w:line="360" w:lineRule="exact"/>
                    <w:rPr>
                      <w:rFonts w:eastAsiaTheme="minorEastAsia"/>
                      <w:color w:val="auto"/>
                      <w:szCs w:val="21"/>
                    </w:rPr>
                  </w:pPr>
                </w:p>
              </w:tc>
              <w:tc>
                <w:tcPr>
                  <w:tcW w:w="1535" w:type="dxa"/>
                  <w:vAlign w:val="center"/>
                </w:tcPr>
                <w:p>
                  <w:pPr>
                    <w:pStyle w:val="28"/>
                    <w:spacing w:line="360" w:lineRule="exact"/>
                    <w:rPr>
                      <w:rFonts w:eastAsiaTheme="minorEastAsia"/>
                      <w:color w:val="auto"/>
                      <w:szCs w:val="21"/>
                    </w:rPr>
                  </w:pPr>
                  <w:r>
                    <w:rPr>
                      <w:rFonts w:eastAsiaTheme="minorEastAsia"/>
                      <w:color w:val="auto"/>
                      <w:szCs w:val="21"/>
                    </w:rPr>
                    <w:t>厂区内车间外</w:t>
                  </w:r>
                  <w:r>
                    <w:rPr>
                      <w:rFonts w:hint="eastAsia" w:eastAsiaTheme="minorEastAsia"/>
                      <w:color w:val="auto"/>
                      <w:szCs w:val="21"/>
                    </w:rPr>
                    <w:t>任意1个点</w:t>
                  </w:r>
                </w:p>
              </w:tc>
              <w:tc>
                <w:tcPr>
                  <w:tcW w:w="2126" w:type="dxa"/>
                  <w:vAlign w:val="center"/>
                </w:tcPr>
                <w:p>
                  <w:pPr>
                    <w:pStyle w:val="28"/>
                    <w:spacing w:line="360" w:lineRule="exact"/>
                    <w:rPr>
                      <w:rFonts w:eastAsiaTheme="minorEastAsia"/>
                      <w:color w:val="auto"/>
                      <w:szCs w:val="21"/>
                    </w:rPr>
                  </w:pPr>
                  <w:r>
                    <w:rPr>
                      <w:rFonts w:hint="eastAsia" w:eastAsiaTheme="minorEastAsia"/>
                      <w:color w:val="auto"/>
                      <w:szCs w:val="21"/>
                    </w:rPr>
                    <w:t>非甲烷总烃</w:t>
                  </w:r>
                </w:p>
              </w:tc>
              <w:tc>
                <w:tcPr>
                  <w:tcW w:w="1134" w:type="dxa"/>
                  <w:vAlign w:val="center"/>
                </w:tcPr>
                <w:p>
                  <w:pPr>
                    <w:pStyle w:val="28"/>
                    <w:spacing w:line="360" w:lineRule="exact"/>
                    <w:rPr>
                      <w:rFonts w:eastAsiaTheme="minorEastAsia"/>
                      <w:color w:val="auto"/>
                      <w:szCs w:val="21"/>
                    </w:rPr>
                  </w:pPr>
                  <w:r>
                    <w:rPr>
                      <w:rFonts w:hint="eastAsia" w:eastAsiaTheme="minorEastAsia"/>
                      <w:color w:val="auto"/>
                      <w:szCs w:val="21"/>
                    </w:rPr>
                    <w:t>1次/半年</w:t>
                  </w:r>
                </w:p>
              </w:tc>
              <w:tc>
                <w:tcPr>
                  <w:tcW w:w="3051"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《挥发性有机物无组织排放控制标准》（GB</w:t>
                  </w:r>
                  <w:r>
                    <w:rPr>
                      <w:rFonts w:hint="eastAsia" w:eastAsiaTheme="minorEastAsia"/>
                      <w:color w:val="auto"/>
                      <w:szCs w:val="21"/>
                      <w:lang w:eastAsia="zh-CN"/>
                    </w:rPr>
                    <w:t>*****</w:t>
                  </w:r>
                  <w:r>
                    <w:rPr>
                      <w:rFonts w:eastAsiaTheme="minorEastAsia"/>
                      <w:color w:val="auto"/>
                      <w:szCs w:val="21"/>
                    </w:rPr>
                    <w:t>-2019）</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（5）非正常情况污染物排放情况</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根据项目特点，该项目</w:t>
            </w:r>
            <w:r>
              <w:rPr>
                <w:rFonts w:ascii="Times New Roman" w:hAnsi="Times New Roman" w:cs="Times New Roman"/>
                <w:sz w:val="24"/>
                <w:szCs w:val="24"/>
              </w:rPr>
              <w:t>非正常排放情形</w:t>
            </w:r>
            <w:r>
              <w:rPr>
                <w:rFonts w:hint="eastAsia" w:ascii="Times New Roman" w:hAnsi="Times New Roman" w:cs="Times New Roman"/>
                <w:sz w:val="24"/>
                <w:szCs w:val="24"/>
              </w:rPr>
              <w:t>主要</w:t>
            </w:r>
            <w:r>
              <w:rPr>
                <w:rFonts w:ascii="Times New Roman" w:hAnsi="Times New Roman" w:cs="Times New Roman"/>
                <w:sz w:val="24"/>
                <w:szCs w:val="24"/>
              </w:rPr>
              <w:t>废气处理装置失效</w:t>
            </w:r>
            <w:r>
              <w:rPr>
                <w:rFonts w:hint="eastAsia" w:ascii="Times New Roman" w:hAnsi="Times New Roman" w:cs="Times New Roman"/>
                <w:sz w:val="24"/>
                <w:szCs w:val="24"/>
              </w:rPr>
              <w:t>，</w:t>
            </w:r>
            <w:r>
              <w:rPr>
                <w:rFonts w:ascii="Times New Roman" w:hAnsi="Times New Roman" w:cs="Times New Roman"/>
                <w:sz w:val="24"/>
                <w:szCs w:val="24"/>
              </w:rPr>
              <w:t>项目产生的废气全部外排。</w:t>
            </w:r>
            <w:r>
              <w:rPr>
                <w:rFonts w:hint="eastAsia" w:ascii="Times New Roman" w:hAnsi="Times New Roman" w:cs="Times New Roman"/>
                <w:sz w:val="24"/>
                <w:szCs w:val="24"/>
              </w:rPr>
              <w:t>非正常情形下</w:t>
            </w:r>
            <w:r>
              <w:rPr>
                <w:rFonts w:ascii="Times New Roman" w:hAnsi="Times New Roman" w:cs="Times New Roman"/>
                <w:sz w:val="24"/>
                <w:szCs w:val="24"/>
              </w:rPr>
              <w:t>废气污染物排放源产排量</w:t>
            </w:r>
            <w:r>
              <w:rPr>
                <w:rFonts w:hint="eastAsia" w:ascii="Times New Roman" w:hAnsi="Times New Roman" w:cs="Times New Roman"/>
                <w:sz w:val="24"/>
                <w:szCs w:val="24"/>
              </w:rPr>
              <w:t>如下表所示。</w:t>
            </w:r>
          </w:p>
          <w:p>
            <w:pPr>
              <w:jc w:val="center"/>
              <w:rPr>
                <w:rFonts w:ascii="Times New Roman" w:hAnsi="Times New Roman" w:cs="Times New Roman"/>
                <w:b/>
                <w:szCs w:val="24"/>
              </w:rPr>
            </w:pPr>
            <w:r>
              <w:rPr>
                <w:rFonts w:ascii="Times New Roman" w:hAnsi="Times New Roman" w:cs="Times New Roman"/>
                <w:b/>
                <w:szCs w:val="24"/>
              </w:rPr>
              <w:t>表4.2.1-</w:t>
            </w:r>
            <w:r>
              <w:rPr>
                <w:rFonts w:hint="eastAsia" w:ascii="Times New Roman" w:hAnsi="Times New Roman" w:cs="Times New Roman"/>
                <w:b/>
                <w:szCs w:val="24"/>
              </w:rPr>
              <w:t>5 非正常情形下</w:t>
            </w:r>
            <w:r>
              <w:rPr>
                <w:rFonts w:ascii="Times New Roman" w:hAnsi="Times New Roman" w:cs="Times New Roman"/>
                <w:b/>
                <w:szCs w:val="24"/>
              </w:rPr>
              <w:t>废气污染物排放源产排情况一览表</w:t>
            </w:r>
          </w:p>
          <w:tbl>
            <w:tblPr>
              <w:tblStyle w:val="17"/>
              <w:tblW w:w="5000" w:type="pct"/>
              <w:tblInd w:w="0" w:type="dxa"/>
              <w:tblLayout w:type="fixed"/>
              <w:tblCellMar>
                <w:top w:w="0" w:type="dxa"/>
                <w:left w:w="108" w:type="dxa"/>
                <w:bottom w:w="0" w:type="dxa"/>
                <w:right w:w="108" w:type="dxa"/>
              </w:tblCellMar>
            </w:tblPr>
            <w:tblGrid>
              <w:gridCol w:w="732"/>
              <w:gridCol w:w="711"/>
              <w:gridCol w:w="1563"/>
              <w:gridCol w:w="994"/>
              <w:gridCol w:w="142"/>
              <w:gridCol w:w="1137"/>
              <w:gridCol w:w="852"/>
              <w:gridCol w:w="995"/>
              <w:gridCol w:w="1489"/>
            </w:tblGrid>
            <w:tr>
              <w:tblPrEx>
                <w:tblCellMar>
                  <w:top w:w="0" w:type="dxa"/>
                  <w:left w:w="108" w:type="dxa"/>
                  <w:bottom w:w="0" w:type="dxa"/>
                  <w:right w:w="108" w:type="dxa"/>
                </w:tblCellMar>
              </w:tblPrEx>
              <w:trPr>
                <w:trHeight w:val="121" w:hRule="atLeast"/>
              </w:trPr>
              <w:tc>
                <w:tcPr>
                  <w:tcW w:w="1439"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产排污环节</w:t>
                  </w:r>
                </w:p>
              </w:tc>
              <w:tc>
                <w:tcPr>
                  <w:tcW w:w="15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污染物种类</w:t>
                  </w:r>
                </w:p>
              </w:tc>
              <w:tc>
                <w:tcPr>
                  <w:tcW w:w="2268" w:type="dxa"/>
                  <w:gridSpan w:val="3"/>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污染物排放量和浓度</w:t>
                  </w:r>
                </w:p>
              </w:tc>
              <w:tc>
                <w:tcPr>
                  <w:tcW w:w="85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频次</w:t>
                  </w:r>
                </w:p>
              </w:tc>
              <w:tc>
                <w:tcPr>
                  <w:tcW w:w="993"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持续时间</w:t>
                  </w:r>
                </w:p>
              </w:tc>
              <w:tc>
                <w:tcPr>
                  <w:tcW w:w="14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r>
                    <w:rPr>
                      <w:rFonts w:eastAsiaTheme="minorEastAsia"/>
                      <w:color w:val="auto"/>
                      <w:szCs w:val="21"/>
                    </w:rPr>
                    <w:t>措施</w:t>
                  </w:r>
                </w:p>
              </w:tc>
            </w:tr>
            <w:tr>
              <w:tblPrEx>
                <w:tblCellMar>
                  <w:top w:w="0" w:type="dxa"/>
                  <w:left w:w="108" w:type="dxa"/>
                  <w:bottom w:w="0" w:type="dxa"/>
                  <w:right w:w="108" w:type="dxa"/>
                </w:tblCellMar>
              </w:tblPrEx>
              <w:trPr>
                <w:trHeight w:val="588" w:hRule="atLeast"/>
              </w:trPr>
              <w:tc>
                <w:tcPr>
                  <w:tcW w:w="1439" w:type="dxa"/>
                  <w:gridSpan w:val="2"/>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1559"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1134" w:type="dxa"/>
                  <w:gridSpan w:val="2"/>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排放浓度mg/m³</w:t>
                  </w:r>
                </w:p>
              </w:tc>
              <w:tc>
                <w:tcPr>
                  <w:tcW w:w="1134"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排放量kg/次</w:t>
                  </w:r>
                </w:p>
              </w:tc>
              <w:tc>
                <w:tcPr>
                  <w:tcW w:w="850" w:type="dxa"/>
                  <w:vMerge w:val="continue"/>
                  <w:tcBorders>
                    <w:top w:val="single" w:color="000000" w:sz="8" w:space="0"/>
                    <w:left w:val="single" w:color="000000" w:sz="8" w:space="0"/>
                    <w:bottom w:val="single" w:color="000000" w:sz="8" w:space="0"/>
                    <w:right w:val="single" w:color="auto" w:sz="4" w:space="0"/>
                  </w:tcBorders>
                  <w:vAlign w:val="center"/>
                </w:tcPr>
                <w:p>
                  <w:pPr>
                    <w:pStyle w:val="28"/>
                    <w:spacing w:line="360" w:lineRule="exact"/>
                    <w:rPr>
                      <w:rFonts w:eastAsiaTheme="minorEastAsia"/>
                      <w:color w:val="auto"/>
                      <w:szCs w:val="21"/>
                    </w:rPr>
                  </w:pPr>
                </w:p>
              </w:tc>
              <w:tc>
                <w:tcPr>
                  <w:tcW w:w="993" w:type="dxa"/>
                  <w:vMerge w:val="continue"/>
                  <w:tcBorders>
                    <w:top w:val="single" w:color="000000" w:sz="8" w:space="0"/>
                    <w:left w:val="single" w:color="auto" w:sz="4" w:space="0"/>
                    <w:bottom w:val="single" w:color="000000" w:sz="8" w:space="0"/>
                    <w:right w:val="single" w:color="000000" w:sz="8" w:space="0"/>
                  </w:tcBorders>
                  <w:vAlign w:val="center"/>
                </w:tcPr>
                <w:p>
                  <w:pPr>
                    <w:pStyle w:val="28"/>
                    <w:spacing w:line="360" w:lineRule="exact"/>
                    <w:rPr>
                      <w:rFonts w:eastAsiaTheme="minorEastAsia"/>
                      <w:color w:val="auto"/>
                      <w:szCs w:val="21"/>
                    </w:rPr>
                  </w:pPr>
                </w:p>
              </w:tc>
              <w:tc>
                <w:tcPr>
                  <w:tcW w:w="1486" w:type="dxa"/>
                  <w:vMerge w:val="continue"/>
                  <w:tcBorders>
                    <w:top w:val="single" w:color="000000" w:sz="8" w:space="0"/>
                    <w:left w:val="single" w:color="000000" w:sz="8" w:space="0"/>
                    <w:bottom w:val="single" w:color="000000" w:sz="8" w:space="0"/>
                    <w:right w:val="single" w:color="000000" w:sz="8" w:space="0"/>
                  </w:tcBorders>
                  <w:vAlign w:val="center"/>
                </w:tcPr>
                <w:p>
                  <w:pPr>
                    <w:pStyle w:val="28"/>
                    <w:spacing w:line="360" w:lineRule="exact"/>
                    <w:rPr>
                      <w:rFonts w:eastAsiaTheme="minorEastAsia"/>
                      <w:color w:val="auto"/>
                      <w:szCs w:val="21"/>
                    </w:rPr>
                  </w:pPr>
                </w:p>
              </w:tc>
            </w:tr>
            <w:tr>
              <w:tblPrEx>
                <w:tblCellMar>
                  <w:top w:w="0" w:type="dxa"/>
                  <w:left w:w="108" w:type="dxa"/>
                  <w:bottom w:w="0" w:type="dxa"/>
                  <w:right w:w="108" w:type="dxa"/>
                </w:tblCellMar>
              </w:tblPrEx>
              <w:trPr>
                <w:trHeight w:val="300" w:hRule="atLeast"/>
              </w:trPr>
              <w:tc>
                <w:tcPr>
                  <w:tcW w:w="730" w:type="dxa"/>
                  <w:vMerge w:val="restart"/>
                  <w:tcBorders>
                    <w:top w:val="nil"/>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危险废物贮存</w:t>
                  </w: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贮存、转运</w:t>
                  </w:r>
                </w:p>
              </w:tc>
              <w:tc>
                <w:tcPr>
                  <w:tcW w:w="1559"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烟气量</w:t>
                  </w:r>
                </w:p>
              </w:tc>
              <w:tc>
                <w:tcPr>
                  <w:tcW w:w="2268" w:type="dxa"/>
                  <w:gridSpan w:val="3"/>
                  <w:tcBorders>
                    <w:top w:val="single" w:color="000000" w:sz="8" w:space="0"/>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16000</w:t>
                  </w:r>
                  <w:r>
                    <w:rPr>
                      <w:color w:val="auto"/>
                      <w:szCs w:val="21"/>
                    </w:rPr>
                    <w:t>m³</w:t>
                  </w:r>
                </w:p>
              </w:tc>
              <w:tc>
                <w:tcPr>
                  <w:tcW w:w="850" w:type="dxa"/>
                  <w:vMerge w:val="restart"/>
                  <w:tcBorders>
                    <w:top w:val="nil"/>
                    <w:left w:val="nil"/>
                    <w:right w:val="single" w:color="auto" w:sz="4" w:space="0"/>
                  </w:tcBorders>
                  <w:shd w:val="clear" w:color="auto" w:fill="auto"/>
                  <w:vAlign w:val="center"/>
                </w:tcPr>
                <w:p>
                  <w:pPr>
                    <w:pStyle w:val="28"/>
                    <w:spacing w:line="360" w:lineRule="exact"/>
                    <w:rPr>
                      <w:rFonts w:eastAsiaTheme="minorEastAsia"/>
                      <w:color w:val="auto"/>
                      <w:szCs w:val="21"/>
                    </w:rPr>
                  </w:pPr>
                  <w:r>
                    <w:rPr>
                      <w:rFonts w:hint="eastAsia" w:eastAsiaTheme="minorEastAsia"/>
                      <w:color w:val="auto"/>
                      <w:szCs w:val="21"/>
                    </w:rPr>
                    <w:t>1次</w:t>
                  </w:r>
                  <w:r>
                    <w:rPr>
                      <w:rFonts w:eastAsiaTheme="minorEastAsia"/>
                      <w:color w:val="auto"/>
                      <w:szCs w:val="21"/>
                    </w:rPr>
                    <w:t>/a</w:t>
                  </w:r>
                </w:p>
              </w:tc>
              <w:tc>
                <w:tcPr>
                  <w:tcW w:w="993" w:type="dxa"/>
                  <w:vMerge w:val="restart"/>
                  <w:tcBorders>
                    <w:top w:val="nil"/>
                    <w:left w:val="single" w:color="auto" w:sz="4" w:space="0"/>
                    <w:right w:val="single" w:color="000000" w:sz="8" w:space="0"/>
                  </w:tcBorders>
                  <w:shd w:val="clear" w:color="auto" w:fill="auto"/>
                  <w:vAlign w:val="center"/>
                </w:tcPr>
                <w:p>
                  <w:pPr>
                    <w:pStyle w:val="28"/>
                    <w:spacing w:line="360" w:lineRule="exact"/>
                    <w:rPr>
                      <w:rFonts w:eastAsiaTheme="minorEastAsia"/>
                      <w:color w:val="auto"/>
                      <w:szCs w:val="21"/>
                    </w:rPr>
                  </w:pPr>
                  <w:r>
                    <w:rPr>
                      <w:rFonts w:hint="eastAsia" w:eastAsiaTheme="minorEastAsia"/>
                      <w:color w:val="auto"/>
                      <w:szCs w:val="21"/>
                    </w:rPr>
                    <w:t>1h</w:t>
                  </w:r>
                  <w:r>
                    <w:rPr>
                      <w:rFonts w:eastAsiaTheme="minorEastAsia"/>
                      <w:color w:val="auto"/>
                      <w:szCs w:val="21"/>
                    </w:rPr>
                    <w:t>/次</w:t>
                  </w:r>
                </w:p>
              </w:tc>
              <w:tc>
                <w:tcPr>
                  <w:tcW w:w="1486" w:type="dxa"/>
                  <w:vMerge w:val="restart"/>
                  <w:tcBorders>
                    <w:top w:val="nil"/>
                    <w:left w:val="nil"/>
                    <w:right w:val="single" w:color="000000" w:sz="8" w:space="0"/>
                  </w:tcBorders>
                  <w:shd w:val="clear" w:color="auto" w:fill="auto"/>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废气处理设施失效，立即进行检修</w:t>
                  </w:r>
                </w:p>
              </w:tc>
            </w:tr>
            <w:tr>
              <w:tblPrEx>
                <w:tblCellMar>
                  <w:top w:w="0" w:type="dxa"/>
                  <w:left w:w="108" w:type="dxa"/>
                  <w:bottom w:w="0" w:type="dxa"/>
                  <w:right w:w="108" w:type="dxa"/>
                </w:tblCellMar>
              </w:tblPrEx>
              <w:trPr>
                <w:trHeight w:val="300"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非甲烷总烃</w:t>
                  </w:r>
                </w:p>
              </w:tc>
              <w:tc>
                <w:tcPr>
                  <w:tcW w:w="992" w:type="dxa"/>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color w:val="auto"/>
                      <w:szCs w:val="21"/>
                    </w:rPr>
                    <w:t>118.5</w:t>
                  </w:r>
                </w:p>
              </w:tc>
              <w:tc>
                <w:tcPr>
                  <w:tcW w:w="1276" w:type="dxa"/>
                  <w:gridSpan w:val="2"/>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color w:val="auto"/>
                      <w:szCs w:val="21"/>
                    </w:rPr>
                    <w:t>2.37</w:t>
                  </w:r>
                </w:p>
              </w:tc>
              <w:tc>
                <w:tcPr>
                  <w:tcW w:w="850" w:type="dxa"/>
                  <w:vMerge w:val="continue"/>
                  <w:tcBorders>
                    <w:left w:val="nil"/>
                    <w:right w:val="single" w:color="auto" w:sz="4" w:space="0"/>
                  </w:tcBorders>
                  <w:shd w:val="clear" w:color="auto" w:fill="auto"/>
                  <w:vAlign w:val="center"/>
                </w:tcPr>
                <w:p>
                  <w:pPr>
                    <w:pStyle w:val="28"/>
                    <w:spacing w:line="360" w:lineRule="exact"/>
                    <w:rPr>
                      <w:rFonts w:eastAsiaTheme="minorEastAsia"/>
                      <w:color w:val="auto"/>
                      <w:szCs w:val="21"/>
                    </w:rPr>
                  </w:pPr>
                </w:p>
              </w:tc>
              <w:tc>
                <w:tcPr>
                  <w:tcW w:w="993" w:type="dxa"/>
                  <w:vMerge w:val="continue"/>
                  <w:tcBorders>
                    <w:left w:val="single" w:color="auto" w:sz="4" w:space="0"/>
                    <w:right w:val="single" w:color="000000" w:sz="8" w:space="0"/>
                  </w:tcBorders>
                  <w:shd w:val="clear" w:color="auto" w:fill="auto"/>
                  <w:vAlign w:val="center"/>
                </w:tcPr>
                <w:p>
                  <w:pPr>
                    <w:pStyle w:val="28"/>
                    <w:spacing w:line="360" w:lineRule="exact"/>
                    <w:rPr>
                      <w:rFonts w:eastAsiaTheme="minorEastAsia"/>
                      <w:color w:val="auto"/>
                      <w:szCs w:val="21"/>
                    </w:rPr>
                  </w:pPr>
                </w:p>
              </w:tc>
              <w:tc>
                <w:tcPr>
                  <w:tcW w:w="1486" w:type="dxa"/>
                  <w:vMerge w:val="continue"/>
                  <w:tcBorders>
                    <w:left w:val="nil"/>
                    <w:right w:val="single" w:color="000000" w:sz="8" w:space="0"/>
                  </w:tcBorders>
                  <w:shd w:val="clear" w:color="auto" w:fill="auto"/>
                  <w:vAlign w:val="center"/>
                </w:tcPr>
                <w:p>
                  <w:pPr>
                    <w:pStyle w:val="28"/>
                    <w:spacing w:line="360" w:lineRule="exact"/>
                    <w:rPr>
                      <w:rFonts w:eastAsiaTheme="minorEastAsia"/>
                      <w:color w:val="auto"/>
                      <w:szCs w:val="21"/>
                    </w:rPr>
                  </w:pPr>
                </w:p>
              </w:tc>
            </w:tr>
            <w:tr>
              <w:tblPrEx>
                <w:tblCellMar>
                  <w:top w:w="0" w:type="dxa"/>
                  <w:left w:w="108" w:type="dxa"/>
                  <w:bottom w:w="0" w:type="dxa"/>
                  <w:right w:w="108" w:type="dxa"/>
                </w:tblCellMar>
              </w:tblPrEx>
              <w:trPr>
                <w:trHeight w:val="336"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color w:val="auto"/>
                      <w:szCs w:val="21"/>
                    </w:rPr>
                    <w:t>HCl</w:t>
                  </w:r>
                </w:p>
              </w:tc>
              <w:tc>
                <w:tcPr>
                  <w:tcW w:w="992" w:type="dxa"/>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color w:val="auto"/>
                      <w:szCs w:val="21"/>
                    </w:rPr>
                    <w:t>48.61</w:t>
                  </w:r>
                </w:p>
              </w:tc>
              <w:tc>
                <w:tcPr>
                  <w:tcW w:w="1276" w:type="dxa"/>
                  <w:gridSpan w:val="2"/>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color w:val="auto"/>
                      <w:szCs w:val="21"/>
                    </w:rPr>
                    <w:t>0.97</w:t>
                  </w:r>
                </w:p>
              </w:tc>
              <w:tc>
                <w:tcPr>
                  <w:tcW w:w="850" w:type="dxa"/>
                  <w:vMerge w:val="continue"/>
                  <w:tcBorders>
                    <w:left w:val="nil"/>
                    <w:right w:val="single" w:color="auto" w:sz="4" w:space="0"/>
                  </w:tcBorders>
                  <w:shd w:val="clear" w:color="auto" w:fill="auto"/>
                  <w:vAlign w:val="center"/>
                </w:tcPr>
                <w:p>
                  <w:pPr>
                    <w:pStyle w:val="28"/>
                    <w:spacing w:line="360" w:lineRule="exact"/>
                    <w:rPr>
                      <w:rFonts w:eastAsiaTheme="minorEastAsia"/>
                      <w:color w:val="auto"/>
                      <w:szCs w:val="21"/>
                    </w:rPr>
                  </w:pPr>
                </w:p>
              </w:tc>
              <w:tc>
                <w:tcPr>
                  <w:tcW w:w="993" w:type="dxa"/>
                  <w:vMerge w:val="continue"/>
                  <w:tcBorders>
                    <w:left w:val="single" w:color="auto" w:sz="4" w:space="0"/>
                    <w:right w:val="single" w:color="000000" w:sz="8" w:space="0"/>
                  </w:tcBorders>
                  <w:shd w:val="clear" w:color="auto" w:fill="auto"/>
                  <w:vAlign w:val="center"/>
                </w:tcPr>
                <w:p>
                  <w:pPr>
                    <w:pStyle w:val="28"/>
                    <w:spacing w:line="360" w:lineRule="exact"/>
                    <w:rPr>
                      <w:rFonts w:eastAsiaTheme="minorEastAsia"/>
                      <w:color w:val="auto"/>
                      <w:szCs w:val="21"/>
                    </w:rPr>
                  </w:pPr>
                </w:p>
              </w:tc>
              <w:tc>
                <w:tcPr>
                  <w:tcW w:w="1486" w:type="dxa"/>
                  <w:vMerge w:val="continue"/>
                  <w:tcBorders>
                    <w:left w:val="nil"/>
                    <w:right w:val="single" w:color="000000" w:sz="8" w:space="0"/>
                  </w:tcBorders>
                  <w:shd w:val="clear" w:color="auto" w:fill="auto"/>
                  <w:vAlign w:val="center"/>
                </w:tcPr>
                <w:p>
                  <w:pPr>
                    <w:pStyle w:val="28"/>
                    <w:spacing w:line="360" w:lineRule="exact"/>
                    <w:rPr>
                      <w:rFonts w:eastAsiaTheme="minorEastAsia"/>
                      <w:color w:val="auto"/>
                      <w:szCs w:val="21"/>
                    </w:rPr>
                  </w:pPr>
                </w:p>
              </w:tc>
            </w:tr>
            <w:tr>
              <w:tblPrEx>
                <w:tblCellMar>
                  <w:top w:w="0" w:type="dxa"/>
                  <w:left w:w="108" w:type="dxa"/>
                  <w:bottom w:w="0" w:type="dxa"/>
                  <w:right w:w="108" w:type="dxa"/>
                </w:tblCellMar>
              </w:tblPrEx>
              <w:trPr>
                <w:trHeight w:val="300"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氨</w:t>
                  </w:r>
                </w:p>
              </w:tc>
              <w:tc>
                <w:tcPr>
                  <w:tcW w:w="992" w:type="dxa"/>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1.35</w:t>
                  </w:r>
                </w:p>
              </w:tc>
              <w:tc>
                <w:tcPr>
                  <w:tcW w:w="1276" w:type="dxa"/>
                  <w:gridSpan w:val="2"/>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w:t>
                  </w:r>
                  <w:r>
                    <w:rPr>
                      <w:color w:val="auto"/>
                      <w:szCs w:val="21"/>
                    </w:rPr>
                    <w:t>.027</w:t>
                  </w:r>
                </w:p>
              </w:tc>
              <w:tc>
                <w:tcPr>
                  <w:tcW w:w="850" w:type="dxa"/>
                  <w:vMerge w:val="continue"/>
                  <w:tcBorders>
                    <w:left w:val="nil"/>
                    <w:right w:val="single" w:color="auto" w:sz="4" w:space="0"/>
                  </w:tcBorders>
                  <w:shd w:val="clear" w:color="auto" w:fill="auto"/>
                  <w:vAlign w:val="center"/>
                </w:tcPr>
                <w:p>
                  <w:pPr>
                    <w:pStyle w:val="28"/>
                    <w:spacing w:line="360" w:lineRule="exact"/>
                    <w:rPr>
                      <w:rFonts w:eastAsiaTheme="minorEastAsia"/>
                      <w:color w:val="auto"/>
                      <w:szCs w:val="21"/>
                    </w:rPr>
                  </w:pPr>
                </w:p>
              </w:tc>
              <w:tc>
                <w:tcPr>
                  <w:tcW w:w="993" w:type="dxa"/>
                  <w:vMerge w:val="continue"/>
                  <w:tcBorders>
                    <w:left w:val="single" w:color="auto" w:sz="4" w:space="0"/>
                    <w:right w:val="single" w:color="000000" w:sz="8" w:space="0"/>
                  </w:tcBorders>
                  <w:shd w:val="clear" w:color="auto" w:fill="auto"/>
                  <w:vAlign w:val="center"/>
                </w:tcPr>
                <w:p>
                  <w:pPr>
                    <w:pStyle w:val="28"/>
                    <w:spacing w:line="360" w:lineRule="exact"/>
                    <w:rPr>
                      <w:rFonts w:eastAsiaTheme="minorEastAsia"/>
                      <w:color w:val="auto"/>
                      <w:szCs w:val="21"/>
                    </w:rPr>
                  </w:pPr>
                </w:p>
              </w:tc>
              <w:tc>
                <w:tcPr>
                  <w:tcW w:w="1486" w:type="dxa"/>
                  <w:vMerge w:val="continue"/>
                  <w:tcBorders>
                    <w:left w:val="nil"/>
                    <w:right w:val="single" w:color="000000" w:sz="8" w:space="0"/>
                  </w:tcBorders>
                  <w:shd w:val="clear" w:color="auto" w:fill="auto"/>
                  <w:vAlign w:val="center"/>
                </w:tcPr>
                <w:p>
                  <w:pPr>
                    <w:pStyle w:val="28"/>
                    <w:spacing w:line="360" w:lineRule="exact"/>
                    <w:rPr>
                      <w:rFonts w:eastAsiaTheme="minorEastAsia"/>
                      <w:color w:val="auto"/>
                      <w:szCs w:val="21"/>
                    </w:rPr>
                  </w:pPr>
                </w:p>
              </w:tc>
            </w:tr>
            <w:tr>
              <w:tblPrEx>
                <w:tblCellMar>
                  <w:top w:w="0" w:type="dxa"/>
                  <w:left w:w="108" w:type="dxa"/>
                  <w:bottom w:w="0" w:type="dxa"/>
                  <w:right w:w="108" w:type="dxa"/>
                </w:tblCellMar>
              </w:tblPrEx>
              <w:trPr>
                <w:trHeight w:val="300" w:hRule="atLeast"/>
              </w:trPr>
              <w:tc>
                <w:tcPr>
                  <w:tcW w:w="730"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pStyle w:val="28"/>
                    <w:spacing w:line="360" w:lineRule="exact"/>
                    <w:rPr>
                      <w:color w:val="auto"/>
                      <w:szCs w:val="21"/>
                    </w:rPr>
                  </w:pPr>
                </w:p>
              </w:tc>
              <w:tc>
                <w:tcPr>
                  <w:tcW w:w="1559" w:type="dxa"/>
                  <w:tcBorders>
                    <w:top w:val="nil"/>
                    <w:left w:val="nil"/>
                    <w:bottom w:val="single" w:color="000000"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硫化氢</w:t>
                  </w:r>
                </w:p>
              </w:tc>
              <w:tc>
                <w:tcPr>
                  <w:tcW w:w="992" w:type="dxa"/>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rFonts w:hint="eastAsia"/>
                      <w:color w:val="auto"/>
                      <w:szCs w:val="21"/>
                    </w:rPr>
                    <w:t>0.01</w:t>
                  </w:r>
                </w:p>
              </w:tc>
              <w:tc>
                <w:tcPr>
                  <w:tcW w:w="1276" w:type="dxa"/>
                  <w:gridSpan w:val="2"/>
                  <w:tcBorders>
                    <w:top w:val="nil"/>
                    <w:left w:val="nil"/>
                    <w:bottom w:val="single" w:color="auto" w:sz="8" w:space="0"/>
                    <w:right w:val="single" w:color="000000" w:sz="8" w:space="0"/>
                  </w:tcBorders>
                  <w:shd w:val="clear" w:color="auto" w:fill="auto"/>
                  <w:vAlign w:val="center"/>
                </w:tcPr>
                <w:p>
                  <w:pPr>
                    <w:pStyle w:val="28"/>
                    <w:spacing w:line="360" w:lineRule="exact"/>
                    <w:rPr>
                      <w:color w:val="auto"/>
                      <w:szCs w:val="21"/>
                    </w:rPr>
                  </w:pPr>
                  <w:r>
                    <w:rPr>
                      <w:color w:val="auto"/>
                      <w:szCs w:val="21"/>
                    </w:rPr>
                    <w:t>0.</w:t>
                  </w:r>
                  <w:r>
                    <w:rPr>
                      <w:rFonts w:hint="eastAsia"/>
                      <w:color w:val="auto"/>
                      <w:szCs w:val="21"/>
                    </w:rPr>
                    <w:t>000</w:t>
                  </w:r>
                  <w:r>
                    <w:rPr>
                      <w:color w:val="auto"/>
                      <w:szCs w:val="21"/>
                    </w:rPr>
                    <w:t>2</w:t>
                  </w:r>
                </w:p>
              </w:tc>
              <w:tc>
                <w:tcPr>
                  <w:tcW w:w="850" w:type="dxa"/>
                  <w:vMerge w:val="continue"/>
                  <w:tcBorders>
                    <w:left w:val="nil"/>
                    <w:bottom w:val="single" w:color="000000" w:sz="8" w:space="0"/>
                    <w:right w:val="single" w:color="auto" w:sz="4" w:space="0"/>
                  </w:tcBorders>
                  <w:shd w:val="clear" w:color="auto" w:fill="auto"/>
                  <w:vAlign w:val="center"/>
                </w:tcPr>
                <w:p>
                  <w:pPr>
                    <w:pStyle w:val="28"/>
                    <w:spacing w:line="360" w:lineRule="exact"/>
                    <w:rPr>
                      <w:rFonts w:eastAsiaTheme="minorEastAsia"/>
                      <w:color w:val="auto"/>
                      <w:szCs w:val="21"/>
                    </w:rPr>
                  </w:pPr>
                </w:p>
              </w:tc>
              <w:tc>
                <w:tcPr>
                  <w:tcW w:w="993" w:type="dxa"/>
                  <w:vMerge w:val="continue"/>
                  <w:tcBorders>
                    <w:left w:val="single" w:color="auto" w:sz="4" w:space="0"/>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p>
              </w:tc>
              <w:tc>
                <w:tcPr>
                  <w:tcW w:w="1486" w:type="dxa"/>
                  <w:vMerge w:val="continue"/>
                  <w:tcBorders>
                    <w:left w:val="nil"/>
                    <w:bottom w:val="single" w:color="000000" w:sz="8" w:space="0"/>
                    <w:right w:val="single" w:color="000000" w:sz="8" w:space="0"/>
                  </w:tcBorders>
                  <w:shd w:val="clear" w:color="auto" w:fill="auto"/>
                  <w:vAlign w:val="center"/>
                </w:tcPr>
                <w:p>
                  <w:pPr>
                    <w:pStyle w:val="28"/>
                    <w:spacing w:line="360" w:lineRule="exact"/>
                    <w:rPr>
                      <w:rFonts w:eastAsiaTheme="minorEastAsia"/>
                      <w:color w:val="auto"/>
                      <w:szCs w:val="21"/>
                    </w:rPr>
                  </w:pP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（6）大气环境影响分析结论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根据上述分析可知，项目各污染物均可达标排放，且项目位于环境空气质量达标区，项目所在区域基本污染因子环境质量现状均可达到《环境空气质量标准》（GB</w:t>
            </w:r>
            <w:r>
              <w:rPr>
                <w:rFonts w:hint="eastAsia" w:ascii="Times New Roman" w:hAnsi="Times New Roman" w:cs="Times New Roman"/>
                <w:sz w:val="24"/>
                <w:szCs w:val="24"/>
                <w:lang w:eastAsia="zh-CN"/>
              </w:rPr>
              <w:t>****</w:t>
            </w:r>
            <w:r>
              <w:rPr>
                <w:rFonts w:ascii="Times New Roman" w:hAnsi="Times New Roman" w:cs="Times New Roman"/>
                <w:sz w:val="24"/>
                <w:szCs w:val="24"/>
              </w:rPr>
              <w:t>-2012）二级标准；项目环境</w:t>
            </w:r>
            <w:r>
              <w:rPr>
                <w:rFonts w:hint="eastAsia" w:ascii="Times New Roman" w:hAnsi="Times New Roman" w:cs="Times New Roman"/>
                <w:sz w:val="24"/>
                <w:szCs w:val="24"/>
              </w:rPr>
              <w:t>空气</w:t>
            </w:r>
            <w:r>
              <w:rPr>
                <w:rFonts w:ascii="Times New Roman" w:hAnsi="Times New Roman" w:cs="Times New Roman"/>
                <w:sz w:val="24"/>
                <w:szCs w:val="24"/>
              </w:rPr>
              <w:t>保护目标</w:t>
            </w:r>
            <w:r>
              <w:rPr>
                <w:rFonts w:hint="eastAsia" w:ascii="Times New Roman" w:hAnsi="Times New Roman" w:cs="Times New Roman"/>
                <w:sz w:val="24"/>
                <w:szCs w:val="24"/>
              </w:rPr>
              <w:t>东南侧278m的</w:t>
            </w:r>
            <w:r>
              <w:rPr>
                <w:rFonts w:ascii="Times New Roman" w:hAnsi="Times New Roman" w:cs="Times New Roman"/>
                <w:sz w:val="24"/>
                <w:szCs w:val="24"/>
              </w:rPr>
              <w:t>凉水井</w:t>
            </w:r>
            <w:r>
              <w:rPr>
                <w:rFonts w:hint="eastAsia" w:ascii="Times New Roman" w:hAnsi="Times New Roman" w:cs="Times New Roman"/>
                <w:sz w:val="24"/>
                <w:szCs w:val="24"/>
              </w:rPr>
              <w:t>位于项目区上风向，</w:t>
            </w:r>
            <w:r>
              <w:rPr>
                <w:rFonts w:ascii="Times New Roman" w:hAnsi="Times New Roman" w:cs="Times New Roman"/>
                <w:sz w:val="24"/>
                <w:szCs w:val="24"/>
              </w:rPr>
              <w:t>因此项目废气对环境保护目标影响较小。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（1）废水污染源分析</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①生产用水分析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实施方案，该项目属于危险废物贮存项目，不属于生产性项目，该项目项目运营期间地面清洁及收集桶清洁主要采取抹布擦拭的方式，不采用水清洗，项目主要用水环节为废气处理装置中的碱喷淋工艺，根据设计碱喷淋工艺需水量为1m³，该用水在碱喷淋塔内不断调整pH值循环使用，每季度更换1次</w:t>
            </w:r>
            <w:r>
              <w:rPr>
                <w:rFonts w:hint="eastAsia" w:ascii="Times New Roman" w:hAnsi="Times New Roman" w:cs="Times New Roman"/>
                <w:sz w:val="24"/>
                <w:szCs w:val="24"/>
              </w:rPr>
              <w:t>，而更换后的</w:t>
            </w:r>
            <w:r>
              <w:rPr>
                <w:rFonts w:ascii="Times New Roman" w:hAnsi="Times New Roman" w:cs="Times New Roman"/>
                <w:sz w:val="24"/>
                <w:szCs w:val="24"/>
              </w:rPr>
              <w:t>碱喷淋</w:t>
            </w:r>
            <w:r>
              <w:rPr>
                <w:rFonts w:hint="eastAsia" w:ascii="Times New Roman" w:hAnsi="Times New Roman" w:cs="Times New Roman"/>
                <w:sz w:val="24"/>
                <w:szCs w:val="24"/>
              </w:rPr>
              <w:t>废液，应属于更换后的碱喷淋废液属于含有或沾染毒性、感染性危险废物的过滤介质，按危险废物处理，不按废水进行管理，因此项目无生产废水外排。</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②</w:t>
            </w:r>
            <w:r>
              <w:rPr>
                <w:rFonts w:ascii="Times New Roman" w:hAnsi="Times New Roman" w:cs="Times New Roman"/>
                <w:b/>
                <w:sz w:val="24"/>
              </w:rPr>
              <w:t>生活用水</w:t>
            </w:r>
            <w:r>
              <w:rPr>
                <w:rFonts w:hint="eastAsia" w:ascii="Times New Roman" w:hAnsi="Times New Roman" w:cs="Times New Roman"/>
                <w:b/>
                <w:sz w:val="24"/>
              </w:rPr>
              <w:t>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调查，建设单位为解决全厂员工的办公食宿问题，建设单位已在厂区外单独建设办公生活区，该项目依托使用。针对该办公生活区的生活污水设置了1个0.5m³的隔油池，1个10m³的化粪池，厨房废水先经1个0.5m³的隔油池预处理后和其他生活污水一起进入1个10m³的化粪池处理，处理达到《污水排入城镇下水道水质标准》（GB/T</w:t>
            </w:r>
            <w:r>
              <w:rPr>
                <w:rFonts w:hint="eastAsia" w:ascii="Times New Roman" w:hAnsi="Times New Roman" w:cs="Times New Roman"/>
                <w:sz w:val="24"/>
                <w:szCs w:val="24"/>
                <w:lang w:eastAsia="zh-CN"/>
              </w:rPr>
              <w:t>*****</w:t>
            </w:r>
            <w:r>
              <w:rPr>
                <w:rFonts w:ascii="Times New Roman" w:hAnsi="Times New Roman" w:cs="Times New Roman"/>
                <w:sz w:val="24"/>
                <w:szCs w:val="24"/>
              </w:rPr>
              <w:t>-2015）的B等级标准，通过园区污水管网进入四方地与碧谷园区污水处理厂处理。而该办公生活区目前使用员工人数约56人，据统计生活污水产生量约4.5m³/d，其处理余量约5.5m³/d，而本次建设项目员工只有10人，如厕产生的冲厕废水量不超过0.8m³/d，则依托可行，本项目无生活污水产生。</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③初期雨水分析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根据实施方案，该项目</w:t>
            </w:r>
            <w:r>
              <w:rPr>
                <w:rFonts w:hint="eastAsia" w:ascii="Times New Roman" w:hAnsi="Times New Roman" w:cs="Times New Roman"/>
                <w:sz w:val="24"/>
                <w:szCs w:val="24"/>
              </w:rPr>
              <w:t>所有区域均在已建成的危险废物贮存库内，无建筑外设施，因此不会因为项目的建设而新增初期雨水。而现有厂区的初期雨水</w:t>
            </w:r>
            <w:r>
              <w:rPr>
                <w:rFonts w:ascii="Times New Roman" w:hAnsi="Times New Roman" w:cs="Times New Roman"/>
                <w:sz w:val="24"/>
                <w:szCs w:val="24"/>
              </w:rPr>
              <w:t>项目区初期雨水产生量按下述公式进行计算：</w:t>
            </w:r>
          </w:p>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Qm=F·Hm·Ψ÷1000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式中：Qm：最大径流量（m³）；</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F：汇水面积（m²）；</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Hm：降雨量（mm）；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Ψ：径流系数，取0.</w:t>
            </w:r>
            <w:r>
              <w:rPr>
                <w:rFonts w:hint="eastAsia" w:ascii="Times New Roman" w:hAnsi="Times New Roman" w:cs="Times New Roman"/>
                <w:sz w:val="24"/>
                <w:szCs w:val="24"/>
              </w:rPr>
              <w:t>9</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汇水面积取雨水直接落到地面上的占地面积，该项目</w:t>
            </w:r>
            <w:r>
              <w:rPr>
                <w:rFonts w:hint="eastAsia" w:ascii="Times New Roman" w:hAnsi="Times New Roman" w:cs="Times New Roman"/>
                <w:sz w:val="24"/>
                <w:szCs w:val="24"/>
              </w:rPr>
              <w:t>厂区内</w:t>
            </w:r>
            <w:r>
              <w:rPr>
                <w:rFonts w:ascii="Times New Roman" w:hAnsi="Times New Roman" w:cs="Times New Roman"/>
                <w:sz w:val="24"/>
                <w:szCs w:val="24"/>
              </w:rPr>
              <w:t>区域可能受污染区的占地面积约</w:t>
            </w:r>
            <w:r>
              <w:rPr>
                <w:rFonts w:hint="eastAsia" w:ascii="Times New Roman" w:hAnsi="Times New Roman" w:cs="Times New Roman"/>
                <w:sz w:val="24"/>
                <w:szCs w:val="24"/>
              </w:rPr>
              <w:t>4410</w:t>
            </w:r>
            <w:r>
              <w:rPr>
                <w:rFonts w:ascii="Times New Roman" w:hAnsi="Times New Roman" w:cs="Times New Roman"/>
                <w:sz w:val="24"/>
                <w:szCs w:val="24"/>
              </w:rPr>
              <w:t>m²，考虑到项目区场地的硬化程度，径流系数取0.</w:t>
            </w:r>
            <w:r>
              <w:rPr>
                <w:rFonts w:hint="eastAsia" w:ascii="Times New Roman" w:hAnsi="Times New Roman" w:cs="Times New Roman"/>
                <w:sz w:val="24"/>
                <w:szCs w:val="24"/>
              </w:rPr>
              <w:t>9</w:t>
            </w:r>
            <w:r>
              <w:rPr>
                <w:rFonts w:ascii="Times New Roman" w:hAnsi="Times New Roman" w:cs="Times New Roman"/>
                <w:sz w:val="24"/>
                <w:szCs w:val="24"/>
              </w:rPr>
              <w:t>。该区30年一遇最大日降雨量153.3mm，经计算项目区最大日雨水量为</w:t>
            </w:r>
            <w:r>
              <w:rPr>
                <w:rFonts w:hint="eastAsia" w:ascii="Times New Roman" w:hAnsi="Times New Roman" w:cs="Times New Roman"/>
                <w:sz w:val="24"/>
                <w:szCs w:val="24"/>
              </w:rPr>
              <w:t>608.44</w:t>
            </w:r>
            <w:r>
              <w:rPr>
                <w:rFonts w:ascii="Times New Roman" w:hAnsi="Times New Roman" w:cs="Times New Roman"/>
                <w:sz w:val="24"/>
                <w:szCs w:val="24"/>
              </w:rPr>
              <w:t>m³，初期雨水</w:t>
            </w:r>
            <w:r>
              <w:rPr>
                <w:rFonts w:hint="eastAsia" w:ascii="Times New Roman" w:hAnsi="Times New Roman" w:cs="Times New Roman"/>
                <w:sz w:val="24"/>
                <w:szCs w:val="24"/>
              </w:rPr>
              <w:t>按</w:t>
            </w:r>
            <w:r>
              <w:rPr>
                <w:rFonts w:ascii="Times New Roman" w:hAnsi="Times New Roman" w:cs="Times New Roman"/>
                <w:sz w:val="24"/>
                <w:szCs w:val="24"/>
              </w:rPr>
              <w:t>暴雨前</w:t>
            </w:r>
            <w:r>
              <w:rPr>
                <w:rFonts w:hint="eastAsia" w:ascii="Times New Roman" w:hAnsi="Times New Roman" w:cs="Times New Roman"/>
                <w:sz w:val="24"/>
                <w:szCs w:val="24"/>
              </w:rPr>
              <w:t>2h</w:t>
            </w:r>
            <w:r>
              <w:rPr>
                <w:rFonts w:ascii="Times New Roman" w:hAnsi="Times New Roman" w:cs="Times New Roman"/>
                <w:sz w:val="24"/>
                <w:szCs w:val="24"/>
              </w:rPr>
              <w:t>计，经计算，项目初期雨水产生量约为</w:t>
            </w:r>
            <w:r>
              <w:rPr>
                <w:rFonts w:hint="eastAsia" w:ascii="Times New Roman" w:hAnsi="Times New Roman" w:cs="Times New Roman"/>
                <w:sz w:val="24"/>
                <w:szCs w:val="24"/>
              </w:rPr>
              <w:t>51.2</w:t>
            </w:r>
            <w:r>
              <w:rPr>
                <w:rFonts w:ascii="Times New Roman" w:hAnsi="Times New Roman" w:cs="Times New Roman"/>
                <w:sz w:val="24"/>
                <w:szCs w:val="24"/>
              </w:rPr>
              <w:t>m³/次。</w:t>
            </w:r>
            <w:r>
              <w:rPr>
                <w:rFonts w:hint="eastAsia" w:ascii="Times New Roman" w:hAnsi="Times New Roman" w:cs="Times New Roman"/>
                <w:sz w:val="24"/>
                <w:szCs w:val="24"/>
              </w:rPr>
              <w:t>根据调查，厂区内已设置了雨水沟和在厂区东北侧地势最低处建设了1座容积为6</w:t>
            </w:r>
            <w:r>
              <w:rPr>
                <w:rFonts w:ascii="Times New Roman" w:hAnsi="Times New Roman" w:cs="Times New Roman"/>
                <w:sz w:val="24"/>
                <w:szCs w:val="24"/>
              </w:rPr>
              <w:t>80m³初期雨水收集池</w:t>
            </w:r>
            <w:r>
              <w:rPr>
                <w:rFonts w:hint="eastAsia" w:ascii="Times New Roman" w:hAnsi="Times New Roman" w:cs="Times New Roman"/>
                <w:sz w:val="24"/>
                <w:szCs w:val="24"/>
              </w:rPr>
              <w:t>。初期雨水收集疏导后进入</w:t>
            </w:r>
            <w:r>
              <w:rPr>
                <w:rFonts w:ascii="Times New Roman" w:hAnsi="Times New Roman" w:cs="Times New Roman"/>
                <w:sz w:val="24"/>
                <w:szCs w:val="24"/>
              </w:rPr>
              <w:t>初期雨水收集池</w:t>
            </w:r>
            <w:r>
              <w:rPr>
                <w:rFonts w:hint="eastAsia" w:ascii="Times New Roman" w:hAnsi="Times New Roman" w:cs="Times New Roman"/>
                <w:sz w:val="24"/>
                <w:szCs w:val="24"/>
              </w:rPr>
              <w:t>并处理后回用于厂区生产，后期雨水排入园区雨水沟。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（2）废水污染物排放源及达标性分析</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根据调查，该项目废水类型</w:t>
            </w:r>
            <w:r>
              <w:rPr>
                <w:rFonts w:hint="eastAsia" w:ascii="Times New Roman" w:hAnsi="Times New Roman" w:cs="Times New Roman"/>
                <w:bCs/>
                <w:sz w:val="24"/>
                <w:szCs w:val="24"/>
              </w:rPr>
              <w:t>主要为</w:t>
            </w:r>
            <w:r>
              <w:rPr>
                <w:rFonts w:ascii="Times New Roman" w:hAnsi="Times New Roman" w:cs="Times New Roman"/>
                <w:bCs/>
                <w:sz w:val="24"/>
                <w:szCs w:val="24"/>
              </w:rPr>
              <w:t>初期雨水</w:t>
            </w:r>
            <w:r>
              <w:rPr>
                <w:rFonts w:hint="eastAsia" w:ascii="Times New Roman" w:hAnsi="Times New Roman" w:cs="Times New Roman"/>
                <w:bCs/>
                <w:sz w:val="24"/>
                <w:szCs w:val="24"/>
              </w:rPr>
              <w:t>，</w:t>
            </w:r>
            <w:r>
              <w:rPr>
                <w:rFonts w:ascii="Times New Roman" w:hAnsi="Times New Roman" w:cs="Times New Roman"/>
                <w:bCs/>
                <w:sz w:val="24"/>
                <w:szCs w:val="24"/>
              </w:rPr>
              <w:t>初期雨水</w:t>
            </w:r>
            <w:r>
              <w:rPr>
                <w:rFonts w:ascii="Times New Roman" w:hAnsi="Times New Roman" w:cs="Times New Roman"/>
                <w:sz w:val="24"/>
              </w:rPr>
              <w:t>废水污染物排放源的治理措施及排放方式如下表所示。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表4.2.2-2  废水污染物治理措施及排放方式一览表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708"/>
              <w:gridCol w:w="1276"/>
              <w:gridCol w:w="3402"/>
              <w:gridCol w:w="1276"/>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pStyle w:val="28"/>
                    <w:spacing w:line="360" w:lineRule="exact"/>
                    <w:rPr>
                      <w:rFonts w:eastAsiaTheme="minorEastAsia"/>
                      <w:color w:val="auto"/>
                      <w:szCs w:val="21"/>
                    </w:rPr>
                  </w:pPr>
                  <w:r>
                    <w:rPr>
                      <w:rFonts w:eastAsiaTheme="minorEastAsia"/>
                      <w:color w:val="auto"/>
                      <w:szCs w:val="21"/>
                    </w:rPr>
                    <w:t>产排污环节</w:t>
                  </w:r>
                </w:p>
              </w:tc>
              <w:tc>
                <w:tcPr>
                  <w:tcW w:w="708" w:type="dxa"/>
                  <w:vAlign w:val="center"/>
                </w:tcPr>
                <w:p>
                  <w:pPr>
                    <w:pStyle w:val="28"/>
                    <w:spacing w:line="360" w:lineRule="exact"/>
                    <w:rPr>
                      <w:rFonts w:eastAsiaTheme="minorEastAsia"/>
                      <w:color w:val="auto"/>
                      <w:szCs w:val="21"/>
                    </w:rPr>
                  </w:pPr>
                  <w:r>
                    <w:rPr>
                      <w:rFonts w:eastAsiaTheme="minorEastAsia"/>
                      <w:color w:val="auto"/>
                      <w:szCs w:val="21"/>
                    </w:rPr>
                    <w:t>类别</w:t>
                  </w:r>
                </w:p>
              </w:tc>
              <w:tc>
                <w:tcPr>
                  <w:tcW w:w="1276" w:type="dxa"/>
                  <w:vAlign w:val="center"/>
                </w:tcPr>
                <w:p>
                  <w:pPr>
                    <w:pStyle w:val="28"/>
                    <w:spacing w:line="360" w:lineRule="exact"/>
                    <w:rPr>
                      <w:rFonts w:eastAsiaTheme="minorEastAsia"/>
                      <w:color w:val="auto"/>
                      <w:szCs w:val="21"/>
                    </w:rPr>
                  </w:pPr>
                  <w:r>
                    <w:rPr>
                      <w:rFonts w:eastAsiaTheme="minorEastAsia"/>
                      <w:color w:val="auto"/>
                      <w:szCs w:val="21"/>
                    </w:rPr>
                    <w:t>污染物种类</w:t>
                  </w:r>
                </w:p>
              </w:tc>
              <w:tc>
                <w:tcPr>
                  <w:tcW w:w="3402" w:type="dxa"/>
                  <w:vAlign w:val="center"/>
                </w:tcPr>
                <w:p>
                  <w:pPr>
                    <w:pStyle w:val="28"/>
                    <w:spacing w:line="360" w:lineRule="exact"/>
                    <w:rPr>
                      <w:rFonts w:eastAsiaTheme="minorEastAsia"/>
                      <w:color w:val="auto"/>
                      <w:szCs w:val="21"/>
                    </w:rPr>
                  </w:pPr>
                  <w:r>
                    <w:rPr>
                      <w:rFonts w:eastAsiaTheme="minorEastAsia"/>
                      <w:color w:val="auto"/>
                      <w:szCs w:val="21"/>
                    </w:rPr>
                    <w:t>治理设施、效率及去向</w:t>
                  </w:r>
                </w:p>
              </w:tc>
              <w:tc>
                <w:tcPr>
                  <w:tcW w:w="1276"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1066"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8" w:hRule="atLeast"/>
              </w:trPr>
              <w:tc>
                <w:tcPr>
                  <w:tcW w:w="877" w:type="dxa"/>
                  <w:vMerge w:val="restart"/>
                  <w:vAlign w:val="center"/>
                </w:tcPr>
                <w:p>
                  <w:pPr>
                    <w:pStyle w:val="28"/>
                    <w:spacing w:line="360" w:lineRule="exact"/>
                    <w:rPr>
                      <w:rFonts w:eastAsiaTheme="minorEastAsia"/>
                      <w:color w:val="auto"/>
                      <w:szCs w:val="21"/>
                    </w:rPr>
                  </w:pPr>
                  <w:r>
                    <w:rPr>
                      <w:rFonts w:eastAsiaTheme="minorEastAsia"/>
                      <w:color w:val="auto"/>
                      <w:szCs w:val="21"/>
                    </w:rPr>
                    <w:t>厂区范围</w:t>
                  </w:r>
                </w:p>
              </w:tc>
              <w:tc>
                <w:tcPr>
                  <w:tcW w:w="708" w:type="dxa"/>
                  <w:vMerge w:val="restart"/>
                  <w:vAlign w:val="center"/>
                </w:tcPr>
                <w:p>
                  <w:pPr>
                    <w:pStyle w:val="28"/>
                    <w:spacing w:line="360" w:lineRule="exact"/>
                    <w:rPr>
                      <w:rFonts w:eastAsiaTheme="minorEastAsia"/>
                      <w:color w:val="auto"/>
                      <w:szCs w:val="21"/>
                    </w:rPr>
                  </w:pPr>
                  <w:r>
                    <w:rPr>
                      <w:rFonts w:eastAsiaTheme="minorEastAsia"/>
                      <w:color w:val="auto"/>
                      <w:szCs w:val="21"/>
                    </w:rPr>
                    <w:t>初期雨水</w:t>
                  </w:r>
                </w:p>
              </w:tc>
              <w:tc>
                <w:tcPr>
                  <w:tcW w:w="1276" w:type="dxa"/>
                  <w:tcBorders>
                    <w:bottom w:val="single" w:color="auto" w:sz="4" w:space="0"/>
                  </w:tcBorders>
                  <w:vAlign w:val="center"/>
                </w:tcPr>
                <w:p>
                  <w:pPr>
                    <w:pStyle w:val="28"/>
                    <w:spacing w:line="360" w:lineRule="exact"/>
                    <w:rPr>
                      <w:rFonts w:eastAsiaTheme="minorEastAsia"/>
                      <w:color w:val="auto"/>
                      <w:szCs w:val="21"/>
                      <w:highlight w:val="yellow"/>
                    </w:rPr>
                  </w:pPr>
                  <w:r>
                    <w:rPr>
                      <w:rFonts w:eastAsiaTheme="minorEastAsia"/>
                      <w:color w:val="auto"/>
                      <w:szCs w:val="21"/>
                    </w:rPr>
                    <w:t>CODcr</w:t>
                  </w:r>
                </w:p>
              </w:tc>
              <w:tc>
                <w:tcPr>
                  <w:tcW w:w="3402" w:type="dxa"/>
                  <w:vMerge w:val="restart"/>
                  <w:vAlign w:val="center"/>
                </w:tcPr>
                <w:p>
                  <w:pPr>
                    <w:pStyle w:val="28"/>
                    <w:spacing w:line="360" w:lineRule="exact"/>
                    <w:ind w:firstLine="210" w:firstLineChars="100"/>
                    <w:jc w:val="both"/>
                    <w:rPr>
                      <w:color w:val="auto"/>
                      <w:szCs w:val="21"/>
                    </w:rPr>
                  </w:pPr>
                  <w:r>
                    <w:rPr>
                      <w:rFonts w:hint="eastAsia"/>
                      <w:color w:val="auto"/>
                      <w:szCs w:val="21"/>
                    </w:rPr>
                    <w:t>厂区内已设置了雨水沟和在厂区东北侧地势最低处建设了1座容积为6</w:t>
                  </w:r>
                  <w:r>
                    <w:rPr>
                      <w:color w:val="auto"/>
                      <w:szCs w:val="21"/>
                    </w:rPr>
                    <w:t>80m³初期雨水收集池</w:t>
                  </w:r>
                  <w:r>
                    <w:rPr>
                      <w:rFonts w:hint="eastAsia"/>
                      <w:color w:val="auto"/>
                      <w:szCs w:val="21"/>
                    </w:rPr>
                    <w:t>。初期雨水收集疏导后进入</w:t>
                  </w:r>
                  <w:r>
                    <w:rPr>
                      <w:color w:val="auto"/>
                      <w:szCs w:val="21"/>
                    </w:rPr>
                    <w:t>初期雨水收集池</w:t>
                  </w:r>
                  <w:r>
                    <w:rPr>
                      <w:rFonts w:hint="eastAsia"/>
                      <w:color w:val="auto"/>
                      <w:szCs w:val="21"/>
                    </w:rPr>
                    <w:t>并处理后回用于厂区生产</w:t>
                  </w:r>
                  <w:r>
                    <w:rPr>
                      <w:color w:val="auto"/>
                      <w:szCs w:val="21"/>
                    </w:rPr>
                    <w:t>。</w:t>
                  </w:r>
                </w:p>
              </w:tc>
              <w:tc>
                <w:tcPr>
                  <w:tcW w:w="1276" w:type="dxa"/>
                  <w:vMerge w:val="restart"/>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不外排</w:t>
                  </w:r>
                </w:p>
              </w:tc>
              <w:tc>
                <w:tcPr>
                  <w:tcW w:w="1066" w:type="dxa"/>
                  <w:vMerge w:val="restart"/>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 w:hRule="atLeast"/>
              </w:trPr>
              <w:tc>
                <w:tcPr>
                  <w:tcW w:w="877" w:type="dxa"/>
                  <w:vMerge w:val="continue"/>
                  <w:vAlign w:val="center"/>
                </w:tcPr>
                <w:p>
                  <w:pPr>
                    <w:pStyle w:val="28"/>
                    <w:spacing w:line="360" w:lineRule="exact"/>
                    <w:rPr>
                      <w:rFonts w:eastAsiaTheme="minorEastAsia"/>
                      <w:color w:val="auto"/>
                      <w:szCs w:val="21"/>
                    </w:rPr>
                  </w:pPr>
                </w:p>
              </w:tc>
              <w:tc>
                <w:tcPr>
                  <w:tcW w:w="708" w:type="dxa"/>
                  <w:vMerge w:val="continue"/>
                  <w:vAlign w:val="center"/>
                </w:tcPr>
                <w:p>
                  <w:pPr>
                    <w:pStyle w:val="28"/>
                    <w:spacing w:line="360" w:lineRule="exact"/>
                    <w:rPr>
                      <w:rFonts w:eastAsiaTheme="minorEastAsia"/>
                      <w:color w:val="auto"/>
                      <w:szCs w:val="21"/>
                    </w:rPr>
                  </w:pPr>
                </w:p>
              </w:tc>
              <w:tc>
                <w:tcPr>
                  <w:tcW w:w="1276" w:type="dxa"/>
                  <w:tcBorders>
                    <w:top w:val="single" w:color="auto" w:sz="4" w:space="0"/>
                  </w:tcBorders>
                  <w:vAlign w:val="center"/>
                </w:tcPr>
                <w:p>
                  <w:pPr>
                    <w:pStyle w:val="28"/>
                    <w:spacing w:line="360" w:lineRule="exact"/>
                    <w:rPr>
                      <w:rFonts w:eastAsiaTheme="minorEastAsia"/>
                      <w:color w:val="auto"/>
                      <w:szCs w:val="21"/>
                    </w:rPr>
                  </w:pPr>
                  <w:r>
                    <w:rPr>
                      <w:rFonts w:eastAsiaTheme="minorEastAsia"/>
                      <w:color w:val="auto"/>
                      <w:szCs w:val="21"/>
                    </w:rPr>
                    <w:t>SS</w:t>
                  </w:r>
                </w:p>
              </w:tc>
              <w:tc>
                <w:tcPr>
                  <w:tcW w:w="3402" w:type="dxa"/>
                  <w:vMerge w:val="continue"/>
                  <w:vAlign w:val="center"/>
                </w:tcPr>
                <w:p>
                  <w:pPr>
                    <w:pStyle w:val="28"/>
                    <w:spacing w:line="360" w:lineRule="exact"/>
                    <w:ind w:firstLine="210" w:firstLineChars="100"/>
                    <w:jc w:val="both"/>
                    <w:rPr>
                      <w:color w:val="auto"/>
                      <w:szCs w:val="21"/>
                    </w:rPr>
                  </w:pPr>
                </w:p>
              </w:tc>
              <w:tc>
                <w:tcPr>
                  <w:tcW w:w="1276" w:type="dxa"/>
                  <w:vMerge w:val="continue"/>
                  <w:vAlign w:val="center"/>
                </w:tcPr>
                <w:p>
                  <w:pPr>
                    <w:spacing w:line="360" w:lineRule="exact"/>
                    <w:jc w:val="center"/>
                    <w:rPr>
                      <w:rFonts w:ascii="Times New Roman" w:hAnsi="Times New Roman" w:cs="Times New Roman"/>
                      <w:bCs/>
                      <w:snapToGrid w:val="0"/>
                      <w:kern w:val="32"/>
                      <w:lang w:val="zh-CN"/>
                    </w:rPr>
                  </w:pPr>
                </w:p>
              </w:tc>
              <w:tc>
                <w:tcPr>
                  <w:tcW w:w="1066" w:type="dxa"/>
                  <w:vMerge w:val="continue"/>
                  <w:vAlign w:val="center"/>
                </w:tcPr>
                <w:p>
                  <w:pPr>
                    <w:spacing w:line="360" w:lineRule="exact"/>
                    <w:jc w:val="center"/>
                    <w:rPr>
                      <w:rFonts w:ascii="Times New Roman" w:hAnsi="Times New Roman" w:cs="Times New Roman"/>
                      <w:bCs/>
                      <w:snapToGrid w:val="0"/>
                      <w:kern w:val="32"/>
                      <w:lang w:val="zh-CN"/>
                    </w:rPr>
                  </w:pPr>
                </w:p>
              </w:tc>
            </w:tr>
          </w:tbl>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项目初期雨水产生量约为51.2m³/次，初期雨水的主要污染物为CODcr和SS，CODcr产生浓度约60mg/L、SS产生浓度约400mg/L。</w:t>
            </w:r>
            <w:r>
              <w:rPr>
                <w:rFonts w:hint="eastAsia" w:ascii="Times New Roman" w:hAnsi="Times New Roman" w:cs="Times New Roman"/>
                <w:sz w:val="24"/>
              </w:rPr>
              <w:t>主要回用于厂区生产物料加水混合拌料过程，根据多年时间生产情况，初期雨水可完全回用，</w:t>
            </w:r>
            <w:r>
              <w:rPr>
                <w:rFonts w:ascii="Times New Roman" w:hAnsi="Times New Roman" w:cs="Times New Roman"/>
                <w:sz w:val="24"/>
              </w:rPr>
              <w:t>措施有效</w:t>
            </w:r>
            <w:r>
              <w:rPr>
                <w:rFonts w:hint="eastAsia" w:ascii="Times New Roman" w:hAnsi="Times New Roman" w:cs="Times New Roman"/>
                <w:sz w:val="24"/>
              </w:rPr>
              <w:t>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w:t>
            </w:r>
            <w:r>
              <w:rPr>
                <w:rFonts w:hint="eastAsia" w:ascii="Times New Roman" w:hAnsi="Times New Roman" w:cs="Times New Roman"/>
                <w:b/>
                <w:sz w:val="24"/>
                <w:szCs w:val="24"/>
              </w:rPr>
              <w:t>废水</w:t>
            </w:r>
            <w:r>
              <w:rPr>
                <w:rFonts w:ascii="Times New Roman" w:hAnsi="Times New Roman" w:cs="Times New Roman"/>
                <w:b/>
                <w:sz w:val="24"/>
                <w:szCs w:val="24"/>
              </w:rPr>
              <w:t>监测要求</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①竣工验收监测要求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该项目无生产废水及生活污水产生，因此项目竣工验收期间可不对废水进行监测。</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w:t>
            </w:r>
            <w:r>
              <w:rPr>
                <w:rFonts w:hint="eastAsia" w:ascii="Times New Roman" w:hAnsi="Times New Roman" w:cs="Times New Roman"/>
                <w:sz w:val="24"/>
                <w:szCs w:val="24"/>
                <w:lang w:eastAsia="zh-CN"/>
              </w:rPr>
              <w:t>***</w:t>
            </w:r>
            <w:r>
              <w:rPr>
                <w:rFonts w:ascii="Times New Roman" w:hAnsi="Times New Roman" w:cs="Times New Roman"/>
                <w:sz w:val="24"/>
                <w:szCs w:val="24"/>
              </w:rPr>
              <w:t>-2017）</w:t>
            </w:r>
            <w:r>
              <w:rPr>
                <w:rFonts w:hint="eastAsia" w:ascii="Times New Roman" w:hAnsi="Times New Roman" w:cs="Times New Roman"/>
                <w:sz w:val="24"/>
                <w:szCs w:val="24"/>
              </w:rPr>
              <w:t>及《</w:t>
            </w:r>
            <w:r>
              <w:rPr>
                <w:rFonts w:ascii="Times New Roman" w:hAnsi="Times New Roman" w:cs="Times New Roman"/>
                <w:sz w:val="24"/>
                <w:szCs w:val="24"/>
              </w:rPr>
              <w:t>排污单位自行监测技术指南</w:t>
            </w:r>
            <w:r>
              <w:rPr>
                <w:rFonts w:hint="eastAsia" w:ascii="Times New Roman" w:hAnsi="Times New Roman" w:cs="Times New Roman"/>
                <w:sz w:val="24"/>
                <w:szCs w:val="24"/>
              </w:rPr>
              <w:t xml:space="preserve"> </w:t>
            </w:r>
            <w:r>
              <w:rPr>
                <w:rFonts w:ascii="Times New Roman" w:hAnsi="Times New Roman" w:cs="Times New Roman"/>
                <w:sz w:val="24"/>
                <w:szCs w:val="24"/>
              </w:rPr>
              <w:t>工业固体废物和危险废物治理</w:t>
            </w:r>
            <w:r>
              <w:rPr>
                <w:rFonts w:hint="eastAsia" w:ascii="Times New Roman" w:hAnsi="Times New Roman" w:cs="Times New Roman"/>
                <w:sz w:val="24"/>
                <w:szCs w:val="24"/>
              </w:rPr>
              <w:t>》（</w:t>
            </w:r>
            <w:r>
              <w:rPr>
                <w:rFonts w:ascii="Times New Roman" w:hAnsi="Times New Roman" w:cs="Times New Roman"/>
                <w:sz w:val="24"/>
                <w:szCs w:val="24"/>
              </w:rPr>
              <w:t>HJ</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w:t>
            </w:r>
            <w:r>
              <w:rPr>
                <w:rFonts w:ascii="Times New Roman" w:hAnsi="Times New Roman" w:cs="Times New Roman"/>
                <w:sz w:val="24"/>
                <w:szCs w:val="24"/>
              </w:rPr>
              <w:t>2022</w:t>
            </w:r>
            <w:r>
              <w:rPr>
                <w:rFonts w:hint="eastAsia" w:ascii="Times New Roman" w:hAnsi="Times New Roman" w:cs="Times New Roman"/>
                <w:sz w:val="24"/>
                <w:szCs w:val="24"/>
              </w:rPr>
              <w:t>）</w:t>
            </w:r>
            <w:r>
              <w:rPr>
                <w:rFonts w:ascii="Times New Roman" w:hAnsi="Times New Roman" w:cs="Times New Roman"/>
                <w:sz w:val="24"/>
                <w:szCs w:val="24"/>
              </w:rPr>
              <w:t>的要求，项目</w:t>
            </w:r>
            <w:r>
              <w:rPr>
                <w:rFonts w:hint="eastAsia" w:ascii="Times New Roman" w:hAnsi="Times New Roman" w:cs="Times New Roman"/>
                <w:sz w:val="24"/>
                <w:szCs w:val="24"/>
              </w:rPr>
              <w:t>废水</w:t>
            </w:r>
            <w:r>
              <w:rPr>
                <w:rFonts w:ascii="Times New Roman" w:hAnsi="Times New Roman" w:cs="Times New Roman"/>
                <w:sz w:val="24"/>
                <w:szCs w:val="24"/>
              </w:rPr>
              <w:t>自行监测要求如下表所示。</w:t>
            </w:r>
          </w:p>
          <w:p>
            <w:pPr>
              <w:jc w:val="center"/>
              <w:rPr>
                <w:rFonts w:ascii="Times New Roman" w:hAnsi="Times New Roman" w:cs="Times New Roman"/>
                <w:b/>
                <w:szCs w:val="24"/>
              </w:rPr>
            </w:pPr>
            <w:r>
              <w:rPr>
                <w:rFonts w:ascii="Times New Roman" w:hAnsi="Times New Roman" w:cs="Times New Roman"/>
                <w:b/>
                <w:szCs w:val="24"/>
              </w:rPr>
              <w:t>表4.2.2-</w:t>
            </w:r>
            <w:r>
              <w:rPr>
                <w:rFonts w:hint="eastAsia" w:ascii="Times New Roman" w:hAnsi="Times New Roman" w:cs="Times New Roman"/>
                <w:b/>
                <w:szCs w:val="24"/>
              </w:rPr>
              <w:t xml:space="preserve">3 </w:t>
            </w:r>
            <w:r>
              <w:rPr>
                <w:rFonts w:ascii="Times New Roman" w:hAnsi="Times New Roman" w:cs="Times New Roman"/>
                <w:b/>
                <w:szCs w:val="24"/>
              </w:rPr>
              <w:t>项目运营期</w:t>
            </w:r>
            <w:r>
              <w:rPr>
                <w:rFonts w:ascii="Times New Roman" w:hAnsi="Times New Roman" w:cs="Times New Roman"/>
                <w:b/>
              </w:rPr>
              <w:t>废水</w:t>
            </w:r>
            <w:r>
              <w:rPr>
                <w:rFonts w:ascii="Times New Roman" w:hAnsi="Times New Roman" w:cs="Times New Roman"/>
                <w:b/>
                <w:szCs w:val="24"/>
              </w:rPr>
              <w:t>自行监测计划一览表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842"/>
              <w:gridCol w:w="2127"/>
              <w:gridCol w:w="1559"/>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7" w:type="dxa"/>
                  <w:vAlign w:val="center"/>
                </w:tcPr>
                <w:p>
                  <w:pPr>
                    <w:pStyle w:val="28"/>
                    <w:spacing w:line="360" w:lineRule="exact"/>
                    <w:rPr>
                      <w:rFonts w:eastAsiaTheme="minorEastAsia"/>
                      <w:color w:val="auto"/>
                      <w:szCs w:val="21"/>
                    </w:rPr>
                  </w:pPr>
                  <w:r>
                    <w:rPr>
                      <w:rFonts w:eastAsiaTheme="minorEastAsia"/>
                      <w:color w:val="auto"/>
                      <w:szCs w:val="21"/>
                    </w:rPr>
                    <w:t>对象</w:t>
                  </w:r>
                </w:p>
              </w:tc>
              <w:tc>
                <w:tcPr>
                  <w:tcW w:w="1842" w:type="dxa"/>
                  <w:vAlign w:val="center"/>
                </w:tcPr>
                <w:p>
                  <w:pPr>
                    <w:pStyle w:val="28"/>
                    <w:spacing w:line="360" w:lineRule="exact"/>
                    <w:rPr>
                      <w:rFonts w:eastAsiaTheme="minorEastAsia"/>
                      <w:color w:val="auto"/>
                      <w:szCs w:val="21"/>
                    </w:rPr>
                  </w:pPr>
                  <w:r>
                    <w:rPr>
                      <w:rFonts w:eastAsiaTheme="minorEastAsia"/>
                      <w:color w:val="auto"/>
                      <w:szCs w:val="21"/>
                    </w:rPr>
                    <w:t>监测点位</w:t>
                  </w:r>
                </w:p>
              </w:tc>
              <w:tc>
                <w:tcPr>
                  <w:tcW w:w="2127" w:type="dxa"/>
                  <w:vAlign w:val="center"/>
                </w:tcPr>
                <w:p>
                  <w:pPr>
                    <w:pStyle w:val="28"/>
                    <w:spacing w:line="360" w:lineRule="exact"/>
                    <w:rPr>
                      <w:rFonts w:eastAsiaTheme="minorEastAsia"/>
                      <w:color w:val="auto"/>
                      <w:szCs w:val="21"/>
                    </w:rPr>
                  </w:pPr>
                  <w:r>
                    <w:rPr>
                      <w:rFonts w:eastAsiaTheme="minorEastAsia"/>
                      <w:color w:val="auto"/>
                      <w:szCs w:val="21"/>
                    </w:rPr>
                    <w:t>监测因子</w:t>
                  </w:r>
                </w:p>
              </w:tc>
              <w:tc>
                <w:tcPr>
                  <w:tcW w:w="1559" w:type="dxa"/>
                  <w:vAlign w:val="center"/>
                </w:tcPr>
                <w:p>
                  <w:pPr>
                    <w:pStyle w:val="28"/>
                    <w:spacing w:line="360" w:lineRule="exact"/>
                    <w:rPr>
                      <w:rFonts w:eastAsiaTheme="minorEastAsia"/>
                      <w:color w:val="auto"/>
                      <w:szCs w:val="21"/>
                    </w:rPr>
                  </w:pPr>
                  <w:r>
                    <w:rPr>
                      <w:rFonts w:eastAsiaTheme="minorEastAsia"/>
                      <w:color w:val="auto"/>
                      <w:szCs w:val="21"/>
                    </w:rPr>
                    <w:t>最低监测频率</w:t>
                  </w:r>
                </w:p>
              </w:tc>
              <w:tc>
                <w:tcPr>
                  <w:tcW w:w="2200" w:type="dxa"/>
                  <w:vAlign w:val="center"/>
                </w:tcPr>
                <w:p>
                  <w:pPr>
                    <w:pStyle w:val="28"/>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7" w:type="dxa"/>
                  <w:vAlign w:val="center"/>
                </w:tcPr>
                <w:p>
                  <w:pPr>
                    <w:pStyle w:val="28"/>
                    <w:spacing w:line="360" w:lineRule="exact"/>
                    <w:rPr>
                      <w:rFonts w:eastAsiaTheme="minorEastAsia"/>
                      <w:color w:val="auto"/>
                      <w:szCs w:val="21"/>
                    </w:rPr>
                  </w:pPr>
                  <w:r>
                    <w:rPr>
                      <w:rFonts w:hint="eastAsia" w:eastAsiaTheme="minorEastAsia"/>
                      <w:color w:val="auto"/>
                      <w:szCs w:val="21"/>
                    </w:rPr>
                    <w:t>雨水</w:t>
                  </w:r>
                </w:p>
              </w:tc>
              <w:tc>
                <w:tcPr>
                  <w:tcW w:w="1842" w:type="dxa"/>
                  <w:vAlign w:val="center"/>
                </w:tcPr>
                <w:p>
                  <w:pPr>
                    <w:pStyle w:val="28"/>
                    <w:spacing w:line="360" w:lineRule="exact"/>
                    <w:rPr>
                      <w:rFonts w:eastAsiaTheme="minorEastAsia"/>
                      <w:color w:val="auto"/>
                      <w:szCs w:val="21"/>
                    </w:rPr>
                  </w:pPr>
                  <w:r>
                    <w:rPr>
                      <w:rFonts w:hint="eastAsia" w:eastAsiaTheme="minorEastAsia"/>
                      <w:color w:val="auto"/>
                      <w:szCs w:val="21"/>
                    </w:rPr>
                    <w:t>雨水排放口</w:t>
                  </w:r>
                </w:p>
              </w:tc>
              <w:tc>
                <w:tcPr>
                  <w:tcW w:w="2127" w:type="dxa"/>
                  <w:vAlign w:val="center"/>
                </w:tcPr>
                <w:p>
                  <w:pPr>
                    <w:pStyle w:val="28"/>
                    <w:spacing w:line="360" w:lineRule="exact"/>
                    <w:rPr>
                      <w:rFonts w:eastAsiaTheme="minorEastAsia"/>
                      <w:color w:val="auto"/>
                      <w:szCs w:val="21"/>
                    </w:rPr>
                  </w:pPr>
                  <w:r>
                    <w:rPr>
                      <w:rFonts w:eastAsiaTheme="minorEastAsia"/>
                      <w:color w:val="auto"/>
                      <w:szCs w:val="21"/>
                    </w:rPr>
                    <w:t>CODcr、SS</w:t>
                  </w:r>
                </w:p>
              </w:tc>
              <w:tc>
                <w:tcPr>
                  <w:tcW w:w="1559" w:type="dxa"/>
                  <w:vAlign w:val="center"/>
                </w:tcPr>
                <w:p>
                  <w:pPr>
                    <w:pStyle w:val="28"/>
                    <w:spacing w:line="360" w:lineRule="exact"/>
                    <w:rPr>
                      <w:rFonts w:eastAsiaTheme="minorEastAsia"/>
                      <w:color w:val="auto"/>
                      <w:szCs w:val="21"/>
                    </w:rPr>
                  </w:pPr>
                  <w:r>
                    <w:rPr>
                      <w:rFonts w:hint="eastAsia" w:eastAsiaTheme="minorEastAsia"/>
                      <w:color w:val="auto"/>
                      <w:szCs w:val="21"/>
                    </w:rPr>
                    <w:t>月</w:t>
                  </w:r>
                </w:p>
              </w:tc>
              <w:tc>
                <w:tcPr>
                  <w:tcW w:w="2200" w:type="dxa"/>
                  <w:vAlign w:val="center"/>
                </w:tcPr>
                <w:p>
                  <w:pPr>
                    <w:pStyle w:val="28"/>
                    <w:spacing w:line="360" w:lineRule="exact"/>
                    <w:rPr>
                      <w:color w:val="auto"/>
                      <w:lang w:val="en-US"/>
                    </w:rPr>
                  </w:pP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5" w:type="dxa"/>
                  <w:gridSpan w:val="5"/>
                  <w:vAlign w:val="center"/>
                </w:tcPr>
                <w:p>
                  <w:pPr>
                    <w:pStyle w:val="28"/>
                    <w:spacing w:line="360" w:lineRule="exact"/>
                    <w:ind w:firstLine="210" w:firstLineChars="100"/>
                    <w:jc w:val="left"/>
                    <w:rPr>
                      <w:color w:val="auto"/>
                    </w:rPr>
                  </w:pPr>
                  <w:r>
                    <w:rPr>
                      <w:rFonts w:hint="eastAsia"/>
                      <w:color w:val="auto"/>
                    </w:rPr>
                    <w:t>备注：</w:t>
                  </w:r>
                  <w:r>
                    <w:rPr>
                      <w:color w:val="auto"/>
                    </w:rPr>
                    <w:t>雨水排放口有流动水排放时按月监测。若</w:t>
                  </w:r>
                  <w:r>
                    <w:rPr>
                      <w:rFonts w:hint="eastAsia"/>
                      <w:color w:val="auto"/>
                    </w:rPr>
                    <w:t>监测一年无异常情况，可放宽至每季度开展一次监测。</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rPr>
              <w:t>废水</w:t>
            </w:r>
            <w:r>
              <w:rPr>
                <w:rFonts w:ascii="Times New Roman" w:hAnsi="Times New Roman" w:cs="Times New Roman"/>
                <w:b/>
                <w:sz w:val="24"/>
                <w:szCs w:val="24"/>
              </w:rPr>
              <w:t>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根据工程分析可知，该项目</w:t>
            </w:r>
            <w:r>
              <w:rPr>
                <w:rFonts w:hint="eastAsia" w:ascii="Times New Roman" w:hAnsi="Times New Roman" w:cs="Times New Roman"/>
                <w:sz w:val="24"/>
                <w:szCs w:val="24"/>
              </w:rPr>
              <w:t>无生产废水和生活污水产生，主要废水类型为项目所在厂区的初期雨水，根据调查，厂区内已设置了雨水沟和在厂区东北侧地势最低处建设了1座容积为6</w:t>
            </w:r>
            <w:r>
              <w:rPr>
                <w:rFonts w:ascii="Times New Roman" w:hAnsi="Times New Roman" w:cs="Times New Roman"/>
                <w:sz w:val="24"/>
                <w:szCs w:val="24"/>
              </w:rPr>
              <w:t>80m³初期雨水收集池</w:t>
            </w:r>
            <w:r>
              <w:rPr>
                <w:rFonts w:hint="eastAsia" w:ascii="Times New Roman" w:hAnsi="Times New Roman" w:cs="Times New Roman"/>
                <w:sz w:val="24"/>
                <w:szCs w:val="24"/>
              </w:rPr>
              <w:t>。初期雨水收集疏导后进入</w:t>
            </w:r>
            <w:r>
              <w:rPr>
                <w:rFonts w:ascii="Times New Roman" w:hAnsi="Times New Roman" w:cs="Times New Roman"/>
                <w:sz w:val="24"/>
                <w:szCs w:val="24"/>
              </w:rPr>
              <w:t>初期雨水收集池</w:t>
            </w:r>
            <w:r>
              <w:rPr>
                <w:rFonts w:hint="eastAsia" w:ascii="Times New Roman" w:hAnsi="Times New Roman" w:cs="Times New Roman"/>
                <w:sz w:val="24"/>
                <w:szCs w:val="24"/>
              </w:rPr>
              <w:t>并处理后回用于厂区生产，不外排。后期雨水排入园区雨水沟。</w:t>
            </w:r>
            <w:r>
              <w:rPr>
                <w:rFonts w:ascii="Times New Roman" w:hAnsi="Times New Roman" w:cs="Times New Roman"/>
                <w:sz w:val="24"/>
                <w:szCs w:val="24"/>
              </w:rPr>
              <w:t>对环境影响较小。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spacing w:line="360" w:lineRule="auto"/>
              <w:ind w:firstLine="480" w:firstLineChars="200"/>
              <w:rPr>
                <w:rFonts w:hint="eastAsia" w:ascii="Times New Roman" w:hAnsi="Times New Roman" w:cs="Times New Roman"/>
                <w:sz w:val="24"/>
              </w:rPr>
            </w:pPr>
            <w:r>
              <w:rPr>
                <w:rFonts w:ascii="Times New Roman" w:hAnsi="Times New Roman" w:cs="Times New Roman"/>
                <w:sz w:val="24"/>
              </w:rPr>
              <w:t>项目噪声污染源主要为设备噪声，其源强如下表所示。</w:t>
            </w: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szCs w:val="24"/>
              </w:rPr>
            </w:pPr>
            <w:r>
              <w:rPr>
                <w:rFonts w:ascii="Times New Roman" w:hAnsi="Times New Roman" w:cs="Times New Roman"/>
                <w:b/>
                <w:szCs w:val="24"/>
              </w:rPr>
              <w:t>表4.2.3-1项目噪声源强调查清单</w:t>
            </w:r>
          </w:p>
          <w:tbl>
            <w:tblPr>
              <w:tblStyle w:val="1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6"/>
              <w:gridCol w:w="809"/>
              <w:gridCol w:w="517"/>
              <w:gridCol w:w="617"/>
              <w:gridCol w:w="687"/>
              <w:gridCol w:w="567"/>
              <w:gridCol w:w="567"/>
              <w:gridCol w:w="567"/>
              <w:gridCol w:w="708"/>
              <w:gridCol w:w="709"/>
              <w:gridCol w:w="567"/>
              <w:gridCol w:w="709"/>
              <w:gridCol w:w="567"/>
              <w:gridCol w:w="5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vMerge w:val="restart"/>
                  <w:tcBorders>
                    <w:tl2br w:val="nil"/>
                    <w:tr2bl w:val="nil"/>
                  </w:tcBorders>
                  <w:noWrap/>
                  <w:vAlign w:val="center"/>
                </w:tcPr>
                <w:p>
                  <w:pPr>
                    <w:pStyle w:val="28"/>
                    <w:spacing w:line="360" w:lineRule="exact"/>
                    <w:rPr>
                      <w:color w:val="auto"/>
                      <w:szCs w:val="21"/>
                    </w:rPr>
                  </w:pPr>
                  <w:r>
                    <w:rPr>
                      <w:color w:val="auto"/>
                      <w:szCs w:val="21"/>
                    </w:rPr>
                    <w:t>建筑物名称</w:t>
                  </w:r>
                </w:p>
              </w:tc>
              <w:tc>
                <w:tcPr>
                  <w:tcW w:w="809" w:type="dxa"/>
                  <w:vMerge w:val="restart"/>
                  <w:tcBorders>
                    <w:tl2br w:val="nil"/>
                    <w:tr2bl w:val="nil"/>
                  </w:tcBorders>
                  <w:noWrap/>
                  <w:vAlign w:val="center"/>
                </w:tcPr>
                <w:p>
                  <w:pPr>
                    <w:pStyle w:val="28"/>
                    <w:spacing w:line="360" w:lineRule="exact"/>
                    <w:rPr>
                      <w:color w:val="auto"/>
                      <w:szCs w:val="21"/>
                    </w:rPr>
                  </w:pPr>
                  <w:r>
                    <w:rPr>
                      <w:color w:val="auto"/>
                      <w:szCs w:val="21"/>
                    </w:rPr>
                    <w:t>污染源名称</w:t>
                  </w:r>
                </w:p>
              </w:tc>
              <w:tc>
                <w:tcPr>
                  <w:tcW w:w="517" w:type="dxa"/>
                  <w:vMerge w:val="restart"/>
                  <w:tcBorders>
                    <w:tl2br w:val="nil"/>
                    <w:tr2bl w:val="nil"/>
                  </w:tcBorders>
                  <w:noWrap/>
                  <w:vAlign w:val="center"/>
                </w:tcPr>
                <w:p>
                  <w:pPr>
                    <w:pStyle w:val="28"/>
                    <w:spacing w:line="360" w:lineRule="exact"/>
                    <w:rPr>
                      <w:color w:val="auto"/>
                      <w:szCs w:val="21"/>
                    </w:rPr>
                  </w:pPr>
                  <w:r>
                    <w:rPr>
                      <w:color w:val="auto"/>
                      <w:szCs w:val="21"/>
                    </w:rPr>
                    <w:t>型号</w:t>
                  </w:r>
                </w:p>
              </w:tc>
              <w:tc>
                <w:tcPr>
                  <w:tcW w:w="617" w:type="dxa"/>
                  <w:vMerge w:val="restart"/>
                  <w:tcBorders>
                    <w:tl2br w:val="nil"/>
                    <w:tr2bl w:val="nil"/>
                  </w:tcBorders>
                  <w:noWrap/>
                  <w:vAlign w:val="center"/>
                </w:tcPr>
                <w:p>
                  <w:pPr>
                    <w:pStyle w:val="28"/>
                    <w:spacing w:line="360" w:lineRule="exact"/>
                    <w:rPr>
                      <w:color w:val="auto"/>
                      <w:szCs w:val="21"/>
                    </w:rPr>
                  </w:pPr>
                  <w:r>
                    <w:rPr>
                      <w:color w:val="auto"/>
                      <w:szCs w:val="21"/>
                    </w:rPr>
                    <w:t>声级/功率/dB（A）</w:t>
                  </w:r>
                </w:p>
              </w:tc>
              <w:tc>
                <w:tcPr>
                  <w:tcW w:w="687" w:type="dxa"/>
                  <w:vMerge w:val="restart"/>
                  <w:tcBorders>
                    <w:tl2br w:val="nil"/>
                    <w:tr2bl w:val="nil"/>
                  </w:tcBorders>
                  <w:noWrap/>
                  <w:vAlign w:val="center"/>
                </w:tcPr>
                <w:p>
                  <w:pPr>
                    <w:pStyle w:val="28"/>
                    <w:spacing w:line="360" w:lineRule="exact"/>
                    <w:rPr>
                      <w:color w:val="auto"/>
                      <w:szCs w:val="21"/>
                    </w:rPr>
                  </w:pPr>
                  <w:r>
                    <w:rPr>
                      <w:color w:val="auto"/>
                      <w:szCs w:val="21"/>
                    </w:rPr>
                    <w:t>声源控制措施</w:t>
                  </w:r>
                </w:p>
              </w:tc>
              <w:tc>
                <w:tcPr>
                  <w:tcW w:w="1701" w:type="dxa"/>
                  <w:gridSpan w:val="3"/>
                  <w:tcBorders>
                    <w:tl2br w:val="nil"/>
                    <w:tr2bl w:val="nil"/>
                  </w:tcBorders>
                  <w:noWrap/>
                  <w:vAlign w:val="center"/>
                </w:tcPr>
                <w:p>
                  <w:pPr>
                    <w:pStyle w:val="28"/>
                    <w:spacing w:line="360" w:lineRule="exact"/>
                    <w:rPr>
                      <w:color w:val="auto"/>
                      <w:szCs w:val="21"/>
                    </w:rPr>
                  </w:pPr>
                  <w:r>
                    <w:rPr>
                      <w:color w:val="auto"/>
                      <w:szCs w:val="21"/>
                    </w:rPr>
                    <w:t>空间相对位置</w:t>
                  </w:r>
                </w:p>
              </w:tc>
              <w:tc>
                <w:tcPr>
                  <w:tcW w:w="708" w:type="dxa"/>
                  <w:vMerge w:val="restart"/>
                  <w:tcBorders>
                    <w:tl2br w:val="nil"/>
                    <w:tr2bl w:val="nil"/>
                  </w:tcBorders>
                  <w:noWrap/>
                  <w:vAlign w:val="center"/>
                </w:tcPr>
                <w:p>
                  <w:pPr>
                    <w:pStyle w:val="28"/>
                    <w:spacing w:line="360" w:lineRule="exact"/>
                    <w:rPr>
                      <w:color w:val="auto"/>
                      <w:szCs w:val="21"/>
                    </w:rPr>
                  </w:pPr>
                  <w:r>
                    <w:rPr>
                      <w:rFonts w:hint="eastAsia"/>
                      <w:color w:val="auto"/>
                      <w:szCs w:val="21"/>
                    </w:rPr>
                    <w:t>距</w:t>
                  </w:r>
                  <w:r>
                    <w:rPr>
                      <w:color w:val="auto"/>
                      <w:szCs w:val="21"/>
                    </w:rPr>
                    <w:t>室内边界距离距离m</w:t>
                  </w:r>
                </w:p>
              </w:tc>
              <w:tc>
                <w:tcPr>
                  <w:tcW w:w="709" w:type="dxa"/>
                  <w:vMerge w:val="restart"/>
                  <w:tcBorders>
                    <w:tl2br w:val="nil"/>
                    <w:tr2bl w:val="nil"/>
                  </w:tcBorders>
                  <w:noWrap/>
                  <w:vAlign w:val="center"/>
                </w:tcPr>
                <w:p>
                  <w:pPr>
                    <w:pStyle w:val="28"/>
                    <w:spacing w:line="360" w:lineRule="exact"/>
                    <w:rPr>
                      <w:color w:val="auto"/>
                      <w:szCs w:val="21"/>
                    </w:rPr>
                  </w:pPr>
                  <w:r>
                    <w:rPr>
                      <w:color w:val="auto"/>
                      <w:szCs w:val="21"/>
                    </w:rPr>
                    <w:t>室内边界声级/dB（A）</w:t>
                  </w:r>
                </w:p>
              </w:tc>
              <w:tc>
                <w:tcPr>
                  <w:tcW w:w="567" w:type="dxa"/>
                  <w:vMerge w:val="restart"/>
                  <w:tcBorders>
                    <w:tl2br w:val="nil"/>
                    <w:tr2bl w:val="nil"/>
                  </w:tcBorders>
                  <w:noWrap/>
                  <w:vAlign w:val="center"/>
                </w:tcPr>
                <w:p>
                  <w:pPr>
                    <w:pStyle w:val="28"/>
                    <w:spacing w:line="360" w:lineRule="exact"/>
                    <w:rPr>
                      <w:color w:val="auto"/>
                      <w:szCs w:val="21"/>
                    </w:rPr>
                  </w:pPr>
                  <w:r>
                    <w:rPr>
                      <w:color w:val="auto"/>
                      <w:szCs w:val="21"/>
                    </w:rPr>
                    <w:t>运行时段</w:t>
                  </w:r>
                </w:p>
              </w:tc>
              <w:tc>
                <w:tcPr>
                  <w:tcW w:w="709" w:type="dxa"/>
                  <w:vMerge w:val="restart"/>
                  <w:tcBorders>
                    <w:tl2br w:val="nil"/>
                    <w:tr2bl w:val="nil"/>
                  </w:tcBorders>
                  <w:noWrap/>
                  <w:vAlign w:val="center"/>
                </w:tcPr>
                <w:p>
                  <w:pPr>
                    <w:pStyle w:val="28"/>
                    <w:spacing w:line="360" w:lineRule="exact"/>
                    <w:rPr>
                      <w:color w:val="auto"/>
                      <w:szCs w:val="21"/>
                    </w:rPr>
                  </w:pPr>
                  <w:r>
                    <w:rPr>
                      <w:color w:val="auto"/>
                      <w:szCs w:val="21"/>
                    </w:rPr>
                    <w:t>建筑物插入损失/dB（A）</w:t>
                  </w:r>
                </w:p>
              </w:tc>
              <w:tc>
                <w:tcPr>
                  <w:tcW w:w="1069" w:type="dxa"/>
                  <w:gridSpan w:val="2"/>
                  <w:tcBorders>
                    <w:tl2br w:val="nil"/>
                    <w:tr2bl w:val="nil"/>
                  </w:tcBorders>
                  <w:noWrap/>
                  <w:vAlign w:val="center"/>
                </w:tcPr>
                <w:p>
                  <w:pPr>
                    <w:pStyle w:val="28"/>
                    <w:spacing w:line="360" w:lineRule="exact"/>
                    <w:rPr>
                      <w:color w:val="auto"/>
                      <w:szCs w:val="21"/>
                    </w:rPr>
                  </w:pPr>
                  <w:r>
                    <w:rPr>
                      <w:color w:val="auto"/>
                      <w:szCs w:val="21"/>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vMerge w:val="continue"/>
                  <w:tcBorders>
                    <w:tl2br w:val="nil"/>
                    <w:tr2bl w:val="nil"/>
                  </w:tcBorders>
                  <w:noWrap/>
                  <w:vAlign w:val="center"/>
                </w:tcPr>
                <w:p>
                  <w:pPr>
                    <w:pStyle w:val="28"/>
                    <w:spacing w:line="360" w:lineRule="exact"/>
                    <w:rPr>
                      <w:color w:val="auto"/>
                      <w:szCs w:val="21"/>
                    </w:rPr>
                  </w:pPr>
                </w:p>
              </w:tc>
              <w:tc>
                <w:tcPr>
                  <w:tcW w:w="809" w:type="dxa"/>
                  <w:vMerge w:val="continue"/>
                  <w:tcBorders>
                    <w:tl2br w:val="nil"/>
                    <w:tr2bl w:val="nil"/>
                  </w:tcBorders>
                  <w:noWrap/>
                  <w:vAlign w:val="center"/>
                </w:tcPr>
                <w:p>
                  <w:pPr>
                    <w:pStyle w:val="28"/>
                    <w:spacing w:line="360" w:lineRule="exact"/>
                    <w:rPr>
                      <w:color w:val="auto"/>
                      <w:szCs w:val="21"/>
                    </w:rPr>
                  </w:pPr>
                </w:p>
              </w:tc>
              <w:tc>
                <w:tcPr>
                  <w:tcW w:w="517" w:type="dxa"/>
                  <w:vMerge w:val="continue"/>
                  <w:tcBorders>
                    <w:tl2br w:val="nil"/>
                    <w:tr2bl w:val="nil"/>
                  </w:tcBorders>
                  <w:noWrap/>
                  <w:vAlign w:val="center"/>
                </w:tcPr>
                <w:p>
                  <w:pPr>
                    <w:pStyle w:val="28"/>
                    <w:spacing w:line="360" w:lineRule="exact"/>
                    <w:rPr>
                      <w:color w:val="auto"/>
                      <w:szCs w:val="21"/>
                    </w:rPr>
                  </w:pPr>
                </w:p>
              </w:tc>
              <w:tc>
                <w:tcPr>
                  <w:tcW w:w="617" w:type="dxa"/>
                  <w:vMerge w:val="continue"/>
                  <w:tcBorders>
                    <w:tl2br w:val="nil"/>
                    <w:tr2bl w:val="nil"/>
                  </w:tcBorders>
                  <w:noWrap/>
                  <w:vAlign w:val="center"/>
                </w:tcPr>
                <w:p>
                  <w:pPr>
                    <w:pStyle w:val="28"/>
                    <w:spacing w:line="360" w:lineRule="exact"/>
                    <w:rPr>
                      <w:color w:val="auto"/>
                      <w:szCs w:val="21"/>
                    </w:rPr>
                  </w:pPr>
                </w:p>
              </w:tc>
              <w:tc>
                <w:tcPr>
                  <w:tcW w:w="687" w:type="dxa"/>
                  <w:vMerge w:val="continue"/>
                  <w:tcBorders>
                    <w:tl2br w:val="nil"/>
                    <w:tr2bl w:val="nil"/>
                  </w:tcBorders>
                  <w:noWrap/>
                  <w:vAlign w:val="center"/>
                </w:tcPr>
                <w:p>
                  <w:pPr>
                    <w:pStyle w:val="28"/>
                    <w:spacing w:line="360" w:lineRule="exact"/>
                    <w:rPr>
                      <w:color w:val="auto"/>
                      <w:szCs w:val="21"/>
                    </w:rPr>
                  </w:pPr>
                </w:p>
              </w:tc>
              <w:tc>
                <w:tcPr>
                  <w:tcW w:w="567" w:type="dxa"/>
                  <w:tcBorders>
                    <w:tl2br w:val="nil"/>
                    <w:tr2bl w:val="nil"/>
                  </w:tcBorders>
                  <w:noWrap/>
                  <w:vAlign w:val="center"/>
                </w:tcPr>
                <w:p>
                  <w:pPr>
                    <w:pStyle w:val="28"/>
                    <w:spacing w:line="360" w:lineRule="exact"/>
                    <w:rPr>
                      <w:color w:val="auto"/>
                      <w:szCs w:val="21"/>
                    </w:rPr>
                  </w:pPr>
                  <w:r>
                    <w:rPr>
                      <w:color w:val="auto"/>
                      <w:szCs w:val="21"/>
                    </w:rPr>
                    <w:t>坐标X</w:t>
                  </w:r>
                </w:p>
              </w:tc>
              <w:tc>
                <w:tcPr>
                  <w:tcW w:w="567" w:type="dxa"/>
                  <w:tcBorders>
                    <w:tl2br w:val="nil"/>
                    <w:tr2bl w:val="nil"/>
                  </w:tcBorders>
                  <w:noWrap/>
                  <w:vAlign w:val="center"/>
                </w:tcPr>
                <w:p>
                  <w:pPr>
                    <w:pStyle w:val="28"/>
                    <w:spacing w:line="360" w:lineRule="exact"/>
                    <w:rPr>
                      <w:color w:val="auto"/>
                      <w:szCs w:val="21"/>
                    </w:rPr>
                  </w:pPr>
                  <w:r>
                    <w:rPr>
                      <w:color w:val="auto"/>
                      <w:szCs w:val="21"/>
                    </w:rPr>
                    <w:t>坐标Y</w:t>
                  </w:r>
                </w:p>
              </w:tc>
              <w:tc>
                <w:tcPr>
                  <w:tcW w:w="567" w:type="dxa"/>
                  <w:tcBorders>
                    <w:tl2br w:val="nil"/>
                    <w:tr2bl w:val="nil"/>
                  </w:tcBorders>
                  <w:noWrap/>
                  <w:vAlign w:val="center"/>
                </w:tcPr>
                <w:p>
                  <w:pPr>
                    <w:pStyle w:val="28"/>
                    <w:spacing w:line="360" w:lineRule="exact"/>
                    <w:rPr>
                      <w:color w:val="auto"/>
                      <w:szCs w:val="21"/>
                    </w:rPr>
                  </w:pPr>
                  <w:r>
                    <w:rPr>
                      <w:color w:val="auto"/>
                      <w:szCs w:val="21"/>
                    </w:rPr>
                    <w:t>离地高H</w:t>
                  </w:r>
                </w:p>
              </w:tc>
              <w:tc>
                <w:tcPr>
                  <w:tcW w:w="708" w:type="dxa"/>
                  <w:vMerge w:val="continue"/>
                  <w:tcBorders>
                    <w:tl2br w:val="nil"/>
                    <w:tr2bl w:val="nil"/>
                  </w:tcBorders>
                  <w:noWrap/>
                  <w:vAlign w:val="center"/>
                </w:tcPr>
                <w:p>
                  <w:pPr>
                    <w:pStyle w:val="28"/>
                    <w:spacing w:line="360" w:lineRule="exact"/>
                    <w:rPr>
                      <w:color w:val="auto"/>
                      <w:szCs w:val="21"/>
                    </w:rPr>
                  </w:pPr>
                </w:p>
              </w:tc>
              <w:tc>
                <w:tcPr>
                  <w:tcW w:w="709" w:type="dxa"/>
                  <w:vMerge w:val="continue"/>
                  <w:tcBorders>
                    <w:tl2br w:val="nil"/>
                    <w:tr2bl w:val="nil"/>
                  </w:tcBorders>
                  <w:noWrap/>
                  <w:vAlign w:val="center"/>
                </w:tcPr>
                <w:p>
                  <w:pPr>
                    <w:pStyle w:val="28"/>
                    <w:spacing w:line="360" w:lineRule="exact"/>
                    <w:rPr>
                      <w:color w:val="auto"/>
                      <w:szCs w:val="21"/>
                    </w:rPr>
                  </w:pPr>
                </w:p>
              </w:tc>
              <w:tc>
                <w:tcPr>
                  <w:tcW w:w="567" w:type="dxa"/>
                  <w:vMerge w:val="continue"/>
                  <w:tcBorders>
                    <w:tl2br w:val="nil"/>
                    <w:tr2bl w:val="nil"/>
                  </w:tcBorders>
                  <w:noWrap/>
                  <w:vAlign w:val="center"/>
                </w:tcPr>
                <w:p>
                  <w:pPr>
                    <w:pStyle w:val="28"/>
                    <w:spacing w:line="360" w:lineRule="exact"/>
                    <w:rPr>
                      <w:color w:val="auto"/>
                      <w:szCs w:val="21"/>
                    </w:rPr>
                  </w:pPr>
                </w:p>
              </w:tc>
              <w:tc>
                <w:tcPr>
                  <w:tcW w:w="709" w:type="dxa"/>
                  <w:vMerge w:val="continue"/>
                  <w:tcBorders>
                    <w:tl2br w:val="nil"/>
                    <w:tr2bl w:val="nil"/>
                  </w:tcBorders>
                  <w:noWrap/>
                  <w:vAlign w:val="center"/>
                </w:tcPr>
                <w:p>
                  <w:pPr>
                    <w:pStyle w:val="28"/>
                    <w:spacing w:line="360" w:lineRule="exact"/>
                    <w:rPr>
                      <w:color w:val="auto"/>
                      <w:szCs w:val="21"/>
                    </w:rPr>
                  </w:pPr>
                </w:p>
              </w:tc>
              <w:tc>
                <w:tcPr>
                  <w:tcW w:w="567" w:type="dxa"/>
                  <w:tcBorders>
                    <w:tl2br w:val="nil"/>
                    <w:tr2bl w:val="nil"/>
                  </w:tcBorders>
                  <w:noWrap/>
                  <w:vAlign w:val="center"/>
                </w:tcPr>
                <w:p>
                  <w:pPr>
                    <w:pStyle w:val="28"/>
                    <w:spacing w:line="360" w:lineRule="exact"/>
                    <w:rPr>
                      <w:color w:val="auto"/>
                      <w:szCs w:val="21"/>
                    </w:rPr>
                  </w:pPr>
                  <w:r>
                    <w:rPr>
                      <w:color w:val="auto"/>
                      <w:szCs w:val="21"/>
                    </w:rPr>
                    <w:t>声压级/dB（A）</w:t>
                  </w:r>
                </w:p>
              </w:tc>
              <w:tc>
                <w:tcPr>
                  <w:tcW w:w="502" w:type="dxa"/>
                  <w:tcBorders>
                    <w:tl2br w:val="nil"/>
                    <w:tr2bl w:val="nil"/>
                  </w:tcBorders>
                  <w:noWrap/>
                  <w:vAlign w:val="center"/>
                </w:tcPr>
                <w:p>
                  <w:pPr>
                    <w:pStyle w:val="28"/>
                    <w:spacing w:line="360" w:lineRule="exact"/>
                    <w:rPr>
                      <w:color w:val="auto"/>
                      <w:szCs w:val="21"/>
                    </w:rPr>
                  </w:pPr>
                  <w:r>
                    <w:rPr>
                      <w:color w:val="auto"/>
                      <w:szCs w:val="21"/>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tcBorders>
                    <w:tl2br w:val="nil"/>
                    <w:tr2bl w:val="nil"/>
                  </w:tcBorders>
                  <w:noWrap/>
                  <w:vAlign w:val="center"/>
                </w:tcPr>
                <w:p>
                  <w:pPr>
                    <w:pStyle w:val="28"/>
                    <w:spacing w:line="360" w:lineRule="exact"/>
                    <w:rPr>
                      <w:color w:val="auto"/>
                      <w:szCs w:val="21"/>
                    </w:rPr>
                  </w:pPr>
                  <w:r>
                    <w:rPr>
                      <w:rFonts w:hint="eastAsia"/>
                      <w:color w:val="auto"/>
                      <w:szCs w:val="21"/>
                    </w:rPr>
                    <w:t>危险废物贮存库</w:t>
                  </w:r>
                </w:p>
              </w:tc>
              <w:tc>
                <w:tcPr>
                  <w:tcW w:w="809" w:type="dxa"/>
                  <w:tcBorders>
                    <w:tl2br w:val="nil"/>
                    <w:tr2bl w:val="nil"/>
                  </w:tcBorders>
                  <w:noWrap/>
                  <w:vAlign w:val="center"/>
                </w:tcPr>
                <w:p>
                  <w:pPr>
                    <w:pStyle w:val="28"/>
                    <w:spacing w:line="360" w:lineRule="exact"/>
                    <w:rPr>
                      <w:color w:val="auto"/>
                      <w:szCs w:val="21"/>
                    </w:rPr>
                  </w:pPr>
                  <w:r>
                    <w:rPr>
                      <w:color w:val="auto"/>
                      <w:szCs w:val="21"/>
                    </w:rPr>
                    <w:t>自吸泵</w:t>
                  </w:r>
                </w:p>
              </w:tc>
              <w:tc>
                <w:tcPr>
                  <w:tcW w:w="517" w:type="dxa"/>
                  <w:tcBorders>
                    <w:tl2br w:val="nil"/>
                    <w:tr2bl w:val="nil"/>
                  </w:tcBorders>
                  <w:noWrap/>
                  <w:vAlign w:val="center"/>
                </w:tcPr>
                <w:p>
                  <w:pPr>
                    <w:pStyle w:val="28"/>
                    <w:spacing w:line="360" w:lineRule="exact"/>
                    <w:rPr>
                      <w:color w:val="auto"/>
                      <w:szCs w:val="21"/>
                    </w:rPr>
                  </w:pPr>
                  <w:r>
                    <w:rPr>
                      <w:color w:val="auto"/>
                      <w:szCs w:val="21"/>
                    </w:rPr>
                    <w:t>--</w:t>
                  </w:r>
                </w:p>
              </w:tc>
              <w:tc>
                <w:tcPr>
                  <w:tcW w:w="617" w:type="dxa"/>
                  <w:tcBorders>
                    <w:tl2br w:val="nil"/>
                    <w:tr2bl w:val="nil"/>
                  </w:tcBorders>
                  <w:noWrap/>
                  <w:vAlign w:val="center"/>
                </w:tcPr>
                <w:p>
                  <w:pPr>
                    <w:pStyle w:val="28"/>
                    <w:spacing w:line="360" w:lineRule="exact"/>
                    <w:rPr>
                      <w:color w:val="auto"/>
                      <w:szCs w:val="21"/>
                    </w:rPr>
                  </w:pPr>
                  <w:r>
                    <w:rPr>
                      <w:rFonts w:hint="eastAsia"/>
                      <w:color w:val="auto"/>
                      <w:szCs w:val="21"/>
                    </w:rPr>
                    <w:t>85</w:t>
                  </w:r>
                </w:p>
              </w:tc>
              <w:tc>
                <w:tcPr>
                  <w:tcW w:w="687" w:type="dxa"/>
                  <w:vMerge w:val="restart"/>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减震垫、消声器、墙体阻隔等</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28.9</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16.7</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0.5</w:t>
                  </w:r>
                </w:p>
              </w:tc>
              <w:tc>
                <w:tcPr>
                  <w:tcW w:w="708"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6</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80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昼间、夜间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6" w:type="dxa"/>
                  <w:tcBorders>
                    <w:tl2br w:val="nil"/>
                    <w:tr2bl w:val="nil"/>
                  </w:tcBorders>
                  <w:noWrap/>
                  <w:vAlign w:val="center"/>
                </w:tcPr>
                <w:p>
                  <w:pPr>
                    <w:pStyle w:val="28"/>
                    <w:spacing w:line="360" w:lineRule="exact"/>
                    <w:rPr>
                      <w:color w:val="auto"/>
                      <w:szCs w:val="21"/>
                    </w:rPr>
                  </w:pPr>
                  <w:r>
                    <w:rPr>
                      <w:rFonts w:hint="eastAsia"/>
                      <w:color w:val="auto"/>
                      <w:szCs w:val="21"/>
                    </w:rPr>
                    <w:t>运输</w:t>
                  </w:r>
                </w:p>
              </w:tc>
              <w:tc>
                <w:tcPr>
                  <w:tcW w:w="809" w:type="dxa"/>
                  <w:tcBorders>
                    <w:tl2br w:val="nil"/>
                    <w:tr2bl w:val="nil"/>
                  </w:tcBorders>
                  <w:noWrap/>
                  <w:vAlign w:val="center"/>
                </w:tcPr>
                <w:p>
                  <w:pPr>
                    <w:pStyle w:val="28"/>
                    <w:spacing w:line="360" w:lineRule="exact"/>
                    <w:rPr>
                      <w:color w:val="auto"/>
                      <w:szCs w:val="21"/>
                    </w:rPr>
                  </w:pPr>
                  <w:r>
                    <w:rPr>
                      <w:color w:val="auto"/>
                      <w:szCs w:val="21"/>
                    </w:rPr>
                    <w:t>叉车</w:t>
                  </w:r>
                </w:p>
              </w:tc>
              <w:tc>
                <w:tcPr>
                  <w:tcW w:w="517" w:type="dxa"/>
                  <w:tcBorders>
                    <w:tl2br w:val="nil"/>
                    <w:tr2bl w:val="nil"/>
                  </w:tcBorders>
                  <w:noWrap/>
                  <w:vAlign w:val="center"/>
                </w:tcPr>
                <w:p>
                  <w:pPr>
                    <w:pStyle w:val="28"/>
                    <w:spacing w:line="360" w:lineRule="exact"/>
                    <w:ind w:firstLine="105" w:firstLineChars="50"/>
                    <w:jc w:val="both"/>
                    <w:rPr>
                      <w:color w:val="auto"/>
                      <w:szCs w:val="21"/>
                    </w:rPr>
                  </w:pPr>
                  <w:r>
                    <w:rPr>
                      <w:color w:val="auto"/>
                      <w:szCs w:val="21"/>
                    </w:rPr>
                    <w:t>2.5t</w:t>
                  </w:r>
                </w:p>
              </w:tc>
              <w:tc>
                <w:tcPr>
                  <w:tcW w:w="617" w:type="dxa"/>
                  <w:tcBorders>
                    <w:tl2br w:val="nil"/>
                    <w:tr2bl w:val="nil"/>
                  </w:tcBorders>
                  <w:noWrap/>
                  <w:vAlign w:val="center"/>
                </w:tcPr>
                <w:p>
                  <w:pPr>
                    <w:pStyle w:val="28"/>
                    <w:spacing w:line="360" w:lineRule="exact"/>
                    <w:rPr>
                      <w:color w:val="auto"/>
                      <w:szCs w:val="21"/>
                    </w:rPr>
                  </w:pPr>
                  <w:r>
                    <w:rPr>
                      <w:rFonts w:hint="eastAsia"/>
                      <w:color w:val="auto"/>
                      <w:szCs w:val="21"/>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w:t>
                  </w:r>
                </w:p>
              </w:tc>
              <w:tc>
                <w:tcPr>
                  <w:tcW w:w="708"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90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昼间、夜间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tcBorders>
                    <w:tl2br w:val="nil"/>
                    <w:tr2bl w:val="nil"/>
                  </w:tcBorders>
                  <w:noWrap/>
                  <w:vAlign w:val="center"/>
                </w:tcPr>
                <w:p>
                  <w:pPr>
                    <w:pStyle w:val="28"/>
                    <w:spacing w:line="360" w:lineRule="exact"/>
                    <w:rPr>
                      <w:color w:val="auto"/>
                      <w:szCs w:val="21"/>
                    </w:rPr>
                  </w:pPr>
                  <w:r>
                    <w:rPr>
                      <w:rFonts w:hint="eastAsia"/>
                      <w:color w:val="auto"/>
                      <w:szCs w:val="21"/>
                    </w:rPr>
                    <w:t>环保设施</w:t>
                  </w:r>
                </w:p>
              </w:tc>
              <w:tc>
                <w:tcPr>
                  <w:tcW w:w="809" w:type="dxa"/>
                  <w:tcBorders>
                    <w:tl2br w:val="nil"/>
                    <w:tr2bl w:val="nil"/>
                  </w:tcBorders>
                  <w:noWrap/>
                  <w:vAlign w:val="center"/>
                </w:tcPr>
                <w:p>
                  <w:pPr>
                    <w:pStyle w:val="28"/>
                    <w:spacing w:line="360" w:lineRule="exact"/>
                    <w:rPr>
                      <w:color w:val="auto"/>
                      <w:szCs w:val="21"/>
                    </w:rPr>
                  </w:pPr>
                  <w:r>
                    <w:rPr>
                      <w:rFonts w:hint="eastAsia"/>
                      <w:color w:val="auto"/>
                      <w:szCs w:val="21"/>
                    </w:rPr>
                    <w:t>负压收集系统（风机）</w:t>
                  </w:r>
                </w:p>
              </w:tc>
              <w:tc>
                <w:tcPr>
                  <w:tcW w:w="517" w:type="dxa"/>
                  <w:tcBorders>
                    <w:tl2br w:val="nil"/>
                    <w:tr2bl w:val="nil"/>
                  </w:tcBorders>
                  <w:noWrap/>
                  <w:vAlign w:val="center"/>
                </w:tcPr>
                <w:p>
                  <w:pPr>
                    <w:pStyle w:val="28"/>
                    <w:spacing w:line="360" w:lineRule="exact"/>
                    <w:rPr>
                      <w:color w:val="auto"/>
                      <w:szCs w:val="21"/>
                    </w:rPr>
                  </w:pPr>
                  <w:r>
                    <w:rPr>
                      <w:rFonts w:hint="eastAsia"/>
                      <w:color w:val="auto"/>
                      <w:szCs w:val="21"/>
                    </w:rPr>
                    <w:t>--</w:t>
                  </w:r>
                </w:p>
              </w:tc>
              <w:tc>
                <w:tcPr>
                  <w:tcW w:w="617" w:type="dxa"/>
                  <w:tcBorders>
                    <w:tl2br w:val="nil"/>
                    <w:tr2bl w:val="nil"/>
                  </w:tcBorders>
                  <w:noWrap/>
                  <w:vAlign w:val="center"/>
                </w:tcPr>
                <w:p>
                  <w:pPr>
                    <w:pStyle w:val="28"/>
                    <w:spacing w:line="360" w:lineRule="exact"/>
                    <w:rPr>
                      <w:color w:val="auto"/>
                      <w:szCs w:val="21"/>
                    </w:rPr>
                  </w:pPr>
                  <w:r>
                    <w:rPr>
                      <w:rFonts w:hint="eastAsia"/>
                      <w:color w:val="auto"/>
                      <w:szCs w:val="21"/>
                    </w:rPr>
                    <w:t>85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32.8</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18.6</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2.3</w:t>
                  </w:r>
                </w:p>
              </w:tc>
              <w:tc>
                <w:tcPr>
                  <w:tcW w:w="708"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3.2</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85</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昼间、夜间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（2）厂界噪声达标性分析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本环评根据《环境影响评价技术导则 声环境》（HJ2.4-20</w:t>
            </w:r>
            <w:r>
              <w:rPr>
                <w:rFonts w:hint="eastAsia" w:ascii="Times New Roman" w:hAnsi="Times New Roman" w:cs="Times New Roman"/>
                <w:sz w:val="24"/>
                <w:szCs w:val="24"/>
              </w:rPr>
              <w:t>21</w:t>
            </w:r>
            <w:r>
              <w:rPr>
                <w:rFonts w:ascii="Times New Roman" w:hAnsi="Times New Roman" w:cs="Times New Roman"/>
                <w:sz w:val="24"/>
                <w:szCs w:val="24"/>
              </w:rPr>
              <w:t>），对项目设备厂界噪声进行预测。</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w:t>
            </w:r>
            <w:r>
              <w:rPr>
                <w:rFonts w:ascii="Times New Roman" w:hAnsi="Times New Roman" w:cs="Times New Roman"/>
                <w:b/>
                <w:sz w:val="24"/>
                <w:szCs w:val="24"/>
              </w:rPr>
              <w:t>室内声源等效室外声源声功率级计算方法</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声源位于室内，室内声源可采用等效室外声源声功率级法进行计算。设靠近开口处（或窗户）室内、室外某倍频带的声压级或</w:t>
            </w:r>
            <w:r>
              <w:rPr>
                <w:rFonts w:ascii="Times New Roman" w:hAnsi="Times New Roman" w:cs="Times New Roman"/>
                <w:sz w:val="24"/>
                <w:szCs w:val="24"/>
              </w:rPr>
              <w:t>A</w:t>
            </w:r>
            <w:r>
              <w:rPr>
                <w:rFonts w:ascii="Times New Roman" w:cs="Times New Roman" w:hAnsiTheme="minorEastAsia"/>
                <w:sz w:val="24"/>
                <w:szCs w:val="24"/>
              </w:rPr>
              <w:t>声级分别为</w:t>
            </w:r>
            <w:r>
              <w:rPr>
                <w:rFonts w:ascii="Times New Roman" w:hAnsi="Times New Roman" w:cs="Times New Roman"/>
                <w:sz w:val="24"/>
                <w:szCs w:val="24"/>
              </w:rPr>
              <w:t>L</w:t>
            </w:r>
            <w:r>
              <w:rPr>
                <w:rFonts w:ascii="Times New Roman" w:hAnsi="Times New Roman" w:cs="Times New Roman"/>
                <w:sz w:val="24"/>
                <w:szCs w:val="24"/>
                <w:vertAlign w:val="subscript"/>
              </w:rPr>
              <w:t>p1</w:t>
            </w:r>
            <w:r>
              <w:rPr>
                <w:rFonts w:ascii="Times New Roman" w:cs="Times New Roman" w:hAnsiTheme="minorEastAsia"/>
                <w:sz w:val="24"/>
                <w:szCs w:val="24"/>
              </w:rPr>
              <w:t>和</w:t>
            </w:r>
            <w:r>
              <w:rPr>
                <w:rFonts w:ascii="Times New Roman" w:hAnsi="Times New Roman" w:cs="Times New Roman"/>
                <w:sz w:val="24"/>
                <w:szCs w:val="24"/>
              </w:rPr>
              <w:t>L</w:t>
            </w:r>
            <w:r>
              <w:rPr>
                <w:rFonts w:ascii="Times New Roman" w:hAnsi="Times New Roman" w:cs="Times New Roman"/>
                <w:sz w:val="24"/>
                <w:szCs w:val="24"/>
                <w:vertAlign w:val="subscript"/>
              </w:rPr>
              <w:t>p2</w:t>
            </w:r>
            <w:r>
              <w:rPr>
                <w:rFonts w:ascii="Times New Roman" w:cs="Times New Roman" w:hAnsiTheme="minorEastAsia"/>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2</m:t>
                  </m:r>
                  <m:ctrlPr>
                    <w:rPr>
                      <w:rFonts w:ascii="Cambria Math" w:hAnsi="Times New Roman" w:cs="Times New Roman"/>
                      <w:sz w:val="24"/>
                      <w:szCs w:val="24"/>
                    </w:rPr>
                  </m:ctrlPr>
                </m:sub>
              </m:sSub>
              <m:r>
                <m:rPr/>
                <w:rPr>
                  <w:rFonts w:ascii="Cambria Math" w:hAnsi="Times New Roman" w:cs="Times New Roman"/>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1</m:t>
                  </m:r>
                  <m:ctrlPr>
                    <w:rPr>
                      <w:rFonts w:ascii="Cambria Math" w:hAnsi="Times New Roman" w:cs="Times New Roman"/>
                      <w:sz w:val="24"/>
                      <w:szCs w:val="24"/>
                    </w:rPr>
                  </m:ctrlPr>
                </m:sub>
              </m:sSub>
              <m:r>
                <m:rPr/>
                <w:rPr>
                  <w:rFonts w:ascii="Cambria Math" w:hAnsi="Cambria Math"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TL+6</m:t>
              </m:r>
              <m:r>
                <m:rPr>
                  <m:sty m:val="p"/>
                </m:rPr>
                <w:rPr>
                  <w:rFonts w:ascii="Cambria Math" w:hAnsi="Cambria Math" w:cs="Times New Roman"/>
                  <w:sz w:val="24"/>
                  <w:szCs w:val="24"/>
                </w:rPr>
                <m:t>）</m:t>
              </m:r>
            </m:oMath>
            <w:r>
              <w:rPr>
                <w:rFonts w:ascii="Times New Roman" w:cs="Times New Roman" w:hAnsiTheme="minorEastAsia"/>
                <w:kern w:val="0"/>
                <w:sz w:val="24"/>
                <w:szCs w:val="24"/>
              </w:rPr>
              <w:t>（</w:t>
            </w:r>
            <w:r>
              <w:rPr>
                <w:rFonts w:ascii="Times New Roman" w:hAnsi="Times New Roman" w:cs="Times New Roman"/>
                <w:kern w:val="0"/>
                <w:sz w:val="24"/>
                <w:szCs w:val="24"/>
              </w:rPr>
              <w:t>B.1</w:t>
            </w:r>
            <w:r>
              <w:rPr>
                <w:rFonts w:ascii="Times New Roman" w:cs="Times New Roman" w:hAnsiTheme="minorEastAsia"/>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t>
            </w:r>
            <w:r>
              <w:rPr>
                <w:rFonts w:ascii="Times New Roman" w:hAnsi="Times New Roman" w:cs="Times New Roman"/>
                <w:sz w:val="24"/>
                <w:szCs w:val="24"/>
                <w:vertAlign w:val="subscript"/>
              </w:rPr>
              <w:t>p1</w:t>
            </w:r>
            <w:r>
              <w:rPr>
                <w:rFonts w:ascii="Times New Roman" w:hAnsi="Times New Roman" w:cs="Times New Roman"/>
                <w:sz w:val="24"/>
                <w:szCs w:val="24"/>
              </w:rPr>
              <w:t>--</w:t>
            </w:r>
            <w:r>
              <w:rPr>
                <w:rFonts w:ascii="Times New Roman" w:cs="Times New Roman" w:hAnsiTheme="minorEastAsia"/>
                <w:sz w:val="24"/>
                <w:szCs w:val="24"/>
              </w:rPr>
              <w:t>靠近开口处（或窗户）室内某倍频带的声压级或</w:t>
            </w:r>
            <w:r>
              <w:rPr>
                <w:rFonts w:ascii="Times New Roman" w:hAnsi="Times New Roman" w:cs="Times New Roman"/>
                <w:sz w:val="24"/>
                <w:szCs w:val="24"/>
              </w:rPr>
              <w:t>A</w:t>
            </w:r>
            <w:r>
              <w:rPr>
                <w:rFonts w:ascii="Times New Roman" w:cs="Times New Roman" w:hAnsiTheme="minorEastAsia"/>
                <w:sz w:val="24"/>
                <w:szCs w:val="24"/>
              </w:rPr>
              <w:t>声级，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z w:val="24"/>
                <w:szCs w:val="24"/>
                <w:vertAlign w:val="subscript"/>
              </w:rPr>
              <w:t>p2</w:t>
            </w:r>
            <w:r>
              <w:rPr>
                <w:rFonts w:ascii="Times New Roman" w:hAnsi="Times New Roman" w:cs="Times New Roman"/>
                <w:sz w:val="24"/>
                <w:szCs w:val="24"/>
              </w:rPr>
              <w:t>--</w:t>
            </w:r>
            <w:r>
              <w:rPr>
                <w:rFonts w:ascii="Times New Roman" w:cs="Times New Roman" w:hAnsiTheme="minorEastAsia"/>
                <w:sz w:val="24"/>
                <w:szCs w:val="24"/>
              </w:rPr>
              <w:t>靠近开口处（或窗户）室外某倍频带的声压级或</w:t>
            </w:r>
            <w:r>
              <w:rPr>
                <w:rFonts w:ascii="Times New Roman" w:hAnsi="Times New Roman" w:cs="Times New Roman"/>
                <w:sz w:val="24"/>
                <w:szCs w:val="24"/>
              </w:rPr>
              <w:t>A</w:t>
            </w:r>
            <w:r>
              <w:rPr>
                <w:rFonts w:ascii="Times New Roman" w:cs="Times New Roman" w:hAnsiTheme="minorEastAsia"/>
                <w:sz w:val="24"/>
                <w:szCs w:val="24"/>
              </w:rPr>
              <w:t>声级，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TL--</w:t>
            </w:r>
            <w:r>
              <w:rPr>
                <w:rFonts w:ascii="Times New Roman" w:cs="Times New Roman" w:hAnsiTheme="minorEastAsia"/>
                <w:sz w:val="24"/>
                <w:szCs w:val="24"/>
              </w:rPr>
              <w:t>隔墙（或窗户）倍频带或</w:t>
            </w:r>
            <w:r>
              <w:rPr>
                <w:rFonts w:ascii="Times New Roman" w:hAnsi="Times New Roman" w:cs="Times New Roman"/>
                <w:sz w:val="24"/>
                <w:szCs w:val="24"/>
              </w:rPr>
              <w:t>A</w:t>
            </w:r>
            <w:r>
              <w:rPr>
                <w:rFonts w:ascii="Times New Roman" w:cs="Times New Roman" w:hAnsiTheme="minorEastAsia"/>
                <w:sz w:val="24"/>
                <w:szCs w:val="24"/>
              </w:rPr>
              <w:t>声级的隔声量，</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可按下式计算某一室内声源靠近围护结构处产生的倍频带声压级或</w:t>
            </w:r>
            <w:r>
              <w:rPr>
                <w:rFonts w:ascii="Times New Roman" w:hAnsi="Times New Roman" w:cs="Times New Roman"/>
                <w:sz w:val="24"/>
                <w:szCs w:val="24"/>
              </w:rPr>
              <w:t>A</w:t>
            </w:r>
            <w:r>
              <w:rPr>
                <w:rFonts w:ascii="Times New Roman" w:cs="Times New Roman" w:hAnsiTheme="minorEastAsia"/>
                <w:sz w:val="24"/>
                <w:szCs w:val="24"/>
              </w:rPr>
              <w:t>声级：</w:t>
            </w:r>
          </w:p>
          <w:p>
            <w:pPr>
              <w:spacing w:line="360" w:lineRule="auto"/>
              <w:ind w:firstLine="480" w:firstLineChars="20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1</m:t>
                  </m:r>
                  <m:ctrlPr>
                    <w:rPr>
                      <w:rFonts w:ascii="Cambria Math" w:hAnsi="Times New Roman" w:cs="Times New Roman"/>
                      <w:sz w:val="24"/>
                      <w:szCs w:val="24"/>
                    </w:rPr>
                  </m:ctrlPr>
                </m:sub>
              </m:sSub>
              <m:r>
                <m:rPr/>
                <w:rPr>
                  <w:rFonts w:ascii="Cambria Math" w:hAnsi="Times New Roman" w:cs="Times New Roman"/>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2</m:t>
                  </m:r>
                  <m:ctrlPr>
                    <w:rPr>
                      <w:rFonts w:ascii="Cambria Math" w:hAnsi="Times New Roman" w:cs="Times New Roman"/>
                      <w:sz w:val="24"/>
                      <w:szCs w:val="24"/>
                    </w:rPr>
                  </m:ctrlPr>
                </m:sub>
              </m:sSub>
              <m:r>
                <m:rPr/>
                <w:rPr>
                  <w:rFonts w:ascii="Cambria Math" w:hAnsi="Times New Roman" w:cs="Times New Roman"/>
                  <w:sz w:val="24"/>
                  <w:szCs w:val="24"/>
                </w:rPr>
                <m:t>+10</m:t>
              </m:r>
              <m:r>
                <m:rPr>
                  <m:sty m:val="p"/>
                </m:rPr>
                <w:rPr>
                  <w:rFonts w:ascii="Cambria Math" w:hAnsi="Times New Roman" w:cs="Times New Roman"/>
                  <w:sz w:val="24"/>
                  <w:szCs w:val="24"/>
                </w:rPr>
                <m:t>lg</m:t>
              </m:r>
              <m:r>
                <m:rPr>
                  <m:sty m:val="p"/>
                </m:rPr>
                <w:rPr>
                  <w:rFonts w:ascii="Cambria Math" w:hAnsi="Cambria Math" w:cs="Times New Roman"/>
                  <w:sz w:val="24"/>
                  <w:szCs w:val="24"/>
                </w:rPr>
                <m:t>⁡（</m:t>
              </m:r>
              <m:f>
                <m:fPr>
                  <m:ctrlPr>
                    <w:rPr>
                      <w:rFonts w:ascii="Cambria Math" w:hAnsi="Times New Roman" w:cs="Times New Roman"/>
                      <w:sz w:val="24"/>
                      <w:szCs w:val="24"/>
                    </w:rPr>
                  </m:ctrlPr>
                </m:fPr>
                <m:num>
                  <m:r>
                    <m:rPr/>
                    <w:rPr>
                      <w:rFonts w:ascii="Cambria Math" w:hAnsi="Cambria Math" w:cs="Times New Roman"/>
                      <w:sz w:val="24"/>
                      <w:szCs w:val="24"/>
                    </w:rPr>
                    <m:t>Q</m:t>
                  </m:r>
                  <m:ctrlPr>
                    <w:rPr>
                      <w:rFonts w:ascii="Cambria Math" w:hAnsi="Times New Roman" w:cs="Times New Roman"/>
                      <w:sz w:val="24"/>
                      <w:szCs w:val="24"/>
                    </w:rPr>
                  </m:ctrlPr>
                </m:num>
                <m:den>
                  <m:r>
                    <m:rPr>
                      <m:sty m:val="p"/>
                    </m:rPr>
                    <w:rPr>
                      <w:rFonts w:ascii="Cambria Math" w:hAnsi="Times New Roman" w:cs="Times New Roman"/>
                      <w:sz w:val="24"/>
                      <w:szCs w:val="24"/>
                    </w:rPr>
                    <m:t>4</m:t>
                  </m:r>
                  <m:r>
                    <m:rPr>
                      <m:sty m:val="p"/>
                    </m:rPr>
                    <w:rPr>
                      <w:rFonts w:ascii="Cambria Math" w:hAnsi="Cambria Math" w:cs="Times New Roman"/>
                      <w:sz w:val="24"/>
                      <w:szCs w:val="24"/>
                    </w:rPr>
                    <m:t>π</m:t>
                  </m:r>
                  <m:sSup>
                    <m:sSupPr>
                      <m:ctrlPr>
                        <w:rPr>
                          <w:rFonts w:ascii="Cambria Math" w:hAnsi="Times New Roman" w:cs="Times New Roman"/>
                          <w:sz w:val="24"/>
                          <w:szCs w:val="24"/>
                        </w:rPr>
                      </m:ctrlPr>
                    </m:sSupPr>
                    <m:e>
                      <m:r>
                        <m:rPr/>
                        <w:rPr>
                          <w:rFonts w:ascii="Cambria Math" w:hAnsi="Times New Roman" w:cs="Times New Roman"/>
                          <w:sz w:val="24"/>
                          <w:szCs w:val="24"/>
                        </w:rPr>
                        <m:t>r</m:t>
                      </m:r>
                      <m:ctrlPr>
                        <w:rPr>
                          <w:rFonts w:ascii="Cambria Math" w:hAnsi="Times New Roman" w:cs="Times New Roman"/>
                          <w:sz w:val="24"/>
                          <w:szCs w:val="24"/>
                        </w:rPr>
                      </m:ctrlPr>
                    </m:e>
                    <m:sup>
                      <m:r>
                        <m:rPr/>
                        <w:rPr>
                          <w:rFonts w:ascii="Cambria Math" w:hAnsi="Times New Roman" w:cs="Times New Roman"/>
                          <w:sz w:val="24"/>
                          <w:szCs w:val="24"/>
                        </w:rPr>
                        <m:t>2</m:t>
                      </m:r>
                      <m:ctrlPr>
                        <w:rPr>
                          <w:rFonts w:ascii="Cambria Math" w:hAnsi="Times New Roman" w:cs="Times New Roman"/>
                          <w:sz w:val="24"/>
                          <w:szCs w:val="24"/>
                        </w:rPr>
                      </m:ctrlPr>
                    </m:sup>
                  </m:sSup>
                  <m:ctrlPr>
                    <w:rPr>
                      <w:rFonts w:ascii="Cambria Math" w:hAnsi="Times New Roman" w:cs="Times New Roman"/>
                      <w:sz w:val="24"/>
                      <w:szCs w:val="24"/>
                    </w:rPr>
                  </m:ctrlPr>
                </m:den>
              </m:f>
              <m:r>
                <m:rPr/>
                <w:rPr>
                  <w:rFonts w:ascii="Cambria Math" w:hAnsi="Times New Roman" w:cs="Times New Roman"/>
                  <w:sz w:val="24"/>
                  <w:szCs w:val="24"/>
                </w:rPr>
                <m:t>+</m:t>
              </m:r>
              <m:f>
                <m:fPr>
                  <m:ctrlPr>
                    <w:rPr>
                      <w:rFonts w:ascii="Cambria Math" w:hAnsi="Times New Roman" w:cs="Times New Roman"/>
                      <w:sz w:val="24"/>
                      <w:szCs w:val="24"/>
                    </w:rPr>
                  </m:ctrlPr>
                </m:fPr>
                <m:num>
                  <m:r>
                    <m:rPr/>
                    <w:rPr>
                      <w:rFonts w:ascii="Cambria Math" w:hAnsi="Times New Roman" w:cs="Times New Roman"/>
                      <w:sz w:val="24"/>
                      <w:szCs w:val="24"/>
                    </w:rPr>
                    <m:t>4</m:t>
                  </m:r>
                  <m:ctrlPr>
                    <w:rPr>
                      <w:rFonts w:ascii="Cambria Math" w:hAnsi="Times New Roman" w:cs="Times New Roman"/>
                      <w:sz w:val="24"/>
                      <w:szCs w:val="24"/>
                    </w:rPr>
                  </m:ctrlPr>
                </m:num>
                <m:den>
                  <m:r>
                    <m:rPr/>
                    <w:rPr>
                      <w:rFonts w:ascii="Cambria Math" w:hAnsi="Cambria Math" w:cs="Times New Roman"/>
                      <w:sz w:val="24"/>
                      <w:szCs w:val="24"/>
                    </w:rPr>
                    <m:t>R</m:t>
                  </m:r>
                  <m:ctrlPr>
                    <w:rPr>
                      <w:rFonts w:ascii="Cambria Math" w:hAnsi="Times New Roman" w:cs="Times New Roman"/>
                      <w:sz w:val="24"/>
                      <w:szCs w:val="24"/>
                    </w:rPr>
                  </m:ctrlPr>
                </m:den>
              </m:f>
              <m:r>
                <m:rPr>
                  <m:sty m:val="p"/>
                </m:rPr>
                <w:rPr>
                  <w:rFonts w:ascii="Cambria Math" w:hAnsi="Cambria Math" w:cs="Times New Roman"/>
                  <w:sz w:val="24"/>
                  <w:szCs w:val="24"/>
                </w:rPr>
                <m:t>）</m:t>
              </m:r>
            </m:oMath>
            <w:r>
              <w:rPr>
                <w:rFonts w:ascii="Times New Roman" w:cs="Times New Roman" w:hAnsiTheme="minorEastAsia"/>
                <w:kern w:val="0"/>
                <w:sz w:val="24"/>
                <w:szCs w:val="24"/>
              </w:rPr>
              <w:t>（</w:t>
            </w:r>
            <w:r>
              <w:rPr>
                <w:rFonts w:ascii="Times New Roman" w:hAnsi="Times New Roman" w:cs="Times New Roman"/>
                <w:kern w:val="0"/>
                <w:sz w:val="24"/>
                <w:szCs w:val="24"/>
              </w:rPr>
              <w:t>B.2</w:t>
            </w:r>
            <w:r>
              <w:rPr>
                <w:rFonts w:ascii="Times New Roman" w:cs="Times New Roman" w:hAnsiTheme="minorEastAsia"/>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w:t>
            </w:r>
            <w:r>
              <w:rPr>
                <w:rFonts w:ascii="Times New Roman" w:cs="Times New Roman" w:hAnsiTheme="minorEastAsia"/>
                <w:sz w:val="24"/>
                <w:szCs w:val="24"/>
              </w:rPr>
              <w:t>点声源声功率级（</w:t>
            </w:r>
            <w:r>
              <w:rPr>
                <w:rFonts w:ascii="Times New Roman" w:hAnsi="Times New Roman" w:cs="Times New Roman"/>
                <w:sz w:val="24"/>
                <w:szCs w:val="24"/>
              </w:rPr>
              <w:t>A</w:t>
            </w:r>
            <w:r>
              <w:rPr>
                <w:rFonts w:ascii="Times New Roman" w:cs="Times New Roman" w:hAnsiTheme="minorEastAsia"/>
                <w:sz w:val="24"/>
                <w:szCs w:val="24"/>
              </w:rPr>
              <w:t>计权或倍频带），</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Q--</w:t>
            </w:r>
            <w:r>
              <w:rPr>
                <w:rFonts w:ascii="Times New Roman" w:cs="Times New Roman" w:hAnsiTheme="minorEastAsia"/>
                <w:sz w:val="24"/>
                <w:szCs w:val="24"/>
              </w:rPr>
              <w:t>指向性因数；通常对无指向性声源，当声源放在房间中心时，</w:t>
            </w:r>
            <w:r>
              <w:rPr>
                <w:rFonts w:ascii="Times New Roman" w:hAnsi="Times New Roman" w:cs="Times New Roman"/>
                <w:sz w:val="24"/>
                <w:szCs w:val="24"/>
              </w:rPr>
              <w:t>Q=1</w:t>
            </w:r>
            <w:r>
              <w:rPr>
                <w:rFonts w:ascii="Times New Roman" w:cs="Times New Roman" w:hAnsiTheme="minorEastAsia"/>
                <w:sz w:val="24"/>
                <w:szCs w:val="24"/>
              </w:rPr>
              <w:t>；当放在一面墙的中心时，</w:t>
            </w:r>
            <w:r>
              <w:rPr>
                <w:rFonts w:ascii="Times New Roman" w:hAnsi="Times New Roman" w:cs="Times New Roman"/>
                <w:sz w:val="24"/>
                <w:szCs w:val="24"/>
              </w:rPr>
              <w:t>Q=2</w:t>
            </w:r>
            <w:r>
              <w:rPr>
                <w:rFonts w:ascii="Times New Roman" w:cs="Times New Roman" w:hAnsiTheme="minorEastAsia"/>
                <w:sz w:val="24"/>
                <w:szCs w:val="24"/>
              </w:rPr>
              <w:t>；当放在两面墙夹角处时，</w:t>
            </w:r>
            <w:r>
              <w:rPr>
                <w:rFonts w:ascii="Times New Roman" w:hAnsi="Times New Roman" w:cs="Times New Roman"/>
                <w:sz w:val="24"/>
                <w:szCs w:val="24"/>
              </w:rPr>
              <w:t>Q=4</w:t>
            </w:r>
            <w:r>
              <w:rPr>
                <w:rFonts w:ascii="Times New Roman" w:cs="Times New Roman" w:hAnsiTheme="minorEastAsia"/>
                <w:sz w:val="24"/>
                <w:szCs w:val="24"/>
              </w:rPr>
              <w:t>；当放在三面墙夹角处时，</w:t>
            </w:r>
            <w:r>
              <w:rPr>
                <w:rFonts w:ascii="Times New Roman" w:hAnsi="Times New Roman" w:cs="Times New Roman"/>
                <w:sz w:val="24"/>
                <w:szCs w:val="24"/>
              </w:rPr>
              <w:t>Q=8</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R--</w:t>
            </w:r>
            <w:r>
              <w:rPr>
                <w:rFonts w:ascii="Times New Roman" w:cs="Times New Roman" w:hAnsiTheme="minorEastAsia"/>
                <w:sz w:val="24"/>
                <w:szCs w:val="24"/>
              </w:rPr>
              <w:t>房间常数；</w:t>
            </w:r>
            <m:oMath>
              <m:r>
                <m:rPr/>
                <w:rPr>
                  <w:rFonts w:ascii="Cambria Math" w:hAnsi="Cambria Math" w:cs="Times New Roman"/>
                  <w:sz w:val="24"/>
                  <w:szCs w:val="24"/>
                </w:rPr>
                <m:t>R</m:t>
              </m:r>
              <m:r>
                <m:rPr/>
                <w:rPr>
                  <w:rFonts w:ascii="Cambria Math" w:hAnsi="Times New Roman" w:cs="Times New Roman"/>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S</m:t>
                  </m:r>
                  <m:ctrlPr>
                    <w:rPr>
                      <w:rFonts w:ascii="Cambria Math" w:hAnsi="Times New Roman" w:cs="Times New Roman"/>
                      <w:sz w:val="24"/>
                      <w:szCs w:val="24"/>
                    </w:rPr>
                  </m:ctrlPr>
                </m:e>
                <m:sub>
                  <m:r>
                    <m:rPr/>
                    <w:rPr>
                      <w:rFonts w:ascii="Cambria Math" w:hAnsi="Times New Roman" w:cs="Times New Roman"/>
                      <w:sz w:val="24"/>
                      <w:szCs w:val="24"/>
                    </w:rPr>
                    <m:t>a</m:t>
                  </m:r>
                  <m:ctrlPr>
                    <w:rPr>
                      <w:rFonts w:ascii="Cambria Math" w:hAnsi="Times New Roman" w:cs="Times New Roman"/>
                      <w:sz w:val="24"/>
                      <w:szCs w:val="24"/>
                    </w:rPr>
                  </m:ctrlPr>
                </m:sub>
              </m:sSub>
              <m:r>
                <m:rPr>
                  <m:sty m:val="p"/>
                </m:rPr>
                <w:rPr>
                  <w:rFonts w:ascii="Cambria Math" w:hAnsi="Times New Roman"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1</m:t>
              </m:r>
              <m:r>
                <m:rPr>
                  <m:sty m:val="p"/>
                </m:rPr>
                <w:rPr>
                  <w:rFonts w:ascii="Cambria Math" w:hAnsi="Cambria Math" w:cs="Times New Roman"/>
                  <w:sz w:val="24"/>
                  <w:szCs w:val="24"/>
                </w:rPr>
                <m:t>−</m:t>
              </m:r>
              <m:r>
                <m:rPr/>
                <w:rPr>
                  <w:rFonts w:ascii="Cambria Math" w:hAnsi="Cambria Math" w:cs="Times New Roman"/>
                  <w:sz w:val="24"/>
                  <w:szCs w:val="24"/>
                </w:rPr>
                <m:t>a</m:t>
              </m:r>
              <m:r>
                <m:rPr>
                  <m:sty m:val="p"/>
                </m:rPr>
                <w:rPr>
                  <w:rFonts w:ascii="Cambria Math" w:hAnsi="Cambria Math" w:cs="Times New Roman"/>
                  <w:sz w:val="24"/>
                  <w:szCs w:val="24"/>
                </w:rPr>
                <m:t>）</m:t>
              </m:r>
            </m:oMath>
            <w:r>
              <w:rPr>
                <w:rFonts w:ascii="Times New Roman" w:cs="Times New Roman" w:hAnsiTheme="minorEastAsia"/>
                <w:sz w:val="24"/>
                <w:szCs w:val="24"/>
              </w:rPr>
              <w:t>，</w:t>
            </w:r>
            <w:r>
              <w:rPr>
                <w:rFonts w:ascii="Times New Roman" w:hAnsi="Times New Roman" w:cs="Times New Roman"/>
                <w:sz w:val="24"/>
                <w:szCs w:val="24"/>
              </w:rPr>
              <w:t>S</w:t>
            </w:r>
            <w:r>
              <w:rPr>
                <w:rFonts w:ascii="Times New Roman" w:cs="Times New Roman" w:hAnsiTheme="minorEastAsia"/>
                <w:sz w:val="24"/>
                <w:szCs w:val="24"/>
              </w:rPr>
              <w:t>为房间内表面面积，</w:t>
            </w:r>
            <w:r>
              <w:rPr>
                <w:rFonts w:ascii="Times New Roman" w:hAnsi="Times New Roman" w:cs="Times New Roman"/>
                <w:sz w:val="24"/>
                <w:szCs w:val="24"/>
              </w:rPr>
              <w:t>m2</w:t>
            </w:r>
            <w:r>
              <w:rPr>
                <w:rFonts w:ascii="Times New Roman" w:cs="Times New Roman" w:hAnsiTheme="minorEastAsia"/>
                <w:sz w:val="24"/>
                <w:szCs w:val="24"/>
              </w:rPr>
              <w:t>；</w:t>
            </w:r>
            <w:r>
              <w:rPr>
                <w:rFonts w:ascii="Times New Roman" w:hAnsi="Times New Roman" w:cs="Times New Roman"/>
                <w:sz w:val="24"/>
                <w:szCs w:val="24"/>
              </w:rPr>
              <w:t>α</w:t>
            </w:r>
            <w:r>
              <w:rPr>
                <w:rFonts w:ascii="Times New Roman" w:cs="Times New Roman" w:hAnsiTheme="minorEastAsia"/>
                <w:sz w:val="24"/>
                <w:szCs w:val="24"/>
              </w:rPr>
              <w:t>为平均吸声系数；</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然后按式（</w:t>
            </w:r>
            <w:r>
              <w:rPr>
                <w:rFonts w:ascii="Times New Roman" w:hAnsi="Times New Roman" w:cs="Times New Roman"/>
                <w:sz w:val="24"/>
                <w:szCs w:val="24"/>
              </w:rPr>
              <w:t>B.3</w:t>
            </w:r>
            <w:r>
              <w:rPr>
                <w:rFonts w:ascii="Times New Roman" w:cs="Times New Roman" w:hAnsiTheme="minorEastAsia"/>
                <w:sz w:val="24"/>
                <w:szCs w:val="24"/>
              </w:rPr>
              <w:t>）计算出所有室内声源在围护结构处产生的</w:t>
            </w:r>
            <w:r>
              <w:rPr>
                <w:rFonts w:ascii="Times New Roman" w:hAnsi="Times New Roman" w:cs="Times New Roman"/>
                <w:sz w:val="24"/>
                <w:szCs w:val="24"/>
              </w:rPr>
              <w:t>i</w:t>
            </w:r>
            <w:r>
              <w:rPr>
                <w:rFonts w:ascii="Times New Roman" w:cs="Times New Roman" w:hAnsiTheme="minorEastAsia"/>
                <w:sz w:val="24"/>
                <w:szCs w:val="24"/>
              </w:rPr>
              <w:t>倍频带叠加声压级：</w:t>
            </w:r>
          </w:p>
          <w:p>
            <w:pPr>
              <w:autoSpaceDE w:val="0"/>
              <w:autoSpaceDN w:val="0"/>
              <w:adjustRightInd w:val="0"/>
              <w:jc w:val="center"/>
              <w:rPr>
                <w:rFonts w:ascii="Times New Roman" w:hAnsi="Times New Roman" w:cs="Times New Roman"/>
                <w:kern w:val="0"/>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li</m:t>
                  </m:r>
                  <m:ctrlPr>
                    <w:rPr>
                      <w:rFonts w:ascii="Cambria Math" w:hAnsi="Times New Roman" w:cs="Times New Roman"/>
                      <w:sz w:val="24"/>
                      <w:szCs w:val="24"/>
                    </w:rPr>
                  </m:ctrlPr>
                </m:sub>
              </m:sSub>
              <m:r>
                <m:rPr>
                  <m:sty m:val="p"/>
                </m:rPr>
                <w:rPr>
                  <w:rFonts w:ascii="Cambria Math" w:hAnsi="Cambria Math" w:cs="Times New Roman"/>
                  <w:kern w:val="0"/>
                  <w:sz w:val="24"/>
                  <w:szCs w:val="24"/>
                </w:rPr>
                <m:t>（</m:t>
              </m:r>
              <m:r>
                <m:rPr/>
                <w:rPr>
                  <w:rFonts w:ascii="Cambria Math" w:hAnsi="Cambria Math" w:cs="Times New Roman"/>
                  <w:kern w:val="0"/>
                  <w:sz w:val="24"/>
                  <w:szCs w:val="24"/>
                </w:rPr>
                <m:t>T</m:t>
              </m:r>
              <m:r>
                <m:rPr>
                  <m:sty m:val="p"/>
                </m:rPr>
                <w:rPr>
                  <w:rFonts w:ascii="Cambria Math" w:hAnsi="Cambria Math" w:cs="Times New Roman"/>
                  <w:kern w:val="0"/>
                  <w:sz w:val="24"/>
                  <w:szCs w:val="24"/>
                </w:rPr>
                <m:t>）</m:t>
              </m:r>
              <m:r>
                <m:rPr/>
                <w:rPr>
                  <w:rFonts w:ascii="Cambria Math" w:hAnsi="Times New Roman" w:cs="Times New Roman"/>
                  <w:kern w:val="0"/>
                  <w:sz w:val="24"/>
                  <w:szCs w:val="24"/>
                </w:rPr>
                <m:t>=10</m:t>
              </m:r>
              <m:r>
                <m:rPr>
                  <m:sty m:val="p"/>
                </m:rPr>
                <w:rPr>
                  <w:rFonts w:ascii="Cambria Math" w:hAnsi="Times New Roman" w:cs="Times New Roman"/>
                  <w:kern w:val="0"/>
                  <w:sz w:val="24"/>
                  <w:szCs w:val="24"/>
                </w:rPr>
                <m:t>lg</m:t>
              </m:r>
              <m:r>
                <m:rPr>
                  <m:sty m:val="p"/>
                </m:rPr>
                <w:rPr>
                  <w:rFonts w:ascii="Cambria Math" w:hAnsi="Cambria Math" w:cs="Times New Roman"/>
                  <w:kern w:val="0"/>
                  <w:sz w:val="24"/>
                  <w:szCs w:val="24"/>
                </w:rPr>
                <m:t>⁡（</m:t>
              </m:r>
              <m:nary>
                <m:naryPr>
                  <m:chr m:val="∑"/>
                  <m:grow m:val="1"/>
                  <m:ctrlPr>
                    <w:rPr>
                      <w:rFonts w:ascii="Cambria Math" w:hAnsi="Times New Roman" w:cs="Times New Roman"/>
                      <w:kern w:val="0"/>
                      <w:sz w:val="24"/>
                      <w:szCs w:val="24"/>
                    </w:rPr>
                  </m:ctrlPr>
                </m:naryPr>
                <m:sub>
                  <m:r>
                    <m:rPr/>
                    <w:rPr>
                      <w:rFonts w:ascii="Cambria Math" w:hAnsi="Times New Roman" w:cs="Times New Roman"/>
                      <w:kern w:val="0"/>
                      <w:sz w:val="24"/>
                      <w:szCs w:val="24"/>
                    </w:rPr>
                    <m:t>j=1</m:t>
                  </m:r>
                  <m:ctrlPr>
                    <w:rPr>
                      <w:rFonts w:ascii="Cambria Math" w:hAnsi="Times New Roman" w:cs="Times New Roman"/>
                      <w:kern w:val="0"/>
                      <w:sz w:val="24"/>
                      <w:szCs w:val="24"/>
                    </w:rPr>
                  </m:ctrlPr>
                </m:sub>
                <m:sup>
                  <m:r>
                    <m:rPr/>
                    <w:rPr>
                      <w:rFonts w:ascii="Cambria Math" w:hAnsi="Cambria Math" w:cs="Times New Roman"/>
                      <w:kern w:val="0"/>
                      <w:sz w:val="24"/>
                      <w:szCs w:val="24"/>
                    </w:rPr>
                    <m:t>N</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r>
                        <m:rPr/>
                        <w:rPr>
                          <w:rFonts w:ascii="Cambria Math" w:hAnsi="Times New Roman" w:cs="Times New Roman"/>
                          <w:kern w:val="0"/>
                          <w:sz w:val="24"/>
                          <w:szCs w:val="24"/>
                        </w:rPr>
                        <m:t>10</m:t>
                      </m:r>
                      <m:ctrlPr>
                        <w:rPr>
                          <w:rFonts w:ascii="Cambria Math" w:hAnsi="Times New Roman" w:cs="Times New Roman"/>
                          <w:kern w:val="0"/>
                          <w:sz w:val="24"/>
                          <w:szCs w:val="24"/>
                        </w:rPr>
                      </m:ctrlPr>
                    </m:e>
                    <m:sup>
                      <m:r>
                        <m:rPr/>
                        <w:rPr>
                          <w:rFonts w:ascii="Cambria Math" w:hAnsi="Times New Roman" w:cs="Times New Roman"/>
                          <w:kern w:val="0"/>
                          <w:sz w:val="24"/>
                          <w:szCs w:val="24"/>
                        </w:rPr>
                        <m:t>0.</m:t>
                      </m:r>
                      <m:sSub>
                        <m:sSubPr>
                          <m:ctrlPr>
                            <w:rPr>
                              <w:rFonts w:ascii="Cambria Math" w:hAnsi="Times New Roman" w:cs="Times New Roman"/>
                              <w:sz w:val="24"/>
                              <w:szCs w:val="24"/>
                            </w:rPr>
                          </m:ctrlPr>
                        </m:sSubPr>
                        <m:e>
                          <m:r>
                            <m:rPr/>
                            <w:rPr>
                              <w:rFonts w:ascii="Cambria Math" w:hAnsi="Times New Roman" w:cs="Times New Roman"/>
                              <w:sz w:val="24"/>
                              <w:szCs w:val="24"/>
                            </w:rPr>
                            <m:t>1</m:t>
                          </m:r>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li</m:t>
                          </m:r>
                          <m:ctrlPr>
                            <w:rPr>
                              <w:rFonts w:ascii="Cambria Math" w:hAnsi="Times New Roman" w:cs="Times New Roman"/>
                              <w:sz w:val="24"/>
                              <w:szCs w:val="24"/>
                            </w:rPr>
                          </m:ctrlPr>
                        </m:sub>
                      </m:sSub>
                      <m:r>
                        <m:rPr/>
                        <w:rPr>
                          <w:rFonts w:ascii="Cambria Math" w:hAnsi="Times New Roman" w:cs="Times New Roman"/>
                          <w:kern w:val="0"/>
                          <w:sz w:val="24"/>
                          <w:szCs w:val="24"/>
                        </w:rPr>
                        <m:t>u</m:t>
                      </m:r>
                      <m:ctrlPr>
                        <w:rPr>
                          <w:rFonts w:ascii="Cambria Math" w:hAnsi="Times New Roman" w:cs="Times New Roman"/>
                          <w:kern w:val="0"/>
                          <w:sz w:val="24"/>
                          <w:szCs w:val="24"/>
                        </w:rPr>
                      </m:ctrlPr>
                    </m:sup>
                  </m:sSup>
                  <m:r>
                    <m:rPr>
                      <m:sty m:val="p"/>
                    </m:rPr>
                    <w:rPr>
                      <w:rFonts w:ascii="Cambria Math" w:hAnsi="Cambria Math" w:cs="Times New Roman"/>
                      <w:kern w:val="0"/>
                      <w:sz w:val="24"/>
                      <w:szCs w:val="24"/>
                    </w:rPr>
                    <m:t>）</m:t>
                  </m:r>
                  <m:ctrlPr>
                    <w:rPr>
                      <w:rFonts w:ascii="Cambria Math" w:hAnsi="Times New Roman" w:cs="Times New Roman"/>
                      <w:kern w:val="0"/>
                      <w:sz w:val="24"/>
                      <w:szCs w:val="24"/>
                    </w:rPr>
                  </m:ctrlPr>
                </m:e>
              </m:nary>
            </m:oMath>
            <w:r>
              <w:rPr>
                <w:rFonts w:ascii="Times New Roman" w:cs="Times New Roman" w:hAnsiTheme="minorEastAsia"/>
                <w:kern w:val="0"/>
                <w:sz w:val="24"/>
                <w:szCs w:val="24"/>
              </w:rPr>
              <w:t>（</w:t>
            </w:r>
            <w:r>
              <w:rPr>
                <w:rFonts w:ascii="Times New Roman" w:hAnsi="Times New Roman" w:cs="Times New Roman"/>
                <w:kern w:val="0"/>
                <w:sz w:val="24"/>
                <w:szCs w:val="24"/>
              </w:rPr>
              <w:t>B.3</w:t>
            </w:r>
            <w:r>
              <w:rPr>
                <w:rFonts w:ascii="Times New Roman" w:cs="Times New Roman" w:hAnsiTheme="minorEastAsia"/>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t>
            </w:r>
            <w:r>
              <w:rPr>
                <w:rFonts w:ascii="Times New Roman" w:hAnsi="Times New Roman" w:cs="Times New Roman"/>
                <w:sz w:val="24"/>
                <w:szCs w:val="24"/>
                <w:vertAlign w:val="subscript"/>
              </w:rPr>
              <w:t>pli</w:t>
            </w:r>
            <w:r>
              <w:rPr>
                <w:rFonts w:ascii="Times New Roman" w:cs="Times New Roman" w:hAnsiTheme="minorEastAsia"/>
                <w:sz w:val="24"/>
                <w:szCs w:val="24"/>
              </w:rPr>
              <w:t>（</w:t>
            </w:r>
            <w:r>
              <w:rPr>
                <w:rFonts w:ascii="Times New Roman" w:hAnsi="Times New Roman" w:cs="Times New Roman"/>
                <w:sz w:val="24"/>
                <w:szCs w:val="24"/>
              </w:rPr>
              <w:t>T</w:t>
            </w:r>
            <w:r>
              <w:rPr>
                <w:rFonts w:ascii="Times New Roman" w:cs="Times New Roman" w:hAnsiTheme="minorEastAsia"/>
                <w:sz w:val="24"/>
                <w:szCs w:val="24"/>
              </w:rPr>
              <w:t>）</w:t>
            </w:r>
            <w:r>
              <w:rPr>
                <w:rFonts w:ascii="Times New Roman" w:hAnsi="Times New Roman" w:cs="Times New Roman"/>
                <w:sz w:val="24"/>
                <w:szCs w:val="24"/>
              </w:rPr>
              <w:t>--</w:t>
            </w:r>
            <w:r>
              <w:rPr>
                <w:rFonts w:ascii="Times New Roman" w:cs="Times New Roman" w:hAnsiTheme="minorEastAsia"/>
                <w:sz w:val="24"/>
                <w:szCs w:val="24"/>
              </w:rPr>
              <w:t>靠近围护结构处室内</w:t>
            </w:r>
            <w:r>
              <w:rPr>
                <w:rFonts w:ascii="Times New Roman" w:hAnsi="Times New Roman" w:cs="Times New Roman"/>
                <w:sz w:val="24"/>
                <w:szCs w:val="24"/>
              </w:rPr>
              <w:t>N</w:t>
            </w:r>
            <w:r>
              <w:rPr>
                <w:rFonts w:ascii="Times New Roman" w:cs="Times New Roman" w:hAnsiTheme="minorEastAsia"/>
                <w:sz w:val="24"/>
                <w:szCs w:val="24"/>
              </w:rPr>
              <w:t>个声源</w:t>
            </w:r>
            <w:r>
              <w:rPr>
                <w:rFonts w:ascii="Times New Roman" w:hAnsi="Times New Roman" w:cs="Times New Roman"/>
                <w:sz w:val="24"/>
                <w:szCs w:val="24"/>
              </w:rPr>
              <w:t>i</w:t>
            </w:r>
            <w:r>
              <w:rPr>
                <w:rFonts w:ascii="Times New Roman" w:cs="Times New Roman" w:hAnsiTheme="minorEastAsia"/>
                <w:sz w:val="24"/>
                <w:szCs w:val="24"/>
              </w:rPr>
              <w:t>倍频带的叠加声压级，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plij</w:t>
            </w:r>
            <w:r>
              <w:rPr>
                <w:rFonts w:ascii="Times New Roman" w:hAnsi="Times New Roman" w:cs="Times New Roman"/>
                <w:sz w:val="24"/>
                <w:szCs w:val="24"/>
              </w:rPr>
              <w:t>--</w:t>
            </w:r>
            <w:r>
              <w:rPr>
                <w:rFonts w:ascii="Times New Roman" w:cs="Times New Roman" w:hAnsiTheme="minorEastAsia"/>
                <w:sz w:val="24"/>
                <w:szCs w:val="24"/>
              </w:rPr>
              <w:t>室内</w:t>
            </w:r>
            <w:r>
              <w:rPr>
                <w:rFonts w:ascii="Times New Roman" w:hAnsi="Times New Roman" w:cs="Times New Roman"/>
                <w:sz w:val="24"/>
                <w:szCs w:val="24"/>
              </w:rPr>
              <w:t>j</w:t>
            </w:r>
            <w:r>
              <w:rPr>
                <w:rFonts w:ascii="Times New Roman" w:cs="Times New Roman" w:hAnsiTheme="minorEastAsia"/>
                <w:sz w:val="24"/>
                <w:szCs w:val="24"/>
              </w:rPr>
              <w:t>声源</w:t>
            </w:r>
            <w:r>
              <w:rPr>
                <w:rFonts w:ascii="Times New Roman" w:hAnsi="Times New Roman" w:cs="Times New Roman"/>
                <w:sz w:val="24"/>
                <w:szCs w:val="24"/>
              </w:rPr>
              <w:t>i</w:t>
            </w:r>
            <w:r>
              <w:rPr>
                <w:rFonts w:ascii="Times New Roman" w:cs="Times New Roman" w:hAnsiTheme="minorEastAsia"/>
                <w:sz w:val="24"/>
                <w:szCs w:val="24"/>
              </w:rPr>
              <w:t>倍频带的声压级，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N--</w:t>
            </w:r>
            <w:r>
              <w:rPr>
                <w:rFonts w:ascii="Times New Roman" w:cs="Times New Roman" w:hAnsiTheme="minorEastAsia"/>
                <w:sz w:val="24"/>
                <w:szCs w:val="24"/>
              </w:rPr>
              <w:t>室内声源总数。</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在室内近似为扩散声场时，按式（</w:t>
            </w:r>
            <w:r>
              <w:rPr>
                <w:rFonts w:ascii="Times New Roman" w:hAnsi="Times New Roman" w:cs="Times New Roman"/>
                <w:sz w:val="24"/>
                <w:szCs w:val="24"/>
              </w:rPr>
              <w:t>B.4</w:t>
            </w:r>
            <w:r>
              <w:rPr>
                <w:rFonts w:ascii="Times New Roman" w:cs="Times New Roman" w:hAnsiTheme="minorEastAsia"/>
                <w:sz w:val="24"/>
                <w:szCs w:val="24"/>
              </w:rPr>
              <w:t>）计算出靠近室外围护结构处的声压级：</w:t>
            </w:r>
          </w:p>
          <w:p>
            <w:pPr>
              <w:spacing w:line="360" w:lineRule="auto"/>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2i</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m:rPr/>
                    <w:rPr>
                      <w:rFonts w:ascii="Cambria Math" w:hAnsi="Cambria Math" w:cs="Times New Roman"/>
                      <w:kern w:val="0"/>
                      <w:sz w:val="24"/>
                      <w:szCs w:val="24"/>
                    </w:rPr>
                    <m:t>T</m:t>
                  </m:r>
                  <m:ctrlPr>
                    <w:rPr>
                      <w:rFonts w:ascii="Cambria Math" w:hAnsi="Times New Roman" w:cs="Times New Roman"/>
                      <w:kern w:val="0"/>
                      <w:sz w:val="24"/>
                      <w:szCs w:val="24"/>
                    </w:rPr>
                  </m:ctrlPr>
                </m:e>
              </m:d>
              <m:r>
                <m:rPr/>
                <w:rPr>
                  <w:rFonts w:ascii="Cambria Math" w:hAnsi="Times New Roman" w:cs="Times New Roman"/>
                  <w:kern w:val="0"/>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1i</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m:rPr/>
                    <w:rPr>
                      <w:rFonts w:ascii="Cambria Math" w:hAnsi="Cambria Math" w:cs="Times New Roman"/>
                      <w:kern w:val="0"/>
                      <w:sz w:val="24"/>
                      <w:szCs w:val="24"/>
                    </w:rPr>
                    <m:t>T</m:t>
                  </m:r>
                  <m:ctrlPr>
                    <w:rPr>
                      <w:rFonts w:ascii="Cambria Math" w:hAnsi="Times New Roman" w:cs="Times New Roman"/>
                      <w:kern w:val="0"/>
                      <w:sz w:val="24"/>
                      <w:szCs w:val="24"/>
                    </w:rPr>
                  </m:ctrlPr>
                </m:e>
              </m:d>
              <m:r>
                <m:rPr>
                  <m:sty m:val="p"/>
                </m:rPr>
                <w:rPr>
                  <w:rFonts w:ascii="Cambria Math" w:hAnsi="Cambria Math" w:cs="Times New Roman"/>
                  <w:kern w:val="0"/>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TL</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kern w:val="0"/>
                  <w:sz w:val="24"/>
                  <w:szCs w:val="24"/>
                </w:rPr>
                <m:t>+6</m:t>
              </m:r>
              <m:r>
                <m:rPr>
                  <m:sty m:val="p"/>
                </m:rPr>
                <w:rPr>
                  <w:rFonts w:ascii="Cambria Math" w:hAnsi="Cambria Math" w:cs="Times New Roman"/>
                  <w:kern w:val="0"/>
                  <w:sz w:val="24"/>
                  <w:szCs w:val="24"/>
                </w:rPr>
                <m:t>）</m:t>
              </m:r>
            </m:oMath>
            <w:r>
              <w:rPr>
                <w:rFonts w:ascii="Times New Roman" w:cs="Times New Roman" w:hAnsiTheme="minorEastAsia"/>
                <w:sz w:val="24"/>
                <w:szCs w:val="24"/>
              </w:rPr>
              <w:t>（</w:t>
            </w:r>
            <w:r>
              <w:rPr>
                <w:rFonts w:ascii="Times New Roman" w:hAnsi="Times New Roman" w:cs="Times New Roman"/>
                <w:sz w:val="24"/>
                <w:szCs w:val="24"/>
              </w:rPr>
              <w:t>B.4</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t>
            </w:r>
            <w:r>
              <w:rPr>
                <w:rFonts w:ascii="Times New Roman" w:hAnsi="Times New Roman" w:cs="Times New Roman"/>
                <w:sz w:val="24"/>
                <w:szCs w:val="24"/>
                <w:vertAlign w:val="subscript"/>
              </w:rPr>
              <w:t>p2i</w:t>
            </w:r>
            <w:r>
              <w:rPr>
                <w:rFonts w:ascii="Times New Roman" w:cs="Times New Roman" w:hAnsiTheme="minorEastAsia"/>
                <w:sz w:val="24"/>
                <w:szCs w:val="24"/>
              </w:rPr>
              <w:t>（</w:t>
            </w:r>
            <w:r>
              <w:rPr>
                <w:rFonts w:ascii="Times New Roman" w:hAnsi="Times New Roman" w:cs="Times New Roman"/>
                <w:sz w:val="24"/>
                <w:szCs w:val="24"/>
              </w:rPr>
              <w:t>T</w:t>
            </w:r>
            <w:r>
              <w:rPr>
                <w:rFonts w:ascii="Times New Roman" w:cs="Times New Roman" w:hAnsiTheme="minorEastAsia"/>
                <w:sz w:val="24"/>
                <w:szCs w:val="24"/>
              </w:rPr>
              <w:t>）</w:t>
            </w:r>
            <w:r>
              <w:rPr>
                <w:rFonts w:ascii="Times New Roman" w:hAnsi="Times New Roman" w:cs="Times New Roman"/>
                <w:sz w:val="24"/>
                <w:szCs w:val="24"/>
              </w:rPr>
              <w:t>--</w:t>
            </w:r>
            <w:r>
              <w:rPr>
                <w:rFonts w:ascii="Times New Roman" w:cs="Times New Roman" w:hAnsiTheme="minorEastAsia"/>
                <w:sz w:val="24"/>
                <w:szCs w:val="24"/>
              </w:rPr>
              <w:t>靠近围护结构处室外</w:t>
            </w:r>
            <w:r>
              <w:rPr>
                <w:rFonts w:ascii="Times New Roman" w:hAnsi="Times New Roman" w:cs="Times New Roman"/>
                <w:sz w:val="24"/>
                <w:szCs w:val="24"/>
              </w:rPr>
              <w:t>N</w:t>
            </w:r>
            <w:r>
              <w:rPr>
                <w:rFonts w:ascii="Times New Roman" w:cs="Times New Roman" w:hAnsiTheme="minorEastAsia"/>
                <w:sz w:val="24"/>
                <w:szCs w:val="24"/>
              </w:rPr>
              <w:t>个声源</w:t>
            </w:r>
            <w:r>
              <w:rPr>
                <w:rFonts w:ascii="Times New Roman" w:hAnsi="Times New Roman" w:cs="Times New Roman"/>
                <w:sz w:val="24"/>
                <w:szCs w:val="24"/>
              </w:rPr>
              <w:t>i</w:t>
            </w:r>
            <w:r>
              <w:rPr>
                <w:rFonts w:ascii="Times New Roman" w:cs="Times New Roman" w:hAnsiTheme="minorEastAsia"/>
                <w:sz w:val="24"/>
                <w:szCs w:val="24"/>
              </w:rPr>
              <w:t>倍频带的叠加声压级，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p1i</w:t>
            </w:r>
            <w:r>
              <w:rPr>
                <w:rFonts w:ascii="Times New Roman" w:cs="Times New Roman" w:hAnsiTheme="minorEastAsia"/>
                <w:sz w:val="24"/>
                <w:szCs w:val="24"/>
              </w:rPr>
              <w:t>（</w:t>
            </w:r>
            <w:r>
              <w:rPr>
                <w:rFonts w:ascii="Times New Roman" w:hAnsi="Times New Roman" w:cs="Times New Roman"/>
                <w:sz w:val="24"/>
                <w:szCs w:val="24"/>
              </w:rPr>
              <w:t>T</w:t>
            </w:r>
            <w:r>
              <w:rPr>
                <w:rFonts w:ascii="Times New Roman" w:cs="Times New Roman" w:hAnsiTheme="minorEastAsia"/>
                <w:sz w:val="24"/>
                <w:szCs w:val="24"/>
              </w:rPr>
              <w:t>）</w:t>
            </w:r>
            <w:r>
              <w:rPr>
                <w:rFonts w:ascii="Times New Roman" w:hAnsi="Times New Roman" w:cs="Times New Roman"/>
                <w:sz w:val="24"/>
                <w:szCs w:val="24"/>
              </w:rPr>
              <w:t>--</w:t>
            </w:r>
            <w:r>
              <w:rPr>
                <w:rFonts w:ascii="Times New Roman" w:cs="Times New Roman" w:hAnsiTheme="minorEastAsia"/>
                <w:sz w:val="24"/>
                <w:szCs w:val="24"/>
              </w:rPr>
              <w:t>靠近围护结构处室内</w:t>
            </w:r>
            <w:r>
              <w:rPr>
                <w:rFonts w:ascii="Times New Roman" w:hAnsi="Times New Roman" w:cs="Times New Roman"/>
                <w:sz w:val="24"/>
                <w:szCs w:val="24"/>
              </w:rPr>
              <w:t>N</w:t>
            </w:r>
            <w:r>
              <w:rPr>
                <w:rFonts w:ascii="Times New Roman" w:cs="Times New Roman" w:hAnsiTheme="minorEastAsia"/>
                <w:sz w:val="24"/>
                <w:szCs w:val="24"/>
              </w:rPr>
              <w:t>个声源</w:t>
            </w:r>
            <w:r>
              <w:rPr>
                <w:rFonts w:ascii="Times New Roman" w:hAnsi="Times New Roman" w:cs="Times New Roman"/>
                <w:sz w:val="24"/>
                <w:szCs w:val="24"/>
              </w:rPr>
              <w:t>i</w:t>
            </w:r>
            <w:r>
              <w:rPr>
                <w:rFonts w:ascii="Times New Roman" w:cs="Times New Roman" w:hAnsiTheme="minorEastAsia"/>
                <w:sz w:val="24"/>
                <w:szCs w:val="24"/>
              </w:rPr>
              <w:t>倍频带的叠加声压级，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TL</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cs="Times New Roman" w:hAnsiTheme="minorEastAsia"/>
                <w:sz w:val="24"/>
                <w:szCs w:val="24"/>
              </w:rPr>
              <w:t>围护结构</w:t>
            </w:r>
            <w:r>
              <w:rPr>
                <w:rFonts w:ascii="Times New Roman" w:hAnsi="Times New Roman" w:cs="Times New Roman"/>
                <w:sz w:val="24"/>
                <w:szCs w:val="24"/>
              </w:rPr>
              <w:t>i</w:t>
            </w:r>
            <w:r>
              <w:rPr>
                <w:rFonts w:ascii="Times New Roman" w:cs="Times New Roman" w:hAnsiTheme="minorEastAsia"/>
                <w:sz w:val="24"/>
                <w:szCs w:val="24"/>
              </w:rPr>
              <w:t>倍频带的隔声量，</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然后按式（</w:t>
            </w:r>
            <w:r>
              <w:rPr>
                <w:rFonts w:ascii="Times New Roman" w:cs="Times New Roman" w:hAnsiTheme="minorEastAsia"/>
                <w:sz w:val="24"/>
                <w:szCs w:val="24"/>
              </w:rPr>
              <w:t>B.5</w:t>
            </w:r>
            <w:r>
              <w:rPr>
                <w:rFonts w:hint="eastAsia" w:ascii="Times New Roman" w:cs="Times New Roman" w:hAnsiTheme="minorEastAsia"/>
                <w:sz w:val="24"/>
                <w:szCs w:val="24"/>
              </w:rPr>
              <w:t>）将室外声源的声压级和透过面积换算成等效的室外声源，计算出中心位置位于透声面积（</w:t>
            </w:r>
            <w:r>
              <w:rPr>
                <w:rFonts w:ascii="Times New Roman" w:cs="Times New Roman" w:hAnsiTheme="minorEastAsia"/>
                <w:sz w:val="24"/>
                <w:szCs w:val="24"/>
              </w:rPr>
              <w:t>S</w:t>
            </w:r>
            <w:r>
              <w:rPr>
                <w:rFonts w:hint="eastAsia" w:ascii="Times New Roman" w:cs="Times New Roman" w:hAnsiTheme="minorEastAsia"/>
                <w:sz w:val="24"/>
                <w:szCs w:val="24"/>
              </w:rPr>
              <w:t>）处的等效声源的倍频带声功率级。</w:t>
            </w:r>
          </w:p>
          <w:p>
            <w:pPr>
              <w:spacing w:line="360" w:lineRule="auto"/>
              <w:ind w:firstLine="480" w:firstLineChars="200"/>
              <w:jc w:val="center"/>
              <w:rPr>
                <w:rFonts w:ascii="Times New Roman" w:cs="Times New Roman" w:hAnsiTheme="minorEastAsia"/>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w</m:t>
                  </m:r>
                  <m:ctrlPr>
                    <w:rPr>
                      <w:rFonts w:ascii="Cambria Math" w:hAnsi="Times New Roman" w:cs="Times New Roman"/>
                      <w:sz w:val="24"/>
                      <w:szCs w:val="24"/>
                    </w:rPr>
                  </m:ctrlPr>
                </m:sub>
              </m:sSub>
              <m:r>
                <m:rPr/>
                <w:rPr>
                  <w:rFonts w:ascii="Cambria Math" w:hAnsi="Times New Roman" w:cs="Times New Roman"/>
                  <w:kern w:val="0"/>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2</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m:rPr/>
                    <w:rPr>
                      <w:rFonts w:ascii="Cambria Math" w:hAnsi="Cambria Math" w:cs="Times New Roman"/>
                      <w:kern w:val="0"/>
                      <w:sz w:val="24"/>
                      <w:szCs w:val="24"/>
                    </w:rPr>
                    <m:t>T</m:t>
                  </m:r>
                  <m:ctrlPr>
                    <w:rPr>
                      <w:rFonts w:ascii="Cambria Math" w:hAnsi="Times New Roman" w:cs="Times New Roman"/>
                      <w:kern w:val="0"/>
                      <w:sz w:val="24"/>
                      <w:szCs w:val="24"/>
                    </w:rPr>
                  </m:ctrlPr>
                </m:e>
              </m:d>
              <m:r>
                <m:rPr>
                  <m:sty m:val="p"/>
                </m:rPr>
                <w:rPr>
                  <w:rFonts w:ascii="Cambria Math" w:hAnsi="Cambria Math" w:cs="Times New Roman"/>
                  <w:kern w:val="0"/>
                  <w:sz w:val="24"/>
                  <w:szCs w:val="24"/>
                </w:rPr>
                <m:t>+10lgS</m:t>
              </m:r>
            </m:oMath>
            <w:r>
              <w:rPr>
                <w:rFonts w:hint="eastAsia" w:ascii="Times New Roman" w:cs="Times New Roman" w:hAnsiTheme="minorEastAsia"/>
                <w:sz w:val="24"/>
                <w:szCs w:val="24"/>
              </w:rPr>
              <w:t>（</w:t>
            </w:r>
            <w:r>
              <w:rPr>
                <w:rFonts w:ascii="Times New Roman" w:cs="Times New Roman" w:hAnsiTheme="minorEastAsia"/>
                <w:sz w:val="24"/>
                <w:szCs w:val="24"/>
              </w:rPr>
              <w:t>B.5</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式中：</w:t>
            </w:r>
            <w:r>
              <w:rPr>
                <w:rFonts w:ascii="Times New Roman" w:cs="Times New Roman" w:hAnsiTheme="minorEastAsia"/>
                <w:sz w:val="24"/>
                <w:szCs w:val="24"/>
              </w:rPr>
              <w:t>Lw</w:t>
            </w:r>
            <w:r>
              <w:rPr>
                <w:rFonts w:hint="eastAsia" w:ascii="Times New Roman" w:cs="Times New Roman" w:hAnsiTheme="minorEastAsia"/>
                <w:sz w:val="24"/>
                <w:szCs w:val="24"/>
              </w:rPr>
              <w:t>--中心位置位于透声面积（</w:t>
            </w:r>
            <w:r>
              <w:rPr>
                <w:rFonts w:ascii="Times New Roman" w:cs="Times New Roman" w:hAnsiTheme="minorEastAsia"/>
                <w:sz w:val="24"/>
                <w:szCs w:val="24"/>
              </w:rPr>
              <w:t>S</w:t>
            </w:r>
            <w:r>
              <w:rPr>
                <w:rFonts w:hint="eastAsia" w:ascii="Times New Roman" w:cs="Times New Roman" w:hAnsiTheme="minorEastAsia"/>
                <w:sz w:val="24"/>
                <w:szCs w:val="24"/>
              </w:rPr>
              <w:t>）处的等效声源的倍频带声功率级，</w:t>
            </w:r>
            <w:r>
              <w:rPr>
                <w:rFonts w:ascii="Times New Roman" w:cs="Times New Roman" w:hAnsiTheme="minorEastAsia"/>
                <w:sz w:val="24"/>
                <w:szCs w:val="24"/>
              </w:rPr>
              <w:t>dB</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L</w:t>
            </w:r>
            <w:r>
              <w:rPr>
                <w:rFonts w:ascii="Times New Roman" w:cs="Times New Roman" w:hAnsiTheme="minorEastAsia"/>
                <w:sz w:val="24"/>
                <w:szCs w:val="24"/>
                <w:vertAlign w:val="subscript"/>
              </w:rPr>
              <w:t>p2</w:t>
            </w:r>
            <w:r>
              <w:rPr>
                <w:rFonts w:ascii="Times New Roman" w:cs="Times New Roman" w:hAnsiTheme="minorEastAsia"/>
                <w:sz w:val="24"/>
                <w:szCs w:val="24"/>
              </w:rPr>
              <w:t>(T)</w:t>
            </w:r>
            <w:r>
              <w:rPr>
                <w:rFonts w:hint="eastAsia" w:ascii="Times New Roman" w:cs="Times New Roman" w:hAnsiTheme="minorEastAsia"/>
                <w:sz w:val="24"/>
                <w:szCs w:val="24"/>
              </w:rPr>
              <w:t>--靠近围护结构处室外声源的声压级，</w:t>
            </w:r>
            <w:r>
              <w:rPr>
                <w:rFonts w:ascii="Times New Roman" w:cs="Times New Roman" w:hAnsiTheme="minorEastAsia"/>
                <w:sz w:val="24"/>
                <w:szCs w:val="24"/>
              </w:rPr>
              <w:t>dB</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S</w:t>
            </w:r>
            <w:r>
              <w:rPr>
                <w:rFonts w:hint="eastAsia" w:ascii="Times New Roman" w:cs="Times New Roman" w:hAnsiTheme="minorEastAsia"/>
                <w:sz w:val="24"/>
                <w:szCs w:val="24"/>
              </w:rPr>
              <w:t>--透声面积，</w:t>
            </w:r>
            <w:r>
              <w:rPr>
                <w:rFonts w:ascii="Times New Roman" w:cs="Times New Roman" w:hAnsiTheme="minorEastAsia"/>
                <w:sz w:val="24"/>
                <w:szCs w:val="24"/>
              </w:rPr>
              <w:t>m2</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然后按室外声源预测方法计算预测点处的</w:t>
            </w:r>
            <w:r>
              <w:rPr>
                <w:rFonts w:ascii="Times New Roman" w:cs="Times New Roman" w:hAnsiTheme="minorEastAsia"/>
                <w:sz w:val="24"/>
                <w:szCs w:val="24"/>
              </w:rPr>
              <w:t>A</w:t>
            </w:r>
            <w:r>
              <w:rPr>
                <w:rFonts w:hint="eastAsia" w:ascii="Times New Roman" w:cs="Times New Roman" w:hAnsiTheme="minorEastAsia"/>
                <w:sz w:val="24"/>
                <w:szCs w:val="24"/>
              </w:rPr>
              <w:t>声级。</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②工业企业噪声计算</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设第i个室外声源在预测点产生的</w:t>
            </w:r>
            <w:r>
              <w:rPr>
                <w:rFonts w:ascii="Times New Roman" w:cs="Times New Roman" w:hAnsiTheme="minorEastAsia"/>
                <w:sz w:val="24"/>
                <w:szCs w:val="24"/>
              </w:rPr>
              <w:t>A</w:t>
            </w:r>
            <w:r>
              <w:rPr>
                <w:rFonts w:hint="eastAsia" w:ascii="Times New Roman" w:cs="Times New Roman" w:hAnsiTheme="minorEastAsia"/>
                <w:sz w:val="24"/>
                <w:szCs w:val="24"/>
              </w:rPr>
              <w:t>声级为L</w:t>
            </w:r>
            <w:r>
              <w:rPr>
                <w:rFonts w:hint="eastAsia" w:ascii="Times New Roman" w:cs="Times New Roman" w:hAnsiTheme="minorEastAsia"/>
                <w:sz w:val="24"/>
                <w:szCs w:val="24"/>
                <w:vertAlign w:val="subscript"/>
              </w:rPr>
              <w:t>Ai</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时间内该声源工作时间为t</w:t>
            </w:r>
            <w:r>
              <w:rPr>
                <w:rFonts w:hint="eastAsia" w:ascii="Times New Roman" w:cs="Times New Roman" w:hAnsiTheme="minorEastAsia"/>
                <w:sz w:val="24"/>
                <w:szCs w:val="24"/>
                <w:vertAlign w:val="subscript"/>
              </w:rPr>
              <w:t>i</w:t>
            </w:r>
            <w:r>
              <w:rPr>
                <w:rFonts w:hint="eastAsia" w:ascii="Times New Roman" w:cs="Times New Roman" w:hAnsiTheme="minorEastAsia"/>
                <w:sz w:val="24"/>
                <w:szCs w:val="24"/>
              </w:rPr>
              <w:t>；第j个等效室外声源在预测点产生的</w:t>
            </w:r>
            <w:r>
              <w:rPr>
                <w:rFonts w:ascii="Times New Roman" w:cs="Times New Roman" w:hAnsiTheme="minorEastAsia"/>
                <w:sz w:val="24"/>
                <w:szCs w:val="24"/>
              </w:rPr>
              <w:t>A</w:t>
            </w:r>
            <w:r>
              <w:rPr>
                <w:rFonts w:hint="eastAsia" w:ascii="Times New Roman" w:cs="Times New Roman" w:hAnsiTheme="minorEastAsia"/>
                <w:sz w:val="24"/>
                <w:szCs w:val="24"/>
              </w:rPr>
              <w:t>声级为L</w:t>
            </w:r>
            <w:r>
              <w:rPr>
                <w:rFonts w:ascii="Times New Roman" w:cs="Times New Roman" w:hAnsiTheme="minorEastAsia"/>
                <w:sz w:val="24"/>
                <w:szCs w:val="24"/>
                <w:vertAlign w:val="subscript"/>
              </w:rPr>
              <w:t>Aj</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时间内该声源工作时间为t</w:t>
            </w:r>
            <w:r>
              <w:rPr>
                <w:rFonts w:ascii="Times New Roman" w:cs="Times New Roman" w:hAnsiTheme="minorEastAsia"/>
                <w:sz w:val="24"/>
                <w:szCs w:val="24"/>
                <w:vertAlign w:val="subscript"/>
              </w:rPr>
              <w:t>j</w:t>
            </w:r>
            <w:r>
              <w:rPr>
                <w:rFonts w:hint="eastAsia" w:ascii="Times New Roman" w:cs="Times New Roman" w:hAnsiTheme="minorEastAsia"/>
                <w:sz w:val="24"/>
                <w:szCs w:val="24"/>
              </w:rPr>
              <w:t>，则拟建工程声源对预测点产生的贡献值（</w:t>
            </w:r>
            <w:r>
              <w:rPr>
                <w:rFonts w:ascii="Times New Roman" w:cs="Times New Roman" w:hAnsiTheme="minorEastAsia"/>
                <w:sz w:val="24"/>
                <w:szCs w:val="24"/>
              </w:rPr>
              <w:t>Leqg</w:t>
            </w:r>
            <w:r>
              <w:rPr>
                <w:rFonts w:hint="eastAsia" w:ascii="Times New Roman" w:cs="Times New Roman" w:hAnsiTheme="minorEastAsia"/>
                <w:sz w:val="24"/>
                <w:szCs w:val="24"/>
              </w:rPr>
              <w:t>）为：</w:t>
            </w:r>
          </w:p>
          <w:p>
            <w:pPr>
              <w:spacing w:line="360" w:lineRule="auto"/>
              <w:ind w:firstLine="480" w:firstLineChars="200"/>
              <w:rPr>
                <w:rFonts w:ascii="Times New Roman" w:cs="Times New Roman" w:hAnsiTheme="minorEastAsia"/>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m:sty m:val="p"/>
                    </m:rPr>
                    <w:rPr>
                      <w:rFonts w:ascii="Cambria Math" w:hAnsi="Cambria Math" w:cs="Times New Roman"/>
                      <w:sz w:val="24"/>
                      <w:szCs w:val="24"/>
                    </w:rPr>
                    <m:t>eqg</m:t>
                  </m:r>
                  <m:ctrlPr>
                    <w:rPr>
                      <w:rFonts w:ascii="Cambria Math" w:hAnsi="Times New Roman" w:cs="Times New Roman"/>
                      <w:sz w:val="24"/>
                      <w:szCs w:val="24"/>
                    </w:rPr>
                  </m:ctrlPr>
                </m:sub>
              </m:sSub>
              <m:r>
                <m:rPr/>
                <w:rPr>
                  <w:rFonts w:ascii="Cambria Math" w:hAnsi="Times New Roman" w:cs="Times New Roman"/>
                  <w:kern w:val="0"/>
                  <w:sz w:val="24"/>
                  <w:szCs w:val="24"/>
                </w:rPr>
                <m:t>=10</m:t>
              </m:r>
              <m:func>
                <m:funcPr>
                  <m:ctrlPr>
                    <w:rPr>
                      <w:rFonts w:ascii="Cambria Math" w:hAnsi="Cambria Math" w:cs="Cambria Math"/>
                      <w:kern w:val="0"/>
                      <w:sz w:val="24"/>
                      <w:szCs w:val="24"/>
                    </w:rPr>
                  </m:ctrlPr>
                </m:funcPr>
                <m:fName>
                  <m:r>
                    <m:rPr>
                      <m:sty m:val="p"/>
                    </m:rPr>
                    <w:rPr>
                      <w:rFonts w:ascii="Cambria Math" w:hAnsi="Times New Roman" w:cs="Times New Roman"/>
                      <w:kern w:val="0"/>
                      <w:sz w:val="24"/>
                      <w:szCs w:val="24"/>
                    </w:rPr>
                    <m:t>lg</m:t>
                  </m:r>
                  <m:ctrlPr>
                    <w:rPr>
                      <w:rFonts w:ascii="Cambria Math" w:hAnsi="Times New Roman" w:cs="Times New Roman"/>
                      <w:kern w:val="0"/>
                      <w:sz w:val="24"/>
                      <w:szCs w:val="24"/>
                    </w:rPr>
                  </m:ctrlPr>
                </m:fName>
                <m:e>
                  <m:func>
                    <m:funcPr>
                      <m:ctrlPr>
                        <w:rPr>
                          <w:rFonts w:ascii="Cambria Math" w:hAnsi="Cambria Math" w:cs="Times New Roman"/>
                          <w:kern w:val="0"/>
                          <w:sz w:val="24"/>
                          <w:szCs w:val="24"/>
                        </w:rPr>
                      </m:ctrlPr>
                    </m:funcPr>
                    <m:fName>
                      <m:r>
                        <m:rPr>
                          <m:sty m:val="p"/>
                        </m:rPr>
                        <w:rPr>
                          <w:rFonts w:ascii="Cambria Math" w:hAnsi="Times New Roman" w:cs="Times New Roman"/>
                          <w:kern w:val="0"/>
                          <w:sz w:val="24"/>
                          <w:szCs w:val="24"/>
                        </w:rPr>
                        <m:t>[</m:t>
                      </m:r>
                      <m:ctrlPr>
                        <w:rPr>
                          <w:rFonts w:ascii="Cambria Math" w:hAnsi="Times New Roman" w:cs="Times New Roman"/>
                          <w:kern w:val="0"/>
                          <w:sz w:val="24"/>
                          <w:szCs w:val="24"/>
                        </w:rPr>
                      </m:ctrlPr>
                    </m:fName>
                    <m:e>
                      <m:f>
                        <m:fPr>
                          <m:ctrlPr>
                            <w:rPr>
                              <w:rFonts w:ascii="Cambria Math" w:hAnsi="Cambria Math" w:cs="Times New Roman"/>
                              <w:sz w:val="24"/>
                              <w:szCs w:val="24"/>
                            </w:rPr>
                          </m:ctrlPr>
                        </m:fPr>
                        <m:num>
                          <m:r>
                            <m:rPr>
                              <m:sty m:val="p"/>
                            </m:rPr>
                            <w:rPr>
                              <w:rFonts w:ascii="Cambria Math" w:hAnsi="Cambria Math" w:cs="Cambria Math"/>
                              <w:sz w:val="24"/>
                              <w:szCs w:val="24"/>
                            </w:rPr>
                            <m:t>1</m:t>
                          </m:r>
                          <m:ctrlPr>
                            <w:rPr>
                              <w:rFonts w:ascii="Cambria Math" w:hAnsi="Cambria Math" w:cs="Times New Roman"/>
                              <w:sz w:val="24"/>
                              <w:szCs w:val="24"/>
                            </w:rPr>
                          </m:ctrlPr>
                        </m:num>
                        <m:den>
                          <m:r>
                            <m:rPr>
                              <m:sty m:val="p"/>
                            </m:rPr>
                            <w:rPr>
                              <w:rFonts w:ascii="Cambria Math" w:hAnsi="Cambria Math" w:cs="Cambria Math"/>
                              <w:sz w:val="24"/>
                              <w:szCs w:val="24"/>
                            </w:rPr>
                            <m:t>T</m:t>
                          </m:r>
                          <m:ctrlPr>
                            <w:rPr>
                              <w:rFonts w:ascii="Cambria Math" w:hAnsi="Cambria Math" w:cs="Times New Roman"/>
                              <w:sz w:val="24"/>
                              <w:szCs w:val="24"/>
                            </w:rPr>
                          </m:ctrlPr>
                        </m:den>
                      </m:f>
                      <m:d>
                        <m:dPr>
                          <m:begChr m:val="（"/>
                          <m:endChr m:val="）"/>
                          <m:ctrlPr>
                            <w:rPr>
                              <w:rFonts w:ascii="Cambria Math" w:hAnsi="Cambria Math" w:cs="Times New Roman"/>
                              <w:kern w:val="0"/>
                              <w:sz w:val="24"/>
                              <w:szCs w:val="24"/>
                            </w:rPr>
                          </m:ctrlPr>
                        </m:dPr>
                        <m:e>
                          <m:nary>
                            <m:naryPr>
                              <m:chr m:val="∑"/>
                              <m:grow m:val="1"/>
                              <m:ctrlPr>
                                <w:rPr>
                                  <w:rFonts w:ascii="Cambria Math" w:hAnsi="Times New Roman" w:cs="Times New Roman"/>
                                  <w:kern w:val="0"/>
                                  <w:sz w:val="24"/>
                                  <w:szCs w:val="24"/>
                                </w:rPr>
                              </m:ctrlPr>
                            </m:naryPr>
                            <m:sub>
                              <m:r>
                                <m:rPr/>
                                <w:rPr>
                                  <w:rFonts w:ascii="Cambria Math" w:hAnsi="Times New Roman" w:cs="Times New Roman"/>
                                  <w:kern w:val="0"/>
                                  <w:sz w:val="24"/>
                                  <w:szCs w:val="24"/>
                                </w:rPr>
                                <m:t>i=1</m:t>
                              </m:r>
                              <m:ctrlPr>
                                <w:rPr>
                                  <w:rFonts w:ascii="Cambria Math" w:hAnsi="Times New Roman" w:cs="Times New Roman"/>
                                  <w:kern w:val="0"/>
                                  <w:sz w:val="24"/>
                                  <w:szCs w:val="24"/>
                                </w:rPr>
                              </m:ctrlPr>
                            </m:sub>
                            <m:sup>
                              <m:r>
                                <m:rPr/>
                                <w:rPr>
                                  <w:rFonts w:ascii="Cambria Math" w:hAnsi="Cambria Math" w:cs="Times New Roman"/>
                                  <w:kern w:val="0"/>
                                  <w:sz w:val="24"/>
                                  <w:szCs w:val="24"/>
                                </w:rPr>
                                <m:t>N</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m:rPr/>
                                        <w:rPr>
                                          <w:rFonts w:ascii="Cambria Math" w:hAnsi="Cambria Math" w:cs="Times New Roman"/>
                                          <w:sz w:val="24"/>
                                          <w:szCs w:val="24"/>
                                        </w:rPr>
                                        <m:t>t</m:t>
                                      </m:r>
                                      <m:ctrlPr>
                                        <w:rPr>
                                          <w:rFonts w:ascii="Cambria Math" w:hAnsi="Times New Roman" w:cs="Times New Roman"/>
                                          <w:sz w:val="24"/>
                                          <w:szCs w:val="24"/>
                                        </w:rPr>
                                      </m:ctrlPr>
                                    </m:e>
                                    <m:sub>
                                      <m:r>
                                        <m:rPr>
                                          <m:sty m:val="p"/>
                                        </m:rPr>
                                        <w:rPr>
                                          <w:rFonts w:ascii="Cambria Math" w:hAnsi="Cambria Math" w:cs="Times New Roman"/>
                                          <w:sz w:val="24"/>
                                          <w:szCs w:val="24"/>
                                        </w:rPr>
                                        <m:t>i</m:t>
                                      </m:r>
                                      <m:ctrlPr>
                                        <w:rPr>
                                          <w:rFonts w:ascii="Cambria Math" w:hAnsi="Times New Roman" w:cs="Times New Roman"/>
                                          <w:sz w:val="24"/>
                                          <w:szCs w:val="24"/>
                                        </w:rPr>
                                      </m:ctrlPr>
                                    </m:sub>
                                  </m:sSub>
                                  <m:r>
                                    <m:rPr/>
                                    <w:rPr>
                                      <w:rFonts w:ascii="Cambria Math" w:hAnsi="Times New Roman" w:cs="Times New Roman"/>
                                      <w:kern w:val="0"/>
                                      <w:sz w:val="24"/>
                                      <w:szCs w:val="24"/>
                                    </w:rPr>
                                    <m:t>10</m:t>
                                  </m:r>
                                  <m:ctrlPr>
                                    <w:rPr>
                                      <w:rFonts w:ascii="Cambria Math" w:hAnsi="Times New Roman" w:cs="Times New Roman"/>
                                      <w:kern w:val="0"/>
                                      <w:sz w:val="24"/>
                                      <w:szCs w:val="24"/>
                                    </w:rPr>
                                  </m:ctrlPr>
                                </m:e>
                                <m:sup>
                                  <m:r>
                                    <m:rPr/>
                                    <w:rPr>
                                      <w:rFonts w:ascii="Cambria Math" w:hAnsi="Times New Roman" w:cs="Times New Roman"/>
                                      <w:kern w:val="0"/>
                                      <w:sz w:val="24"/>
                                      <w:szCs w:val="24"/>
                                    </w:rPr>
                                    <m:t>0.</m:t>
                                  </m:r>
                                  <m:sSub>
                                    <m:sSubPr>
                                      <m:ctrlPr>
                                        <w:rPr>
                                          <w:rFonts w:ascii="Cambria Math" w:hAnsi="Times New Roman" w:cs="Times New Roman"/>
                                          <w:sz w:val="24"/>
                                          <w:szCs w:val="24"/>
                                        </w:rPr>
                                      </m:ctrlPr>
                                    </m:sSubPr>
                                    <m:e>
                                      <m:r>
                                        <m:rPr/>
                                        <w:rPr>
                                          <w:rFonts w:ascii="Cambria Math" w:hAnsi="Times New Roman" w:cs="Times New Roman"/>
                                          <w:sz w:val="24"/>
                                          <w:szCs w:val="24"/>
                                        </w:rPr>
                                        <m:t>1</m:t>
                                      </m:r>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A</m:t>
                                      </m:r>
                                      <m:r>
                                        <m:rPr>
                                          <m:sty m:val="p"/>
                                        </m:rPr>
                                        <w:rPr>
                                          <w:rFonts w:ascii="Cambria Math" w:hAnsi="Times New Roman" w:cs="Times New Roman"/>
                                          <w:sz w:val="24"/>
                                          <w:szCs w:val="24"/>
                                        </w:rPr>
                                        <m:t>i</m:t>
                                      </m:r>
                                      <m:ctrlPr>
                                        <w:rPr>
                                          <w:rFonts w:ascii="Cambria Math" w:hAnsi="Times New Roman" w:cs="Times New Roman"/>
                                          <w:sz w:val="24"/>
                                          <w:szCs w:val="24"/>
                                        </w:rPr>
                                      </m:ctrlPr>
                                    </m:sub>
                                  </m:sSub>
                                  <m:ctrlPr>
                                    <w:rPr>
                                      <w:rFonts w:ascii="Cambria Math" w:hAnsi="Times New Roman" w:cs="Times New Roman"/>
                                      <w:kern w:val="0"/>
                                      <w:sz w:val="24"/>
                                      <w:szCs w:val="24"/>
                                    </w:rPr>
                                  </m:ctrlPr>
                                </m:sup>
                              </m:sSup>
                              <m:r>
                                <m:rPr>
                                  <m:sty m:val="p"/>
                                </m:rPr>
                                <w:rPr>
                                  <w:rFonts w:ascii="Cambria Math" w:cs="Times New Roman" w:hAnsiTheme="minorEastAsia"/>
                                  <w:kern w:val="0"/>
                                  <w:sz w:val="24"/>
                                  <w:szCs w:val="24"/>
                                </w:rPr>
                                <m:t>+</m:t>
                              </m:r>
                              <m:ctrlPr>
                                <w:rPr>
                                  <w:rFonts w:ascii="Cambria Math" w:hAnsi="Times New Roman" w:cs="Times New Roman"/>
                                  <w:kern w:val="0"/>
                                  <w:sz w:val="24"/>
                                  <w:szCs w:val="24"/>
                                </w:rPr>
                              </m:ctrlPr>
                            </m:e>
                          </m:nary>
                          <m:nary>
                            <m:naryPr>
                              <m:chr m:val="∑"/>
                              <m:grow m:val="1"/>
                              <m:ctrlPr>
                                <w:rPr>
                                  <w:rFonts w:ascii="Cambria Math" w:hAnsi="Times New Roman" w:cs="Times New Roman"/>
                                  <w:kern w:val="0"/>
                                  <w:sz w:val="24"/>
                                  <w:szCs w:val="24"/>
                                </w:rPr>
                              </m:ctrlPr>
                            </m:naryPr>
                            <m:sub>
                              <m:r>
                                <m:rPr/>
                                <w:rPr>
                                  <w:rFonts w:ascii="Cambria Math" w:hAnsi="Times New Roman" w:cs="Times New Roman"/>
                                  <w:kern w:val="0"/>
                                  <w:sz w:val="24"/>
                                  <w:szCs w:val="24"/>
                                </w:rPr>
                                <m:t>j=1</m:t>
                              </m:r>
                              <m:ctrlPr>
                                <w:rPr>
                                  <w:rFonts w:ascii="Cambria Math" w:hAnsi="Times New Roman" w:cs="Times New Roman"/>
                                  <w:kern w:val="0"/>
                                  <w:sz w:val="24"/>
                                  <w:szCs w:val="24"/>
                                </w:rPr>
                              </m:ctrlPr>
                            </m:sub>
                            <m:sup>
                              <m:r>
                                <m:rPr/>
                                <w:rPr>
                                  <w:rFonts w:ascii="Cambria Math" w:hAnsi="Cambria Math" w:cs="Times New Roman"/>
                                  <w:kern w:val="0"/>
                                  <w:sz w:val="24"/>
                                  <w:szCs w:val="24"/>
                                </w:rPr>
                                <m:t>M</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m:rPr/>
                                        <w:rPr>
                                          <w:rFonts w:ascii="Cambria Math" w:hAnsi="Cambria Math" w:cs="Times New Roman"/>
                                          <w:sz w:val="24"/>
                                          <w:szCs w:val="24"/>
                                        </w:rPr>
                                        <m:t>t</m:t>
                                      </m:r>
                                      <m:ctrlPr>
                                        <w:rPr>
                                          <w:rFonts w:ascii="Cambria Math" w:hAnsi="Times New Roman" w:cs="Times New Roman"/>
                                          <w:sz w:val="24"/>
                                          <w:szCs w:val="24"/>
                                        </w:rPr>
                                      </m:ctrlPr>
                                    </m:e>
                                    <m:sub>
                                      <m:r>
                                        <m:rPr>
                                          <m:sty m:val="p"/>
                                        </m:rPr>
                                        <w:rPr>
                                          <w:rFonts w:ascii="Cambria Math" w:hAnsi="Cambria Math" w:cs="Times New Roman"/>
                                          <w:sz w:val="24"/>
                                          <w:szCs w:val="24"/>
                                        </w:rPr>
                                        <m:t>j</m:t>
                                      </m:r>
                                      <m:ctrlPr>
                                        <w:rPr>
                                          <w:rFonts w:ascii="Cambria Math" w:hAnsi="Times New Roman" w:cs="Times New Roman"/>
                                          <w:sz w:val="24"/>
                                          <w:szCs w:val="24"/>
                                        </w:rPr>
                                      </m:ctrlPr>
                                    </m:sub>
                                  </m:sSub>
                                  <m:r>
                                    <m:rPr/>
                                    <w:rPr>
                                      <w:rFonts w:ascii="Cambria Math" w:hAnsi="Times New Roman" w:cs="Times New Roman"/>
                                      <w:kern w:val="0"/>
                                      <w:sz w:val="24"/>
                                      <w:szCs w:val="24"/>
                                    </w:rPr>
                                    <m:t>10</m:t>
                                  </m:r>
                                  <m:ctrlPr>
                                    <w:rPr>
                                      <w:rFonts w:ascii="Cambria Math" w:hAnsi="Times New Roman" w:cs="Times New Roman"/>
                                      <w:kern w:val="0"/>
                                      <w:sz w:val="24"/>
                                      <w:szCs w:val="24"/>
                                    </w:rPr>
                                  </m:ctrlPr>
                                </m:e>
                                <m:sup>
                                  <m:r>
                                    <m:rPr/>
                                    <w:rPr>
                                      <w:rFonts w:ascii="Cambria Math" w:hAnsi="Times New Roman" w:cs="Times New Roman"/>
                                      <w:kern w:val="0"/>
                                      <w:sz w:val="24"/>
                                      <w:szCs w:val="24"/>
                                    </w:rPr>
                                    <m:t>0.</m:t>
                                  </m:r>
                                  <m:sSub>
                                    <m:sSubPr>
                                      <m:ctrlPr>
                                        <w:rPr>
                                          <w:rFonts w:ascii="Cambria Math" w:hAnsi="Times New Roman" w:cs="Times New Roman"/>
                                          <w:sz w:val="24"/>
                                          <w:szCs w:val="24"/>
                                        </w:rPr>
                                      </m:ctrlPr>
                                    </m:sSubPr>
                                    <m:e>
                                      <m:r>
                                        <m:rPr/>
                                        <w:rPr>
                                          <w:rFonts w:ascii="Cambria Math" w:hAnsi="Times New Roman" w:cs="Times New Roman"/>
                                          <w:sz w:val="24"/>
                                          <w:szCs w:val="24"/>
                                        </w:rPr>
                                        <m:t>1</m:t>
                                      </m:r>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A</m:t>
                                      </m:r>
                                      <m:r>
                                        <m:rPr>
                                          <m:sty m:val="p"/>
                                        </m:rPr>
                                        <w:rPr>
                                          <w:rFonts w:ascii="Cambria Math" w:hAnsi="Times New Roman" w:cs="Times New Roman"/>
                                          <w:sz w:val="24"/>
                                          <w:szCs w:val="24"/>
                                        </w:rPr>
                                        <m:t>j</m:t>
                                      </m:r>
                                      <m:ctrlPr>
                                        <w:rPr>
                                          <w:rFonts w:ascii="Cambria Math" w:hAnsi="Times New Roman" w:cs="Times New Roman"/>
                                          <w:sz w:val="24"/>
                                          <w:szCs w:val="24"/>
                                        </w:rPr>
                                      </m:ctrlPr>
                                    </m:sub>
                                  </m:sSub>
                                  <m:ctrlPr>
                                    <w:rPr>
                                      <w:rFonts w:ascii="Cambria Math" w:hAnsi="Times New Roman" w:cs="Times New Roman"/>
                                      <w:kern w:val="0"/>
                                      <w:sz w:val="24"/>
                                      <w:szCs w:val="24"/>
                                    </w:rPr>
                                  </m:ctrlPr>
                                </m:sup>
                              </m:sSup>
                              <m:ctrlPr>
                                <w:rPr>
                                  <w:rFonts w:ascii="Cambria Math" w:hAnsi="Times New Roman" w:cs="Times New Roman"/>
                                  <w:kern w:val="0"/>
                                  <w:sz w:val="24"/>
                                  <w:szCs w:val="24"/>
                                </w:rPr>
                              </m:ctrlPr>
                            </m:e>
                          </m:nary>
                          <m:ctrlPr>
                            <w:rPr>
                              <w:rFonts w:ascii="Cambria Math" w:hAnsi="Cambria Math" w:cs="Times New Roman"/>
                              <w:kern w:val="0"/>
                              <w:sz w:val="24"/>
                              <w:szCs w:val="24"/>
                            </w:rPr>
                          </m:ctrlPr>
                        </m:e>
                      </m:d>
                      <m:ctrlPr>
                        <w:rPr>
                          <w:rFonts w:ascii="Cambria Math" w:hAnsi="Cambria Math" w:cs="Times New Roman"/>
                          <w:i/>
                          <w:sz w:val="24"/>
                          <w:szCs w:val="24"/>
                        </w:rPr>
                      </m:ctrlPr>
                    </m:e>
                  </m:func>
                  <m:ctrlPr>
                    <w:rPr>
                      <w:rFonts w:ascii="Cambria Math" w:hAnsi="Cambria Math" w:cs="Times New Roman"/>
                      <w:i/>
                      <w:sz w:val="24"/>
                      <w:szCs w:val="24"/>
                    </w:rPr>
                  </m:ctrlPr>
                </m:e>
              </m:func>
              <m:r>
                <m:rPr>
                  <m:sty m:val="p"/>
                </m:rPr>
                <w:rPr>
                  <w:rFonts w:ascii="Cambria Math" w:cs="Times New Roman" w:hAnsiTheme="minorEastAsia"/>
                  <w:kern w:val="0"/>
                  <w:sz w:val="24"/>
                  <w:szCs w:val="24"/>
                </w:rPr>
                <m:t>]</m:t>
              </m:r>
            </m:oMath>
            <w:r>
              <w:rPr>
                <w:rFonts w:hint="eastAsia" w:ascii="Times New Roman" w:cs="Times New Roman" w:hAnsiTheme="minorEastAsia"/>
                <w:sz w:val="24"/>
                <w:szCs w:val="24"/>
              </w:rPr>
              <w:t>（</w:t>
            </w:r>
            <w:r>
              <w:rPr>
                <w:rFonts w:ascii="Times New Roman" w:cs="Times New Roman" w:hAnsiTheme="minorEastAsia"/>
                <w:sz w:val="24"/>
                <w:szCs w:val="24"/>
              </w:rPr>
              <w:t>B.6</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式中：</w:t>
            </w:r>
            <w:r>
              <w:rPr>
                <w:rFonts w:ascii="Times New Roman" w:cs="Times New Roman" w:hAnsiTheme="minorEastAsia"/>
                <w:sz w:val="24"/>
                <w:szCs w:val="24"/>
              </w:rPr>
              <w:t>Leqg--</w:t>
            </w:r>
            <w:r>
              <w:rPr>
                <w:rFonts w:hint="eastAsia" w:ascii="Times New Roman" w:cs="Times New Roman" w:hAnsiTheme="minorEastAsia"/>
                <w:sz w:val="24"/>
                <w:szCs w:val="24"/>
              </w:rPr>
              <w:t>建设项目声源在预测点产生的噪声贡献值，</w:t>
            </w:r>
            <w:r>
              <w:rPr>
                <w:rFonts w:ascii="Times New Roman" w:cs="Times New Roman" w:hAnsiTheme="minorEastAsia"/>
                <w:sz w:val="24"/>
                <w:szCs w:val="24"/>
              </w:rPr>
              <w:t>dB</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T--</w:t>
            </w:r>
            <w:r>
              <w:rPr>
                <w:rFonts w:hint="eastAsia" w:ascii="Times New Roman" w:cs="Times New Roman" w:hAnsiTheme="minorEastAsia"/>
                <w:sz w:val="24"/>
                <w:szCs w:val="24"/>
              </w:rPr>
              <w:t>用于计算等效声级的时间，</w:t>
            </w:r>
            <w:r>
              <w:rPr>
                <w:rFonts w:ascii="Times New Roman" w:cs="Times New Roman" w:hAnsiTheme="minorEastAsia"/>
                <w:sz w:val="24"/>
                <w:szCs w:val="24"/>
              </w:rPr>
              <w:t>s</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N--</w:t>
            </w:r>
            <w:r>
              <w:rPr>
                <w:rFonts w:hint="eastAsia" w:ascii="Times New Roman" w:cs="Times New Roman" w:hAnsiTheme="minorEastAsia"/>
                <w:sz w:val="24"/>
                <w:szCs w:val="24"/>
              </w:rPr>
              <w:t>室外声源个数；</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ti</w:t>
            </w:r>
            <w:r>
              <w:rPr>
                <w:rFonts w:ascii="Times New Roman" w:cs="Times New Roman" w:hAnsiTheme="minorEastAsia"/>
                <w:sz w:val="24"/>
                <w:szCs w:val="24"/>
              </w:rPr>
              <w:t>--</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w:t>
            </w:r>
            <w:r>
              <w:rPr>
                <w:rFonts w:ascii="Times New Roman" w:cs="Times New Roman" w:hAnsiTheme="minorEastAsia"/>
                <w:sz w:val="24"/>
                <w:szCs w:val="24"/>
              </w:rPr>
              <w:t>i</w:t>
            </w:r>
            <w:r>
              <w:rPr>
                <w:rFonts w:hint="eastAsia" w:ascii="Times New Roman" w:cs="Times New Roman" w:hAnsiTheme="minorEastAsia"/>
                <w:sz w:val="24"/>
                <w:szCs w:val="24"/>
              </w:rPr>
              <w:t>声源工作时间，</w:t>
            </w:r>
            <w:r>
              <w:rPr>
                <w:rFonts w:ascii="Times New Roman" w:cs="Times New Roman" w:hAnsiTheme="minorEastAsia"/>
                <w:sz w:val="24"/>
                <w:szCs w:val="24"/>
              </w:rPr>
              <w:t>s</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M--</w:t>
            </w:r>
            <w:r>
              <w:rPr>
                <w:rFonts w:hint="eastAsia" w:ascii="Times New Roman" w:cs="Times New Roman" w:hAnsiTheme="minorEastAsia"/>
                <w:sz w:val="24"/>
                <w:szCs w:val="24"/>
              </w:rPr>
              <w:t>等效室外声源个数；</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tj</w:t>
            </w:r>
            <w:r>
              <w:rPr>
                <w:rFonts w:ascii="Times New Roman" w:cs="Times New Roman" w:hAnsiTheme="minorEastAsia"/>
                <w:sz w:val="24"/>
                <w:szCs w:val="24"/>
              </w:rPr>
              <w:t>--</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w:t>
            </w:r>
            <w:r>
              <w:rPr>
                <w:rFonts w:ascii="Times New Roman" w:cs="Times New Roman" w:hAnsiTheme="minorEastAsia"/>
                <w:sz w:val="24"/>
                <w:szCs w:val="24"/>
              </w:rPr>
              <w:t>j</w:t>
            </w:r>
            <w:r>
              <w:rPr>
                <w:rFonts w:hint="eastAsia" w:ascii="Times New Roman" w:cs="Times New Roman" w:hAnsiTheme="minorEastAsia"/>
                <w:sz w:val="24"/>
                <w:szCs w:val="24"/>
              </w:rPr>
              <w:t>声源工作时间，</w:t>
            </w:r>
            <w:r>
              <w:rPr>
                <w:rFonts w:ascii="Times New Roman" w:cs="Times New Roman" w:hAnsiTheme="minorEastAsia"/>
                <w:sz w:val="24"/>
                <w:szCs w:val="24"/>
              </w:rPr>
              <w:t>s</w:t>
            </w:r>
            <w:r>
              <w:rPr>
                <w:rFonts w:hint="eastAsia" w:ascii="Times New Roman" w:cs="Times New Roman" w:hAnsiTheme="minorEastAsia"/>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③</w:t>
            </w:r>
            <w:r>
              <w:rPr>
                <w:rFonts w:ascii="Times New Roman" w:hAnsi="Times New Roman" w:cs="Times New Roman"/>
                <w:b/>
                <w:sz w:val="24"/>
                <w:szCs w:val="24"/>
              </w:rPr>
              <w:t>预测值计算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预测点的贡献值和背景值按能量叠加方法计算得到的声级。噪声预测值（Leq）计算公式为：</w:t>
            </w:r>
          </w:p>
          <w:p>
            <w:pPr>
              <w:spacing w:line="360" w:lineRule="auto"/>
              <w:jc w:val="center"/>
              <w:rPr>
                <w:rFonts w:ascii="宋体" w:eastAsia="宋体" w:cs="宋体"/>
                <w:kern w:val="0"/>
              </w:rPr>
            </w:pPr>
            <w:r>
              <w:rPr>
                <w:rFonts w:ascii="Times New Roman" w:hAnsi="Times New Roman" w:cs="Times New Roman"/>
                <w:sz w:val="24"/>
                <w:szCs w:val="24"/>
              </w:rPr>
              <w:object>
                <v:shape id="_x0000_i1025" o:spt="75" type="#_x0000_t75" style="height:20.45pt;width:141.9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式中：</w:t>
            </w:r>
            <w:r>
              <w:rPr>
                <w:rFonts w:ascii="Times New Roman" w:hAnsi="Times New Roman" w:cs="Times New Roman"/>
                <w:sz w:val="24"/>
                <w:szCs w:val="24"/>
              </w:rPr>
              <w:t>Leq</w:t>
            </w:r>
            <w:r>
              <w:rPr>
                <w:rFonts w:hint="eastAsia" w:ascii="Times New Roman" w:hAnsi="Times New Roman" w:cs="Times New Roman"/>
                <w:sz w:val="24"/>
                <w:szCs w:val="24"/>
              </w:rPr>
              <w:t>--预测点的噪声预测值，</w:t>
            </w:r>
            <w:r>
              <w:rPr>
                <w:rFonts w:ascii="Times New Roman" w:hAnsi="Times New Roman" w:cs="Times New Roman"/>
                <w:sz w:val="24"/>
                <w:szCs w:val="24"/>
              </w:rPr>
              <w:t>dB</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w:t>
            </w:r>
            <w:r>
              <w:rPr>
                <w:rFonts w:hint="eastAsia" w:ascii="Times New Roman" w:hAnsi="Times New Roman" w:cs="Times New Roman"/>
                <w:sz w:val="24"/>
                <w:szCs w:val="24"/>
              </w:rPr>
              <w:t>--建设项目声源在预测点产生的噪声贡献值，</w:t>
            </w:r>
            <w:r>
              <w:rPr>
                <w:rFonts w:ascii="Times New Roman" w:hAnsi="Times New Roman" w:cs="Times New Roman"/>
                <w:sz w:val="24"/>
                <w:szCs w:val="24"/>
              </w:rPr>
              <w:t>dB</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Leqb</w:t>
            </w:r>
            <w:r>
              <w:rPr>
                <w:rFonts w:hint="eastAsia" w:ascii="Times New Roman" w:hAnsi="Times New Roman" w:cs="Times New Roman"/>
                <w:sz w:val="24"/>
                <w:szCs w:val="24"/>
              </w:rPr>
              <w:t>--预测点的背景噪声值，</w:t>
            </w:r>
            <w:r>
              <w:rPr>
                <w:rFonts w:ascii="Times New Roman" w:hAnsi="Times New Roman" w:cs="Times New Roman"/>
                <w:sz w:val="24"/>
                <w:szCs w:val="24"/>
              </w:rPr>
              <w:t>dB</w:t>
            </w:r>
            <w:r>
              <w:rPr>
                <w:rFonts w:hint="eastAsia" w:ascii="Times New Roman" w:hAnsi="Times New Roman"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宋体" w:hAnsi="宋体" w:eastAsia="宋体" w:cs="宋体"/>
                <w:b/>
                <w:sz w:val="24"/>
                <w:szCs w:val="24"/>
              </w:rPr>
              <w:t>④</w:t>
            </w:r>
            <w:r>
              <w:rPr>
                <w:rFonts w:ascii="Times New Roman" w:hAnsi="Times New Roman" w:cs="Times New Roman"/>
                <w:b/>
                <w:sz w:val="24"/>
                <w:szCs w:val="24"/>
              </w:rPr>
              <w:t>预测点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预测点均设置为东、南、西、北四个厂界。</w:t>
            </w:r>
          </w:p>
          <w:p>
            <w:pPr>
              <w:spacing w:line="360" w:lineRule="auto"/>
              <w:ind w:firstLine="482" w:firstLineChars="200"/>
              <w:rPr>
                <w:rFonts w:ascii="Times New Roman" w:hAnsi="Times New Roman" w:cs="Times New Roman"/>
                <w:b/>
                <w:sz w:val="24"/>
                <w:szCs w:val="24"/>
              </w:rPr>
            </w:pPr>
            <w:r>
              <w:rPr>
                <w:rFonts w:hint="eastAsia" w:ascii="宋体" w:hAnsi="宋体" w:eastAsia="宋体" w:cs="宋体"/>
                <w:b/>
                <w:sz w:val="24"/>
                <w:szCs w:val="24"/>
              </w:rPr>
              <w:t>⑤</w:t>
            </w:r>
            <w:r>
              <w:rPr>
                <w:rFonts w:ascii="Times New Roman" w:hAnsi="Times New Roman" w:cs="Times New Roman"/>
                <w:b/>
                <w:sz w:val="24"/>
                <w:szCs w:val="24"/>
              </w:rPr>
              <w:t>预测结果与评价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经过预测，项目厂界</w:t>
            </w:r>
            <w:r>
              <w:rPr>
                <w:rFonts w:hint="eastAsia" w:ascii="Times New Roman" w:hAnsi="Times New Roman" w:cs="Times New Roman"/>
                <w:sz w:val="24"/>
                <w:szCs w:val="24"/>
              </w:rPr>
              <w:t>（厂房）</w:t>
            </w:r>
            <w:r>
              <w:rPr>
                <w:rFonts w:ascii="Times New Roman" w:hAnsi="Times New Roman" w:cs="Times New Roman"/>
                <w:sz w:val="24"/>
                <w:szCs w:val="24"/>
              </w:rPr>
              <w:t>东、南、西、北预测点的噪声</w:t>
            </w:r>
            <w:r>
              <w:rPr>
                <w:rFonts w:hint="eastAsia" w:ascii="Times New Roman" w:hAnsi="Times New Roman" w:cs="Times New Roman"/>
                <w:sz w:val="24"/>
                <w:szCs w:val="24"/>
              </w:rPr>
              <w:t>噪声贡献值预测</w:t>
            </w:r>
            <w:r>
              <w:rPr>
                <w:rFonts w:ascii="Times New Roman" w:hAnsi="Times New Roman" w:cs="Times New Roman"/>
                <w:sz w:val="24"/>
                <w:szCs w:val="24"/>
              </w:rPr>
              <w:t>结果如下表所示。</w:t>
            </w:r>
          </w:p>
          <w:p>
            <w:pPr>
              <w:jc w:val="center"/>
              <w:rPr>
                <w:rFonts w:ascii="Times New Roman" w:hAnsi="Times New Roman" w:cs="Times New Roman"/>
                <w:b/>
                <w:szCs w:val="24"/>
              </w:rPr>
            </w:pPr>
            <w:r>
              <w:rPr>
                <w:rFonts w:ascii="Times New Roman" w:hAnsi="Times New Roman" w:cs="Times New Roman"/>
                <w:b/>
                <w:szCs w:val="24"/>
              </w:rPr>
              <w:t>表4.2.3-2 项目建成后预测点的噪声</w:t>
            </w:r>
            <w:r>
              <w:rPr>
                <w:rFonts w:hint="eastAsia" w:ascii="Times New Roman" w:hAnsi="Times New Roman" w:cs="Times New Roman"/>
                <w:b/>
                <w:szCs w:val="24"/>
              </w:rPr>
              <w:t>贡献值</w:t>
            </w:r>
            <w:r>
              <w:rPr>
                <w:rFonts w:ascii="Times New Roman" w:hAnsi="Times New Roman" w:cs="Times New Roman"/>
                <w:b/>
                <w:szCs w:val="24"/>
              </w:rPr>
              <w:t xml:space="preserve">  单位：dB（A）</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903"/>
              <w:gridCol w:w="1806"/>
              <w:gridCol w:w="1826"/>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3" w:type="dxa"/>
                  <w:vAlign w:val="center"/>
                </w:tcPr>
                <w:p>
                  <w:pPr>
                    <w:pStyle w:val="28"/>
                    <w:spacing w:line="360" w:lineRule="exact"/>
                    <w:rPr>
                      <w:color w:val="auto"/>
                      <w:szCs w:val="21"/>
                    </w:rPr>
                  </w:pPr>
                  <w:r>
                    <w:rPr>
                      <w:color w:val="auto"/>
                      <w:szCs w:val="21"/>
                    </w:rPr>
                    <w:t>预测值</w:t>
                  </w:r>
                </w:p>
              </w:tc>
              <w:tc>
                <w:tcPr>
                  <w:tcW w:w="1903" w:type="dxa"/>
                  <w:vAlign w:val="center"/>
                </w:tcPr>
                <w:p>
                  <w:pPr>
                    <w:pStyle w:val="28"/>
                    <w:spacing w:line="360" w:lineRule="exact"/>
                    <w:rPr>
                      <w:color w:val="auto"/>
                      <w:szCs w:val="21"/>
                    </w:rPr>
                  </w:pPr>
                  <w:r>
                    <w:rPr>
                      <w:color w:val="auto"/>
                      <w:szCs w:val="21"/>
                    </w:rPr>
                    <w:t>厂界东</w:t>
                  </w:r>
                </w:p>
              </w:tc>
              <w:tc>
                <w:tcPr>
                  <w:tcW w:w="1806" w:type="dxa"/>
                  <w:vAlign w:val="center"/>
                </w:tcPr>
                <w:p>
                  <w:pPr>
                    <w:pStyle w:val="28"/>
                    <w:spacing w:line="360" w:lineRule="exact"/>
                    <w:rPr>
                      <w:color w:val="auto"/>
                      <w:szCs w:val="21"/>
                    </w:rPr>
                  </w:pPr>
                  <w:r>
                    <w:rPr>
                      <w:color w:val="auto"/>
                      <w:szCs w:val="21"/>
                    </w:rPr>
                    <w:t>厂界南</w:t>
                  </w:r>
                </w:p>
              </w:tc>
              <w:tc>
                <w:tcPr>
                  <w:tcW w:w="1826" w:type="dxa"/>
                  <w:vAlign w:val="center"/>
                </w:tcPr>
                <w:p>
                  <w:pPr>
                    <w:pStyle w:val="28"/>
                    <w:spacing w:line="360" w:lineRule="exact"/>
                    <w:rPr>
                      <w:color w:val="auto"/>
                      <w:szCs w:val="21"/>
                    </w:rPr>
                  </w:pPr>
                  <w:r>
                    <w:rPr>
                      <w:color w:val="auto"/>
                      <w:szCs w:val="21"/>
                    </w:rPr>
                    <w:t>厂界西</w:t>
                  </w:r>
                </w:p>
              </w:tc>
              <w:tc>
                <w:tcPr>
                  <w:tcW w:w="1767" w:type="dxa"/>
                  <w:vAlign w:val="center"/>
                </w:tcPr>
                <w:p>
                  <w:pPr>
                    <w:pStyle w:val="28"/>
                    <w:spacing w:line="360" w:lineRule="exact"/>
                    <w:rPr>
                      <w:color w:val="auto"/>
                      <w:szCs w:val="21"/>
                    </w:rPr>
                  </w:pPr>
                  <w:r>
                    <w:rPr>
                      <w:color w:val="auto"/>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pPr>
                    <w:pStyle w:val="28"/>
                    <w:spacing w:line="360" w:lineRule="exact"/>
                    <w:rPr>
                      <w:color w:val="auto"/>
                      <w:szCs w:val="21"/>
                    </w:rPr>
                  </w:pPr>
                  <w:r>
                    <w:rPr>
                      <w:color w:val="auto"/>
                      <w:szCs w:val="21"/>
                    </w:rPr>
                    <w:t>昼</w:t>
                  </w:r>
                </w:p>
              </w:tc>
              <w:tc>
                <w:tcPr>
                  <w:tcW w:w="1903"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36.5</w:t>
                  </w:r>
                </w:p>
              </w:tc>
              <w:tc>
                <w:tcPr>
                  <w:tcW w:w="1806"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48.1</w:t>
                  </w:r>
                </w:p>
              </w:tc>
              <w:tc>
                <w:tcPr>
                  <w:tcW w:w="1826"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51.3</w:t>
                  </w:r>
                </w:p>
              </w:tc>
              <w:tc>
                <w:tcPr>
                  <w:tcW w:w="176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w:t>
                  </w:r>
                  <w:r>
                    <w:rPr>
                      <w:rFonts w:hint="eastAsia" w:ascii="Times New Roman" w:hAnsi="Times New Roman" w:eastAsia="宋体" w:cs="Times New Roman"/>
                      <w:kern w:val="3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pPr>
                    <w:pStyle w:val="28"/>
                    <w:spacing w:line="360" w:lineRule="exact"/>
                    <w:rPr>
                      <w:color w:val="auto"/>
                      <w:szCs w:val="21"/>
                    </w:rPr>
                  </w:pPr>
                  <w:r>
                    <w:rPr>
                      <w:color w:val="auto"/>
                      <w:szCs w:val="21"/>
                    </w:rPr>
                    <w:t>夜</w:t>
                  </w:r>
                </w:p>
              </w:tc>
              <w:tc>
                <w:tcPr>
                  <w:tcW w:w="1903"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36.5</w:t>
                  </w:r>
                </w:p>
              </w:tc>
              <w:tc>
                <w:tcPr>
                  <w:tcW w:w="1806"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48.1</w:t>
                  </w:r>
                </w:p>
              </w:tc>
              <w:tc>
                <w:tcPr>
                  <w:tcW w:w="1826"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51.3</w:t>
                  </w:r>
                </w:p>
              </w:tc>
              <w:tc>
                <w:tcPr>
                  <w:tcW w:w="176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w:t>
                  </w:r>
                  <w:r>
                    <w:rPr>
                      <w:rFonts w:hint="eastAsia" w:ascii="Times New Roman" w:hAnsi="Times New Roman" w:eastAsia="宋体" w:cs="Times New Roman"/>
                      <w:kern w:val="32"/>
                    </w:rPr>
                    <w:t>3.2</w:t>
                  </w:r>
                </w:p>
              </w:tc>
            </w:tr>
          </w:tbl>
          <w:p>
            <w:pPr>
              <w:spacing w:beforeLines="50"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-2008）3类标准要求。</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（3）对环境保护目标影响预测</w:t>
            </w:r>
          </w:p>
          <w:p>
            <w:pPr>
              <w:pStyle w:val="36"/>
              <w:ind w:firstLine="480"/>
              <w:rPr>
                <w:rFonts w:eastAsiaTheme="minorEastAsia"/>
                <w:szCs w:val="24"/>
              </w:rPr>
            </w:pPr>
            <w:r>
              <w:rPr>
                <w:rFonts w:eastAsiaTheme="minorEastAsia"/>
                <w:szCs w:val="24"/>
              </w:rPr>
              <w:t>根据项目环境保护目标分布，项目区声环境</w:t>
            </w:r>
            <w:r>
              <w:rPr>
                <w:rFonts w:hint="eastAsia" w:eastAsiaTheme="minorEastAsia"/>
                <w:szCs w:val="24"/>
              </w:rPr>
              <w:t>50m</w:t>
            </w:r>
            <w:r>
              <w:rPr>
                <w:rFonts w:eastAsiaTheme="minorEastAsia"/>
                <w:szCs w:val="24"/>
              </w:rPr>
              <w:t>评价范围内无声环境保护目标，因此项目噪声对环境影响较小。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（4）自行监测要求</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①竣工验收监测要求</w:t>
            </w:r>
          </w:p>
          <w:p>
            <w:pPr>
              <w:pStyle w:val="36"/>
              <w:ind w:firstLine="480"/>
              <w:rPr>
                <w:rFonts w:eastAsiaTheme="minorEastAsia"/>
                <w:szCs w:val="24"/>
              </w:rPr>
            </w:pPr>
            <w:r>
              <w:rPr>
                <w:rFonts w:hint="eastAsia" w:eastAsiaTheme="minorEastAsia"/>
                <w:szCs w:val="24"/>
              </w:rPr>
              <w:t>根据《建设项目竣工环境保护验收技术指南</w:t>
            </w:r>
            <w:r>
              <w:rPr>
                <w:rFonts w:eastAsiaTheme="minorEastAsia"/>
                <w:szCs w:val="24"/>
              </w:rPr>
              <w:t xml:space="preserve"> </w:t>
            </w:r>
            <w:r>
              <w:rPr>
                <w:rFonts w:hint="eastAsia" w:eastAsiaTheme="minorEastAsia"/>
                <w:szCs w:val="24"/>
              </w:rPr>
              <w:t>污染影响类》的要求，项目竣工验收噪声监测计划如下表所示。</w:t>
            </w:r>
          </w:p>
          <w:p>
            <w:pPr>
              <w:pStyle w:val="30"/>
              <w:spacing w:beforeLines="0"/>
              <w:rPr>
                <w:rFonts w:hAnsi="Times New Roman" w:eastAsiaTheme="minorEastAsia"/>
                <w:sz w:val="21"/>
                <w:szCs w:val="21"/>
              </w:rPr>
            </w:pPr>
            <w:r>
              <w:rPr>
                <w:rFonts w:hAnsi="Times New Roman" w:eastAsiaTheme="minorEastAsia"/>
                <w:sz w:val="21"/>
                <w:szCs w:val="21"/>
              </w:rPr>
              <w:t>表4.2.3-</w:t>
            </w:r>
            <w:r>
              <w:rPr>
                <w:rFonts w:hint="eastAsia" w:hAnsi="Times New Roman" w:eastAsiaTheme="minorEastAsia"/>
                <w:sz w:val="21"/>
                <w:szCs w:val="21"/>
              </w:rPr>
              <w:t>4</w:t>
            </w:r>
            <w:r>
              <w:rPr>
                <w:rFonts w:hAnsi="Times New Roman" w:eastAsiaTheme="minorEastAsia"/>
                <w:sz w:val="21"/>
                <w:szCs w:val="21"/>
              </w:rPr>
              <w:t xml:space="preserve">  厂界噪声</w:t>
            </w:r>
            <w:r>
              <w:rPr>
                <w:rFonts w:hint="eastAsia" w:hAnsi="Times New Roman" w:eastAsiaTheme="minorEastAsia"/>
                <w:sz w:val="21"/>
                <w:szCs w:val="21"/>
              </w:rPr>
              <w:t>竣工验收</w:t>
            </w:r>
            <w:r>
              <w:rPr>
                <w:rFonts w:hAnsi="Times New Roman" w:eastAsiaTheme="minorEastAsia"/>
                <w:sz w:val="21"/>
                <w:szCs w:val="21"/>
              </w:rPr>
              <w:t>监测计划一览表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8"/>
                    <w:widowControl w:val="0"/>
                    <w:spacing w:line="360" w:lineRule="exact"/>
                    <w:rPr>
                      <w:rFonts w:eastAsiaTheme="minorEastAsia"/>
                      <w:color w:val="auto"/>
                    </w:rPr>
                  </w:pPr>
                  <w:r>
                    <w:rPr>
                      <w:rFonts w:eastAsiaTheme="minorEastAsia"/>
                      <w:color w:val="auto"/>
                    </w:rPr>
                    <w:t>对象</w:t>
                  </w:r>
                </w:p>
              </w:tc>
              <w:tc>
                <w:tcPr>
                  <w:tcW w:w="1276" w:type="dxa"/>
                  <w:vAlign w:val="center"/>
                </w:tcPr>
                <w:p>
                  <w:pPr>
                    <w:pStyle w:val="28"/>
                    <w:widowControl w:val="0"/>
                    <w:spacing w:line="360" w:lineRule="exact"/>
                    <w:rPr>
                      <w:rFonts w:eastAsiaTheme="minorEastAsia"/>
                      <w:color w:val="auto"/>
                    </w:rPr>
                  </w:pPr>
                  <w:r>
                    <w:rPr>
                      <w:rFonts w:eastAsiaTheme="minorEastAsia"/>
                      <w:color w:val="auto"/>
                    </w:rPr>
                    <w:t>监测点位</w:t>
                  </w:r>
                </w:p>
              </w:tc>
              <w:tc>
                <w:tcPr>
                  <w:tcW w:w="1417" w:type="dxa"/>
                  <w:vAlign w:val="center"/>
                </w:tcPr>
                <w:p>
                  <w:pPr>
                    <w:pStyle w:val="28"/>
                    <w:widowControl w:val="0"/>
                    <w:spacing w:line="360" w:lineRule="exact"/>
                    <w:rPr>
                      <w:rFonts w:eastAsiaTheme="minorEastAsia"/>
                      <w:color w:val="auto"/>
                    </w:rPr>
                  </w:pPr>
                  <w:r>
                    <w:rPr>
                      <w:rFonts w:eastAsiaTheme="minorEastAsia"/>
                      <w:color w:val="auto"/>
                    </w:rPr>
                    <w:t>监测因子</w:t>
                  </w:r>
                </w:p>
              </w:tc>
              <w:tc>
                <w:tcPr>
                  <w:tcW w:w="1701" w:type="dxa"/>
                  <w:vAlign w:val="center"/>
                </w:tcPr>
                <w:p>
                  <w:pPr>
                    <w:pStyle w:val="28"/>
                    <w:widowControl w:val="0"/>
                    <w:spacing w:line="360" w:lineRule="exact"/>
                    <w:rPr>
                      <w:rFonts w:eastAsiaTheme="minorEastAsia"/>
                      <w:color w:val="auto"/>
                    </w:rPr>
                  </w:pPr>
                  <w:r>
                    <w:rPr>
                      <w:rFonts w:eastAsiaTheme="minorEastAsia"/>
                      <w:color w:val="auto"/>
                    </w:rPr>
                    <w:t>监测频率</w:t>
                  </w:r>
                </w:p>
              </w:tc>
              <w:tc>
                <w:tcPr>
                  <w:tcW w:w="3476" w:type="dxa"/>
                  <w:vAlign w:val="center"/>
                </w:tcPr>
                <w:p>
                  <w:pPr>
                    <w:pStyle w:val="28"/>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8"/>
                    <w:widowControl w:val="0"/>
                    <w:spacing w:line="360" w:lineRule="exact"/>
                    <w:rPr>
                      <w:rFonts w:eastAsiaTheme="minorEastAsia"/>
                      <w:color w:val="auto"/>
                    </w:rPr>
                  </w:pPr>
                  <w:r>
                    <w:rPr>
                      <w:rFonts w:eastAsiaTheme="minorEastAsia"/>
                      <w:color w:val="auto"/>
                    </w:rPr>
                    <w:t>噪声</w:t>
                  </w:r>
                </w:p>
              </w:tc>
              <w:tc>
                <w:tcPr>
                  <w:tcW w:w="1276" w:type="dxa"/>
                  <w:vAlign w:val="center"/>
                </w:tcPr>
                <w:p>
                  <w:pPr>
                    <w:pStyle w:val="28"/>
                    <w:widowControl w:val="0"/>
                    <w:spacing w:line="360" w:lineRule="exact"/>
                    <w:rPr>
                      <w:rFonts w:eastAsiaTheme="minorEastAsia"/>
                      <w:color w:val="auto"/>
                    </w:rPr>
                  </w:pPr>
                  <w:r>
                    <w:rPr>
                      <w:rFonts w:eastAsiaTheme="minorEastAsia"/>
                      <w:color w:val="auto"/>
                    </w:rPr>
                    <w:t>厂界四周</w:t>
                  </w:r>
                </w:p>
              </w:tc>
              <w:tc>
                <w:tcPr>
                  <w:tcW w:w="1417" w:type="dxa"/>
                  <w:vAlign w:val="center"/>
                </w:tcPr>
                <w:p>
                  <w:pPr>
                    <w:pStyle w:val="28"/>
                    <w:widowControl w:val="0"/>
                    <w:spacing w:line="360" w:lineRule="exact"/>
                    <w:rPr>
                      <w:rFonts w:eastAsiaTheme="minorEastAsia"/>
                      <w:color w:val="auto"/>
                    </w:rPr>
                  </w:pPr>
                  <w:r>
                    <w:rPr>
                      <w:rFonts w:eastAsiaTheme="minorEastAsia"/>
                      <w:color w:val="auto"/>
                    </w:rPr>
                    <w:t>等效连续A声级</w:t>
                  </w:r>
                </w:p>
              </w:tc>
              <w:tc>
                <w:tcPr>
                  <w:tcW w:w="1701" w:type="dxa"/>
                  <w:vAlign w:val="center"/>
                </w:tcPr>
                <w:p>
                  <w:pPr>
                    <w:pStyle w:val="28"/>
                    <w:widowControl w:val="0"/>
                    <w:spacing w:line="360" w:lineRule="exact"/>
                    <w:rPr>
                      <w:rFonts w:eastAsiaTheme="minorEastAsia"/>
                      <w:color w:val="auto"/>
                    </w:rPr>
                  </w:pPr>
                  <w:r>
                    <w:rPr>
                      <w:rFonts w:hint="eastAsia" w:eastAsiaTheme="minorEastAsia"/>
                      <w:color w:val="auto"/>
                      <w:szCs w:val="21"/>
                    </w:rPr>
                    <w:t>监测2天、每天昼夜各</w:t>
                  </w:r>
                  <w:r>
                    <w:rPr>
                      <w:rFonts w:eastAsiaTheme="minorEastAsia"/>
                      <w:color w:val="auto"/>
                      <w:szCs w:val="21"/>
                    </w:rPr>
                    <w:t>1</w:t>
                  </w:r>
                  <w:r>
                    <w:rPr>
                      <w:rFonts w:hint="eastAsia" w:eastAsiaTheme="minorEastAsia"/>
                      <w:color w:val="auto"/>
                      <w:szCs w:val="21"/>
                    </w:rPr>
                    <w:t>次</w:t>
                  </w:r>
                </w:p>
              </w:tc>
              <w:tc>
                <w:tcPr>
                  <w:tcW w:w="3476" w:type="dxa"/>
                  <w:vAlign w:val="center"/>
                </w:tcPr>
                <w:p>
                  <w:pPr>
                    <w:pStyle w:val="28"/>
                    <w:widowControl w:val="0"/>
                    <w:spacing w:line="360" w:lineRule="exact"/>
                    <w:ind w:firstLine="210" w:firstLineChars="100"/>
                    <w:jc w:val="both"/>
                    <w:rPr>
                      <w:rFonts w:eastAsiaTheme="minorEastAsia"/>
                      <w:color w:val="auto"/>
                    </w:rPr>
                  </w:pPr>
                  <w:r>
                    <w:rPr>
                      <w:color w:val="auto"/>
                      <w:szCs w:val="21"/>
                    </w:rPr>
                    <w:t>《工业企业厂界环境噪声排放标准》（GB</w:t>
                  </w:r>
                  <w:r>
                    <w:rPr>
                      <w:rFonts w:hint="eastAsia"/>
                      <w:color w:val="auto"/>
                      <w:szCs w:val="21"/>
                      <w:lang w:eastAsia="zh-CN"/>
                    </w:rPr>
                    <w:t>*****</w:t>
                  </w:r>
                  <w:r>
                    <w:rPr>
                      <w:color w:val="auto"/>
                      <w:szCs w:val="21"/>
                    </w:rPr>
                    <w:t>-2008）中</w:t>
                  </w:r>
                  <w:r>
                    <w:rPr>
                      <w:rFonts w:hint="eastAsia"/>
                      <w:color w:val="auto"/>
                      <w:szCs w:val="21"/>
                    </w:rPr>
                    <w:t>3</w:t>
                  </w:r>
                  <w:r>
                    <w:rPr>
                      <w:color w:val="auto"/>
                      <w:szCs w:val="21"/>
                    </w:rPr>
                    <w:t>类标准</w:t>
                  </w:r>
                </w:p>
              </w:tc>
            </w:tr>
          </w:tbl>
          <w:p>
            <w:pPr>
              <w:spacing w:beforeLines="50" w:line="360" w:lineRule="auto"/>
              <w:ind w:firstLine="482" w:firstLineChars="200"/>
              <w:rPr>
                <w:rFonts w:ascii="Times New Roman" w:hAnsi="Times New Roman"/>
                <w:b/>
                <w:sz w:val="24"/>
                <w:szCs w:val="24"/>
              </w:rPr>
            </w:pPr>
            <w:r>
              <w:rPr>
                <w:rFonts w:hint="eastAsia" w:ascii="Times New Roman" w:hAnsi="Times New Roman"/>
                <w:b/>
                <w:sz w:val="24"/>
                <w:szCs w:val="24"/>
              </w:rPr>
              <w:t>②自行监测要求</w:t>
            </w:r>
          </w:p>
          <w:p>
            <w:pPr>
              <w:pStyle w:val="36"/>
              <w:ind w:firstLine="480"/>
              <w:rPr>
                <w:szCs w:val="24"/>
              </w:rPr>
            </w:pPr>
            <w:r>
              <w:rPr>
                <w:szCs w:val="24"/>
              </w:rPr>
              <w:t>根据</w:t>
            </w:r>
            <w:r>
              <w:rPr>
                <w:rFonts w:hint="eastAsia"/>
                <w:szCs w:val="24"/>
              </w:rPr>
              <w:t>《排污单位自行监测技术指南 总则》（HJ</w:t>
            </w:r>
            <w:r>
              <w:rPr>
                <w:rFonts w:hint="eastAsia"/>
                <w:szCs w:val="24"/>
                <w:lang w:eastAsia="zh-CN"/>
              </w:rPr>
              <w:t>***</w:t>
            </w:r>
            <w:r>
              <w:rPr>
                <w:rFonts w:hint="eastAsia"/>
                <w:szCs w:val="24"/>
              </w:rPr>
              <w:t>-2017）及《排污单位自行监测技术指南 工业固体废物和危险废物治理》（HJ</w:t>
            </w:r>
            <w:r>
              <w:rPr>
                <w:rFonts w:hint="eastAsia"/>
                <w:szCs w:val="24"/>
                <w:lang w:eastAsia="zh-CN"/>
              </w:rPr>
              <w:t>****</w:t>
            </w:r>
            <w:r>
              <w:rPr>
                <w:rFonts w:hint="eastAsia"/>
                <w:szCs w:val="24"/>
              </w:rPr>
              <w:t>-2022）</w:t>
            </w:r>
            <w:r>
              <w:rPr>
                <w:szCs w:val="24"/>
              </w:rPr>
              <w:t>的要求，项目噪声自行监测要求如下表所示。</w:t>
            </w:r>
          </w:p>
          <w:p>
            <w:pPr>
              <w:pStyle w:val="30"/>
              <w:spacing w:beforeLines="0"/>
              <w:rPr>
                <w:rFonts w:hAnsi="Times New Roman" w:eastAsiaTheme="minorEastAsia"/>
                <w:sz w:val="21"/>
                <w:szCs w:val="21"/>
              </w:rPr>
            </w:pPr>
            <w:r>
              <w:rPr>
                <w:rFonts w:hAnsi="Times New Roman" w:eastAsiaTheme="minorEastAsia"/>
                <w:sz w:val="21"/>
                <w:szCs w:val="21"/>
              </w:rPr>
              <w:t>表4.2.3-3厂界噪声自行监测计划一览表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275"/>
              <w:gridCol w:w="1560"/>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8"/>
                    <w:widowControl w:val="0"/>
                    <w:spacing w:line="360" w:lineRule="exact"/>
                    <w:rPr>
                      <w:rFonts w:eastAsiaTheme="minorEastAsia"/>
                      <w:color w:val="auto"/>
                    </w:rPr>
                  </w:pPr>
                  <w:r>
                    <w:rPr>
                      <w:rFonts w:eastAsiaTheme="minorEastAsia"/>
                      <w:color w:val="auto"/>
                    </w:rPr>
                    <w:t>对象</w:t>
                  </w:r>
                </w:p>
              </w:tc>
              <w:tc>
                <w:tcPr>
                  <w:tcW w:w="1276" w:type="dxa"/>
                  <w:vAlign w:val="center"/>
                </w:tcPr>
                <w:p>
                  <w:pPr>
                    <w:pStyle w:val="28"/>
                    <w:widowControl w:val="0"/>
                    <w:spacing w:line="360" w:lineRule="exact"/>
                    <w:rPr>
                      <w:rFonts w:eastAsiaTheme="minorEastAsia"/>
                      <w:color w:val="auto"/>
                    </w:rPr>
                  </w:pPr>
                  <w:r>
                    <w:rPr>
                      <w:rFonts w:eastAsiaTheme="minorEastAsia"/>
                      <w:color w:val="auto"/>
                    </w:rPr>
                    <w:t>监测点位</w:t>
                  </w:r>
                </w:p>
              </w:tc>
              <w:tc>
                <w:tcPr>
                  <w:tcW w:w="1275" w:type="dxa"/>
                  <w:vAlign w:val="center"/>
                </w:tcPr>
                <w:p>
                  <w:pPr>
                    <w:pStyle w:val="28"/>
                    <w:widowControl w:val="0"/>
                    <w:spacing w:line="360" w:lineRule="exact"/>
                    <w:rPr>
                      <w:rFonts w:eastAsiaTheme="minorEastAsia"/>
                      <w:color w:val="auto"/>
                    </w:rPr>
                  </w:pPr>
                  <w:r>
                    <w:rPr>
                      <w:rFonts w:eastAsiaTheme="minorEastAsia"/>
                      <w:color w:val="auto"/>
                    </w:rPr>
                    <w:t>监测因子</w:t>
                  </w:r>
                </w:p>
              </w:tc>
              <w:tc>
                <w:tcPr>
                  <w:tcW w:w="1560" w:type="dxa"/>
                  <w:vAlign w:val="center"/>
                </w:tcPr>
                <w:p>
                  <w:pPr>
                    <w:pStyle w:val="28"/>
                    <w:widowControl w:val="0"/>
                    <w:spacing w:line="360" w:lineRule="exact"/>
                    <w:rPr>
                      <w:rFonts w:eastAsiaTheme="minorEastAsia"/>
                      <w:color w:val="auto"/>
                    </w:rPr>
                  </w:pPr>
                  <w:r>
                    <w:rPr>
                      <w:rFonts w:eastAsiaTheme="minorEastAsia"/>
                      <w:color w:val="auto"/>
                    </w:rPr>
                    <w:t>最低监测频率</w:t>
                  </w:r>
                </w:p>
              </w:tc>
              <w:tc>
                <w:tcPr>
                  <w:tcW w:w="3759" w:type="dxa"/>
                  <w:vAlign w:val="center"/>
                </w:tcPr>
                <w:p>
                  <w:pPr>
                    <w:pStyle w:val="28"/>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8"/>
                    <w:widowControl w:val="0"/>
                    <w:spacing w:line="360" w:lineRule="exact"/>
                    <w:rPr>
                      <w:rFonts w:eastAsiaTheme="minorEastAsia"/>
                      <w:color w:val="auto"/>
                    </w:rPr>
                  </w:pPr>
                  <w:r>
                    <w:rPr>
                      <w:rFonts w:eastAsiaTheme="minorEastAsia"/>
                      <w:color w:val="auto"/>
                    </w:rPr>
                    <w:t>噪声</w:t>
                  </w:r>
                </w:p>
              </w:tc>
              <w:tc>
                <w:tcPr>
                  <w:tcW w:w="1276" w:type="dxa"/>
                  <w:vAlign w:val="center"/>
                </w:tcPr>
                <w:p>
                  <w:pPr>
                    <w:pStyle w:val="28"/>
                    <w:widowControl w:val="0"/>
                    <w:spacing w:line="360" w:lineRule="exact"/>
                    <w:rPr>
                      <w:rFonts w:eastAsiaTheme="minorEastAsia"/>
                      <w:color w:val="auto"/>
                    </w:rPr>
                  </w:pPr>
                  <w:r>
                    <w:rPr>
                      <w:rFonts w:eastAsiaTheme="minorEastAsia"/>
                      <w:color w:val="auto"/>
                    </w:rPr>
                    <w:t>厂界四周</w:t>
                  </w:r>
                </w:p>
              </w:tc>
              <w:tc>
                <w:tcPr>
                  <w:tcW w:w="1275" w:type="dxa"/>
                  <w:vAlign w:val="center"/>
                </w:tcPr>
                <w:p>
                  <w:pPr>
                    <w:pStyle w:val="28"/>
                    <w:widowControl w:val="0"/>
                    <w:spacing w:line="360" w:lineRule="exact"/>
                    <w:rPr>
                      <w:rFonts w:eastAsiaTheme="minorEastAsia"/>
                      <w:color w:val="auto"/>
                    </w:rPr>
                  </w:pPr>
                  <w:r>
                    <w:rPr>
                      <w:rFonts w:eastAsiaTheme="minorEastAsia"/>
                      <w:color w:val="auto"/>
                    </w:rPr>
                    <w:t>等效连续A声级</w:t>
                  </w:r>
                </w:p>
              </w:tc>
              <w:tc>
                <w:tcPr>
                  <w:tcW w:w="1560" w:type="dxa"/>
                  <w:vAlign w:val="center"/>
                </w:tcPr>
                <w:p>
                  <w:pPr>
                    <w:pStyle w:val="28"/>
                    <w:widowControl w:val="0"/>
                    <w:spacing w:line="360" w:lineRule="exact"/>
                    <w:rPr>
                      <w:rFonts w:eastAsiaTheme="minorEastAsia"/>
                      <w:color w:val="auto"/>
                    </w:rPr>
                  </w:pPr>
                  <w:r>
                    <w:rPr>
                      <w:rFonts w:eastAsiaTheme="minorEastAsia"/>
                      <w:color w:val="auto"/>
                    </w:rPr>
                    <w:t>1次/季度</w:t>
                  </w:r>
                </w:p>
              </w:tc>
              <w:tc>
                <w:tcPr>
                  <w:tcW w:w="3759" w:type="dxa"/>
                  <w:vAlign w:val="center"/>
                </w:tcPr>
                <w:p>
                  <w:pPr>
                    <w:pStyle w:val="28"/>
                    <w:widowControl w:val="0"/>
                    <w:spacing w:line="360" w:lineRule="exact"/>
                    <w:ind w:firstLine="210" w:firstLineChars="100"/>
                    <w:jc w:val="both"/>
                    <w:rPr>
                      <w:rFonts w:eastAsiaTheme="minorEastAsia"/>
                      <w:color w:val="auto"/>
                    </w:rPr>
                  </w:pPr>
                  <w:r>
                    <w:rPr>
                      <w:rFonts w:hint="eastAsia"/>
                      <w:color w:val="auto"/>
                      <w:szCs w:val="21"/>
                    </w:rPr>
                    <w:t>厂界</w:t>
                  </w:r>
                  <w:r>
                    <w:rPr>
                      <w:color w:val="auto"/>
                      <w:szCs w:val="21"/>
                    </w:rPr>
                    <w:t>《工业企业厂界环境噪声排放标准》（GB</w:t>
                  </w:r>
                  <w:r>
                    <w:rPr>
                      <w:rFonts w:hint="eastAsia"/>
                      <w:color w:val="auto"/>
                      <w:szCs w:val="21"/>
                      <w:lang w:eastAsia="zh-CN"/>
                    </w:rPr>
                    <w:t>*****</w:t>
                  </w:r>
                  <w:r>
                    <w:rPr>
                      <w:color w:val="auto"/>
                      <w:szCs w:val="21"/>
                    </w:rPr>
                    <w:t>-2008）中</w:t>
                  </w:r>
                  <w:r>
                    <w:rPr>
                      <w:rFonts w:hint="eastAsia"/>
                      <w:color w:val="auto"/>
                      <w:szCs w:val="21"/>
                    </w:rPr>
                    <w:t>3</w:t>
                  </w:r>
                  <w:r>
                    <w:rPr>
                      <w:color w:val="auto"/>
                      <w:szCs w:val="21"/>
                    </w:rPr>
                    <w:t>类标准</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根据项目工程内容及生产工艺，该项目</w:t>
            </w:r>
            <w:r>
              <w:rPr>
                <w:rFonts w:hint="eastAsia" w:ascii="Times New Roman" w:hAnsi="Times New Roman" w:cs="Times New Roman"/>
                <w:sz w:val="24"/>
                <w:szCs w:val="24"/>
              </w:rPr>
              <w:t>无生活设施，因此无生活固废产生，项目</w:t>
            </w:r>
            <w:r>
              <w:rPr>
                <w:rFonts w:ascii="Times New Roman" w:hAnsi="Times New Roman" w:cs="Times New Roman"/>
                <w:sz w:val="24"/>
                <w:szCs w:val="24"/>
              </w:rPr>
              <w:t>产生的固体废物包括：</w:t>
            </w:r>
            <w:r>
              <w:rPr>
                <w:rFonts w:hint="eastAsia" w:ascii="Times New Roman" w:hAnsi="Times New Roman" w:cs="Times New Roman"/>
                <w:sz w:val="24"/>
                <w:szCs w:val="24"/>
              </w:rPr>
              <w:t>渗滤液、废劳保用品、废包装物、废活性炭和碱喷淋废液。</w:t>
            </w:r>
            <w:r>
              <w:rPr>
                <w:rFonts w:ascii="Times New Roman" w:hAnsi="Times New Roman" w:cs="Times New Roman"/>
                <w:sz w:val="24"/>
                <w:szCs w:val="24"/>
              </w:rPr>
              <w:t>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w:t>
            </w:r>
            <w:r>
              <w:rPr>
                <w:rFonts w:hint="eastAsia" w:ascii="Times New Roman" w:hAnsi="Times New Roman" w:cs="Times New Roman"/>
                <w:b/>
                <w:sz w:val="24"/>
                <w:szCs w:val="24"/>
              </w:rPr>
              <w:t>渗滤液</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各贮存分区贮存的危险废物均密闭贮存，且严格在规定时间内转运，因此一般情况下不会产生渗滤液，但若出现包装破损等情况产生的渗滤液，项目每个分区均配套设置1个1m³渗滤液收集池对非正常情况可能产生的渗滤液进行收集，渗滤液的属性属于危险废物，其类别和产生渗滤液源的危险废物类别一致，其产生量按总贮存量的0.3‰计，则产生量为1.5t/a，</w:t>
            </w:r>
            <w:r>
              <w:rPr>
                <w:rFonts w:hint="eastAsia" w:ascii="Times New Roman" w:hAnsi="Times New Roman" w:cs="Times New Roman"/>
                <w:sz w:val="24"/>
                <w:szCs w:val="24"/>
              </w:rPr>
              <w:t>收集后和</w:t>
            </w:r>
            <w:r>
              <w:rPr>
                <w:rFonts w:ascii="Times New Roman" w:hAnsi="Times New Roman" w:cs="Times New Roman"/>
                <w:sz w:val="24"/>
                <w:szCs w:val="24"/>
              </w:rPr>
              <w:t>产生渗滤液源的危险废物</w:t>
            </w:r>
            <w:r>
              <w:rPr>
                <w:rFonts w:hint="eastAsia" w:ascii="Times New Roman" w:hAnsi="Times New Roman" w:cs="Times New Roman"/>
                <w:sz w:val="24"/>
                <w:szCs w:val="24"/>
              </w:rPr>
              <w:t>一同委托有资质的单位处置。</w:t>
            </w:r>
            <w:r>
              <w:rPr>
                <w:rFonts w:ascii="Times New Roman" w:hAnsi="Times New Roman" w:cs="Times New Roman"/>
                <w:sz w:val="24"/>
                <w:szCs w:val="24"/>
              </w:rPr>
              <w:t>处置率为100%。</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②废劳保用品</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w:t>
            </w:r>
            <w:r>
              <w:rPr>
                <w:rFonts w:hint="eastAsia" w:ascii="Times New Roman" w:hAnsi="Times New Roman" w:cs="Times New Roman"/>
                <w:sz w:val="24"/>
                <w:szCs w:val="24"/>
              </w:rPr>
              <w:t>项目员工在进行危险废物装卸、转运产生的沾染危险废物的废手套、废抹布、地面清洁废拖布等废劳保用品，年产生量约为0.6t/a。</w:t>
            </w:r>
            <w:r>
              <w:rPr>
                <w:rFonts w:ascii="Times New Roman" w:hAnsi="Times New Roman" w:cs="Times New Roman"/>
                <w:sz w:val="24"/>
                <w:szCs w:val="24"/>
              </w:rPr>
              <w:t>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w:t>
            </w:r>
            <w:r>
              <w:rPr>
                <w:rFonts w:hint="eastAsia" w:ascii="Times New Roman" w:hAnsi="Times New Roman" w:cs="Times New Roman"/>
                <w:b/>
                <w:szCs w:val="24"/>
              </w:rPr>
              <w:t>1</w:t>
            </w:r>
            <w:r>
              <w:rPr>
                <w:rFonts w:ascii="Times New Roman" w:hAnsi="Times New Roman" w:cs="Times New Roman"/>
                <w:b/>
                <w:szCs w:val="24"/>
              </w:rPr>
              <w:t xml:space="preserve">  国家危险废物名录（2021年）（摘抄）</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950"/>
              <w:gridCol w:w="1287"/>
              <w:gridCol w:w="277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8"/>
                    <w:spacing w:line="360" w:lineRule="exact"/>
                    <w:rPr>
                      <w:color w:val="auto"/>
                      <w:szCs w:val="21"/>
                    </w:rPr>
                  </w:pPr>
                  <w:r>
                    <w:rPr>
                      <w:color w:val="auto"/>
                      <w:szCs w:val="21"/>
                    </w:rPr>
                    <w:t>项目危废</w:t>
                  </w:r>
                </w:p>
              </w:tc>
              <w:tc>
                <w:tcPr>
                  <w:tcW w:w="830" w:type="pct"/>
                  <w:vAlign w:val="center"/>
                </w:tcPr>
                <w:p>
                  <w:pPr>
                    <w:pStyle w:val="28"/>
                    <w:spacing w:line="360" w:lineRule="exact"/>
                    <w:rPr>
                      <w:color w:val="auto"/>
                      <w:szCs w:val="21"/>
                    </w:rPr>
                  </w:pPr>
                  <w:r>
                    <w:rPr>
                      <w:color w:val="auto"/>
                      <w:szCs w:val="21"/>
                    </w:rPr>
                    <w:t>废物类别</w:t>
                  </w:r>
                </w:p>
              </w:tc>
              <w:tc>
                <w:tcPr>
                  <w:tcW w:w="552" w:type="pct"/>
                  <w:vAlign w:val="center"/>
                </w:tcPr>
                <w:p>
                  <w:pPr>
                    <w:pStyle w:val="28"/>
                    <w:spacing w:line="360" w:lineRule="exact"/>
                    <w:rPr>
                      <w:color w:val="auto"/>
                      <w:szCs w:val="21"/>
                    </w:rPr>
                  </w:pPr>
                  <w:r>
                    <w:rPr>
                      <w:color w:val="auto"/>
                      <w:szCs w:val="21"/>
                    </w:rPr>
                    <w:t>行业来源</w:t>
                  </w:r>
                </w:p>
              </w:tc>
              <w:tc>
                <w:tcPr>
                  <w:tcW w:w="748" w:type="pct"/>
                  <w:vAlign w:val="center"/>
                </w:tcPr>
                <w:p>
                  <w:pPr>
                    <w:pStyle w:val="28"/>
                    <w:spacing w:line="360" w:lineRule="exact"/>
                    <w:rPr>
                      <w:color w:val="auto"/>
                      <w:szCs w:val="21"/>
                    </w:rPr>
                  </w:pPr>
                  <w:r>
                    <w:rPr>
                      <w:color w:val="auto"/>
                      <w:szCs w:val="21"/>
                    </w:rPr>
                    <w:t>废物代码</w:t>
                  </w:r>
                </w:p>
              </w:tc>
              <w:tc>
                <w:tcPr>
                  <w:tcW w:w="1611" w:type="pct"/>
                  <w:vAlign w:val="center"/>
                </w:tcPr>
                <w:p>
                  <w:pPr>
                    <w:pStyle w:val="28"/>
                    <w:spacing w:line="360" w:lineRule="exact"/>
                    <w:rPr>
                      <w:color w:val="auto"/>
                      <w:szCs w:val="21"/>
                    </w:rPr>
                  </w:pPr>
                  <w:r>
                    <w:rPr>
                      <w:color w:val="auto"/>
                      <w:szCs w:val="21"/>
                    </w:rPr>
                    <w:t>危险废物</w:t>
                  </w:r>
                </w:p>
              </w:tc>
              <w:tc>
                <w:tcPr>
                  <w:tcW w:w="583" w:type="pct"/>
                  <w:vAlign w:val="center"/>
                </w:tcPr>
                <w:p>
                  <w:pPr>
                    <w:pStyle w:val="28"/>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8"/>
                    <w:spacing w:line="360" w:lineRule="exact"/>
                    <w:rPr>
                      <w:color w:val="auto"/>
                      <w:szCs w:val="21"/>
                    </w:rPr>
                  </w:pPr>
                  <w:r>
                    <w:rPr>
                      <w:rFonts w:hint="eastAsia"/>
                      <w:color w:val="auto"/>
                      <w:sz w:val="20"/>
                      <w:szCs w:val="21"/>
                    </w:rPr>
                    <w:t>废劳保用品</w:t>
                  </w:r>
                </w:p>
              </w:tc>
              <w:tc>
                <w:tcPr>
                  <w:tcW w:w="830" w:type="pct"/>
                  <w:vAlign w:val="center"/>
                </w:tcPr>
                <w:p>
                  <w:pPr>
                    <w:pStyle w:val="28"/>
                    <w:spacing w:line="360" w:lineRule="exact"/>
                    <w:rPr>
                      <w:color w:val="auto"/>
                      <w:szCs w:val="21"/>
                    </w:rPr>
                  </w:pPr>
                  <w:r>
                    <w:rPr>
                      <w:color w:val="auto"/>
                      <w:sz w:val="20"/>
                      <w:szCs w:val="21"/>
                    </w:rPr>
                    <w:t>HW49其他废物</w:t>
                  </w:r>
                </w:p>
              </w:tc>
              <w:tc>
                <w:tcPr>
                  <w:tcW w:w="552" w:type="pct"/>
                  <w:vAlign w:val="center"/>
                </w:tcPr>
                <w:p>
                  <w:pPr>
                    <w:pStyle w:val="28"/>
                    <w:spacing w:line="360" w:lineRule="exact"/>
                    <w:rPr>
                      <w:color w:val="auto"/>
                      <w:szCs w:val="21"/>
                    </w:rPr>
                  </w:pPr>
                  <w:r>
                    <w:rPr>
                      <w:color w:val="auto"/>
                      <w:sz w:val="20"/>
                      <w:szCs w:val="21"/>
                    </w:rPr>
                    <w:t>非特定行业</w:t>
                  </w:r>
                </w:p>
              </w:tc>
              <w:tc>
                <w:tcPr>
                  <w:tcW w:w="748" w:type="pct"/>
                  <w:vAlign w:val="center"/>
                </w:tcPr>
                <w:p>
                  <w:pPr>
                    <w:pStyle w:val="28"/>
                    <w:spacing w:line="360" w:lineRule="exact"/>
                    <w:rPr>
                      <w:color w:val="auto"/>
                      <w:szCs w:val="21"/>
                    </w:rPr>
                  </w:pPr>
                  <w:r>
                    <w:rPr>
                      <w:color w:val="auto"/>
                      <w:sz w:val="20"/>
                      <w:szCs w:val="21"/>
                    </w:rPr>
                    <w:t>900-041-49</w:t>
                  </w:r>
                </w:p>
              </w:tc>
              <w:tc>
                <w:tcPr>
                  <w:tcW w:w="1611" w:type="pct"/>
                  <w:vAlign w:val="center"/>
                </w:tcPr>
                <w:p>
                  <w:pPr>
                    <w:pStyle w:val="28"/>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583" w:type="pct"/>
                  <w:vAlign w:val="center"/>
                </w:tcPr>
                <w:p>
                  <w:pPr>
                    <w:pStyle w:val="28"/>
                    <w:spacing w:line="360" w:lineRule="exact"/>
                    <w:rPr>
                      <w:color w:val="auto"/>
                      <w:szCs w:val="21"/>
                    </w:rPr>
                  </w:pPr>
                  <w:r>
                    <w:rPr>
                      <w:rFonts w:hint="eastAsia"/>
                      <w:color w:val="auto"/>
                      <w:szCs w:val="21"/>
                    </w:rPr>
                    <w:t>T</w:t>
                  </w:r>
                  <w:r>
                    <w:rPr>
                      <w:color w:val="auto"/>
                      <w:szCs w:val="21"/>
                    </w:rPr>
                    <w:t>/In</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由上表可知，该项目产生的废劳保用品属于危险废物，也是属于该项目收集的危险废物类别之一，统一收集后，贮存于5#贮存区对应区域，定期委托有资质的单位处置。</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③废包装物</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根据项目特点，该项目主要采用储罐、铁桶、塑料桶、吨袋等，再贮存、运输过程可能会产生包装物损坏情况，主要为废塑料桶、废吨袋等，产生量约0.8t/a。</w:t>
            </w:r>
            <w:r>
              <w:rPr>
                <w:rFonts w:ascii="Times New Roman" w:hAnsi="Times New Roman" w:cs="Times New Roman"/>
                <w:sz w:val="24"/>
                <w:szCs w:val="24"/>
              </w:rPr>
              <w:t>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w:t>
            </w:r>
            <w:r>
              <w:rPr>
                <w:rFonts w:hint="eastAsia" w:ascii="Times New Roman" w:hAnsi="Times New Roman" w:cs="Times New Roman"/>
                <w:b/>
                <w:szCs w:val="24"/>
              </w:rPr>
              <w:t>2</w:t>
            </w:r>
            <w:r>
              <w:rPr>
                <w:rFonts w:ascii="Times New Roman" w:hAnsi="Times New Roman" w:cs="Times New Roman"/>
                <w:b/>
                <w:szCs w:val="24"/>
              </w:rPr>
              <w:t xml:space="preserve">  国家危险废物名录（2021年）（摘抄）</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950"/>
              <w:gridCol w:w="1287"/>
              <w:gridCol w:w="277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8"/>
                    <w:spacing w:line="360" w:lineRule="exact"/>
                    <w:rPr>
                      <w:color w:val="auto"/>
                      <w:sz w:val="20"/>
                      <w:szCs w:val="21"/>
                    </w:rPr>
                  </w:pPr>
                  <w:r>
                    <w:rPr>
                      <w:color w:val="auto"/>
                      <w:sz w:val="20"/>
                      <w:szCs w:val="21"/>
                    </w:rPr>
                    <w:t>项目危废</w:t>
                  </w:r>
                </w:p>
              </w:tc>
              <w:tc>
                <w:tcPr>
                  <w:tcW w:w="830" w:type="pct"/>
                  <w:vAlign w:val="center"/>
                </w:tcPr>
                <w:p>
                  <w:pPr>
                    <w:pStyle w:val="28"/>
                    <w:spacing w:line="360" w:lineRule="exact"/>
                    <w:rPr>
                      <w:color w:val="auto"/>
                      <w:sz w:val="20"/>
                      <w:szCs w:val="21"/>
                    </w:rPr>
                  </w:pPr>
                  <w:r>
                    <w:rPr>
                      <w:color w:val="auto"/>
                      <w:sz w:val="20"/>
                      <w:szCs w:val="21"/>
                    </w:rPr>
                    <w:t>废物类别</w:t>
                  </w:r>
                </w:p>
              </w:tc>
              <w:tc>
                <w:tcPr>
                  <w:tcW w:w="552" w:type="pct"/>
                  <w:vAlign w:val="center"/>
                </w:tcPr>
                <w:p>
                  <w:pPr>
                    <w:pStyle w:val="28"/>
                    <w:spacing w:line="360" w:lineRule="exact"/>
                    <w:rPr>
                      <w:color w:val="auto"/>
                      <w:sz w:val="20"/>
                      <w:szCs w:val="21"/>
                    </w:rPr>
                  </w:pPr>
                  <w:r>
                    <w:rPr>
                      <w:color w:val="auto"/>
                      <w:sz w:val="20"/>
                      <w:szCs w:val="21"/>
                    </w:rPr>
                    <w:t>行业来源</w:t>
                  </w:r>
                </w:p>
              </w:tc>
              <w:tc>
                <w:tcPr>
                  <w:tcW w:w="748" w:type="pct"/>
                  <w:vAlign w:val="center"/>
                </w:tcPr>
                <w:p>
                  <w:pPr>
                    <w:pStyle w:val="28"/>
                    <w:spacing w:line="360" w:lineRule="exact"/>
                    <w:rPr>
                      <w:color w:val="auto"/>
                      <w:sz w:val="20"/>
                      <w:szCs w:val="21"/>
                    </w:rPr>
                  </w:pPr>
                  <w:r>
                    <w:rPr>
                      <w:color w:val="auto"/>
                      <w:sz w:val="20"/>
                      <w:szCs w:val="21"/>
                    </w:rPr>
                    <w:t>废物代码</w:t>
                  </w:r>
                </w:p>
              </w:tc>
              <w:tc>
                <w:tcPr>
                  <w:tcW w:w="1611" w:type="pct"/>
                  <w:vAlign w:val="center"/>
                </w:tcPr>
                <w:p>
                  <w:pPr>
                    <w:pStyle w:val="28"/>
                    <w:spacing w:line="360" w:lineRule="exact"/>
                    <w:rPr>
                      <w:color w:val="auto"/>
                      <w:szCs w:val="21"/>
                    </w:rPr>
                  </w:pPr>
                  <w:r>
                    <w:rPr>
                      <w:color w:val="auto"/>
                      <w:szCs w:val="21"/>
                    </w:rPr>
                    <w:t>危险废物</w:t>
                  </w:r>
                </w:p>
              </w:tc>
              <w:tc>
                <w:tcPr>
                  <w:tcW w:w="583" w:type="pct"/>
                  <w:vAlign w:val="center"/>
                </w:tcPr>
                <w:p>
                  <w:pPr>
                    <w:pStyle w:val="28"/>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8"/>
                    <w:spacing w:line="360" w:lineRule="exact"/>
                    <w:rPr>
                      <w:color w:val="auto"/>
                      <w:sz w:val="20"/>
                      <w:szCs w:val="21"/>
                    </w:rPr>
                  </w:pPr>
                  <w:r>
                    <w:rPr>
                      <w:rFonts w:hint="eastAsia"/>
                      <w:color w:val="auto"/>
                      <w:sz w:val="20"/>
                      <w:szCs w:val="21"/>
                    </w:rPr>
                    <w:t>废包装物</w:t>
                  </w:r>
                </w:p>
              </w:tc>
              <w:tc>
                <w:tcPr>
                  <w:tcW w:w="830" w:type="pct"/>
                  <w:vAlign w:val="center"/>
                </w:tcPr>
                <w:p>
                  <w:pPr>
                    <w:pStyle w:val="28"/>
                    <w:spacing w:line="360" w:lineRule="exact"/>
                    <w:rPr>
                      <w:color w:val="auto"/>
                      <w:sz w:val="20"/>
                      <w:szCs w:val="21"/>
                    </w:rPr>
                  </w:pPr>
                  <w:r>
                    <w:rPr>
                      <w:color w:val="auto"/>
                      <w:sz w:val="20"/>
                      <w:szCs w:val="21"/>
                    </w:rPr>
                    <w:t>HW49其他废物</w:t>
                  </w:r>
                </w:p>
              </w:tc>
              <w:tc>
                <w:tcPr>
                  <w:tcW w:w="552" w:type="pct"/>
                  <w:vAlign w:val="center"/>
                </w:tcPr>
                <w:p>
                  <w:pPr>
                    <w:pStyle w:val="28"/>
                    <w:spacing w:line="360" w:lineRule="exact"/>
                    <w:rPr>
                      <w:color w:val="auto"/>
                      <w:sz w:val="20"/>
                      <w:szCs w:val="21"/>
                    </w:rPr>
                  </w:pPr>
                  <w:r>
                    <w:rPr>
                      <w:color w:val="auto"/>
                      <w:sz w:val="20"/>
                      <w:szCs w:val="21"/>
                    </w:rPr>
                    <w:t>非特定行业</w:t>
                  </w:r>
                </w:p>
              </w:tc>
              <w:tc>
                <w:tcPr>
                  <w:tcW w:w="748" w:type="pct"/>
                  <w:vAlign w:val="center"/>
                </w:tcPr>
                <w:p>
                  <w:pPr>
                    <w:pStyle w:val="28"/>
                    <w:spacing w:line="360" w:lineRule="exact"/>
                    <w:rPr>
                      <w:color w:val="auto"/>
                      <w:sz w:val="20"/>
                      <w:szCs w:val="21"/>
                    </w:rPr>
                  </w:pPr>
                  <w:r>
                    <w:rPr>
                      <w:color w:val="auto"/>
                      <w:sz w:val="20"/>
                      <w:szCs w:val="21"/>
                    </w:rPr>
                    <w:t>900-041-49</w:t>
                  </w:r>
                </w:p>
              </w:tc>
              <w:tc>
                <w:tcPr>
                  <w:tcW w:w="1611" w:type="pct"/>
                  <w:vAlign w:val="center"/>
                </w:tcPr>
                <w:p>
                  <w:pPr>
                    <w:pStyle w:val="28"/>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583" w:type="pct"/>
                  <w:vAlign w:val="center"/>
                </w:tcPr>
                <w:p>
                  <w:pPr>
                    <w:pStyle w:val="28"/>
                    <w:spacing w:line="360" w:lineRule="exact"/>
                    <w:rPr>
                      <w:color w:val="auto"/>
                      <w:szCs w:val="21"/>
                    </w:rPr>
                  </w:pPr>
                  <w:r>
                    <w:rPr>
                      <w:rFonts w:hint="eastAsia"/>
                      <w:color w:val="auto"/>
                      <w:szCs w:val="21"/>
                    </w:rPr>
                    <w:t>T</w:t>
                  </w:r>
                  <w:r>
                    <w:rPr>
                      <w:color w:val="auto"/>
                      <w:szCs w:val="21"/>
                    </w:rPr>
                    <w:t>/In</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由上表可知，该项目产生的废包装物属于危险废物，也是属于该项目收集的危险废物类别之一，统一收集后，贮存于5#贮存区对应区域，定期委托有资质的单位处置。</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④废活性炭</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根据实施方案，针对小微企业危险废物贮存库区，项目拟设置1套废气处理装置对其进行处理，该项目废气处理装置由活性炭吸附+碱喷淋工艺组成，活性炭吸附</w:t>
            </w:r>
            <w:r>
              <w:rPr>
                <w:rFonts w:hint="eastAsia" w:ascii="Times New Roman" w:hAnsi="Times New Roman" w:cs="Times New Roman"/>
                <w:sz w:val="24"/>
                <w:szCs w:val="24"/>
              </w:rPr>
              <w:t>会产生废活性炭，吸附1kg废气产生废活性炭6kg，根据废气去除效率可知，该项目非甲烷总烃吸附量为0.38t/a，氨吸附量为0.08kg/a，硫化氢吸附量为0.001kg/a，则废活性炭产生量为1.44t/a。</w:t>
            </w:r>
            <w:r>
              <w:rPr>
                <w:rFonts w:ascii="Times New Roman" w:hAnsi="Times New Roman" w:cs="Times New Roman"/>
                <w:sz w:val="24"/>
                <w:szCs w:val="24"/>
              </w:rPr>
              <w:t>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w:t>
            </w:r>
            <w:r>
              <w:rPr>
                <w:rFonts w:hint="eastAsia" w:ascii="Times New Roman" w:hAnsi="Times New Roman" w:cs="Times New Roman"/>
                <w:b/>
                <w:szCs w:val="24"/>
              </w:rPr>
              <w:t>3</w:t>
            </w:r>
            <w:r>
              <w:rPr>
                <w:rFonts w:ascii="Times New Roman" w:hAnsi="Times New Roman" w:cs="Times New Roman"/>
                <w:b/>
                <w:szCs w:val="24"/>
              </w:rPr>
              <w:t xml:space="preserve">  国家危险废物名录（2021年）（摘抄）</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34"/>
              <w:gridCol w:w="1134"/>
              <w:gridCol w:w="1134"/>
              <w:gridCol w:w="354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pStyle w:val="28"/>
                    <w:spacing w:line="360" w:lineRule="exact"/>
                    <w:rPr>
                      <w:color w:val="auto"/>
                      <w:sz w:val="20"/>
                      <w:szCs w:val="21"/>
                    </w:rPr>
                  </w:pPr>
                  <w:r>
                    <w:rPr>
                      <w:color w:val="auto"/>
                      <w:sz w:val="20"/>
                      <w:szCs w:val="21"/>
                    </w:rPr>
                    <w:t>项目危废</w:t>
                  </w:r>
                </w:p>
              </w:tc>
              <w:tc>
                <w:tcPr>
                  <w:tcW w:w="659" w:type="pct"/>
                  <w:vAlign w:val="center"/>
                </w:tcPr>
                <w:p>
                  <w:pPr>
                    <w:pStyle w:val="28"/>
                    <w:spacing w:line="360" w:lineRule="exact"/>
                    <w:rPr>
                      <w:color w:val="auto"/>
                      <w:sz w:val="20"/>
                      <w:szCs w:val="21"/>
                    </w:rPr>
                  </w:pPr>
                  <w:r>
                    <w:rPr>
                      <w:color w:val="auto"/>
                      <w:sz w:val="20"/>
                      <w:szCs w:val="21"/>
                    </w:rPr>
                    <w:t>废物类别</w:t>
                  </w:r>
                </w:p>
              </w:tc>
              <w:tc>
                <w:tcPr>
                  <w:tcW w:w="659" w:type="pct"/>
                  <w:vAlign w:val="center"/>
                </w:tcPr>
                <w:p>
                  <w:pPr>
                    <w:pStyle w:val="28"/>
                    <w:spacing w:line="360" w:lineRule="exact"/>
                    <w:rPr>
                      <w:color w:val="auto"/>
                      <w:sz w:val="20"/>
                      <w:szCs w:val="21"/>
                    </w:rPr>
                  </w:pPr>
                  <w:r>
                    <w:rPr>
                      <w:color w:val="auto"/>
                      <w:sz w:val="20"/>
                      <w:szCs w:val="21"/>
                    </w:rPr>
                    <w:t>行业来源</w:t>
                  </w:r>
                </w:p>
              </w:tc>
              <w:tc>
                <w:tcPr>
                  <w:tcW w:w="659" w:type="pct"/>
                  <w:vAlign w:val="center"/>
                </w:tcPr>
                <w:p>
                  <w:pPr>
                    <w:pStyle w:val="28"/>
                    <w:spacing w:line="360" w:lineRule="exact"/>
                    <w:rPr>
                      <w:color w:val="auto"/>
                      <w:sz w:val="20"/>
                      <w:szCs w:val="21"/>
                    </w:rPr>
                  </w:pPr>
                  <w:r>
                    <w:rPr>
                      <w:color w:val="auto"/>
                      <w:sz w:val="20"/>
                      <w:szCs w:val="21"/>
                    </w:rPr>
                    <w:t>废物代码</w:t>
                  </w:r>
                </w:p>
              </w:tc>
              <w:tc>
                <w:tcPr>
                  <w:tcW w:w="2058" w:type="pct"/>
                  <w:vAlign w:val="center"/>
                </w:tcPr>
                <w:p>
                  <w:pPr>
                    <w:pStyle w:val="28"/>
                    <w:spacing w:line="360" w:lineRule="exact"/>
                    <w:rPr>
                      <w:color w:val="auto"/>
                      <w:szCs w:val="21"/>
                    </w:rPr>
                  </w:pPr>
                  <w:r>
                    <w:rPr>
                      <w:color w:val="auto"/>
                      <w:szCs w:val="21"/>
                    </w:rPr>
                    <w:t>危险废物</w:t>
                  </w:r>
                </w:p>
              </w:tc>
              <w:tc>
                <w:tcPr>
                  <w:tcW w:w="455" w:type="pct"/>
                  <w:vAlign w:val="center"/>
                </w:tcPr>
                <w:p>
                  <w:pPr>
                    <w:pStyle w:val="28"/>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pStyle w:val="28"/>
                    <w:spacing w:line="360" w:lineRule="exact"/>
                    <w:rPr>
                      <w:color w:val="auto"/>
                      <w:sz w:val="20"/>
                      <w:szCs w:val="21"/>
                    </w:rPr>
                  </w:pPr>
                  <w:r>
                    <w:rPr>
                      <w:rFonts w:hint="eastAsia"/>
                      <w:color w:val="auto"/>
                      <w:sz w:val="20"/>
                      <w:szCs w:val="21"/>
                    </w:rPr>
                    <w:t>废活性炭</w:t>
                  </w:r>
                </w:p>
              </w:tc>
              <w:tc>
                <w:tcPr>
                  <w:tcW w:w="659" w:type="pct"/>
                  <w:vAlign w:val="center"/>
                </w:tcPr>
                <w:p>
                  <w:pPr>
                    <w:pStyle w:val="28"/>
                    <w:spacing w:line="360" w:lineRule="exact"/>
                    <w:rPr>
                      <w:color w:val="auto"/>
                      <w:sz w:val="20"/>
                      <w:szCs w:val="21"/>
                    </w:rPr>
                  </w:pPr>
                  <w:r>
                    <w:rPr>
                      <w:color w:val="auto"/>
                      <w:sz w:val="20"/>
                      <w:szCs w:val="21"/>
                    </w:rPr>
                    <w:t>HW49其他废物</w:t>
                  </w:r>
                </w:p>
              </w:tc>
              <w:tc>
                <w:tcPr>
                  <w:tcW w:w="659" w:type="pct"/>
                  <w:vAlign w:val="center"/>
                </w:tcPr>
                <w:p>
                  <w:pPr>
                    <w:pStyle w:val="28"/>
                    <w:spacing w:line="360" w:lineRule="exact"/>
                    <w:rPr>
                      <w:color w:val="auto"/>
                      <w:sz w:val="20"/>
                      <w:szCs w:val="21"/>
                    </w:rPr>
                  </w:pPr>
                  <w:r>
                    <w:rPr>
                      <w:color w:val="auto"/>
                      <w:sz w:val="20"/>
                      <w:szCs w:val="21"/>
                    </w:rPr>
                    <w:t>非特定行业</w:t>
                  </w:r>
                </w:p>
              </w:tc>
              <w:tc>
                <w:tcPr>
                  <w:tcW w:w="659" w:type="pct"/>
                  <w:vAlign w:val="center"/>
                </w:tcPr>
                <w:p>
                  <w:pPr>
                    <w:pStyle w:val="28"/>
                    <w:spacing w:line="360" w:lineRule="exact"/>
                    <w:rPr>
                      <w:color w:val="auto"/>
                      <w:sz w:val="20"/>
                      <w:szCs w:val="21"/>
                    </w:rPr>
                  </w:pPr>
                  <w:r>
                    <w:rPr>
                      <w:color w:val="auto"/>
                      <w:sz w:val="20"/>
                      <w:szCs w:val="21"/>
                    </w:rPr>
                    <w:t>900-039-49</w:t>
                  </w:r>
                </w:p>
              </w:tc>
              <w:tc>
                <w:tcPr>
                  <w:tcW w:w="2058" w:type="pct"/>
                  <w:vAlign w:val="center"/>
                </w:tcPr>
                <w:p>
                  <w:pPr>
                    <w:pStyle w:val="28"/>
                    <w:spacing w:line="360" w:lineRule="exact"/>
                    <w:ind w:firstLine="105" w:firstLineChars="50"/>
                    <w:jc w:val="both"/>
                    <w:rPr>
                      <w:color w:val="auto"/>
                      <w:szCs w:val="21"/>
                    </w:rPr>
                  </w:pPr>
                  <w:r>
                    <w:rPr>
                      <w:color w:val="auto"/>
                      <w:szCs w:val="21"/>
                    </w:rPr>
                    <w:t>烟气、VOCs治理过程</w:t>
                  </w:r>
                  <w:r>
                    <w:rPr>
                      <w:rFonts w:hint="eastAsia"/>
                      <w:color w:val="auto"/>
                      <w:szCs w:val="21"/>
                    </w:rPr>
                    <w:t>（</w:t>
                  </w:r>
                  <w:r>
                    <w:rPr>
                      <w:color w:val="auto"/>
                      <w:szCs w:val="21"/>
                    </w:rPr>
                    <w:t>不包括餐饮行业油烟治理过程</w:t>
                  </w:r>
                  <w:r>
                    <w:rPr>
                      <w:rFonts w:hint="eastAsia"/>
                      <w:color w:val="auto"/>
                      <w:szCs w:val="21"/>
                    </w:rPr>
                    <w:t>）</w:t>
                  </w:r>
                  <w:r>
                    <w:rPr>
                      <w:color w:val="auto"/>
                      <w:szCs w:val="21"/>
                    </w:rPr>
                    <w:t>产生的废活性炭，化学原料和化学制品脱色</w:t>
                  </w:r>
                  <w:r>
                    <w:rPr>
                      <w:rFonts w:hint="eastAsia"/>
                      <w:color w:val="auto"/>
                      <w:szCs w:val="21"/>
                    </w:rPr>
                    <w:t>（</w:t>
                  </w:r>
                  <w:r>
                    <w:rPr>
                      <w:color w:val="auto"/>
                      <w:szCs w:val="21"/>
                    </w:rPr>
                    <w:t>不包括有机合成食品添加剂脱色</w:t>
                  </w:r>
                  <w:r>
                    <w:rPr>
                      <w:rFonts w:hint="eastAsia"/>
                      <w:color w:val="auto"/>
                      <w:szCs w:val="21"/>
                    </w:rPr>
                    <w:t>）</w:t>
                  </w:r>
                  <w:r>
                    <w:rPr>
                      <w:color w:val="auto"/>
                      <w:szCs w:val="21"/>
                    </w:rPr>
                    <w:t>、除杂、净化过程产生的废活性炭</w:t>
                  </w:r>
                  <w:r>
                    <w:rPr>
                      <w:rFonts w:hint="eastAsia"/>
                      <w:color w:val="auto"/>
                      <w:szCs w:val="21"/>
                    </w:rPr>
                    <w:t>（</w:t>
                  </w:r>
                  <w:r>
                    <w:rPr>
                      <w:color w:val="auto"/>
                      <w:szCs w:val="21"/>
                    </w:rPr>
                    <w:t>不包括772-005-18、261-053-29</w:t>
                  </w:r>
                  <w:r>
                    <w:rPr>
                      <w:rFonts w:hint="eastAsia"/>
                      <w:color w:val="auto"/>
                      <w:szCs w:val="21"/>
                    </w:rPr>
                    <w:t>、</w:t>
                  </w:r>
                  <w:r>
                    <w:rPr>
                      <w:color w:val="auto"/>
                      <w:szCs w:val="21"/>
                    </w:rPr>
                    <w:t>900-405-06、265-002-29、384-003-29、387-001-29类废物</w:t>
                  </w:r>
                  <w:r>
                    <w:rPr>
                      <w:rFonts w:hint="eastAsia"/>
                      <w:color w:val="auto"/>
                      <w:szCs w:val="21"/>
                    </w:rPr>
                    <w:t>）</w:t>
                  </w:r>
                </w:p>
              </w:tc>
              <w:tc>
                <w:tcPr>
                  <w:tcW w:w="455" w:type="pct"/>
                  <w:vAlign w:val="center"/>
                </w:tcPr>
                <w:p>
                  <w:pPr>
                    <w:pStyle w:val="28"/>
                    <w:spacing w:line="360" w:lineRule="exact"/>
                    <w:rPr>
                      <w:color w:val="auto"/>
                      <w:szCs w:val="21"/>
                    </w:rPr>
                  </w:pPr>
                  <w:r>
                    <w:rPr>
                      <w:rFonts w:hint="eastAsia"/>
                      <w:color w:val="auto"/>
                      <w:szCs w:val="21"/>
                    </w:rPr>
                    <w:t>T</w:t>
                  </w:r>
                </w:p>
              </w:tc>
            </w:tr>
          </w:tbl>
          <w:p>
            <w:pPr>
              <w:pStyle w:val="36"/>
              <w:spacing w:beforeLines="50"/>
              <w:ind w:firstLine="480"/>
              <w:rPr>
                <w:szCs w:val="24"/>
              </w:rPr>
            </w:pPr>
            <w:r>
              <w:rPr>
                <w:rFonts w:hint="eastAsia"/>
                <w:szCs w:val="24"/>
              </w:rPr>
              <w:t>由上表可知，该项目产生的废活性炭属于危险废物，也是属于该项目收集的危险废物类别之一，统一收集后，贮存于5#贮存区对应区域，定期委托有资质的单位处置。</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⑤碱喷淋废液</w:t>
            </w:r>
          </w:p>
          <w:p>
            <w:pPr>
              <w:pStyle w:val="36"/>
              <w:ind w:firstLine="480"/>
              <w:rPr>
                <w:szCs w:val="24"/>
              </w:rPr>
            </w:pPr>
            <w:r>
              <w:rPr>
                <w:szCs w:val="24"/>
              </w:rPr>
              <w:t>根据实施方案，该项目废气处理装置中的碱喷淋工艺，碱喷淋塔</w:t>
            </w:r>
            <w:r>
              <w:rPr>
                <w:rFonts w:hint="eastAsia"/>
                <w:szCs w:val="24"/>
              </w:rPr>
              <w:t>用</w:t>
            </w:r>
            <w:r>
              <w:rPr>
                <w:szCs w:val="24"/>
              </w:rPr>
              <w:t>水量为1m³，每季度更换1次</w:t>
            </w:r>
            <w:r>
              <w:rPr>
                <w:rFonts w:hint="eastAsia"/>
                <w:szCs w:val="24"/>
              </w:rPr>
              <w:t>，而更换后产生的</w:t>
            </w:r>
            <w:r>
              <w:rPr>
                <w:szCs w:val="24"/>
              </w:rPr>
              <w:t>碱喷淋</w:t>
            </w:r>
            <w:r>
              <w:rPr>
                <w:rFonts w:hint="eastAsia"/>
                <w:szCs w:val="24"/>
              </w:rPr>
              <w:t>废液产生量为</w:t>
            </w:r>
            <w:r>
              <w:rPr>
                <w:szCs w:val="24"/>
              </w:rPr>
              <w:t>1m³</w:t>
            </w:r>
            <w:r>
              <w:rPr>
                <w:rFonts w:hint="eastAsia"/>
                <w:szCs w:val="24"/>
              </w:rPr>
              <w:t>/次（4</w:t>
            </w:r>
            <w:r>
              <w:rPr>
                <w:szCs w:val="24"/>
              </w:rPr>
              <w:t>m³</w:t>
            </w:r>
            <w:r>
              <w:rPr>
                <w:rFonts w:hint="eastAsia"/>
                <w:szCs w:val="24"/>
              </w:rPr>
              <w:t>/a）。</w:t>
            </w:r>
            <w:r>
              <w:rPr>
                <w:szCs w:val="24"/>
              </w:rPr>
              <w:t>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w:t>
            </w:r>
            <w:r>
              <w:rPr>
                <w:rFonts w:hint="eastAsia" w:ascii="Times New Roman" w:hAnsi="Times New Roman" w:cs="Times New Roman"/>
                <w:b/>
                <w:szCs w:val="24"/>
              </w:rPr>
              <w:t>4</w:t>
            </w:r>
            <w:r>
              <w:rPr>
                <w:rFonts w:ascii="Times New Roman" w:hAnsi="Times New Roman" w:cs="Times New Roman"/>
                <w:b/>
                <w:szCs w:val="24"/>
              </w:rPr>
              <w:t xml:space="preserve">  国家危险废物名录（2021年）（摘抄）</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950"/>
              <w:gridCol w:w="1287"/>
              <w:gridCol w:w="277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8"/>
                    <w:spacing w:line="360" w:lineRule="exact"/>
                    <w:rPr>
                      <w:color w:val="auto"/>
                      <w:sz w:val="20"/>
                      <w:szCs w:val="21"/>
                    </w:rPr>
                  </w:pPr>
                  <w:r>
                    <w:rPr>
                      <w:color w:val="auto"/>
                      <w:sz w:val="20"/>
                      <w:szCs w:val="21"/>
                    </w:rPr>
                    <w:t>项目危废</w:t>
                  </w:r>
                </w:p>
              </w:tc>
              <w:tc>
                <w:tcPr>
                  <w:tcW w:w="830" w:type="pct"/>
                  <w:vAlign w:val="center"/>
                </w:tcPr>
                <w:p>
                  <w:pPr>
                    <w:pStyle w:val="28"/>
                    <w:spacing w:line="360" w:lineRule="exact"/>
                    <w:rPr>
                      <w:color w:val="auto"/>
                      <w:sz w:val="20"/>
                      <w:szCs w:val="21"/>
                    </w:rPr>
                  </w:pPr>
                  <w:r>
                    <w:rPr>
                      <w:color w:val="auto"/>
                      <w:sz w:val="20"/>
                      <w:szCs w:val="21"/>
                    </w:rPr>
                    <w:t>废物类别</w:t>
                  </w:r>
                </w:p>
              </w:tc>
              <w:tc>
                <w:tcPr>
                  <w:tcW w:w="552" w:type="pct"/>
                  <w:vAlign w:val="center"/>
                </w:tcPr>
                <w:p>
                  <w:pPr>
                    <w:pStyle w:val="28"/>
                    <w:spacing w:line="360" w:lineRule="exact"/>
                    <w:rPr>
                      <w:color w:val="auto"/>
                      <w:sz w:val="20"/>
                      <w:szCs w:val="21"/>
                    </w:rPr>
                  </w:pPr>
                  <w:r>
                    <w:rPr>
                      <w:color w:val="auto"/>
                      <w:sz w:val="20"/>
                      <w:szCs w:val="21"/>
                    </w:rPr>
                    <w:t>行业来源</w:t>
                  </w:r>
                </w:p>
              </w:tc>
              <w:tc>
                <w:tcPr>
                  <w:tcW w:w="748" w:type="pct"/>
                  <w:vAlign w:val="center"/>
                </w:tcPr>
                <w:p>
                  <w:pPr>
                    <w:pStyle w:val="28"/>
                    <w:spacing w:line="360" w:lineRule="exact"/>
                    <w:rPr>
                      <w:color w:val="auto"/>
                      <w:sz w:val="20"/>
                      <w:szCs w:val="21"/>
                    </w:rPr>
                  </w:pPr>
                  <w:r>
                    <w:rPr>
                      <w:color w:val="auto"/>
                      <w:sz w:val="20"/>
                      <w:szCs w:val="21"/>
                    </w:rPr>
                    <w:t>废物代码</w:t>
                  </w:r>
                </w:p>
              </w:tc>
              <w:tc>
                <w:tcPr>
                  <w:tcW w:w="1611" w:type="pct"/>
                  <w:vAlign w:val="center"/>
                </w:tcPr>
                <w:p>
                  <w:pPr>
                    <w:pStyle w:val="28"/>
                    <w:spacing w:line="360" w:lineRule="exact"/>
                    <w:rPr>
                      <w:color w:val="auto"/>
                      <w:szCs w:val="21"/>
                    </w:rPr>
                  </w:pPr>
                  <w:r>
                    <w:rPr>
                      <w:color w:val="auto"/>
                      <w:szCs w:val="21"/>
                    </w:rPr>
                    <w:t>危险废物</w:t>
                  </w:r>
                </w:p>
              </w:tc>
              <w:tc>
                <w:tcPr>
                  <w:tcW w:w="583" w:type="pct"/>
                  <w:vAlign w:val="center"/>
                </w:tcPr>
                <w:p>
                  <w:pPr>
                    <w:pStyle w:val="28"/>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pStyle w:val="28"/>
                    <w:spacing w:line="360" w:lineRule="exact"/>
                    <w:rPr>
                      <w:color w:val="auto"/>
                      <w:sz w:val="20"/>
                      <w:szCs w:val="21"/>
                    </w:rPr>
                  </w:pPr>
                  <w:r>
                    <w:rPr>
                      <w:rFonts w:hint="eastAsia"/>
                      <w:color w:val="auto"/>
                      <w:sz w:val="20"/>
                      <w:szCs w:val="21"/>
                    </w:rPr>
                    <w:t>碱喷淋废液</w:t>
                  </w:r>
                </w:p>
              </w:tc>
              <w:tc>
                <w:tcPr>
                  <w:tcW w:w="830" w:type="pct"/>
                  <w:vAlign w:val="center"/>
                </w:tcPr>
                <w:p>
                  <w:pPr>
                    <w:pStyle w:val="28"/>
                    <w:spacing w:line="360" w:lineRule="exact"/>
                    <w:rPr>
                      <w:color w:val="auto"/>
                      <w:sz w:val="20"/>
                      <w:szCs w:val="21"/>
                    </w:rPr>
                  </w:pPr>
                  <w:r>
                    <w:rPr>
                      <w:color w:val="auto"/>
                      <w:sz w:val="20"/>
                      <w:szCs w:val="21"/>
                    </w:rPr>
                    <w:t>HW49其他废物</w:t>
                  </w:r>
                </w:p>
              </w:tc>
              <w:tc>
                <w:tcPr>
                  <w:tcW w:w="552" w:type="pct"/>
                  <w:vAlign w:val="center"/>
                </w:tcPr>
                <w:p>
                  <w:pPr>
                    <w:pStyle w:val="28"/>
                    <w:spacing w:line="360" w:lineRule="exact"/>
                    <w:rPr>
                      <w:color w:val="auto"/>
                      <w:sz w:val="20"/>
                      <w:szCs w:val="21"/>
                    </w:rPr>
                  </w:pPr>
                  <w:r>
                    <w:rPr>
                      <w:color w:val="auto"/>
                      <w:sz w:val="20"/>
                      <w:szCs w:val="21"/>
                    </w:rPr>
                    <w:t>非特定行业</w:t>
                  </w:r>
                </w:p>
              </w:tc>
              <w:tc>
                <w:tcPr>
                  <w:tcW w:w="748" w:type="pct"/>
                  <w:vAlign w:val="center"/>
                </w:tcPr>
                <w:p>
                  <w:pPr>
                    <w:pStyle w:val="28"/>
                    <w:spacing w:line="360" w:lineRule="exact"/>
                    <w:rPr>
                      <w:color w:val="auto"/>
                      <w:sz w:val="20"/>
                      <w:szCs w:val="21"/>
                    </w:rPr>
                  </w:pPr>
                  <w:r>
                    <w:rPr>
                      <w:color w:val="auto"/>
                      <w:sz w:val="20"/>
                      <w:szCs w:val="21"/>
                    </w:rPr>
                    <w:t>900-041-49</w:t>
                  </w:r>
                </w:p>
              </w:tc>
              <w:tc>
                <w:tcPr>
                  <w:tcW w:w="1611" w:type="pct"/>
                  <w:vAlign w:val="center"/>
                </w:tcPr>
                <w:p>
                  <w:pPr>
                    <w:pStyle w:val="28"/>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583" w:type="pct"/>
                  <w:vAlign w:val="center"/>
                </w:tcPr>
                <w:p>
                  <w:pPr>
                    <w:pStyle w:val="28"/>
                    <w:spacing w:line="360" w:lineRule="exact"/>
                    <w:rPr>
                      <w:color w:val="auto"/>
                      <w:szCs w:val="21"/>
                    </w:rPr>
                  </w:pPr>
                  <w:r>
                    <w:rPr>
                      <w:rFonts w:hint="eastAsia"/>
                      <w:color w:val="auto"/>
                      <w:szCs w:val="21"/>
                    </w:rPr>
                    <w:t>T</w:t>
                  </w:r>
                  <w:r>
                    <w:rPr>
                      <w:color w:val="auto"/>
                      <w:szCs w:val="21"/>
                    </w:rPr>
                    <w:t>/In</w:t>
                  </w:r>
                </w:p>
              </w:tc>
            </w:tr>
          </w:tbl>
          <w:p>
            <w:pPr>
              <w:pStyle w:val="36"/>
              <w:spacing w:beforeLines="50"/>
              <w:ind w:firstLine="480"/>
              <w:rPr>
                <w:szCs w:val="24"/>
              </w:rPr>
            </w:pPr>
            <w:r>
              <w:rPr>
                <w:rFonts w:hint="eastAsia"/>
                <w:szCs w:val="24"/>
              </w:rPr>
              <w:t>由上表可知，该项目产生的碱喷淋废液属于危险废物，也是属于该项目收集的危险废物类别之一，统一收集后，贮存于5#贮存区对应区域，定期委托有资质的单位处置。</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36"/>
              <w:ind w:firstLine="480"/>
              <w:rPr>
                <w:rFonts w:eastAsiaTheme="minorEastAsia"/>
                <w:szCs w:val="24"/>
              </w:rPr>
            </w:pPr>
            <w:r>
              <w:rPr>
                <w:rFonts w:eastAsiaTheme="minorEastAsia"/>
                <w:szCs w:val="24"/>
              </w:rPr>
              <w:t>根据固体废物污染源强分析可知，项目产生的固体废物，其环境影响和保护措施分析具体如下：</w:t>
            </w: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0"/>
              <w:spacing w:beforeLines="0"/>
              <w:rPr>
                <w:rFonts w:hAnsi="Times New Roman" w:eastAsiaTheme="minorEastAsia"/>
                <w:sz w:val="21"/>
                <w:szCs w:val="21"/>
              </w:rPr>
            </w:pPr>
            <w:r>
              <w:rPr>
                <w:rFonts w:hAnsi="Times New Roman" w:eastAsiaTheme="minorEastAsia"/>
                <w:sz w:val="21"/>
                <w:szCs w:val="21"/>
              </w:rPr>
              <w:t>表4.2.4-5</w:t>
            </w:r>
            <w:r>
              <w:rPr>
                <w:rFonts w:hint="eastAsia" w:hAnsi="Times New Roman" w:eastAsiaTheme="minorEastAsia"/>
                <w:sz w:val="21"/>
                <w:szCs w:val="21"/>
              </w:rPr>
              <w:t xml:space="preserve"> </w:t>
            </w:r>
            <w:r>
              <w:rPr>
                <w:rFonts w:hAnsi="Times New Roman" w:eastAsiaTheme="minorEastAsia"/>
                <w:sz w:val="21"/>
                <w:szCs w:val="21"/>
              </w:rPr>
              <w:t>固体废物环境影响和保护措施分析一览表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3"/>
              <w:gridCol w:w="851"/>
              <w:gridCol w:w="850"/>
              <w:gridCol w:w="709"/>
              <w:gridCol w:w="850"/>
              <w:gridCol w:w="1701"/>
              <w:gridCol w:w="2127"/>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rFonts w:eastAsiaTheme="minorEastAsia"/>
                      <w:color w:val="auto"/>
                      <w:szCs w:val="21"/>
                    </w:rPr>
                  </w:pPr>
                  <w:r>
                    <w:rPr>
                      <w:rFonts w:eastAsiaTheme="minorEastAsia"/>
                      <w:color w:val="auto"/>
                      <w:szCs w:val="21"/>
                    </w:rPr>
                    <w:t>序号</w:t>
                  </w:r>
                </w:p>
              </w:tc>
              <w:tc>
                <w:tcPr>
                  <w:tcW w:w="851" w:type="dxa"/>
                  <w:vAlign w:val="center"/>
                </w:tcPr>
                <w:p>
                  <w:pPr>
                    <w:pStyle w:val="28"/>
                    <w:spacing w:line="360" w:lineRule="exact"/>
                    <w:rPr>
                      <w:rFonts w:eastAsiaTheme="minorEastAsia"/>
                      <w:color w:val="auto"/>
                      <w:szCs w:val="21"/>
                    </w:rPr>
                  </w:pPr>
                  <w:r>
                    <w:rPr>
                      <w:rFonts w:eastAsiaTheme="minorEastAsia"/>
                      <w:color w:val="auto"/>
                      <w:szCs w:val="21"/>
                    </w:rPr>
                    <w:t>产生环节</w:t>
                  </w:r>
                </w:p>
              </w:tc>
              <w:tc>
                <w:tcPr>
                  <w:tcW w:w="850" w:type="dxa"/>
                  <w:vAlign w:val="center"/>
                </w:tcPr>
                <w:p>
                  <w:pPr>
                    <w:pStyle w:val="28"/>
                    <w:spacing w:line="360" w:lineRule="exact"/>
                    <w:rPr>
                      <w:rFonts w:eastAsiaTheme="minorEastAsia"/>
                      <w:color w:val="auto"/>
                      <w:szCs w:val="21"/>
                    </w:rPr>
                  </w:pPr>
                  <w:r>
                    <w:rPr>
                      <w:rFonts w:eastAsiaTheme="minorEastAsia"/>
                      <w:color w:val="auto"/>
                      <w:szCs w:val="21"/>
                    </w:rPr>
                    <w:t>名称</w:t>
                  </w:r>
                </w:p>
              </w:tc>
              <w:tc>
                <w:tcPr>
                  <w:tcW w:w="709" w:type="dxa"/>
                  <w:vAlign w:val="center"/>
                </w:tcPr>
                <w:p>
                  <w:pPr>
                    <w:pStyle w:val="28"/>
                    <w:spacing w:line="360" w:lineRule="exact"/>
                    <w:rPr>
                      <w:rFonts w:eastAsiaTheme="minorEastAsia"/>
                      <w:color w:val="auto"/>
                      <w:szCs w:val="21"/>
                    </w:rPr>
                  </w:pPr>
                  <w:r>
                    <w:rPr>
                      <w:rFonts w:eastAsiaTheme="minorEastAsia"/>
                      <w:color w:val="auto"/>
                      <w:szCs w:val="21"/>
                    </w:rPr>
                    <w:t>属性</w:t>
                  </w:r>
                </w:p>
              </w:tc>
              <w:tc>
                <w:tcPr>
                  <w:tcW w:w="850" w:type="dxa"/>
                  <w:vAlign w:val="center"/>
                </w:tcPr>
                <w:p>
                  <w:pPr>
                    <w:pStyle w:val="28"/>
                    <w:spacing w:line="360" w:lineRule="exact"/>
                    <w:rPr>
                      <w:rFonts w:eastAsiaTheme="minorEastAsia"/>
                      <w:color w:val="auto"/>
                      <w:szCs w:val="21"/>
                    </w:rPr>
                  </w:pPr>
                  <w:r>
                    <w:rPr>
                      <w:rFonts w:eastAsiaTheme="minorEastAsia"/>
                      <w:color w:val="auto"/>
                      <w:szCs w:val="21"/>
                    </w:rPr>
                    <w:t>产生量</w:t>
                  </w:r>
                </w:p>
              </w:tc>
              <w:tc>
                <w:tcPr>
                  <w:tcW w:w="1701" w:type="dxa"/>
                  <w:vAlign w:val="center"/>
                </w:tcPr>
                <w:p>
                  <w:pPr>
                    <w:pStyle w:val="28"/>
                    <w:spacing w:line="360" w:lineRule="exact"/>
                    <w:rPr>
                      <w:rFonts w:eastAsiaTheme="minorEastAsia"/>
                      <w:color w:val="auto"/>
                      <w:szCs w:val="21"/>
                    </w:rPr>
                  </w:pPr>
                  <w:r>
                    <w:rPr>
                      <w:rFonts w:eastAsiaTheme="minorEastAsia"/>
                      <w:color w:val="auto"/>
                      <w:szCs w:val="21"/>
                    </w:rPr>
                    <w:t>贮存方式</w:t>
                  </w:r>
                </w:p>
              </w:tc>
              <w:tc>
                <w:tcPr>
                  <w:tcW w:w="2127" w:type="dxa"/>
                  <w:vAlign w:val="center"/>
                </w:tcPr>
                <w:p>
                  <w:pPr>
                    <w:pStyle w:val="28"/>
                    <w:spacing w:line="360" w:lineRule="exact"/>
                    <w:rPr>
                      <w:rFonts w:eastAsiaTheme="minorEastAsia"/>
                      <w:color w:val="auto"/>
                      <w:szCs w:val="21"/>
                    </w:rPr>
                  </w:pPr>
                  <w:r>
                    <w:rPr>
                      <w:rFonts w:eastAsiaTheme="minorEastAsia"/>
                      <w:color w:val="auto"/>
                      <w:szCs w:val="21"/>
                    </w:rPr>
                    <w:t>利用处置方式和去向</w:t>
                  </w:r>
                </w:p>
              </w:tc>
              <w:tc>
                <w:tcPr>
                  <w:tcW w:w="924" w:type="dxa"/>
                  <w:vAlign w:val="center"/>
                </w:tcPr>
                <w:p>
                  <w:pPr>
                    <w:pStyle w:val="28"/>
                    <w:spacing w:line="360" w:lineRule="exact"/>
                    <w:rPr>
                      <w:rFonts w:eastAsiaTheme="minorEastAsia"/>
                      <w:color w:val="auto"/>
                      <w:szCs w:val="21"/>
                    </w:rPr>
                  </w:pPr>
                  <w:r>
                    <w:rPr>
                      <w:rFonts w:eastAsiaTheme="minorEastAsia"/>
                      <w:color w:val="auto"/>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rFonts w:eastAsiaTheme="minorEastAsia"/>
                      <w:color w:val="auto"/>
                      <w:szCs w:val="21"/>
                    </w:rPr>
                  </w:pPr>
                  <w:r>
                    <w:rPr>
                      <w:rFonts w:hint="eastAsia" w:eastAsiaTheme="minorEastAsia"/>
                      <w:color w:val="auto"/>
                      <w:szCs w:val="21"/>
                    </w:rPr>
                    <w:t>1</w:t>
                  </w:r>
                </w:p>
              </w:tc>
              <w:tc>
                <w:tcPr>
                  <w:tcW w:w="851" w:type="dxa"/>
                  <w:vAlign w:val="center"/>
                </w:tcPr>
                <w:p>
                  <w:pPr>
                    <w:pStyle w:val="28"/>
                    <w:spacing w:line="360" w:lineRule="exact"/>
                    <w:rPr>
                      <w:rFonts w:eastAsiaTheme="minorEastAsia"/>
                      <w:color w:val="auto"/>
                      <w:szCs w:val="21"/>
                    </w:rPr>
                  </w:pPr>
                  <w:r>
                    <w:rPr>
                      <w:rFonts w:eastAsiaTheme="minorEastAsia"/>
                      <w:color w:val="auto"/>
                      <w:szCs w:val="21"/>
                    </w:rPr>
                    <w:t>贮存</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渗滤液</w:t>
                  </w:r>
                </w:p>
              </w:tc>
              <w:tc>
                <w:tcPr>
                  <w:tcW w:w="709" w:type="dxa"/>
                  <w:vAlign w:val="center"/>
                </w:tcPr>
                <w:p>
                  <w:pPr>
                    <w:pStyle w:val="28"/>
                    <w:spacing w:line="360" w:lineRule="exact"/>
                    <w:rPr>
                      <w:rFonts w:eastAsiaTheme="minorEastAsia"/>
                      <w:color w:val="auto"/>
                      <w:szCs w:val="21"/>
                    </w:rPr>
                  </w:pPr>
                  <w:r>
                    <w:rPr>
                      <w:rFonts w:hint="eastAsia" w:eastAsiaTheme="minorEastAsia"/>
                      <w:color w:val="auto"/>
                      <w:szCs w:val="21"/>
                    </w:rPr>
                    <w:t>危险废物</w:t>
                  </w:r>
                </w:p>
              </w:tc>
              <w:tc>
                <w:tcPr>
                  <w:tcW w:w="850" w:type="dxa"/>
                  <w:vAlign w:val="center"/>
                </w:tcPr>
                <w:p>
                  <w:pPr>
                    <w:pStyle w:val="28"/>
                    <w:spacing w:line="360" w:lineRule="exact"/>
                    <w:rPr>
                      <w:rFonts w:eastAsiaTheme="minorEastAsia"/>
                      <w:color w:val="auto"/>
                      <w:szCs w:val="21"/>
                    </w:rPr>
                  </w:pPr>
                  <w:r>
                    <w:rPr>
                      <w:rFonts w:eastAsiaTheme="minorEastAsia"/>
                      <w:color w:val="auto"/>
                      <w:szCs w:val="21"/>
                    </w:rPr>
                    <w:t>1.5t/a</w:t>
                  </w:r>
                </w:p>
              </w:tc>
              <w:tc>
                <w:tcPr>
                  <w:tcW w:w="1701"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渗滤液收集池</w:t>
                  </w:r>
                </w:p>
              </w:tc>
              <w:tc>
                <w:tcPr>
                  <w:tcW w:w="2127"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收集后和</w:t>
                  </w:r>
                  <w:r>
                    <w:rPr>
                      <w:rFonts w:eastAsiaTheme="minorEastAsia"/>
                      <w:color w:val="auto"/>
                      <w:szCs w:val="24"/>
                    </w:rPr>
                    <w:t>产生渗滤液源的危险废物</w:t>
                  </w:r>
                  <w:r>
                    <w:rPr>
                      <w:rFonts w:hint="eastAsia" w:eastAsiaTheme="minorEastAsia"/>
                      <w:color w:val="auto"/>
                      <w:szCs w:val="24"/>
                    </w:rPr>
                    <w:t>一同委托有资质的单位处置。</w:t>
                  </w:r>
                </w:p>
              </w:tc>
              <w:tc>
                <w:tcPr>
                  <w:tcW w:w="924" w:type="dxa"/>
                  <w:vAlign w:val="center"/>
                </w:tcPr>
                <w:p>
                  <w:pPr>
                    <w:pStyle w:val="28"/>
                    <w:spacing w:line="360" w:lineRule="exact"/>
                    <w:rPr>
                      <w:rFonts w:eastAsiaTheme="minorEastAsia"/>
                      <w:color w:val="auto"/>
                      <w:szCs w:val="21"/>
                    </w:rPr>
                  </w:pPr>
                  <w:r>
                    <w:rPr>
                      <w:rFonts w:eastAsiaTheme="minorEastAsia"/>
                      <w:color w:val="auto"/>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rFonts w:eastAsiaTheme="minorEastAsia"/>
                      <w:color w:val="auto"/>
                      <w:szCs w:val="21"/>
                    </w:rPr>
                  </w:pPr>
                  <w:r>
                    <w:rPr>
                      <w:rFonts w:hint="eastAsia" w:eastAsiaTheme="minorEastAsia"/>
                      <w:color w:val="auto"/>
                      <w:szCs w:val="21"/>
                    </w:rPr>
                    <w:t>2</w:t>
                  </w:r>
                </w:p>
              </w:tc>
              <w:tc>
                <w:tcPr>
                  <w:tcW w:w="851" w:type="dxa"/>
                  <w:vAlign w:val="center"/>
                </w:tcPr>
                <w:p>
                  <w:pPr>
                    <w:pStyle w:val="28"/>
                    <w:spacing w:line="360" w:lineRule="exact"/>
                    <w:rPr>
                      <w:rFonts w:eastAsiaTheme="minorEastAsia"/>
                      <w:color w:val="auto"/>
                      <w:szCs w:val="21"/>
                    </w:rPr>
                  </w:pPr>
                  <w:r>
                    <w:rPr>
                      <w:rFonts w:hint="eastAsia" w:eastAsiaTheme="minorEastAsia"/>
                      <w:color w:val="auto"/>
                      <w:szCs w:val="21"/>
                    </w:rPr>
                    <w:t>员工防护</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废劳保用品</w:t>
                  </w:r>
                </w:p>
              </w:tc>
              <w:tc>
                <w:tcPr>
                  <w:tcW w:w="709" w:type="dxa"/>
                  <w:vAlign w:val="center"/>
                </w:tcPr>
                <w:p>
                  <w:pPr>
                    <w:pStyle w:val="28"/>
                    <w:spacing w:line="360" w:lineRule="exact"/>
                    <w:rPr>
                      <w:rFonts w:eastAsiaTheme="minorEastAsia"/>
                      <w:color w:val="auto"/>
                      <w:szCs w:val="21"/>
                    </w:rPr>
                  </w:pPr>
                  <w:r>
                    <w:rPr>
                      <w:rFonts w:hint="eastAsia" w:eastAsiaTheme="minorEastAsia"/>
                      <w:color w:val="auto"/>
                      <w:szCs w:val="21"/>
                    </w:rPr>
                    <w:t>危险废物</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0.6t/a</w:t>
                  </w:r>
                </w:p>
              </w:tc>
              <w:tc>
                <w:tcPr>
                  <w:tcW w:w="1701"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贮存于5#贮存区对应区域</w:t>
                  </w:r>
                </w:p>
              </w:tc>
              <w:tc>
                <w:tcPr>
                  <w:tcW w:w="2127"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定期委托有资质的单位处置。</w:t>
                  </w:r>
                </w:p>
              </w:tc>
              <w:tc>
                <w:tcPr>
                  <w:tcW w:w="924" w:type="dxa"/>
                  <w:vAlign w:val="center"/>
                </w:tcPr>
                <w:p>
                  <w:pPr>
                    <w:pStyle w:val="28"/>
                    <w:spacing w:line="360" w:lineRule="exact"/>
                    <w:rPr>
                      <w:rFonts w:eastAsiaTheme="minorEastAsia"/>
                      <w:color w:val="auto"/>
                      <w:szCs w:val="21"/>
                    </w:rPr>
                  </w:pPr>
                  <w:r>
                    <w:rPr>
                      <w:rFonts w:hint="eastAsia" w:eastAsiaTheme="minorEastAsia"/>
                      <w:color w:val="auto"/>
                      <w:szCs w:val="21"/>
                    </w:rPr>
                    <w:t>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rFonts w:eastAsiaTheme="minorEastAsia"/>
                      <w:color w:val="auto"/>
                      <w:szCs w:val="21"/>
                    </w:rPr>
                  </w:pPr>
                  <w:r>
                    <w:rPr>
                      <w:rFonts w:hint="eastAsia" w:eastAsiaTheme="minorEastAsia"/>
                      <w:color w:val="auto"/>
                      <w:szCs w:val="21"/>
                    </w:rPr>
                    <w:t>3</w:t>
                  </w:r>
                </w:p>
              </w:tc>
              <w:tc>
                <w:tcPr>
                  <w:tcW w:w="851" w:type="dxa"/>
                  <w:vAlign w:val="center"/>
                </w:tcPr>
                <w:p>
                  <w:pPr>
                    <w:pStyle w:val="28"/>
                    <w:spacing w:line="360" w:lineRule="exact"/>
                    <w:rPr>
                      <w:rFonts w:eastAsiaTheme="minorEastAsia"/>
                      <w:color w:val="auto"/>
                      <w:szCs w:val="21"/>
                    </w:rPr>
                  </w:pPr>
                  <w:r>
                    <w:rPr>
                      <w:rFonts w:hint="eastAsia" w:eastAsiaTheme="minorEastAsia"/>
                      <w:color w:val="auto"/>
                      <w:szCs w:val="21"/>
                    </w:rPr>
                    <w:t>贮存、运输</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废包装物</w:t>
                  </w:r>
                </w:p>
              </w:tc>
              <w:tc>
                <w:tcPr>
                  <w:tcW w:w="709" w:type="dxa"/>
                  <w:vAlign w:val="center"/>
                </w:tcPr>
                <w:p>
                  <w:pPr>
                    <w:pStyle w:val="28"/>
                    <w:spacing w:line="360" w:lineRule="exact"/>
                    <w:rPr>
                      <w:rFonts w:eastAsiaTheme="minorEastAsia"/>
                      <w:color w:val="auto"/>
                      <w:szCs w:val="21"/>
                    </w:rPr>
                  </w:pPr>
                  <w:r>
                    <w:rPr>
                      <w:rFonts w:hint="eastAsia" w:eastAsiaTheme="minorEastAsia"/>
                      <w:color w:val="auto"/>
                      <w:szCs w:val="21"/>
                    </w:rPr>
                    <w:t>危险废物</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0.8t/a</w:t>
                  </w:r>
                </w:p>
              </w:tc>
              <w:tc>
                <w:tcPr>
                  <w:tcW w:w="1701"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贮存于5#贮存区对应区域</w:t>
                  </w:r>
                </w:p>
              </w:tc>
              <w:tc>
                <w:tcPr>
                  <w:tcW w:w="2127"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定期委托有资质的单位处置。</w:t>
                  </w:r>
                </w:p>
              </w:tc>
              <w:tc>
                <w:tcPr>
                  <w:tcW w:w="924" w:type="dxa"/>
                  <w:vAlign w:val="center"/>
                </w:tcPr>
                <w:p>
                  <w:pPr>
                    <w:pStyle w:val="28"/>
                    <w:spacing w:line="360" w:lineRule="exact"/>
                    <w:rPr>
                      <w:rFonts w:eastAsiaTheme="minorEastAsia"/>
                      <w:color w:val="auto"/>
                      <w:szCs w:val="21"/>
                    </w:rPr>
                  </w:pPr>
                  <w:r>
                    <w:rPr>
                      <w:rFonts w:hint="eastAsia" w:eastAsiaTheme="minorEastAsia"/>
                      <w:color w:val="auto"/>
                      <w:szCs w:val="21"/>
                    </w:rPr>
                    <w:t>0.8t/a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rFonts w:eastAsiaTheme="minorEastAsia"/>
                      <w:color w:val="auto"/>
                      <w:szCs w:val="21"/>
                    </w:rPr>
                  </w:pPr>
                  <w:r>
                    <w:rPr>
                      <w:rFonts w:hint="eastAsia" w:eastAsiaTheme="minorEastAsia"/>
                      <w:color w:val="auto"/>
                      <w:szCs w:val="21"/>
                    </w:rPr>
                    <w:t>4</w:t>
                  </w:r>
                </w:p>
              </w:tc>
              <w:tc>
                <w:tcPr>
                  <w:tcW w:w="851" w:type="dxa"/>
                  <w:vMerge w:val="restart"/>
                  <w:vAlign w:val="center"/>
                </w:tcPr>
                <w:p>
                  <w:pPr>
                    <w:pStyle w:val="28"/>
                    <w:spacing w:line="360" w:lineRule="exact"/>
                    <w:rPr>
                      <w:rFonts w:eastAsiaTheme="minorEastAsia"/>
                      <w:color w:val="auto"/>
                      <w:szCs w:val="21"/>
                    </w:rPr>
                  </w:pPr>
                  <w:r>
                    <w:rPr>
                      <w:rFonts w:hint="eastAsia" w:eastAsiaTheme="minorEastAsia"/>
                      <w:color w:val="auto"/>
                      <w:szCs w:val="21"/>
                    </w:rPr>
                    <w:t>废气处理</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废活性炭</w:t>
                  </w:r>
                </w:p>
              </w:tc>
              <w:tc>
                <w:tcPr>
                  <w:tcW w:w="709" w:type="dxa"/>
                  <w:vAlign w:val="center"/>
                </w:tcPr>
                <w:p>
                  <w:pPr>
                    <w:pStyle w:val="28"/>
                    <w:spacing w:line="360" w:lineRule="exact"/>
                    <w:rPr>
                      <w:rFonts w:eastAsiaTheme="minorEastAsia"/>
                      <w:color w:val="auto"/>
                      <w:szCs w:val="21"/>
                    </w:rPr>
                  </w:pPr>
                  <w:r>
                    <w:rPr>
                      <w:rFonts w:hint="eastAsia" w:eastAsiaTheme="minorEastAsia"/>
                      <w:color w:val="auto"/>
                      <w:szCs w:val="21"/>
                    </w:rPr>
                    <w:t>危险废物</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1.44t/a</w:t>
                  </w:r>
                </w:p>
              </w:tc>
              <w:tc>
                <w:tcPr>
                  <w:tcW w:w="1701"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贮存于5#贮存区对应区域</w:t>
                  </w:r>
                </w:p>
              </w:tc>
              <w:tc>
                <w:tcPr>
                  <w:tcW w:w="2127"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定期委托有资质的单位处置。</w:t>
                  </w:r>
                </w:p>
              </w:tc>
              <w:tc>
                <w:tcPr>
                  <w:tcW w:w="924" w:type="dxa"/>
                  <w:vAlign w:val="center"/>
                </w:tcPr>
                <w:p>
                  <w:pPr>
                    <w:pStyle w:val="28"/>
                    <w:spacing w:line="360" w:lineRule="exact"/>
                    <w:rPr>
                      <w:rFonts w:eastAsiaTheme="minorEastAsia"/>
                      <w:color w:val="auto"/>
                      <w:szCs w:val="21"/>
                    </w:rPr>
                  </w:pPr>
                  <w:r>
                    <w:rPr>
                      <w:rFonts w:hint="eastAsia" w:eastAsiaTheme="minorEastAsia"/>
                      <w:color w:val="auto"/>
                      <w:szCs w:val="21"/>
                    </w:rPr>
                    <w:t>1.44t/a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8"/>
                    <w:spacing w:line="360" w:lineRule="exact"/>
                    <w:rPr>
                      <w:rFonts w:eastAsiaTheme="minorEastAsia"/>
                      <w:color w:val="auto"/>
                      <w:szCs w:val="21"/>
                    </w:rPr>
                  </w:pPr>
                  <w:r>
                    <w:rPr>
                      <w:rFonts w:hint="eastAsia" w:eastAsiaTheme="minorEastAsia"/>
                      <w:color w:val="auto"/>
                      <w:szCs w:val="21"/>
                    </w:rPr>
                    <w:t>5</w:t>
                  </w:r>
                </w:p>
              </w:tc>
              <w:tc>
                <w:tcPr>
                  <w:tcW w:w="851" w:type="dxa"/>
                  <w:vMerge w:val="continue"/>
                  <w:vAlign w:val="center"/>
                </w:tcPr>
                <w:p>
                  <w:pPr>
                    <w:pStyle w:val="28"/>
                    <w:spacing w:line="360" w:lineRule="exact"/>
                    <w:rPr>
                      <w:rFonts w:eastAsiaTheme="minorEastAsia"/>
                      <w:color w:val="auto"/>
                      <w:szCs w:val="21"/>
                    </w:rPr>
                  </w:pP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碱喷淋废液</w:t>
                  </w:r>
                </w:p>
              </w:tc>
              <w:tc>
                <w:tcPr>
                  <w:tcW w:w="709" w:type="dxa"/>
                  <w:vAlign w:val="center"/>
                </w:tcPr>
                <w:p>
                  <w:pPr>
                    <w:pStyle w:val="28"/>
                    <w:spacing w:line="360" w:lineRule="exact"/>
                    <w:rPr>
                      <w:rFonts w:eastAsiaTheme="minorEastAsia"/>
                      <w:color w:val="auto"/>
                      <w:szCs w:val="21"/>
                    </w:rPr>
                  </w:pPr>
                  <w:r>
                    <w:rPr>
                      <w:rFonts w:hint="eastAsia" w:eastAsiaTheme="minorEastAsia"/>
                      <w:color w:val="auto"/>
                      <w:szCs w:val="21"/>
                    </w:rPr>
                    <w:t>危险废物</w:t>
                  </w:r>
                </w:p>
              </w:tc>
              <w:tc>
                <w:tcPr>
                  <w:tcW w:w="850" w:type="dxa"/>
                  <w:vAlign w:val="center"/>
                </w:tcPr>
                <w:p>
                  <w:pPr>
                    <w:pStyle w:val="28"/>
                    <w:spacing w:line="360" w:lineRule="exact"/>
                    <w:rPr>
                      <w:rFonts w:eastAsiaTheme="minorEastAsia"/>
                      <w:color w:val="auto"/>
                      <w:szCs w:val="21"/>
                    </w:rPr>
                  </w:pPr>
                  <w:r>
                    <w:rPr>
                      <w:rFonts w:hint="eastAsia" w:eastAsiaTheme="minorEastAsia"/>
                      <w:color w:val="auto"/>
                      <w:szCs w:val="21"/>
                    </w:rPr>
                    <w:t>4</w:t>
                  </w:r>
                  <w:r>
                    <w:rPr>
                      <w:rFonts w:eastAsiaTheme="minorEastAsia"/>
                      <w:color w:val="auto"/>
                      <w:szCs w:val="21"/>
                    </w:rPr>
                    <w:t>m³</w:t>
                  </w:r>
                  <w:r>
                    <w:rPr>
                      <w:rFonts w:hint="eastAsia" w:eastAsiaTheme="minorEastAsia"/>
                      <w:color w:val="auto"/>
                      <w:szCs w:val="21"/>
                    </w:rPr>
                    <w:t>/a</w:t>
                  </w:r>
                </w:p>
              </w:tc>
              <w:tc>
                <w:tcPr>
                  <w:tcW w:w="1701"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贮存于5#贮存区对应区域</w:t>
                  </w:r>
                </w:p>
              </w:tc>
              <w:tc>
                <w:tcPr>
                  <w:tcW w:w="2127"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定期委托有资质的单位处置。</w:t>
                  </w:r>
                </w:p>
              </w:tc>
              <w:tc>
                <w:tcPr>
                  <w:tcW w:w="924" w:type="dxa"/>
                  <w:vAlign w:val="center"/>
                </w:tcPr>
                <w:p>
                  <w:pPr>
                    <w:pStyle w:val="28"/>
                    <w:spacing w:line="360" w:lineRule="exact"/>
                    <w:rPr>
                      <w:rFonts w:eastAsiaTheme="minorEastAsia"/>
                      <w:color w:val="auto"/>
                      <w:szCs w:val="21"/>
                    </w:rPr>
                  </w:pPr>
                  <w:r>
                    <w:rPr>
                      <w:rFonts w:hint="eastAsia" w:eastAsiaTheme="minorEastAsia"/>
                      <w:color w:val="auto"/>
                      <w:szCs w:val="21"/>
                    </w:rPr>
                    <w:t>4</w:t>
                  </w:r>
                  <w:r>
                    <w:rPr>
                      <w:rFonts w:eastAsiaTheme="minorEastAsia"/>
                      <w:color w:val="auto"/>
                      <w:szCs w:val="21"/>
                    </w:rPr>
                    <w:t>m³</w:t>
                  </w:r>
                  <w:r>
                    <w:rPr>
                      <w:rFonts w:hint="eastAsia" w:eastAsiaTheme="minorEastAsia"/>
                      <w:color w:val="auto"/>
                      <w:szCs w:val="21"/>
                    </w:rPr>
                    <w:t>/a</w:t>
                  </w:r>
                </w:p>
              </w:tc>
            </w:tr>
          </w:tbl>
          <w:p>
            <w:pPr>
              <w:pStyle w:val="36"/>
              <w:spacing w:beforeLines="50"/>
              <w:ind w:firstLine="480"/>
              <w:rPr>
                <w:rFonts w:eastAsiaTheme="minorEastAsia"/>
                <w:szCs w:val="24"/>
              </w:rPr>
            </w:pPr>
            <w:r>
              <w:rPr>
                <w:rFonts w:eastAsiaTheme="minorEastAsia"/>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（3）环境管理要求</w:t>
            </w:r>
          </w:p>
          <w:p>
            <w:pPr>
              <w:pStyle w:val="36"/>
              <w:ind w:firstLine="480"/>
              <w:rPr>
                <w:rFonts w:ascii="宋体"/>
                <w:szCs w:val="24"/>
              </w:rPr>
            </w:pPr>
            <w:r>
              <w:rPr>
                <w:szCs w:val="24"/>
              </w:rPr>
              <w:t>针对项目产生的危险废物，项目在日常管理过程中，必须严格按照《危险废物贮存污染控制标准》（GB</w:t>
            </w:r>
            <w:r>
              <w:rPr>
                <w:rFonts w:hint="eastAsia"/>
                <w:szCs w:val="24"/>
                <w:lang w:eastAsia="zh-CN"/>
              </w:rPr>
              <w:t>*****</w:t>
            </w:r>
            <w:r>
              <w:rPr>
                <w:szCs w:val="24"/>
              </w:rPr>
              <w:t>-2023）的要求，做到下表提出的要求。</w:t>
            </w:r>
          </w:p>
          <w:p>
            <w:pPr>
              <w:pStyle w:val="30"/>
              <w:spacing w:beforeLines="0"/>
              <w:rPr>
                <w:rFonts w:hAnsi="Times New Roman" w:eastAsiaTheme="minorEastAsia"/>
                <w:sz w:val="21"/>
                <w:szCs w:val="21"/>
              </w:rPr>
            </w:pPr>
            <w:r>
              <w:rPr>
                <w:rFonts w:hAnsi="Times New Roman" w:eastAsiaTheme="minorEastAsia"/>
                <w:sz w:val="21"/>
                <w:szCs w:val="21"/>
              </w:rPr>
              <w:t>表4.2.4-</w:t>
            </w:r>
            <w:r>
              <w:rPr>
                <w:rFonts w:hint="eastAsia" w:hAnsi="Times New Roman" w:eastAsiaTheme="minorEastAsia"/>
                <w:sz w:val="21"/>
                <w:szCs w:val="21"/>
              </w:rPr>
              <w:t xml:space="preserve">6 </w:t>
            </w:r>
            <w:r>
              <w:rPr>
                <w:rFonts w:hAnsi="Times New Roman" w:eastAsiaTheme="minorEastAsia"/>
                <w:sz w:val="21"/>
                <w:szCs w:val="21"/>
              </w:rPr>
              <w:t xml:space="preserve"> 项目危险废物管理要求一览表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18"/>
                    </w:rPr>
                  </w:pPr>
                  <w:r>
                    <w:rPr>
                      <w:rFonts w:hint="eastAsia"/>
                      <w:szCs w:val="18"/>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18"/>
                    </w:rPr>
                  </w:pPr>
                  <w: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pPr>
                  <w:r>
                    <w:rPr>
                      <w:rFonts w:hint="eastAsia"/>
                      <w:szCs w:val="18"/>
                    </w:rPr>
                    <w:t>总体</w:t>
                  </w:r>
                  <w:r>
                    <w:rPr>
                      <w:szCs w:val="18"/>
                    </w:rPr>
                    <w:t>要求</w:t>
                  </w:r>
                </w:p>
              </w:tc>
              <w:tc>
                <w:tcPr>
                  <w:tcW w:w="7728" w:type="dxa"/>
                  <w:tcBorders>
                    <w:top w:val="single" w:color="auto" w:sz="4" w:space="0"/>
                    <w:left w:val="single" w:color="auto" w:sz="4" w:space="0"/>
                    <w:right w:val="single" w:color="auto" w:sz="4" w:space="0"/>
                  </w:tcBorders>
                  <w:noWrap/>
                  <w:vAlign w:val="center"/>
                </w:tcPr>
                <w:p>
                  <w:pPr>
                    <w:pStyle w:val="47"/>
                    <w:spacing w:line="360" w:lineRule="exact"/>
                    <w:ind w:firstLine="210" w:firstLineChars="100"/>
                  </w:pPr>
                  <w:r>
                    <w:rPr>
                      <w:rFonts w:hint="eastAsia"/>
                    </w:rPr>
                    <w:t>①贮存危险废物应根据危险废物的类别、形态、物理化学性质和污染防治要求进行分类贮存，且应避免危险废物与不相容的物质或材料接触</w:t>
                  </w:r>
                  <w:r>
                    <w:t>；</w:t>
                  </w:r>
                </w:p>
                <w:p>
                  <w:pPr>
                    <w:pStyle w:val="47"/>
                    <w:spacing w:line="360" w:lineRule="exact"/>
                    <w:ind w:firstLine="210" w:firstLineChars="100"/>
                  </w:pPr>
                  <w:r>
                    <w:rPr>
                      <w:rFonts w:hint="eastAsia" w:ascii="宋体" w:hAnsi="宋体" w:cs="宋体"/>
                      <w:szCs w:val="24"/>
                    </w:rPr>
                    <w:t>②</w:t>
                  </w:r>
                  <w:r>
                    <w:rPr>
                      <w:rFonts w:cs="sans-serif"/>
                      <w:szCs w:val="24"/>
                    </w:rPr>
                    <w:t>危险废物贮存过程产生的液态废物和固态废物应分类收集，按其环境管理要求妥善处理</w:t>
                  </w:r>
                  <w:r>
                    <w:rPr>
                      <w:rFonts w:hint="eastAsia" w:cs="sans-serif"/>
                      <w:szCs w:val="24"/>
                    </w:rPr>
                    <w:t>；</w:t>
                  </w:r>
                </w:p>
                <w:p>
                  <w:pPr>
                    <w:pStyle w:val="47"/>
                    <w:spacing w:line="360" w:lineRule="exact"/>
                    <w:ind w:firstLine="210" w:firstLineChars="100"/>
                  </w:pPr>
                  <w:r>
                    <w:rPr>
                      <w:rFonts w:hint="eastAsia" w:ascii="宋体" w:hAnsi="宋体" w:cs="宋体"/>
                      <w:szCs w:val="24"/>
                    </w:rPr>
                    <w:t>③</w:t>
                  </w:r>
                  <w:r>
                    <w:rPr>
                      <w:rFonts w:cs="sans-serif"/>
                      <w:szCs w:val="24"/>
                    </w:rPr>
                    <w:t xml:space="preserve">贮存设施或场所、容器和包装物应按 </w:t>
                  </w:r>
                  <w:r>
                    <w:rPr>
                      <w:rFonts w:cs="serif"/>
                      <w:szCs w:val="24"/>
                    </w:rPr>
                    <w:t xml:space="preserve">HJ 1276 </w:t>
                  </w:r>
                  <w:r>
                    <w:rPr>
                      <w:rFonts w:cs="sans-serif"/>
                      <w:szCs w:val="24"/>
                    </w:rPr>
                    <w:t>要求设置危险废物贮存设施或场所标志、危险废物贮存分区标志和危险废物标签等危险废物识别标志</w:t>
                  </w:r>
                  <w:r>
                    <w:rPr>
                      <w:rFonts w:hint="eastAsia" w:cs="sans-serif"/>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szCs w:val="18"/>
                    </w:rPr>
                  </w:pPr>
                  <w:r>
                    <w:rPr>
                      <w:szCs w:val="18"/>
                    </w:rPr>
                    <w:t>贮存设施</w:t>
                  </w:r>
                  <w:r>
                    <w:rPr>
                      <w:rFonts w:hint="eastAsia"/>
                      <w:szCs w:val="18"/>
                    </w:rPr>
                    <w:t>污染控制要求一般规定</w:t>
                  </w:r>
                </w:p>
              </w:tc>
              <w:tc>
                <w:tcPr>
                  <w:tcW w:w="7728" w:type="dxa"/>
                  <w:tcBorders>
                    <w:top w:val="single" w:color="auto" w:sz="4" w:space="0"/>
                    <w:left w:val="single" w:color="auto" w:sz="4" w:space="0"/>
                    <w:right w:val="single" w:color="auto" w:sz="4" w:space="0"/>
                  </w:tcBorders>
                  <w:noWrap/>
                  <w:vAlign w:val="center"/>
                </w:tcPr>
                <w:p>
                  <w:pPr>
                    <w:pStyle w:val="47"/>
                    <w:spacing w:line="360" w:lineRule="exact"/>
                    <w:ind w:firstLine="210" w:firstLineChars="100"/>
                    <w:rPr>
                      <w:rFonts w:cs="sans-serif"/>
                      <w:szCs w:val="24"/>
                    </w:rPr>
                  </w:pPr>
                  <w:r>
                    <w:rPr>
                      <w:rFonts w:hint="eastAsia" w:cs="sans-serif"/>
                      <w:szCs w:val="24"/>
                    </w:rPr>
                    <w:t>①</w:t>
                  </w:r>
                  <w:r>
                    <w:rPr>
                      <w:rFonts w:cs="sans-serif"/>
                      <w:szCs w:val="24"/>
                    </w:rPr>
                    <w:t>贮存设施应根据危险废物的形态、物理化学性质、包装形式和污染物迁移途径，采取必要的防风、防晒、防雨、防漏、防渗、防腐以及其他环境污染防治措施，不应露天堆放危险废物</w:t>
                  </w:r>
                  <w:r>
                    <w:rPr>
                      <w:rFonts w:hint="eastAsia" w:cs="sans-serif"/>
                      <w:szCs w:val="24"/>
                    </w:rPr>
                    <w:t>；</w:t>
                  </w:r>
                </w:p>
                <w:p>
                  <w:pPr>
                    <w:pStyle w:val="47"/>
                    <w:spacing w:line="360" w:lineRule="exact"/>
                    <w:ind w:firstLine="210" w:firstLineChars="100"/>
                    <w:rPr>
                      <w:rFonts w:cs="sans-serif"/>
                      <w:szCs w:val="24"/>
                    </w:rPr>
                  </w:pPr>
                  <w:r>
                    <w:rPr>
                      <w:rFonts w:hint="eastAsia" w:cs="sans-serif"/>
                      <w:szCs w:val="24"/>
                    </w:rPr>
                    <w:t>②</w:t>
                  </w:r>
                  <w:r>
                    <w:rPr>
                      <w:rFonts w:cs="sans-serif"/>
                      <w:szCs w:val="24"/>
                    </w:rPr>
                    <w:t>贮存设施应根据危险废物的类别、数量、形态、物理化学性质和污染防治等要求设置必要的贮存分区，避免不相容的危险废物接触、混合</w:t>
                  </w:r>
                  <w:r>
                    <w:rPr>
                      <w:rFonts w:hint="eastAsia" w:cs="sans-serif"/>
                      <w:szCs w:val="24"/>
                    </w:rPr>
                    <w:t>；</w:t>
                  </w:r>
                </w:p>
                <w:p>
                  <w:pPr>
                    <w:pStyle w:val="47"/>
                    <w:spacing w:line="360" w:lineRule="exact"/>
                    <w:ind w:firstLine="210" w:firstLineChars="100"/>
                    <w:rPr>
                      <w:rFonts w:cs="sans-serif"/>
                      <w:szCs w:val="24"/>
                    </w:rPr>
                  </w:pPr>
                  <w:r>
                    <w:rPr>
                      <w:rFonts w:hint="eastAsia" w:cs="sans-serif"/>
                      <w:szCs w:val="24"/>
                    </w:rPr>
                    <w:t>③</w:t>
                  </w:r>
                  <w:r>
                    <w:rPr>
                      <w:rFonts w:cs="sans-serif"/>
                      <w:szCs w:val="24"/>
                    </w:rPr>
                    <w:t>贮存设施或贮存分区内地面、墙面裙脚、堵截泄漏的围堰、接触危险废物的隔板和墙体等应采用坚固的材料建造，表面无裂缝</w:t>
                  </w:r>
                  <w:r>
                    <w:rPr>
                      <w:rFonts w:hint="eastAsia" w:cs="sans-serif"/>
                      <w:szCs w:val="24"/>
                    </w:rPr>
                    <w:t>；</w:t>
                  </w:r>
                </w:p>
                <w:p>
                  <w:pPr>
                    <w:pStyle w:val="47"/>
                    <w:spacing w:line="360" w:lineRule="exact"/>
                    <w:ind w:firstLine="210" w:firstLineChars="100"/>
                    <w:rPr>
                      <w:rFonts w:cs="sans-serif"/>
                      <w:szCs w:val="24"/>
                    </w:rPr>
                  </w:pPr>
                  <w:r>
                    <w:rPr>
                      <w:rFonts w:hint="eastAsia" w:cs="sans-serif"/>
                      <w:szCs w:val="24"/>
                    </w:rPr>
                    <w:t>④</w:t>
                  </w:r>
                  <w:r>
                    <w:rPr>
                      <w:rFonts w:cs="sans-serif"/>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w:t>
                  </w:r>
                  <w:r>
                    <w:rPr>
                      <w:rFonts w:cs="sans-serif"/>
                      <w:szCs w:val="24"/>
                      <w:vertAlign w:val="superscript"/>
                    </w:rPr>
                    <w:t>-7</w:t>
                  </w:r>
                  <w:r>
                    <w:rPr>
                      <w:rFonts w:cs="sans-serif"/>
                      <w:szCs w:val="24"/>
                    </w:rPr>
                    <w:t>cm/s），或至少2 mm 厚高密度聚乙烯膜等人工防渗材料（渗透系数不大于 10</w:t>
                  </w:r>
                  <w:r>
                    <w:rPr>
                      <w:rFonts w:cs="sans-serif"/>
                      <w:szCs w:val="24"/>
                      <w:vertAlign w:val="superscript"/>
                    </w:rPr>
                    <w:t>-10</w:t>
                  </w:r>
                  <w:r>
                    <w:rPr>
                      <w:rFonts w:cs="sans-serif"/>
                      <w:szCs w:val="24"/>
                    </w:rPr>
                    <w:t>cm/s），或其他防渗性能等效的材料</w:t>
                  </w:r>
                  <w:r>
                    <w:rPr>
                      <w:rFonts w:hint="eastAsia" w:cs="sans-serif"/>
                      <w:szCs w:val="24"/>
                    </w:rPr>
                    <w:t>；</w:t>
                  </w:r>
                </w:p>
                <w:p>
                  <w:pPr>
                    <w:pStyle w:val="47"/>
                    <w:spacing w:line="360" w:lineRule="exact"/>
                    <w:ind w:firstLine="210" w:firstLineChars="100"/>
                    <w:rPr>
                      <w:rFonts w:cs="sans-serif"/>
                      <w:szCs w:val="24"/>
                    </w:rPr>
                  </w:pPr>
                  <w:r>
                    <w:rPr>
                      <w:rFonts w:hint="eastAsia" w:cs="sans-serif"/>
                      <w:szCs w:val="24"/>
                    </w:rPr>
                    <w:t>⑤</w:t>
                  </w:r>
                  <w:r>
                    <w:rPr>
                      <w:rFonts w:cs="sans-serif"/>
                      <w:szCs w:val="24"/>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sans-serif"/>
                      <w:szCs w:val="24"/>
                    </w:rPr>
                    <w:t>；</w:t>
                  </w:r>
                </w:p>
                <w:p>
                  <w:pPr>
                    <w:pStyle w:val="47"/>
                    <w:spacing w:line="360" w:lineRule="exact"/>
                    <w:ind w:firstLine="210" w:firstLineChars="100"/>
                  </w:pPr>
                  <w:r>
                    <w:rPr>
                      <w:rFonts w:hint="eastAsia" w:cs="sans-serif"/>
                      <w:szCs w:val="24"/>
                    </w:rPr>
                    <w:t>⑥</w:t>
                  </w:r>
                  <w:r>
                    <w:rPr>
                      <w:rFonts w:cs="sans-serif"/>
                      <w:szCs w:val="24"/>
                    </w:rPr>
                    <w:t>贮存设施应采取技术和管理措施防止无关人员进入</w:t>
                  </w:r>
                  <w:r>
                    <w:rPr>
                      <w:rFonts w:hint="eastAsia" w:cs="sans-serif"/>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18"/>
                    </w:rPr>
                  </w:pPr>
                  <w:r>
                    <w:rPr>
                      <w:rFonts w:hint="eastAsia"/>
                      <w:szCs w:val="18"/>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47"/>
                    <w:spacing w:line="360" w:lineRule="exact"/>
                    <w:ind w:firstLine="210" w:firstLineChars="100"/>
                    <w:rPr>
                      <w:rFonts w:cs="sans-serif"/>
                      <w:szCs w:val="24"/>
                    </w:rPr>
                  </w:pPr>
                  <w:r>
                    <w:rPr>
                      <w:rFonts w:hint="eastAsia" w:cs="sans-serif"/>
                      <w:szCs w:val="24"/>
                    </w:rPr>
                    <w:t>①</w:t>
                  </w:r>
                  <w:r>
                    <w:rPr>
                      <w:rFonts w:cs="sans-serif"/>
                      <w:szCs w:val="24"/>
                    </w:rPr>
                    <w:t>危险废物存入贮存设施前应对危险废物类别和特性与危险废物标签等危险废物识别标志的一致性进行核验，不一致的或类别、特性不明的不应存入</w:t>
                  </w:r>
                  <w:r>
                    <w:rPr>
                      <w:rFonts w:hint="eastAsia" w:cs="sans-serif"/>
                      <w:szCs w:val="24"/>
                    </w:rPr>
                    <w:t>；</w:t>
                  </w:r>
                  <w:r>
                    <w:rPr>
                      <w:rFonts w:cs="sans-serif"/>
                      <w:szCs w:val="24"/>
                    </w:rPr>
                    <w:t>应定期检查危险废物的贮存状况，及时清理贮存设施地面，更换破损泄漏的危险废物贮存容器和包装物，保证堆存危险废物的防雨、防风、防扬尘等设施功能完好</w:t>
                  </w:r>
                  <w:r>
                    <w:rPr>
                      <w:rFonts w:hint="eastAsia" w:cs="sans-serif"/>
                      <w:szCs w:val="24"/>
                    </w:rPr>
                    <w:t>；</w:t>
                  </w:r>
                  <w:r>
                    <w:rPr>
                      <w:rFonts w:cs="sans-serif"/>
                      <w:szCs w:val="24"/>
                    </w:rPr>
                    <w:t>作业设备及车辆等结束作业离开贮存设施时，应对其残留的危险废物进行清理，清理的废物或清洗废水应收集处理</w:t>
                  </w:r>
                  <w:r>
                    <w:rPr>
                      <w:rFonts w:hint="eastAsia" w:cs="sans-serif"/>
                      <w:szCs w:val="24"/>
                    </w:rPr>
                    <w:t>；</w:t>
                  </w:r>
                  <w:r>
                    <w:rPr>
                      <w:rFonts w:cs="sans-serif"/>
                      <w:szCs w:val="24"/>
                    </w:rPr>
                    <w:t>贮存设施运行期间，应按国家有关标准和规定建立危险废物管理台账并保存</w:t>
                  </w:r>
                  <w:r>
                    <w:rPr>
                      <w:rFonts w:hint="eastAsia" w:cs="sans-serif"/>
                      <w:szCs w:val="24"/>
                    </w:rPr>
                    <w:t>；</w:t>
                  </w:r>
                  <w:r>
                    <w:rPr>
                      <w:rFonts w:cs="sans-serif"/>
                      <w:szCs w:val="24"/>
                    </w:rPr>
                    <w:t>贮存设施所有者或运营者应建立贮存设施环境管理制度、管理人员岗位职责制度、设施运行操作制度、人员岗位培训制度等</w:t>
                  </w:r>
                  <w:r>
                    <w:rPr>
                      <w:rFonts w:hint="eastAsia" w:cs="sans-serif"/>
                      <w:szCs w:val="24"/>
                    </w:rPr>
                    <w:t>；</w:t>
                  </w:r>
                  <w:r>
                    <w:rPr>
                      <w:rFonts w:cs="sans-serif"/>
                      <w:szCs w:val="24"/>
                    </w:rPr>
                    <w:t>贮存设施所有者或运营者应依据国家土壤和地下水污染防治的有关规定，结合贮存设施特点建立土壤和地下水污染隐患排查制度，并定期开展隐患排查；发现隐患应及时采取措施消除隐患，并建立档案</w:t>
                  </w:r>
                  <w:r>
                    <w:rPr>
                      <w:rFonts w:hint="eastAsia" w:cs="sans-serif"/>
                      <w:szCs w:val="24"/>
                    </w:rPr>
                    <w:t>；</w:t>
                  </w:r>
                  <w:r>
                    <w:rPr>
                      <w:rFonts w:cs="sans-serif"/>
                      <w:szCs w:val="24"/>
                    </w:rPr>
                    <w:t>贮存设施所有者或运营者应建立贮存设施全部档案，包括设计、施工、验收、运行、监测和环境应急等，应按国家有关档案管理的法律法规进行整理和归档</w:t>
                  </w:r>
                  <w:r>
                    <w:rPr>
                      <w:rFonts w:hint="eastAsia" w:cs="sans-serif"/>
                      <w:szCs w:val="24"/>
                    </w:rPr>
                    <w:t>；</w:t>
                  </w:r>
                </w:p>
                <w:p>
                  <w:pPr>
                    <w:pStyle w:val="47"/>
                    <w:spacing w:line="360" w:lineRule="exact"/>
                    <w:ind w:firstLine="210" w:firstLineChars="100"/>
                  </w:pPr>
                  <w:r>
                    <w:rPr>
                      <w:rFonts w:hint="eastAsia" w:cs="sans-serif"/>
                      <w:szCs w:val="24"/>
                    </w:rPr>
                    <w:t>②</w:t>
                  </w:r>
                  <w:r>
                    <w:rPr>
                      <w:rFonts w:cs="sans-serif"/>
                      <w:szCs w:val="24"/>
                    </w:rPr>
                    <w:t>贮存点应具有固定的区域边界，并应采取与其他区域进行隔离的措施</w:t>
                  </w:r>
                  <w:r>
                    <w:rPr>
                      <w:rFonts w:hint="eastAsia" w:cs="sans-serif"/>
                      <w:szCs w:val="24"/>
                    </w:rPr>
                    <w:t>；</w:t>
                  </w:r>
                  <w:r>
                    <w:rPr>
                      <w:rFonts w:cs="sans-serif"/>
                      <w:szCs w:val="24"/>
                    </w:rPr>
                    <w:t>贮存点应采取防风、防雨、防晒和防止危险废物流失、扬散等措施</w:t>
                  </w:r>
                  <w:r>
                    <w:rPr>
                      <w:rFonts w:hint="eastAsia" w:cs="sans-serif"/>
                      <w:szCs w:val="24"/>
                    </w:rPr>
                    <w:t>；</w:t>
                  </w:r>
                  <w:r>
                    <w:rPr>
                      <w:rFonts w:cs="sans-serif"/>
                      <w:szCs w:val="24"/>
                    </w:rPr>
                    <w:t>贮存点贮存的危险废物应置于容器或包装物中，不应直接散堆</w:t>
                  </w:r>
                  <w:r>
                    <w:rPr>
                      <w:rFonts w:hint="eastAsia" w:cs="sans-serif"/>
                      <w:szCs w:val="24"/>
                    </w:rPr>
                    <w:t>；</w:t>
                  </w:r>
                  <w:r>
                    <w:rPr>
                      <w:rFonts w:cs="sans-serif"/>
                      <w:szCs w:val="24"/>
                    </w:rPr>
                    <w:t>贮存点应根据危险废物的形态、物理化学性质、包装形式等，采取防渗、防漏等污染防治措施或采用具有相应功能的装置</w:t>
                  </w:r>
                  <w:r>
                    <w:rPr>
                      <w:rFonts w:hint="eastAsia" w:cs="sans-serif"/>
                      <w:szCs w:val="24"/>
                    </w:rPr>
                    <w:t>；</w:t>
                  </w:r>
                  <w:r>
                    <w:rPr>
                      <w:rFonts w:cs="sans-serif"/>
                      <w:szCs w:val="24"/>
                    </w:rPr>
                    <w:t>贮存点应及时清运贮存的危险废物，实时贮存量不应超过 3 吨</w:t>
                  </w:r>
                  <w:r>
                    <w:rPr>
                      <w:rFonts w:hint="eastAsia" w:cs="sans-serif"/>
                      <w:szCs w:val="24"/>
                    </w:rPr>
                    <w:t>。</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36"/>
              <w:ind w:firstLine="361" w:firstLineChars="150"/>
              <w:rPr>
                <w:rFonts w:eastAsiaTheme="minorEastAsia"/>
                <w:b/>
                <w:szCs w:val="24"/>
              </w:rPr>
            </w:pPr>
            <w:r>
              <w:rPr>
                <w:rFonts w:eastAsiaTheme="minorEastAsia"/>
                <w:b/>
                <w:szCs w:val="24"/>
              </w:rPr>
              <w:t>（1）污染源及污染物类型</w:t>
            </w:r>
          </w:p>
          <w:p>
            <w:pPr>
              <w:pStyle w:val="36"/>
              <w:ind w:firstLine="480"/>
              <w:rPr>
                <w:szCs w:val="24"/>
              </w:rPr>
            </w:pPr>
            <w:r>
              <w:rPr>
                <w:szCs w:val="24"/>
              </w:rPr>
              <w:t>根据项目的特点</w:t>
            </w:r>
            <w:r>
              <w:rPr>
                <w:rFonts w:hint="eastAsia"/>
                <w:szCs w:val="24"/>
              </w:rPr>
              <w:t>，</w:t>
            </w:r>
            <w:r>
              <w:rPr>
                <w:szCs w:val="24"/>
              </w:rPr>
              <w:t>该项目主要将</w:t>
            </w:r>
            <w:r>
              <w:rPr>
                <w:rFonts w:hint="eastAsia"/>
                <w:szCs w:val="24"/>
              </w:rPr>
              <w:t>各类危险废物收集贮</w:t>
            </w:r>
            <w:r>
              <w:rPr>
                <w:szCs w:val="24"/>
              </w:rPr>
              <w:t>存后</w:t>
            </w:r>
            <w:r>
              <w:rPr>
                <w:rFonts w:hint="eastAsia"/>
                <w:szCs w:val="24"/>
              </w:rPr>
              <w:t>统一交由</w:t>
            </w:r>
            <w:r>
              <w:rPr>
                <w:szCs w:val="24"/>
              </w:rPr>
              <w:t>有处置资质的单位进行处置，不涉及各类危险废物的利用及后续处置再生环节。可能造成地下水及土壤污染的污染源为暂存仓库，</w:t>
            </w:r>
            <w:r>
              <w:rPr>
                <w:rFonts w:hint="eastAsia"/>
                <w:szCs w:val="24"/>
              </w:rPr>
              <w:t>该项目地下水、土壤主要污染物</w:t>
            </w:r>
            <w:r>
              <w:rPr>
                <w:szCs w:val="24"/>
              </w:rPr>
              <w:t>为废矿物油</w:t>
            </w:r>
            <w:r>
              <w:rPr>
                <w:rFonts w:hint="eastAsia"/>
                <w:szCs w:val="24"/>
              </w:rPr>
              <w:t>、废酸、废碱、有机液体等</w:t>
            </w:r>
            <w:r>
              <w:rPr>
                <w:szCs w:val="24"/>
              </w:rPr>
              <w:t>。</w:t>
            </w:r>
          </w:p>
          <w:p>
            <w:pPr>
              <w:pStyle w:val="36"/>
              <w:ind w:firstLine="361" w:firstLineChars="150"/>
              <w:rPr>
                <w:rFonts w:eastAsiaTheme="minorEastAsia"/>
                <w:b/>
                <w:szCs w:val="24"/>
              </w:rPr>
            </w:pPr>
            <w:r>
              <w:rPr>
                <w:rFonts w:eastAsiaTheme="minorEastAsia"/>
                <w:b/>
                <w:szCs w:val="24"/>
              </w:rPr>
              <w:t>（2）污染源及污染途径</w:t>
            </w:r>
          </w:p>
          <w:p>
            <w:pPr>
              <w:pStyle w:val="36"/>
              <w:ind w:firstLine="480"/>
              <w:rPr>
                <w:szCs w:val="24"/>
              </w:rPr>
            </w:pPr>
            <w:r>
              <w:rPr>
                <w:szCs w:val="24"/>
              </w:rPr>
              <w:t>该项目对地下水、土壤影响的途径主要为项目废矿物油</w:t>
            </w:r>
            <w:r>
              <w:rPr>
                <w:rFonts w:hint="eastAsia"/>
                <w:szCs w:val="24"/>
              </w:rPr>
              <w:t>各类有机液体、酸、碱等</w:t>
            </w:r>
            <w:r>
              <w:rPr>
                <w:szCs w:val="24"/>
              </w:rPr>
              <w:t>储存期间出现“跑</w:t>
            </w:r>
            <w:r>
              <w:rPr>
                <w:rFonts w:hint="eastAsia"/>
                <w:szCs w:val="24"/>
              </w:rPr>
              <w:t>、</w:t>
            </w:r>
            <w:r>
              <w:rPr>
                <w:szCs w:val="24"/>
              </w:rPr>
              <w:t>冒</w:t>
            </w:r>
            <w:r>
              <w:rPr>
                <w:rFonts w:hint="eastAsia"/>
                <w:szCs w:val="24"/>
              </w:rPr>
              <w:t>、</w:t>
            </w:r>
            <w:r>
              <w:rPr>
                <w:szCs w:val="24"/>
              </w:rPr>
              <w:t>滴</w:t>
            </w:r>
            <w:r>
              <w:rPr>
                <w:rFonts w:hint="eastAsia"/>
                <w:szCs w:val="24"/>
              </w:rPr>
              <w:t>、</w:t>
            </w:r>
            <w:r>
              <w:rPr>
                <w:szCs w:val="24"/>
              </w:rPr>
              <w:t>漏”</w:t>
            </w:r>
            <w:r>
              <w:rPr>
                <w:rFonts w:hint="eastAsia"/>
                <w:szCs w:val="24"/>
              </w:rPr>
              <w:t>或泄露</w:t>
            </w:r>
            <w:r>
              <w:rPr>
                <w:szCs w:val="24"/>
              </w:rPr>
              <w:t>，污染物可能进入土壤，最终会渗入地下水渗透到含水层，并通过扩散和渗透作用对周边区域的地下水环境</w:t>
            </w:r>
            <w:r>
              <w:rPr>
                <w:rFonts w:hint="eastAsia"/>
                <w:szCs w:val="24"/>
              </w:rPr>
              <w:t>、土壤</w:t>
            </w:r>
            <w:r>
              <w:rPr>
                <w:szCs w:val="24"/>
              </w:rPr>
              <w:t>造成影响。</w:t>
            </w:r>
          </w:p>
          <w:p>
            <w:pPr>
              <w:pStyle w:val="36"/>
              <w:ind w:firstLine="361" w:firstLineChars="150"/>
              <w:rPr>
                <w:rFonts w:eastAsiaTheme="minorEastAsia"/>
                <w:b/>
                <w:szCs w:val="24"/>
              </w:rPr>
            </w:pPr>
            <w:r>
              <w:rPr>
                <w:rFonts w:eastAsiaTheme="minorEastAsia"/>
                <w:b/>
                <w:szCs w:val="24"/>
              </w:rPr>
              <w:t>（3）防控措施</w:t>
            </w:r>
          </w:p>
          <w:p>
            <w:pPr>
              <w:pStyle w:val="36"/>
              <w:ind w:firstLine="480"/>
              <w:rPr>
                <w:szCs w:val="24"/>
              </w:rPr>
            </w:pPr>
            <w:r>
              <w:rPr>
                <w:szCs w:val="24"/>
              </w:rPr>
              <w:t>该项目地下水、土壤污染防治措施按照“源头控制、分区防治、应急响应”相结合的原则，从污染物的产生、入渗、扩散、应急响应进行控制。</w:t>
            </w:r>
          </w:p>
          <w:p>
            <w:pPr>
              <w:pStyle w:val="36"/>
              <w:ind w:firstLine="482"/>
              <w:rPr>
                <w:b/>
                <w:szCs w:val="24"/>
              </w:rPr>
            </w:pPr>
            <w:r>
              <w:rPr>
                <w:rFonts w:ascii="宋体"/>
                <w:b/>
                <w:szCs w:val="24"/>
              </w:rPr>
              <w:t>①</w:t>
            </w:r>
            <w:r>
              <w:rPr>
                <w:b/>
                <w:szCs w:val="24"/>
              </w:rPr>
              <w:t>源头控制措施</w:t>
            </w:r>
          </w:p>
          <w:p>
            <w:pPr>
              <w:pStyle w:val="36"/>
              <w:ind w:firstLine="480"/>
              <w:rPr>
                <w:szCs w:val="24"/>
              </w:rPr>
            </w:pPr>
            <w:r>
              <w:rPr>
                <w:szCs w:val="24"/>
              </w:rPr>
              <w:t>项目应尽可能从源头上减少污染物的产生和排放。严格按照国家相关规范要求，对暂存设施、</w:t>
            </w:r>
            <w:r>
              <w:rPr>
                <w:rFonts w:hint="eastAsia"/>
                <w:szCs w:val="24"/>
              </w:rPr>
              <w:t>渗滤液收集池</w:t>
            </w:r>
            <w:r>
              <w:rPr>
                <w:szCs w:val="24"/>
              </w:rPr>
              <w:t>等构筑物采取相应措施，防止和降低污染物的跑、冒、滴、漏，将污染物泄漏的环境风险降到最低程度。物料装、卸过程中应严格按规范操作，防止装卸过程的跑、冒、滴、漏。危险废物临时存放场所要按照国家相关规范要求，采取严格的防泄漏、防溢流、防腐蚀等措施，严格危险化学品和危险废物的管理。</w:t>
            </w:r>
          </w:p>
          <w:p>
            <w:pPr>
              <w:pStyle w:val="36"/>
              <w:ind w:firstLine="482"/>
              <w:rPr>
                <w:b/>
                <w:szCs w:val="24"/>
              </w:rPr>
            </w:pPr>
            <w:r>
              <w:rPr>
                <w:rFonts w:ascii="宋体"/>
                <w:b/>
                <w:szCs w:val="24"/>
              </w:rPr>
              <w:t>②</w:t>
            </w:r>
            <w:r>
              <w:rPr>
                <w:b/>
                <w:szCs w:val="24"/>
              </w:rPr>
              <w:t>分区控制措施</w:t>
            </w:r>
          </w:p>
          <w:p>
            <w:pPr>
              <w:pStyle w:val="36"/>
              <w:ind w:firstLine="480"/>
              <w:rPr>
                <w:szCs w:val="24"/>
              </w:rPr>
            </w:pPr>
            <w:r>
              <w:rPr>
                <w:rFonts w:hint="eastAsia"/>
                <w:szCs w:val="24"/>
              </w:rPr>
              <w:t>根据《危险废物贮存污染控制标准》（G</w:t>
            </w:r>
            <w:r>
              <w:rPr>
                <w:szCs w:val="24"/>
              </w:rPr>
              <w:t>B</w:t>
            </w:r>
            <w:r>
              <w:rPr>
                <w:rFonts w:hint="eastAsia"/>
                <w:szCs w:val="24"/>
                <w:lang w:eastAsia="zh-CN"/>
              </w:rPr>
              <w:t>*****</w:t>
            </w:r>
            <w:r>
              <w:rPr>
                <w:szCs w:val="24"/>
              </w:rPr>
              <w:t>-2023</w:t>
            </w:r>
            <w:r>
              <w:rPr>
                <w:rFonts w:hint="eastAsia"/>
                <w:szCs w:val="24"/>
              </w:rPr>
              <w:t>）等相关技术规范对危险废物贮存区域防渗要求，项目整个区域均属于重点防渗区，具体</w:t>
            </w:r>
            <w:r>
              <w:rPr>
                <w:szCs w:val="24"/>
              </w:rPr>
              <w:t>控制措施</w:t>
            </w:r>
            <w:r>
              <w:rPr>
                <w:rFonts w:hint="eastAsia"/>
                <w:szCs w:val="24"/>
              </w:rPr>
              <w:t>如下：</w:t>
            </w:r>
          </w:p>
          <w:p>
            <w:pPr>
              <w:pStyle w:val="36"/>
              <w:ind w:firstLine="480"/>
              <w:rPr>
                <w:szCs w:val="24"/>
              </w:rPr>
            </w:pPr>
            <w:r>
              <w:rPr>
                <w:szCs w:val="24"/>
              </w:rPr>
              <w:fldChar w:fldCharType="begin"/>
            </w:r>
            <w:r>
              <w:rPr>
                <w:szCs w:val="24"/>
              </w:rPr>
              <w:instrText xml:space="preserve"> </w:instrText>
            </w:r>
            <w:r>
              <w:rPr>
                <w:rFonts w:hint="eastAsia"/>
                <w:szCs w:val="24"/>
              </w:rPr>
              <w:instrText xml:space="preserve">= 1 \* GB2</w:instrText>
            </w:r>
            <w:r>
              <w:rPr>
                <w:szCs w:val="24"/>
              </w:rPr>
              <w:instrText xml:space="preserve"> </w:instrText>
            </w:r>
            <w:r>
              <w:rPr>
                <w:szCs w:val="24"/>
              </w:rPr>
              <w:fldChar w:fldCharType="separate"/>
            </w:r>
            <w:r>
              <w:rPr>
                <w:rFonts w:hint="eastAsia"/>
                <w:szCs w:val="24"/>
              </w:rPr>
              <w:t>⑴</w:t>
            </w:r>
            <w:r>
              <w:rPr>
                <w:szCs w:val="24"/>
              </w:rPr>
              <w:fldChar w:fldCharType="end"/>
            </w:r>
            <w:r>
              <w:rPr>
                <w:rFonts w:hint="eastAsia"/>
                <w:szCs w:val="24"/>
              </w:rPr>
              <w:t>地面防渗：根据分区防渗规范要求，项目整个区域均属于重点防渗区，根据调查，项目全部区域均采用复合土工膜防渗后，再浇筑混凝土；该复合土工膜防渗云南睿利能工程材料制造有限公司生产的土工膜，根据其检测报告，其防渗系数达到渗透系数≤2.3×10</w:t>
            </w:r>
            <w:r>
              <w:rPr>
                <w:rFonts w:hint="eastAsia"/>
                <w:szCs w:val="24"/>
                <w:vertAlign w:val="superscript"/>
              </w:rPr>
              <w:t>-12</w:t>
            </w:r>
            <w:r>
              <w:rPr>
                <w:szCs w:val="24"/>
              </w:rPr>
              <w:t>cm/s</w:t>
            </w:r>
            <w:r>
              <w:rPr>
                <w:rFonts w:hint="eastAsia"/>
                <w:szCs w:val="24"/>
              </w:rPr>
              <w:t>，满足渗透系数≤</w:t>
            </w:r>
            <w:r>
              <w:rPr>
                <w:szCs w:val="24"/>
              </w:rPr>
              <w:t>10</w:t>
            </w:r>
            <w:r>
              <w:rPr>
                <w:rFonts w:hint="eastAsia"/>
                <w:szCs w:val="24"/>
                <w:vertAlign w:val="superscript"/>
              </w:rPr>
              <w:t>-10</w:t>
            </w:r>
            <w:r>
              <w:rPr>
                <w:szCs w:val="24"/>
              </w:rPr>
              <w:t>cm/s</w:t>
            </w:r>
            <w:r>
              <w:rPr>
                <w:rFonts w:hint="eastAsia"/>
                <w:szCs w:val="24"/>
              </w:rPr>
              <w:t>的要求。</w:t>
            </w:r>
          </w:p>
          <w:p>
            <w:pPr>
              <w:pStyle w:val="36"/>
              <w:ind w:firstLine="480"/>
              <w:rPr>
                <w:szCs w:val="24"/>
              </w:rPr>
            </w:pPr>
            <w:r>
              <w:rPr>
                <w:rFonts w:hint="eastAsia"/>
                <w:szCs w:val="24"/>
              </w:rPr>
              <w:t>根据调查，项目</w:t>
            </w:r>
            <w:r>
              <w:rPr>
                <w:szCs w:val="24"/>
              </w:rPr>
              <w:t>该项目</w:t>
            </w:r>
            <w:r>
              <w:rPr>
                <w:rFonts w:hint="eastAsia"/>
                <w:szCs w:val="24"/>
              </w:rPr>
              <w:t>拟</w:t>
            </w:r>
            <w:r>
              <w:rPr>
                <w:szCs w:val="24"/>
              </w:rPr>
              <w:t>利用</w:t>
            </w:r>
            <w:r>
              <w:rPr>
                <w:rFonts w:hint="eastAsia"/>
                <w:szCs w:val="24"/>
              </w:rPr>
              <w:t>的</w:t>
            </w:r>
            <w:r>
              <w:rPr>
                <w:szCs w:val="24"/>
              </w:rPr>
              <w:t>昆明旭鑫环保科技有限公司</w:t>
            </w:r>
            <w:r>
              <w:rPr>
                <w:rFonts w:hint="eastAsia"/>
                <w:szCs w:val="24"/>
              </w:rPr>
              <w:t>现有</w:t>
            </w:r>
            <w:r>
              <w:rPr>
                <w:szCs w:val="24"/>
              </w:rPr>
              <w:t>原料暂存库</w:t>
            </w:r>
            <w:r>
              <w:rPr>
                <w:rFonts w:hint="eastAsia"/>
                <w:szCs w:val="24"/>
              </w:rPr>
              <w:t>已可满足重点防渗要求，但根据实施方案，项目拟对含油类及腐蚀性类液态类贮存区再次铺设土工防渗膜，确保危险废物在贮存及储运过程不对现有厂区地面进行污染。</w:t>
            </w:r>
          </w:p>
          <w:p>
            <w:pPr>
              <w:pStyle w:val="36"/>
              <w:ind w:firstLine="480"/>
              <w:rPr>
                <w:szCs w:val="24"/>
              </w:rPr>
            </w:pPr>
            <w:r>
              <w:rPr>
                <w:szCs w:val="24"/>
              </w:rPr>
              <w:fldChar w:fldCharType="begin"/>
            </w:r>
            <w:r>
              <w:rPr>
                <w:szCs w:val="24"/>
              </w:rPr>
              <w:instrText xml:space="preserve"> </w:instrText>
            </w:r>
            <w:r>
              <w:rPr>
                <w:rFonts w:hint="eastAsia"/>
                <w:szCs w:val="24"/>
              </w:rPr>
              <w:instrText xml:space="preserve">= 2 \* GB2</w:instrText>
            </w:r>
            <w:r>
              <w:rPr>
                <w:szCs w:val="24"/>
              </w:rPr>
              <w:instrText xml:space="preserve"> </w:instrText>
            </w:r>
            <w:r>
              <w:rPr>
                <w:szCs w:val="24"/>
              </w:rPr>
              <w:fldChar w:fldCharType="separate"/>
            </w:r>
            <w:r>
              <w:rPr>
                <w:rFonts w:hint="eastAsia"/>
                <w:szCs w:val="24"/>
              </w:rPr>
              <w:t>⑵</w:t>
            </w:r>
            <w:r>
              <w:rPr>
                <w:szCs w:val="24"/>
              </w:rPr>
              <w:fldChar w:fldCharType="end"/>
            </w:r>
            <w:r>
              <w:rPr>
                <w:rFonts w:hint="eastAsia"/>
                <w:szCs w:val="24"/>
              </w:rPr>
              <w:t>裙脚防渗：根据实施方案，项目危险废物贮存库内裙脚拟采用不低于2mm后的HDPE膜或其他人工防渗材料进行防渗，使其渗透系数≤</w:t>
            </w:r>
            <w:r>
              <w:rPr>
                <w:szCs w:val="24"/>
              </w:rPr>
              <w:t>10</w:t>
            </w:r>
            <w:r>
              <w:rPr>
                <w:rFonts w:hint="eastAsia"/>
                <w:szCs w:val="24"/>
              </w:rPr>
              <w:t>-10</w:t>
            </w:r>
            <w:r>
              <w:rPr>
                <w:szCs w:val="24"/>
              </w:rPr>
              <w:t>cm/s</w:t>
            </w:r>
            <w:r>
              <w:rPr>
                <w:rFonts w:hint="eastAsia"/>
                <w:szCs w:val="24"/>
              </w:rPr>
              <w:t>，防渗高度不低于库内原料总堆高的1/5。</w:t>
            </w:r>
          </w:p>
          <w:p>
            <w:pPr>
              <w:pStyle w:val="36"/>
              <w:ind w:firstLine="361" w:firstLineChars="150"/>
              <w:rPr>
                <w:rFonts w:eastAsiaTheme="minorEastAsia"/>
                <w:b/>
                <w:szCs w:val="24"/>
              </w:rPr>
            </w:pPr>
            <w:r>
              <w:rPr>
                <w:rFonts w:eastAsiaTheme="minorEastAsia"/>
                <w:b/>
                <w:szCs w:val="24"/>
              </w:rPr>
              <w:t>（4）</w:t>
            </w:r>
            <w:r>
              <w:rPr>
                <w:rFonts w:hint="eastAsia" w:eastAsiaTheme="minorEastAsia"/>
                <w:b/>
                <w:szCs w:val="24"/>
              </w:rPr>
              <w:t>自行</w:t>
            </w:r>
            <w:r>
              <w:rPr>
                <w:rFonts w:eastAsiaTheme="minorEastAsia"/>
                <w:b/>
                <w:szCs w:val="24"/>
              </w:rPr>
              <w:t>监测计划</w:t>
            </w:r>
          </w:p>
          <w:p>
            <w:pPr>
              <w:pStyle w:val="36"/>
              <w:ind w:firstLine="480"/>
              <w:rPr>
                <w:szCs w:val="24"/>
              </w:rPr>
            </w:pPr>
            <w:r>
              <w:rPr>
                <w:rFonts w:hint="eastAsia"/>
                <w:szCs w:val="24"/>
              </w:rPr>
              <w:t>为了及时准确掌握建设项目区域土壤环境质量状况和土壤中污染物的动态变化，企业应建立土壤和地下水环境监测管理体系，包括制定土壤和地下水环境影响跟踪监测计划建立土壤环境影响跟踪监测制度，</w:t>
            </w:r>
            <w:bookmarkStart w:id="16" w:name="_Hlk137330816"/>
            <w:r>
              <w:rPr>
                <w:rFonts w:hint="eastAsia"/>
                <w:szCs w:val="24"/>
              </w:rPr>
              <w:t>以便及时发现问题并采取措施</w:t>
            </w:r>
            <w:bookmarkEnd w:id="16"/>
            <w:r>
              <w:rPr>
                <w:rFonts w:hint="eastAsia"/>
                <w:szCs w:val="24"/>
              </w:rPr>
              <w:t>。</w:t>
            </w:r>
          </w:p>
          <w:p>
            <w:pPr>
              <w:pStyle w:val="36"/>
              <w:ind w:firstLine="482"/>
              <w:rPr>
                <w:b/>
                <w:szCs w:val="24"/>
              </w:rPr>
            </w:pPr>
            <w:r>
              <w:rPr>
                <w:rFonts w:hint="eastAsia"/>
                <w:b/>
                <w:szCs w:val="24"/>
              </w:rPr>
              <w:t>①土壤跟踪监测设置情况</w:t>
            </w:r>
          </w:p>
          <w:p>
            <w:pPr>
              <w:pStyle w:val="36"/>
              <w:ind w:firstLine="480"/>
              <w:rPr>
                <w:szCs w:val="24"/>
              </w:rPr>
            </w:pPr>
            <w:r>
              <w:rPr>
                <w:rFonts w:hint="eastAsia"/>
                <w:szCs w:val="24"/>
              </w:rPr>
              <w:t>根据《工业企业土壤和地下水自行监测技术指南（试行）》（HJ</w:t>
            </w:r>
            <w:r>
              <w:rPr>
                <w:rFonts w:hint="eastAsia"/>
                <w:szCs w:val="24"/>
                <w:lang w:eastAsia="zh-CN"/>
              </w:rPr>
              <w:t>****</w:t>
            </w:r>
            <w:r>
              <w:rPr>
                <w:rFonts w:hint="eastAsia"/>
                <w:szCs w:val="24"/>
              </w:rPr>
              <w:t>-2021）对土壤跟踪监测的设置要求，项目在条件允许下应设置1个表层土壤监测点和1个深层土壤监测点，但由于项目区及周围20m范围内已全部硬化无裸露土壤，因此可不设置表层监测点，而项目区下游50m范围内拟设置地下水监测井并按照标准要求开展地下水监测的，可不布设深层土壤监测点；综上项目可不进行土壤跟踪监测。</w:t>
            </w:r>
          </w:p>
          <w:p>
            <w:pPr>
              <w:pStyle w:val="36"/>
              <w:ind w:firstLine="482"/>
              <w:rPr>
                <w:b/>
                <w:szCs w:val="24"/>
              </w:rPr>
            </w:pPr>
            <w:r>
              <w:rPr>
                <w:rFonts w:hint="eastAsia"/>
                <w:b/>
                <w:szCs w:val="24"/>
              </w:rPr>
              <w:t>②地下水跟踪监测设置情况</w:t>
            </w:r>
          </w:p>
          <w:p>
            <w:pPr>
              <w:pStyle w:val="36"/>
              <w:ind w:firstLine="480"/>
              <w:rPr>
                <w:szCs w:val="24"/>
              </w:rPr>
            </w:pPr>
            <w:r>
              <w:rPr>
                <w:rFonts w:hint="eastAsia"/>
                <w:szCs w:val="24"/>
              </w:rPr>
              <w:t>根据《工业企业土壤和地下水自行监测技术指南（试行）》（HJ</w:t>
            </w:r>
            <w:r>
              <w:rPr>
                <w:rFonts w:hint="eastAsia"/>
                <w:szCs w:val="24"/>
                <w:lang w:eastAsia="zh-CN"/>
              </w:rPr>
              <w:t>****</w:t>
            </w:r>
            <w:r>
              <w:rPr>
                <w:rFonts w:hint="eastAsia"/>
                <w:szCs w:val="24"/>
              </w:rPr>
              <w:t>-2021）对地下水跟踪监测的设置要求，项目拟在厂区下游50m范围内设置1个地下水跟踪监测井对地下水进行跟踪监测，具体如下表所示。</w:t>
            </w:r>
          </w:p>
          <w:p>
            <w:pPr>
              <w:pStyle w:val="30"/>
              <w:spacing w:beforeLines="0"/>
              <w:rPr>
                <w:rFonts w:hAnsi="Times New Roman" w:eastAsiaTheme="minorEastAsia"/>
                <w:sz w:val="21"/>
                <w:szCs w:val="21"/>
              </w:rPr>
            </w:pPr>
            <w:r>
              <w:rPr>
                <w:rFonts w:hint="eastAsia" w:hAnsi="Times New Roman" w:eastAsiaTheme="minorEastAsia"/>
                <w:sz w:val="21"/>
                <w:szCs w:val="21"/>
              </w:rPr>
              <w:t>表4.2.5-1 地下水跟踪监测计划一览表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93"/>
              <w:gridCol w:w="4394"/>
              <w:gridCol w:w="85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76" w:type="dxa"/>
                  <w:vAlign w:val="center"/>
                </w:tcPr>
                <w:p>
                  <w:pPr>
                    <w:pStyle w:val="63"/>
                    <w:spacing w:line="240" w:lineRule="auto"/>
                  </w:pPr>
                  <w:r>
                    <w:rPr>
                      <w:rFonts w:hint="eastAsia"/>
                    </w:rPr>
                    <w:t>监测对象</w:t>
                  </w:r>
                </w:p>
              </w:tc>
              <w:tc>
                <w:tcPr>
                  <w:tcW w:w="1093" w:type="dxa"/>
                  <w:vAlign w:val="center"/>
                </w:tcPr>
                <w:p>
                  <w:pPr>
                    <w:pStyle w:val="63"/>
                    <w:spacing w:line="240" w:lineRule="auto"/>
                  </w:pPr>
                  <w:r>
                    <w:rPr>
                      <w:rFonts w:hint="eastAsia"/>
                    </w:rPr>
                    <w:t>监测点</w:t>
                  </w:r>
                </w:p>
              </w:tc>
              <w:tc>
                <w:tcPr>
                  <w:tcW w:w="4394" w:type="dxa"/>
                  <w:vAlign w:val="center"/>
                </w:tcPr>
                <w:p>
                  <w:pPr>
                    <w:pStyle w:val="63"/>
                    <w:spacing w:line="240" w:lineRule="auto"/>
                  </w:pPr>
                  <w:r>
                    <w:rPr>
                      <w:rFonts w:hint="eastAsia"/>
                    </w:rPr>
                    <w:t>监测因子</w:t>
                  </w:r>
                </w:p>
              </w:tc>
              <w:tc>
                <w:tcPr>
                  <w:tcW w:w="851" w:type="dxa"/>
                  <w:vAlign w:val="center"/>
                </w:tcPr>
                <w:p>
                  <w:pPr>
                    <w:pStyle w:val="63"/>
                    <w:spacing w:line="240" w:lineRule="auto"/>
                  </w:pPr>
                  <w:r>
                    <w:rPr>
                      <w:rFonts w:hint="eastAsia"/>
                    </w:rPr>
                    <w:t>监测频次</w:t>
                  </w:r>
                </w:p>
              </w:tc>
              <w:tc>
                <w:tcPr>
                  <w:tcW w:w="1491" w:type="dxa"/>
                  <w:vAlign w:val="center"/>
                </w:tcPr>
                <w:p>
                  <w:pPr>
                    <w:pStyle w:val="63"/>
                    <w:spacing w:line="240" w:lineRule="auto"/>
                  </w:pPr>
                  <w:r>
                    <w:rPr>
                      <w:rFonts w:hint="eastAsia"/>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76" w:type="dxa"/>
                  <w:vAlign w:val="center"/>
                </w:tcPr>
                <w:p>
                  <w:pPr>
                    <w:pStyle w:val="63"/>
                    <w:spacing w:line="240" w:lineRule="auto"/>
                  </w:pPr>
                  <w:r>
                    <w:rPr>
                      <w:rFonts w:hint="eastAsia"/>
                    </w:rPr>
                    <w:t>地下水</w:t>
                  </w:r>
                </w:p>
              </w:tc>
              <w:tc>
                <w:tcPr>
                  <w:tcW w:w="1093" w:type="dxa"/>
                  <w:vAlign w:val="center"/>
                </w:tcPr>
                <w:p>
                  <w:pPr>
                    <w:pStyle w:val="63"/>
                    <w:spacing w:line="240" w:lineRule="auto"/>
                  </w:pPr>
                  <w:bookmarkStart w:id="17" w:name="_Hlk136597788"/>
                  <w:r>
                    <w:rPr>
                      <w:rFonts w:hint="eastAsia"/>
                    </w:rPr>
                    <w:t>厂区下游50m范围内设置1个地下水跟踪监测井</w:t>
                  </w:r>
                  <w:bookmarkEnd w:id="17"/>
                </w:p>
              </w:tc>
              <w:tc>
                <w:tcPr>
                  <w:tcW w:w="4394" w:type="dxa"/>
                  <w:vAlign w:val="center"/>
                </w:tcPr>
                <w:p>
                  <w:pPr>
                    <w:pStyle w:val="47"/>
                    <w:spacing w:line="360" w:lineRule="exact"/>
                    <w:ind w:firstLine="210" w:firstLineChars="100"/>
                  </w:pPr>
                  <w:r>
                    <w:rPr>
                      <w:rFonts w:hint="eastAsia" w:cs="sans-serif"/>
                      <w:szCs w:val="24"/>
                    </w:rPr>
                    <w:t>pH、总硬度、溶解性总固体、硫酸盐、氯化物、铁、锰、铜、锌、铝、挥发性酚类、石油类、阴离子表面活性剂、耗氧量、氨氮、硫化物、钠、总大肠菌群、菌落总数、亚硝酸盐、硝酸盐、氰化物、氟化物、碘化物、汞、砷、硒、镉、六价铬、铅、三氯甲烷、四氯化碳、苯、甲苯、镍、二氯甲烷、1，2-氯乙烷、1，1，1-氯乙烷、1，1，2-三氯乙烷、三氯乙烯</w:t>
                  </w:r>
                </w:p>
              </w:tc>
              <w:tc>
                <w:tcPr>
                  <w:tcW w:w="851" w:type="dxa"/>
                  <w:vAlign w:val="center"/>
                </w:tcPr>
                <w:p>
                  <w:pPr>
                    <w:pStyle w:val="63"/>
                    <w:spacing w:line="240" w:lineRule="auto"/>
                  </w:pPr>
                  <w:r>
                    <w:rPr>
                      <w:rFonts w:hint="eastAsia"/>
                    </w:rPr>
                    <w:t>1</w:t>
                  </w:r>
                  <w:r>
                    <w:t>次</w:t>
                  </w:r>
                  <w:r>
                    <w:rPr>
                      <w:rFonts w:hint="eastAsia"/>
                    </w:rPr>
                    <w:t>/年</w:t>
                  </w:r>
                </w:p>
              </w:tc>
              <w:tc>
                <w:tcPr>
                  <w:tcW w:w="1491" w:type="dxa"/>
                  <w:vAlign w:val="center"/>
                </w:tcPr>
                <w:p>
                  <w:pPr>
                    <w:pStyle w:val="63"/>
                    <w:spacing w:line="240" w:lineRule="auto"/>
                  </w:pPr>
                  <w:r>
                    <w:t>《地下水质量标准》（GB/T</w:t>
                  </w:r>
                  <w:r>
                    <w:rPr>
                      <w:rFonts w:hint="eastAsia"/>
                      <w:lang w:eastAsia="zh-CN"/>
                    </w:rPr>
                    <w:t>*****</w:t>
                  </w:r>
                  <w:r>
                    <w:t>-2017）中Ⅲ类标准值</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该项目位于云南东川产业园区四方地片区昆明旭鑫环保科技有限公司厂区，该项目利用昆明旭鑫环保科技有限公司</w:t>
            </w:r>
            <w:r>
              <w:rPr>
                <w:rFonts w:hint="eastAsia" w:ascii="Times New Roman" w:hAnsi="Times New Roman" w:cs="Times New Roman"/>
                <w:sz w:val="24"/>
                <w:szCs w:val="24"/>
              </w:rPr>
              <w:t>现有</w:t>
            </w:r>
            <w:r>
              <w:rPr>
                <w:rFonts w:ascii="Times New Roman" w:hAnsi="Times New Roman" w:cs="Times New Roman"/>
                <w:sz w:val="24"/>
                <w:szCs w:val="24"/>
              </w:rPr>
              <w:t>原料暂存库项目中1000m²区域</w:t>
            </w:r>
            <w:r>
              <w:rPr>
                <w:rFonts w:hint="eastAsia" w:ascii="Times New Roman" w:hAnsi="Times New Roman" w:cs="Times New Roman"/>
                <w:sz w:val="24"/>
                <w:szCs w:val="24"/>
              </w:rPr>
              <w:t>进行</w:t>
            </w:r>
            <w:r>
              <w:rPr>
                <w:rFonts w:ascii="Times New Roman" w:hAnsi="Times New Roman" w:cs="Times New Roman"/>
                <w:sz w:val="24"/>
                <w:szCs w:val="24"/>
              </w:rPr>
              <w:t>建设</w:t>
            </w:r>
            <w:r>
              <w:rPr>
                <w:rFonts w:hint="eastAsia" w:ascii="Times New Roman" w:hAnsi="Times New Roman" w:cs="Times New Roman"/>
                <w:sz w:val="24"/>
                <w:szCs w:val="24"/>
              </w:rPr>
              <w:t>，</w:t>
            </w:r>
            <w:r>
              <w:rPr>
                <w:rFonts w:ascii="Times New Roman" w:hAnsi="Times New Roman" w:cs="Times New Roman"/>
                <w:sz w:val="24"/>
                <w:szCs w:val="24"/>
              </w:rPr>
              <w:t>根据调查，项目所在区域受人类活动的影响，已基本无原生植被及大型野生哺乳动物分布，常见动物有老鼠，麻雀等，生物多样性较简单。项目及周边200m范围内无国家和省级珍稀、濒危生物物种、无珍稀植物资源和需保护的古树。生态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根据《建设项目环境影响报告表编制技术指南》（污染影响类）（试行）的要求，该项目涉及的</w:t>
            </w:r>
            <w:r>
              <w:rPr>
                <w:rFonts w:hint="eastAsia" w:ascii="Times New Roman" w:hAnsi="Times New Roman" w:cs="Times New Roman"/>
                <w:sz w:val="24"/>
                <w:szCs w:val="24"/>
              </w:rPr>
              <w:t>18大类6</w:t>
            </w:r>
            <w:r>
              <w:rPr>
                <w:rFonts w:ascii="Times New Roman" w:hAnsi="Times New Roman" w:cs="Times New Roman"/>
                <w:sz w:val="24"/>
                <w:szCs w:val="24"/>
              </w:rPr>
              <w:t>5</w:t>
            </w:r>
            <w:r>
              <w:rPr>
                <w:rFonts w:hint="eastAsia" w:ascii="Times New Roman" w:hAnsi="Times New Roman" w:cs="Times New Roman"/>
                <w:sz w:val="24"/>
                <w:szCs w:val="24"/>
              </w:rPr>
              <w:t>小类危险废物，其中废矿物油类危险废物的临界量为2500t，而其他危险废物属于《建设项目环境风险评价技术导则》（</w:t>
            </w:r>
            <w:r>
              <w:rPr>
                <w:rFonts w:ascii="Times New Roman" w:hAnsi="Times New Roman" w:cs="Times New Roman"/>
                <w:sz w:val="24"/>
                <w:szCs w:val="24"/>
              </w:rPr>
              <w:t>HJ169-2018</w:t>
            </w:r>
            <w:r>
              <w:rPr>
                <w:rFonts w:hint="eastAsia" w:ascii="Times New Roman" w:hAnsi="Times New Roman" w:cs="Times New Roman"/>
                <w:sz w:val="24"/>
                <w:szCs w:val="24"/>
              </w:rPr>
              <w:t xml:space="preserve">）附录B中“健康危险急性毒性物质（类别 </w:t>
            </w:r>
            <w:r>
              <w:rPr>
                <w:rFonts w:ascii="Times New Roman" w:hAnsi="Times New Roman" w:cs="Times New Roman"/>
                <w:sz w:val="24"/>
                <w:szCs w:val="24"/>
              </w:rPr>
              <w:t>2</w:t>
            </w:r>
            <w:r>
              <w:rPr>
                <w:rFonts w:hint="eastAsia" w:ascii="Times New Roman" w:hAnsi="Times New Roman" w:cs="Times New Roman"/>
                <w:sz w:val="24"/>
                <w:szCs w:val="24"/>
              </w:rPr>
              <w:t>，类别</w:t>
            </w:r>
            <w:r>
              <w:rPr>
                <w:rFonts w:ascii="Times New Roman" w:hAnsi="Times New Roman" w:cs="Times New Roman"/>
                <w:sz w:val="24"/>
                <w:szCs w:val="24"/>
              </w:rPr>
              <w:t>3</w:t>
            </w:r>
            <w:r>
              <w:rPr>
                <w:rFonts w:hint="eastAsia" w:ascii="Times New Roman" w:hAnsi="Times New Roman" w:cs="Times New Roman"/>
                <w:sz w:val="24"/>
                <w:szCs w:val="24"/>
              </w:rPr>
              <w:t>）”，临界量是50t，废矿物油类危险废物的堆存量为98.33t，其他危险废物堆存大堆存量为318.33t，已</w:t>
            </w:r>
            <w:r>
              <w:rPr>
                <w:rFonts w:ascii="Times New Roman" w:hAnsi="Times New Roman" w:cs="Times New Roman"/>
                <w:sz w:val="24"/>
                <w:szCs w:val="24"/>
              </w:rPr>
              <w:t>超过临界量，因此设置环境风险</w:t>
            </w:r>
            <w:r>
              <w:rPr>
                <w:rFonts w:hint="eastAsia" w:ascii="Times New Roman" w:hAnsi="Times New Roman" w:cs="Times New Roman"/>
                <w:sz w:val="24"/>
                <w:szCs w:val="24"/>
              </w:rPr>
              <w:t>专项</w:t>
            </w:r>
            <w:r>
              <w:rPr>
                <w:rFonts w:ascii="Times New Roman" w:hAnsi="Times New Roman" w:cs="Times New Roman"/>
                <w:sz w:val="24"/>
                <w:szCs w:val="24"/>
              </w:rPr>
              <w:t>评价。</w:t>
            </w:r>
            <w:r>
              <w:rPr>
                <w:rFonts w:hint="eastAsia" w:ascii="Times New Roman" w:hAnsi="Times New Roman" w:cs="Times New Roman"/>
                <w:sz w:val="24"/>
                <w:szCs w:val="24"/>
              </w:rPr>
              <w:t>项目</w:t>
            </w:r>
            <w:r>
              <w:rPr>
                <w:rFonts w:ascii="Times New Roman" w:hAnsi="Times New Roman" w:cs="Times New Roman"/>
                <w:sz w:val="24"/>
                <w:szCs w:val="24"/>
              </w:rPr>
              <w:t>环境风险影响和防治措施</w:t>
            </w:r>
            <w:r>
              <w:rPr>
                <w:rFonts w:hint="eastAsia" w:ascii="Times New Roman" w:hAnsi="Times New Roman" w:cs="Times New Roman"/>
                <w:sz w:val="24"/>
                <w:szCs w:val="24"/>
              </w:rPr>
              <w:t>详见</w:t>
            </w:r>
            <w:bookmarkStart w:id="18" w:name="_Toc128648286"/>
            <w:r>
              <w:rPr>
                <w:rFonts w:ascii="Times New Roman" w:hAnsi="Times New Roman" w:cs="Times New Roman"/>
                <w:sz w:val="24"/>
                <w:szCs w:val="24"/>
              </w:rPr>
              <w:t>环境风险</w:t>
            </w:r>
            <w:r>
              <w:rPr>
                <w:rFonts w:hint="eastAsia" w:ascii="Times New Roman" w:hAnsi="Times New Roman" w:cs="Times New Roman"/>
                <w:sz w:val="24"/>
                <w:szCs w:val="24"/>
              </w:rPr>
              <w:t>专项</w:t>
            </w:r>
            <w:r>
              <w:rPr>
                <w:rFonts w:ascii="Times New Roman" w:hAnsi="Times New Roman" w:cs="Times New Roman"/>
                <w:sz w:val="24"/>
                <w:szCs w:val="24"/>
              </w:rPr>
              <w:t>评价</w:t>
            </w:r>
            <w:bookmarkEnd w:id="18"/>
            <w:r>
              <w:rPr>
                <w:rFonts w:hint="eastAsia" w:ascii="Times New Roman" w:hAnsi="Times New Roman" w:cs="Times New Roman"/>
                <w:sz w:val="24"/>
                <w:szCs w:val="24"/>
              </w:rPr>
              <w:t>章节。</w:t>
            </w:r>
          </w:p>
          <w:p>
            <w:pPr>
              <w:spacing w:line="360" w:lineRule="auto"/>
              <w:ind w:firstLine="482" w:firstLineChars="200"/>
              <w:rPr>
                <w:rFonts w:ascii="Times New Roman" w:hAnsi="Times New Roman" w:cs="Times New Roman"/>
                <w:b/>
                <w:sz w:val="24"/>
                <w:szCs w:val="24"/>
              </w:rPr>
            </w:pPr>
            <w:bookmarkStart w:id="19" w:name="_Toc72228649"/>
            <w:r>
              <w:rPr>
                <w:rFonts w:ascii="Times New Roman" w:hAnsi="Times New Roman" w:cs="Times New Roman"/>
                <w:b/>
                <w:sz w:val="24"/>
                <w:szCs w:val="24"/>
              </w:rPr>
              <w:t>4.3 环保投资估算</w:t>
            </w:r>
            <w:bookmarkEnd w:id="19"/>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项目总投资152.3万元，其中基建环保投资为31.4万元，占总投资的20.617%。项目拟采取措施的具体内容、责任主体、实施时段及环境保护投入资金如下表所示。</w:t>
            </w:r>
          </w:p>
          <w:p>
            <w:pPr>
              <w:pStyle w:val="30"/>
              <w:spacing w:beforeLines="0"/>
              <w:rPr>
                <w:rFonts w:hAnsi="Times New Roman" w:eastAsiaTheme="minorEastAsia"/>
                <w:sz w:val="21"/>
                <w:szCs w:val="21"/>
              </w:rPr>
            </w:pPr>
            <w:r>
              <w:rPr>
                <w:rFonts w:hAnsi="Times New Roman" w:eastAsiaTheme="minorEastAsia"/>
                <w:sz w:val="21"/>
                <w:szCs w:val="21"/>
              </w:rPr>
              <w:t>表4.3-1  项目环保投资一览表单位：万元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19"/>
              <w:gridCol w:w="790"/>
              <w:gridCol w:w="1335"/>
              <w:gridCol w:w="3690"/>
              <w:gridCol w:w="70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restart"/>
                  <w:vAlign w:val="center"/>
                </w:tcPr>
                <w:p>
                  <w:pPr>
                    <w:pStyle w:val="28"/>
                    <w:spacing w:line="360" w:lineRule="exact"/>
                    <w:rPr>
                      <w:color w:val="auto"/>
                      <w:szCs w:val="21"/>
                    </w:rPr>
                  </w:pPr>
                  <w:r>
                    <w:rPr>
                      <w:color w:val="auto"/>
                      <w:szCs w:val="21"/>
                    </w:rPr>
                    <w:t>时期</w:t>
                  </w:r>
                </w:p>
              </w:tc>
              <w:tc>
                <w:tcPr>
                  <w:tcW w:w="869" w:type="pct"/>
                  <w:gridSpan w:val="3"/>
                  <w:vMerge w:val="restart"/>
                  <w:vAlign w:val="center"/>
                </w:tcPr>
                <w:p>
                  <w:pPr>
                    <w:pStyle w:val="28"/>
                    <w:spacing w:line="360" w:lineRule="exact"/>
                    <w:rPr>
                      <w:color w:val="auto"/>
                      <w:szCs w:val="21"/>
                    </w:rPr>
                  </w:pPr>
                  <w:r>
                    <w:rPr>
                      <w:color w:val="auto"/>
                      <w:szCs w:val="21"/>
                    </w:rPr>
                    <w:t>类型</w:t>
                  </w:r>
                </w:p>
              </w:tc>
              <w:tc>
                <w:tcPr>
                  <w:tcW w:w="2920" w:type="pct"/>
                  <w:gridSpan w:val="2"/>
                  <w:vAlign w:val="center"/>
                </w:tcPr>
                <w:p>
                  <w:pPr>
                    <w:pStyle w:val="28"/>
                    <w:spacing w:line="360" w:lineRule="exact"/>
                    <w:rPr>
                      <w:color w:val="auto"/>
                      <w:szCs w:val="21"/>
                    </w:rPr>
                  </w:pPr>
                  <w:r>
                    <w:rPr>
                      <w:color w:val="auto"/>
                      <w:szCs w:val="21"/>
                    </w:rPr>
                    <w:t>环保措施</w:t>
                  </w:r>
                </w:p>
              </w:tc>
              <w:tc>
                <w:tcPr>
                  <w:tcW w:w="865" w:type="pct"/>
                  <w:gridSpan w:val="2"/>
                  <w:vAlign w:val="center"/>
                </w:tcPr>
                <w:p>
                  <w:pPr>
                    <w:pStyle w:val="28"/>
                    <w:spacing w:line="360" w:lineRule="exact"/>
                    <w:rPr>
                      <w:color w:val="auto"/>
                      <w:szCs w:val="21"/>
                    </w:rPr>
                  </w:pPr>
                  <w:r>
                    <w:rPr>
                      <w:color w:val="auto"/>
                      <w:szCs w:val="21"/>
                    </w:rPr>
                    <w:t>建设期资金投入（万元）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869" w:type="pct"/>
                  <w:gridSpan w:val="3"/>
                  <w:vMerge w:val="continue"/>
                  <w:vAlign w:val="center"/>
                </w:tcPr>
                <w:p>
                  <w:pPr>
                    <w:pStyle w:val="28"/>
                    <w:spacing w:line="360" w:lineRule="exact"/>
                    <w:rPr>
                      <w:color w:val="auto"/>
                      <w:szCs w:val="21"/>
                    </w:rPr>
                  </w:pPr>
                </w:p>
              </w:tc>
              <w:tc>
                <w:tcPr>
                  <w:tcW w:w="776" w:type="pct"/>
                  <w:vAlign w:val="center"/>
                </w:tcPr>
                <w:p>
                  <w:pPr>
                    <w:pStyle w:val="28"/>
                    <w:spacing w:line="360" w:lineRule="exact"/>
                    <w:rPr>
                      <w:color w:val="auto"/>
                      <w:szCs w:val="21"/>
                    </w:rPr>
                  </w:pPr>
                  <w:r>
                    <w:rPr>
                      <w:color w:val="auto"/>
                      <w:szCs w:val="21"/>
                    </w:rPr>
                    <w:t>环保项目</w:t>
                  </w:r>
                </w:p>
              </w:tc>
              <w:tc>
                <w:tcPr>
                  <w:tcW w:w="2144" w:type="pct"/>
                  <w:vAlign w:val="center"/>
                </w:tcPr>
                <w:p>
                  <w:pPr>
                    <w:pStyle w:val="28"/>
                    <w:spacing w:line="360" w:lineRule="exact"/>
                    <w:rPr>
                      <w:color w:val="auto"/>
                      <w:szCs w:val="21"/>
                    </w:rPr>
                  </w:pPr>
                  <w:r>
                    <w:rPr>
                      <w:color w:val="auto"/>
                      <w:szCs w:val="21"/>
                    </w:rPr>
                    <w:t>数量</w:t>
                  </w:r>
                </w:p>
              </w:tc>
              <w:tc>
                <w:tcPr>
                  <w:tcW w:w="411" w:type="pct"/>
                  <w:vAlign w:val="center"/>
                </w:tcPr>
                <w:p>
                  <w:pPr>
                    <w:pStyle w:val="28"/>
                    <w:spacing w:line="360" w:lineRule="exact"/>
                    <w:rPr>
                      <w:color w:val="auto"/>
                      <w:szCs w:val="21"/>
                    </w:rPr>
                  </w:pPr>
                  <w:r>
                    <w:rPr>
                      <w:color w:val="auto"/>
                      <w:szCs w:val="21"/>
                    </w:rPr>
                    <w:t>建设费用</w:t>
                  </w:r>
                </w:p>
              </w:tc>
              <w:tc>
                <w:tcPr>
                  <w:tcW w:w="454" w:type="pct"/>
                  <w:vAlign w:val="center"/>
                </w:tcPr>
                <w:p>
                  <w:pPr>
                    <w:pStyle w:val="28"/>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restart"/>
                  <w:vAlign w:val="center"/>
                </w:tcPr>
                <w:p>
                  <w:pPr>
                    <w:pStyle w:val="28"/>
                    <w:spacing w:line="360" w:lineRule="exact"/>
                    <w:rPr>
                      <w:color w:val="auto"/>
                      <w:szCs w:val="21"/>
                    </w:rPr>
                  </w:pPr>
                  <w:r>
                    <w:rPr>
                      <w:color w:val="auto"/>
                      <w:szCs w:val="21"/>
                    </w:rPr>
                    <w:t>运营期污染源</w:t>
                  </w:r>
                </w:p>
              </w:tc>
              <w:tc>
                <w:tcPr>
                  <w:tcW w:w="410" w:type="pct"/>
                  <w:gridSpan w:val="2"/>
                  <w:vMerge w:val="restart"/>
                  <w:vAlign w:val="center"/>
                </w:tcPr>
                <w:p>
                  <w:pPr>
                    <w:pStyle w:val="28"/>
                    <w:spacing w:line="360" w:lineRule="exact"/>
                    <w:rPr>
                      <w:color w:val="auto"/>
                      <w:szCs w:val="21"/>
                    </w:rPr>
                  </w:pPr>
                  <w:r>
                    <w:rPr>
                      <w:rFonts w:hint="eastAsia"/>
                      <w:color w:val="auto"/>
                      <w:szCs w:val="21"/>
                    </w:rPr>
                    <w:t>废气</w:t>
                  </w:r>
                </w:p>
              </w:tc>
              <w:tc>
                <w:tcPr>
                  <w:tcW w:w="459" w:type="pct"/>
                  <w:vAlign w:val="center"/>
                </w:tcPr>
                <w:p>
                  <w:pPr>
                    <w:pStyle w:val="28"/>
                    <w:spacing w:line="360" w:lineRule="exact"/>
                    <w:rPr>
                      <w:color w:val="auto"/>
                      <w:szCs w:val="21"/>
                    </w:rPr>
                  </w:pPr>
                  <w:r>
                    <w:rPr>
                      <w:rFonts w:hint="eastAsia"/>
                      <w:color w:val="auto"/>
                      <w:szCs w:val="21"/>
                    </w:rPr>
                    <w:t>--</w:t>
                  </w:r>
                </w:p>
              </w:tc>
              <w:tc>
                <w:tcPr>
                  <w:tcW w:w="776" w:type="pct"/>
                  <w:vAlign w:val="center"/>
                </w:tcPr>
                <w:p>
                  <w:pPr>
                    <w:pStyle w:val="28"/>
                    <w:spacing w:line="360" w:lineRule="exact"/>
                    <w:rPr>
                      <w:color w:val="auto"/>
                      <w:szCs w:val="21"/>
                    </w:rPr>
                  </w:pPr>
                  <w:r>
                    <w:rPr>
                      <w:color w:val="auto"/>
                      <w:szCs w:val="21"/>
                    </w:rPr>
                    <w:t>原料暂存库全封闭</w:t>
                  </w:r>
                </w:p>
              </w:tc>
              <w:tc>
                <w:tcPr>
                  <w:tcW w:w="2144" w:type="pct"/>
                  <w:vAlign w:val="center"/>
                </w:tcPr>
                <w:p>
                  <w:pPr>
                    <w:pStyle w:val="28"/>
                    <w:spacing w:line="360" w:lineRule="exact"/>
                    <w:ind w:firstLine="210" w:firstLineChars="100"/>
                    <w:jc w:val="both"/>
                    <w:rPr>
                      <w:color w:val="auto"/>
                      <w:szCs w:val="24"/>
                      <w:lang w:val="en-US"/>
                    </w:rPr>
                  </w:pPr>
                  <w:r>
                    <w:rPr>
                      <w:rFonts w:hint="eastAsia"/>
                      <w:color w:val="auto"/>
                      <w:szCs w:val="24"/>
                      <w:lang w:val="en-US"/>
                    </w:rPr>
                    <w:t>现有</w:t>
                  </w:r>
                  <w:r>
                    <w:rPr>
                      <w:color w:val="auto"/>
                      <w:szCs w:val="24"/>
                      <w:lang w:val="en-US"/>
                    </w:rPr>
                    <w:t>原料暂存库</w:t>
                  </w:r>
                  <w:r>
                    <w:rPr>
                      <w:rFonts w:hint="eastAsia"/>
                      <w:color w:val="auto"/>
                      <w:szCs w:val="24"/>
                      <w:lang w:val="en-US"/>
                    </w:rPr>
                    <w:t>为钢结构彩钢瓦型，并已进行了全封闭</w:t>
                  </w:r>
                </w:p>
              </w:tc>
              <w:tc>
                <w:tcPr>
                  <w:tcW w:w="411" w:type="pct"/>
                  <w:vAlign w:val="center"/>
                </w:tcPr>
                <w:p>
                  <w:pPr>
                    <w:pStyle w:val="28"/>
                    <w:spacing w:line="360" w:lineRule="exact"/>
                    <w:rPr>
                      <w:color w:val="auto"/>
                      <w:szCs w:val="21"/>
                    </w:rPr>
                  </w:pPr>
                  <w:r>
                    <w:rPr>
                      <w:color w:val="auto"/>
                      <w:szCs w:val="21"/>
                    </w:rPr>
                    <w:t>“</w:t>
                  </w:r>
                  <w:r>
                    <w:rPr>
                      <w:rFonts w:hint="eastAsia"/>
                      <w:color w:val="auto"/>
                      <w:szCs w:val="21"/>
                    </w:rPr>
                    <w:t>52.6</w:t>
                  </w:r>
                  <w:r>
                    <w:rPr>
                      <w:color w:val="auto"/>
                      <w:szCs w:val="21"/>
                    </w:rPr>
                    <w:t>”</w:t>
                  </w:r>
                </w:p>
              </w:tc>
              <w:tc>
                <w:tcPr>
                  <w:tcW w:w="454" w:type="pct"/>
                  <w:vMerge w:val="restart"/>
                  <w:vAlign w:val="center"/>
                </w:tcPr>
                <w:p>
                  <w:pPr>
                    <w:pStyle w:val="28"/>
                    <w:spacing w:line="360" w:lineRule="exact"/>
                    <w:rPr>
                      <w:color w:val="auto"/>
                      <w:szCs w:val="21"/>
                    </w:rPr>
                  </w:pPr>
                  <w:r>
                    <w:rPr>
                      <w:rFonts w:hint="eastAsia"/>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410" w:type="pct"/>
                  <w:gridSpan w:val="2"/>
                  <w:vMerge w:val="continue"/>
                  <w:vAlign w:val="center"/>
                </w:tcPr>
                <w:p>
                  <w:pPr>
                    <w:pStyle w:val="28"/>
                    <w:spacing w:line="360" w:lineRule="exact"/>
                    <w:rPr>
                      <w:color w:val="auto"/>
                      <w:szCs w:val="21"/>
                    </w:rPr>
                  </w:pPr>
                </w:p>
              </w:tc>
              <w:tc>
                <w:tcPr>
                  <w:tcW w:w="459" w:type="pct"/>
                  <w:vMerge w:val="restart"/>
                  <w:vAlign w:val="center"/>
                </w:tcPr>
                <w:p>
                  <w:pPr>
                    <w:pStyle w:val="28"/>
                    <w:spacing w:line="360" w:lineRule="exact"/>
                    <w:jc w:val="both"/>
                    <w:rPr>
                      <w:color w:val="auto"/>
                      <w:szCs w:val="21"/>
                    </w:rPr>
                  </w:pPr>
                  <w:r>
                    <w:rPr>
                      <w:rFonts w:hint="eastAsia"/>
                      <w:color w:val="auto"/>
                      <w:szCs w:val="21"/>
                    </w:rPr>
                    <w:t>非甲烷总烃、酸性HCl、氨、硫化氢和臭气浓度</w:t>
                  </w:r>
                </w:p>
              </w:tc>
              <w:tc>
                <w:tcPr>
                  <w:tcW w:w="776" w:type="pct"/>
                  <w:vAlign w:val="center"/>
                </w:tcPr>
                <w:p>
                  <w:pPr>
                    <w:pStyle w:val="28"/>
                    <w:spacing w:line="360" w:lineRule="exact"/>
                    <w:rPr>
                      <w:color w:val="auto"/>
                      <w:szCs w:val="21"/>
                    </w:rPr>
                  </w:pPr>
                  <w:r>
                    <w:rPr>
                      <w:rFonts w:hint="eastAsia"/>
                      <w:color w:val="auto"/>
                      <w:szCs w:val="21"/>
                    </w:rPr>
                    <w:t>负压收集系统</w:t>
                  </w:r>
                </w:p>
              </w:tc>
              <w:tc>
                <w:tcPr>
                  <w:tcW w:w="2144" w:type="pct"/>
                  <w:vAlign w:val="center"/>
                </w:tcPr>
                <w:p>
                  <w:pPr>
                    <w:pStyle w:val="28"/>
                    <w:spacing w:line="360" w:lineRule="exact"/>
                    <w:ind w:firstLine="210" w:firstLineChars="100"/>
                    <w:jc w:val="both"/>
                    <w:rPr>
                      <w:color w:val="auto"/>
                      <w:szCs w:val="24"/>
                      <w:lang w:val="en-US"/>
                    </w:rPr>
                  </w:pPr>
                  <w:r>
                    <w:rPr>
                      <w:color w:val="auto"/>
                      <w:szCs w:val="24"/>
                      <w:lang w:val="en-US"/>
                    </w:rPr>
                    <w:t>1套</w:t>
                  </w:r>
                  <w:r>
                    <w:rPr>
                      <w:rFonts w:hint="eastAsia"/>
                      <w:color w:val="auto"/>
                      <w:szCs w:val="24"/>
                      <w:lang w:val="en-US"/>
                    </w:rPr>
                    <w:t>，</w:t>
                  </w:r>
                  <w:r>
                    <w:rPr>
                      <w:color w:val="auto"/>
                      <w:szCs w:val="24"/>
                      <w:lang w:val="en-US"/>
                    </w:rPr>
                    <w:t>负压收集系统由集气罩和输送管道组成，每个贮存单元内设置1个集气罩，合计风量为</w:t>
                  </w:r>
                  <w:r>
                    <w:rPr>
                      <w:rFonts w:hint="eastAsia"/>
                      <w:color w:val="auto"/>
                      <w:szCs w:val="24"/>
                      <w:lang w:val="en-US"/>
                    </w:rPr>
                    <w:t>16</w:t>
                  </w:r>
                  <w:r>
                    <w:rPr>
                      <w:color w:val="auto"/>
                      <w:szCs w:val="24"/>
                      <w:lang w:val="en-US"/>
                    </w:rPr>
                    <w:t>000m³</w:t>
                  </w:r>
                  <w:r>
                    <w:rPr>
                      <w:rFonts w:hint="eastAsia"/>
                      <w:color w:val="auto"/>
                      <w:szCs w:val="24"/>
                      <w:lang w:val="en-US"/>
                    </w:rPr>
                    <w:t>/h</w:t>
                  </w:r>
                  <w:r>
                    <w:rPr>
                      <w:color w:val="auto"/>
                      <w:szCs w:val="24"/>
                      <w:lang w:val="en-US"/>
                    </w:rPr>
                    <w:t>，集气效率约为80%。</w:t>
                  </w:r>
                </w:p>
              </w:tc>
              <w:tc>
                <w:tcPr>
                  <w:tcW w:w="411" w:type="pct"/>
                  <w:vAlign w:val="center"/>
                </w:tcPr>
                <w:p>
                  <w:pPr>
                    <w:pStyle w:val="28"/>
                    <w:spacing w:line="360" w:lineRule="exact"/>
                    <w:rPr>
                      <w:color w:val="auto"/>
                      <w:szCs w:val="21"/>
                    </w:rPr>
                  </w:pPr>
                  <w:r>
                    <w:rPr>
                      <w:rFonts w:hint="eastAsia"/>
                      <w:color w:val="auto"/>
                      <w:szCs w:val="21"/>
                    </w:rPr>
                    <w:t>16</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410" w:type="pct"/>
                  <w:gridSpan w:val="2"/>
                  <w:vMerge w:val="continue"/>
                  <w:vAlign w:val="center"/>
                </w:tcPr>
                <w:p>
                  <w:pPr>
                    <w:pStyle w:val="28"/>
                    <w:spacing w:line="360" w:lineRule="exact"/>
                    <w:rPr>
                      <w:color w:val="auto"/>
                      <w:szCs w:val="21"/>
                    </w:rPr>
                  </w:pPr>
                </w:p>
              </w:tc>
              <w:tc>
                <w:tcPr>
                  <w:tcW w:w="459" w:type="pct"/>
                  <w:vMerge w:val="continue"/>
                  <w:vAlign w:val="center"/>
                </w:tcPr>
                <w:p>
                  <w:pPr>
                    <w:pStyle w:val="28"/>
                    <w:spacing w:line="360" w:lineRule="exact"/>
                    <w:rPr>
                      <w:color w:val="auto"/>
                      <w:szCs w:val="21"/>
                    </w:rPr>
                  </w:pPr>
                </w:p>
              </w:tc>
              <w:tc>
                <w:tcPr>
                  <w:tcW w:w="776" w:type="pct"/>
                  <w:vAlign w:val="center"/>
                </w:tcPr>
                <w:p>
                  <w:pPr>
                    <w:pStyle w:val="28"/>
                    <w:spacing w:line="360" w:lineRule="exact"/>
                    <w:rPr>
                      <w:color w:val="auto"/>
                      <w:szCs w:val="21"/>
                    </w:rPr>
                  </w:pPr>
                  <w:r>
                    <w:rPr>
                      <w:rFonts w:hint="eastAsia"/>
                      <w:color w:val="auto"/>
                      <w:szCs w:val="21"/>
                    </w:rPr>
                    <w:t>废气处理装置</w:t>
                  </w:r>
                </w:p>
              </w:tc>
              <w:tc>
                <w:tcPr>
                  <w:tcW w:w="2144" w:type="pct"/>
                  <w:vAlign w:val="center"/>
                </w:tcPr>
                <w:p>
                  <w:pPr>
                    <w:pStyle w:val="28"/>
                    <w:spacing w:line="360" w:lineRule="exact"/>
                    <w:ind w:firstLine="210" w:firstLineChars="100"/>
                    <w:jc w:val="both"/>
                    <w:rPr>
                      <w:color w:val="auto"/>
                      <w:szCs w:val="24"/>
                      <w:lang w:val="en-US"/>
                    </w:rPr>
                  </w:pPr>
                  <w:r>
                    <w:rPr>
                      <w:rFonts w:hint="eastAsia"/>
                      <w:color w:val="auto"/>
                      <w:szCs w:val="24"/>
                      <w:lang w:val="en-US"/>
                    </w:rPr>
                    <w:t>1套，由活性炭吸附+碱喷淋工艺组成，有机废气（非甲烷总烃）的处理效率约为30%，</w:t>
                  </w:r>
                  <w:r>
                    <w:rPr>
                      <w:color w:val="auto"/>
                      <w:szCs w:val="24"/>
                      <w:lang w:val="en-US"/>
                    </w:rPr>
                    <w:t>酸性</w:t>
                  </w:r>
                  <w:r>
                    <w:rPr>
                      <w:rFonts w:hint="eastAsia"/>
                      <w:color w:val="auto"/>
                      <w:szCs w:val="24"/>
                      <w:lang w:val="en-US"/>
                    </w:rPr>
                    <w:t>废气（HCl）处理效率约为95%，恶臭废气（氨、硫化氢和臭气浓度）处理效率约为60%。</w:t>
                  </w:r>
                </w:p>
              </w:tc>
              <w:tc>
                <w:tcPr>
                  <w:tcW w:w="411" w:type="pct"/>
                  <w:vAlign w:val="center"/>
                </w:tcPr>
                <w:p>
                  <w:pPr>
                    <w:pStyle w:val="28"/>
                    <w:spacing w:line="360" w:lineRule="exact"/>
                    <w:rPr>
                      <w:color w:val="auto"/>
                      <w:szCs w:val="21"/>
                    </w:rPr>
                  </w:pPr>
                  <w:r>
                    <w:rPr>
                      <w:rFonts w:hint="eastAsia"/>
                      <w:color w:val="auto"/>
                      <w:szCs w:val="21"/>
                    </w:rPr>
                    <w:t>6.9</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410" w:type="pct"/>
                  <w:gridSpan w:val="2"/>
                  <w:vMerge w:val="continue"/>
                  <w:vAlign w:val="center"/>
                </w:tcPr>
                <w:p>
                  <w:pPr>
                    <w:pStyle w:val="28"/>
                    <w:spacing w:line="360" w:lineRule="exact"/>
                    <w:rPr>
                      <w:color w:val="auto"/>
                      <w:szCs w:val="21"/>
                    </w:rPr>
                  </w:pPr>
                </w:p>
              </w:tc>
              <w:tc>
                <w:tcPr>
                  <w:tcW w:w="459" w:type="pct"/>
                  <w:vMerge w:val="continue"/>
                  <w:vAlign w:val="center"/>
                </w:tcPr>
                <w:p>
                  <w:pPr>
                    <w:pStyle w:val="28"/>
                    <w:spacing w:line="360" w:lineRule="exact"/>
                    <w:rPr>
                      <w:color w:val="auto"/>
                      <w:szCs w:val="21"/>
                    </w:rPr>
                  </w:pPr>
                </w:p>
              </w:tc>
              <w:tc>
                <w:tcPr>
                  <w:tcW w:w="776" w:type="pct"/>
                  <w:vAlign w:val="center"/>
                </w:tcPr>
                <w:p>
                  <w:pPr>
                    <w:pStyle w:val="28"/>
                    <w:spacing w:line="360" w:lineRule="exact"/>
                    <w:rPr>
                      <w:color w:val="auto"/>
                      <w:szCs w:val="21"/>
                    </w:rPr>
                  </w:pPr>
                  <w:r>
                    <w:rPr>
                      <w:rFonts w:hint="eastAsia"/>
                      <w:color w:val="auto"/>
                      <w:szCs w:val="21"/>
                    </w:rPr>
                    <w:t>排气筒</w:t>
                  </w:r>
                </w:p>
              </w:tc>
              <w:tc>
                <w:tcPr>
                  <w:tcW w:w="2144" w:type="pct"/>
                  <w:vAlign w:val="center"/>
                </w:tcPr>
                <w:p>
                  <w:pPr>
                    <w:pStyle w:val="28"/>
                    <w:spacing w:line="360" w:lineRule="exact"/>
                    <w:ind w:firstLine="210" w:firstLineChars="100"/>
                    <w:jc w:val="both"/>
                    <w:rPr>
                      <w:color w:val="auto"/>
                      <w:szCs w:val="24"/>
                      <w:lang w:val="en-US"/>
                    </w:rPr>
                  </w:pPr>
                  <w:r>
                    <w:rPr>
                      <w:color w:val="auto"/>
                      <w:szCs w:val="24"/>
                      <w:lang w:val="en-US"/>
                    </w:rPr>
                    <w:t>1根Φ0.68、高15m的排气筒</w:t>
                  </w:r>
                  <w:r>
                    <w:rPr>
                      <w:rFonts w:hint="eastAsia"/>
                      <w:color w:val="auto"/>
                      <w:szCs w:val="24"/>
                      <w:lang w:val="en-US"/>
                    </w:rPr>
                    <w:t>（</w:t>
                  </w:r>
                  <w:r>
                    <w:rPr>
                      <w:color w:val="auto"/>
                      <w:szCs w:val="24"/>
                      <w:lang w:val="en-US"/>
                    </w:rPr>
                    <w:t>DA001</w:t>
                  </w:r>
                  <w:r>
                    <w:rPr>
                      <w:rFonts w:hint="eastAsia"/>
                      <w:color w:val="auto"/>
                      <w:szCs w:val="24"/>
                      <w:lang w:val="en-US"/>
                    </w:rPr>
                    <w:t>）。</w:t>
                  </w:r>
                </w:p>
              </w:tc>
              <w:tc>
                <w:tcPr>
                  <w:tcW w:w="411" w:type="pct"/>
                  <w:vAlign w:val="center"/>
                </w:tcPr>
                <w:p>
                  <w:pPr>
                    <w:pStyle w:val="28"/>
                    <w:spacing w:line="360" w:lineRule="exact"/>
                    <w:rPr>
                      <w:color w:val="auto"/>
                      <w:szCs w:val="21"/>
                    </w:rPr>
                  </w:pPr>
                  <w:r>
                    <w:rPr>
                      <w:rFonts w:hint="eastAsia"/>
                      <w:color w:val="auto"/>
                      <w:szCs w:val="21"/>
                    </w:rPr>
                    <w:t>0.4</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410" w:type="pct"/>
                  <w:gridSpan w:val="2"/>
                  <w:vAlign w:val="center"/>
                </w:tcPr>
                <w:p>
                  <w:pPr>
                    <w:pStyle w:val="28"/>
                    <w:spacing w:line="360" w:lineRule="exact"/>
                    <w:rPr>
                      <w:color w:val="auto"/>
                      <w:szCs w:val="21"/>
                    </w:rPr>
                  </w:pPr>
                  <w:r>
                    <w:rPr>
                      <w:color w:val="auto"/>
                      <w:szCs w:val="21"/>
                    </w:rPr>
                    <w:t>废水</w:t>
                  </w:r>
                </w:p>
              </w:tc>
              <w:tc>
                <w:tcPr>
                  <w:tcW w:w="1235" w:type="pct"/>
                  <w:gridSpan w:val="2"/>
                  <w:vAlign w:val="center"/>
                </w:tcPr>
                <w:p>
                  <w:pPr>
                    <w:pStyle w:val="28"/>
                    <w:spacing w:line="360" w:lineRule="exact"/>
                    <w:rPr>
                      <w:color w:val="auto"/>
                      <w:szCs w:val="21"/>
                    </w:rPr>
                  </w:pPr>
                  <w:r>
                    <w:rPr>
                      <w:color w:val="auto"/>
                      <w:szCs w:val="21"/>
                    </w:rPr>
                    <w:t>雨污分流</w:t>
                  </w:r>
                </w:p>
              </w:tc>
              <w:tc>
                <w:tcPr>
                  <w:tcW w:w="2144" w:type="pct"/>
                  <w:vAlign w:val="center"/>
                </w:tcPr>
                <w:p>
                  <w:pPr>
                    <w:pStyle w:val="28"/>
                    <w:spacing w:line="360" w:lineRule="exact"/>
                    <w:ind w:firstLine="210" w:firstLineChars="100"/>
                    <w:jc w:val="both"/>
                    <w:rPr>
                      <w:color w:val="auto"/>
                      <w:szCs w:val="21"/>
                    </w:rPr>
                  </w:pPr>
                  <w:r>
                    <w:rPr>
                      <w:rFonts w:hint="eastAsia"/>
                      <w:color w:val="auto"/>
                      <w:szCs w:val="24"/>
                      <w:lang w:val="en-US"/>
                    </w:rPr>
                    <w:t>厂区内已设置雨水沟，和1座容积为6</w:t>
                  </w:r>
                  <w:r>
                    <w:rPr>
                      <w:color w:val="auto"/>
                      <w:szCs w:val="24"/>
                      <w:lang w:val="en-US"/>
                    </w:rPr>
                    <w:t>80m³初期雨水收集池</w:t>
                  </w:r>
                </w:p>
              </w:tc>
              <w:tc>
                <w:tcPr>
                  <w:tcW w:w="411" w:type="pct"/>
                  <w:vAlign w:val="center"/>
                </w:tcPr>
                <w:p>
                  <w:pPr>
                    <w:pStyle w:val="28"/>
                    <w:spacing w:line="360" w:lineRule="exact"/>
                    <w:rPr>
                      <w:color w:val="auto"/>
                      <w:szCs w:val="21"/>
                    </w:rPr>
                  </w:pPr>
                  <w:r>
                    <w:rPr>
                      <w:color w:val="auto"/>
                      <w:szCs w:val="21"/>
                    </w:rPr>
                    <w:t>“</w:t>
                  </w:r>
                  <w:r>
                    <w:rPr>
                      <w:rFonts w:hint="eastAsia"/>
                      <w:color w:val="auto"/>
                      <w:szCs w:val="21"/>
                    </w:rPr>
                    <w:t>26</w:t>
                  </w:r>
                  <w:r>
                    <w:rPr>
                      <w:color w:val="auto"/>
                      <w:szCs w:val="21"/>
                    </w:rPr>
                    <w:t>”</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869" w:type="pct"/>
                  <w:gridSpan w:val="3"/>
                  <w:vAlign w:val="center"/>
                </w:tcPr>
                <w:p>
                  <w:pPr>
                    <w:pStyle w:val="28"/>
                    <w:spacing w:line="360" w:lineRule="exact"/>
                    <w:rPr>
                      <w:color w:val="auto"/>
                      <w:szCs w:val="21"/>
                    </w:rPr>
                  </w:pPr>
                  <w:r>
                    <w:rPr>
                      <w:color w:val="auto"/>
                      <w:szCs w:val="21"/>
                    </w:rPr>
                    <w:t>地下水防渗</w:t>
                  </w:r>
                </w:p>
              </w:tc>
              <w:tc>
                <w:tcPr>
                  <w:tcW w:w="776" w:type="pct"/>
                  <w:vAlign w:val="center"/>
                </w:tcPr>
                <w:p>
                  <w:pPr>
                    <w:pStyle w:val="28"/>
                    <w:spacing w:line="360" w:lineRule="exact"/>
                    <w:rPr>
                      <w:color w:val="auto"/>
                      <w:szCs w:val="21"/>
                    </w:rPr>
                  </w:pPr>
                  <w:r>
                    <w:rPr>
                      <w:rFonts w:hint="eastAsia"/>
                      <w:color w:val="auto"/>
                      <w:szCs w:val="21"/>
                    </w:rPr>
                    <w:t>重点防渗区</w:t>
                  </w:r>
                </w:p>
              </w:tc>
              <w:tc>
                <w:tcPr>
                  <w:tcW w:w="2144" w:type="pct"/>
                  <w:vAlign w:val="center"/>
                </w:tcPr>
                <w:p>
                  <w:pPr>
                    <w:pStyle w:val="28"/>
                    <w:spacing w:line="360" w:lineRule="exact"/>
                    <w:ind w:firstLine="210" w:firstLineChars="100"/>
                    <w:jc w:val="both"/>
                    <w:rPr>
                      <w:rFonts w:eastAsiaTheme="minorEastAsia"/>
                      <w:color w:val="auto"/>
                      <w:szCs w:val="21"/>
                    </w:rPr>
                  </w:pPr>
                  <w:r>
                    <w:rPr>
                      <w:rFonts w:hint="eastAsia" w:eastAsiaTheme="minorEastAsia"/>
                      <w:color w:val="auto"/>
                      <w:szCs w:val="21"/>
                    </w:rPr>
                    <w:t>①地面防渗：项目全部区域均采用复合土工膜防渗后，再浇筑混凝土；满足渗透系数≤</w:t>
                  </w:r>
                  <w:r>
                    <w:rPr>
                      <w:rFonts w:eastAsiaTheme="minorEastAsia"/>
                      <w:color w:val="auto"/>
                      <w:szCs w:val="21"/>
                    </w:rPr>
                    <w:t>10</w:t>
                  </w:r>
                  <w:r>
                    <w:rPr>
                      <w:rFonts w:hint="eastAsia" w:eastAsiaTheme="minorEastAsia"/>
                      <w:color w:val="auto"/>
                      <w:szCs w:val="21"/>
                      <w:vertAlign w:val="superscript"/>
                    </w:rPr>
                    <w:t>-10</w:t>
                  </w:r>
                  <w:r>
                    <w:rPr>
                      <w:rFonts w:eastAsiaTheme="minorEastAsia"/>
                      <w:color w:val="auto"/>
                      <w:szCs w:val="21"/>
                    </w:rPr>
                    <w:t>cm/s</w:t>
                  </w:r>
                  <w:r>
                    <w:rPr>
                      <w:rFonts w:hint="eastAsia" w:eastAsiaTheme="minorEastAsia"/>
                      <w:color w:val="auto"/>
                      <w:szCs w:val="21"/>
                    </w:rPr>
                    <w:t>的要求。</w:t>
                  </w:r>
                </w:p>
                <w:p>
                  <w:pPr>
                    <w:pStyle w:val="28"/>
                    <w:spacing w:line="360" w:lineRule="exact"/>
                    <w:ind w:firstLine="210" w:firstLineChars="100"/>
                    <w:jc w:val="both"/>
                    <w:rPr>
                      <w:color w:val="auto"/>
                      <w:szCs w:val="21"/>
                    </w:rPr>
                  </w:pPr>
                  <w:r>
                    <w:rPr>
                      <w:rFonts w:hint="eastAsia"/>
                      <w:color w:val="auto"/>
                      <w:szCs w:val="21"/>
                    </w:rPr>
                    <w:t>②裙脚防渗：项目危险废物贮存库内裙脚拟采用不低于2mm后的HDPE膜或其他人工防渗材料进行防渗，使其渗透系数≤</w:t>
                  </w:r>
                  <w:r>
                    <w:rPr>
                      <w:color w:val="auto"/>
                      <w:szCs w:val="21"/>
                    </w:rPr>
                    <w:t>10</w:t>
                  </w:r>
                  <w:r>
                    <w:rPr>
                      <w:rFonts w:hint="eastAsia"/>
                      <w:color w:val="auto"/>
                      <w:szCs w:val="21"/>
                      <w:vertAlign w:val="superscript"/>
                    </w:rPr>
                    <w:t>-10</w:t>
                  </w:r>
                  <w:r>
                    <w:rPr>
                      <w:color w:val="auto"/>
                      <w:szCs w:val="21"/>
                    </w:rPr>
                    <w:t>cm/s</w:t>
                  </w:r>
                  <w:r>
                    <w:rPr>
                      <w:rFonts w:hint="eastAsia"/>
                      <w:color w:val="auto"/>
                      <w:szCs w:val="21"/>
                    </w:rPr>
                    <w:t>，防渗高度不低于库内原料总堆高的1/5。</w:t>
                  </w:r>
                </w:p>
              </w:tc>
              <w:tc>
                <w:tcPr>
                  <w:tcW w:w="411" w:type="pct"/>
                  <w:vAlign w:val="center"/>
                </w:tcPr>
                <w:p>
                  <w:pPr>
                    <w:pStyle w:val="28"/>
                    <w:spacing w:line="360" w:lineRule="exact"/>
                    <w:rPr>
                      <w:color w:val="auto"/>
                      <w:szCs w:val="21"/>
                    </w:rPr>
                  </w:pPr>
                  <w:r>
                    <w:rPr>
                      <w:color w:val="auto"/>
                      <w:szCs w:val="21"/>
                    </w:rPr>
                    <w:t>“</w:t>
                  </w:r>
                  <w:r>
                    <w:rPr>
                      <w:rFonts w:hint="eastAsia"/>
                      <w:color w:val="auto"/>
                      <w:szCs w:val="21"/>
                    </w:rPr>
                    <w:t>46</w:t>
                  </w:r>
                  <w:r>
                    <w:rPr>
                      <w:color w:val="auto"/>
                      <w:szCs w:val="21"/>
                    </w:rPr>
                    <w:t>”</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869" w:type="pct"/>
                  <w:gridSpan w:val="3"/>
                  <w:vMerge w:val="restart"/>
                  <w:vAlign w:val="center"/>
                </w:tcPr>
                <w:p>
                  <w:pPr>
                    <w:pStyle w:val="28"/>
                    <w:spacing w:line="360" w:lineRule="exact"/>
                    <w:rPr>
                      <w:color w:val="auto"/>
                      <w:szCs w:val="21"/>
                    </w:rPr>
                  </w:pPr>
                  <w:r>
                    <w:rPr>
                      <w:rFonts w:hint="eastAsia"/>
                      <w:color w:val="auto"/>
                      <w:szCs w:val="21"/>
                    </w:rPr>
                    <w:t>环境风险</w:t>
                  </w:r>
                </w:p>
              </w:tc>
              <w:tc>
                <w:tcPr>
                  <w:tcW w:w="776" w:type="pct"/>
                  <w:vAlign w:val="center"/>
                </w:tcPr>
                <w:p>
                  <w:pPr>
                    <w:pStyle w:val="28"/>
                    <w:spacing w:line="360" w:lineRule="exact"/>
                    <w:rPr>
                      <w:color w:val="auto"/>
                      <w:szCs w:val="21"/>
                    </w:rPr>
                  </w:pPr>
                  <w:r>
                    <w:rPr>
                      <w:rFonts w:hint="eastAsia"/>
                      <w:color w:val="auto"/>
                      <w:szCs w:val="21"/>
                    </w:rPr>
                    <w:t>导流渠</w:t>
                  </w:r>
                </w:p>
              </w:tc>
              <w:tc>
                <w:tcPr>
                  <w:tcW w:w="2144" w:type="pct"/>
                  <w:vAlign w:val="center"/>
                </w:tcPr>
                <w:p>
                  <w:pPr>
                    <w:pStyle w:val="28"/>
                    <w:spacing w:line="360" w:lineRule="exact"/>
                    <w:ind w:firstLine="210" w:firstLineChars="100"/>
                    <w:jc w:val="both"/>
                    <w:rPr>
                      <w:color w:val="auto"/>
                      <w:szCs w:val="21"/>
                    </w:rPr>
                  </w:pPr>
                  <w:r>
                    <w:rPr>
                      <w:rFonts w:hint="eastAsia"/>
                      <w:color w:val="auto"/>
                      <w:szCs w:val="21"/>
                    </w:rPr>
                    <w:t>每个贮存分区均配套设置导流渠。</w:t>
                  </w:r>
                </w:p>
              </w:tc>
              <w:tc>
                <w:tcPr>
                  <w:tcW w:w="411" w:type="pct"/>
                  <w:vAlign w:val="center"/>
                </w:tcPr>
                <w:p>
                  <w:pPr>
                    <w:pStyle w:val="28"/>
                    <w:spacing w:line="360" w:lineRule="exact"/>
                    <w:rPr>
                      <w:color w:val="auto"/>
                      <w:szCs w:val="21"/>
                    </w:rPr>
                  </w:pPr>
                  <w:r>
                    <w:rPr>
                      <w:color w:val="auto"/>
                      <w:szCs w:val="21"/>
                    </w:rPr>
                    <w:t>“0.1”</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869" w:type="pct"/>
                  <w:gridSpan w:val="3"/>
                  <w:vMerge w:val="continue"/>
                  <w:vAlign w:val="center"/>
                </w:tcPr>
                <w:p>
                  <w:pPr>
                    <w:pStyle w:val="28"/>
                    <w:spacing w:line="360" w:lineRule="exact"/>
                    <w:rPr>
                      <w:color w:val="auto"/>
                      <w:szCs w:val="21"/>
                    </w:rPr>
                  </w:pPr>
                </w:p>
              </w:tc>
              <w:tc>
                <w:tcPr>
                  <w:tcW w:w="776" w:type="pct"/>
                  <w:vAlign w:val="center"/>
                </w:tcPr>
                <w:p>
                  <w:pPr>
                    <w:pStyle w:val="28"/>
                    <w:spacing w:line="360" w:lineRule="exact"/>
                    <w:rPr>
                      <w:color w:val="auto"/>
                      <w:szCs w:val="21"/>
                    </w:rPr>
                  </w:pPr>
                  <w:r>
                    <w:rPr>
                      <w:rFonts w:hint="eastAsia"/>
                      <w:color w:val="auto"/>
                      <w:szCs w:val="21"/>
                    </w:rPr>
                    <w:t>渗滤液收集池</w:t>
                  </w:r>
                </w:p>
              </w:tc>
              <w:tc>
                <w:tcPr>
                  <w:tcW w:w="2144" w:type="pct"/>
                  <w:vAlign w:val="center"/>
                </w:tcPr>
                <w:p>
                  <w:pPr>
                    <w:pStyle w:val="28"/>
                    <w:spacing w:line="360" w:lineRule="exact"/>
                    <w:ind w:firstLine="210" w:firstLineChars="100"/>
                    <w:jc w:val="both"/>
                    <w:rPr>
                      <w:color w:val="auto"/>
                      <w:szCs w:val="21"/>
                    </w:rPr>
                  </w:pPr>
                  <w:r>
                    <w:rPr>
                      <w:rFonts w:hint="eastAsia"/>
                      <w:color w:val="auto"/>
                      <w:szCs w:val="21"/>
                    </w:rPr>
                    <w:t>每个分区均配套设置1个1</w:t>
                  </w:r>
                  <w:r>
                    <w:rPr>
                      <w:color w:val="auto"/>
                      <w:szCs w:val="21"/>
                    </w:rPr>
                    <w:t>m³</w:t>
                  </w:r>
                  <w:r>
                    <w:rPr>
                      <w:rFonts w:hint="eastAsia"/>
                      <w:color w:val="auto"/>
                      <w:szCs w:val="21"/>
                    </w:rPr>
                    <w:t>渗滤液收集池。</w:t>
                  </w:r>
                </w:p>
              </w:tc>
              <w:tc>
                <w:tcPr>
                  <w:tcW w:w="411" w:type="pct"/>
                  <w:vAlign w:val="center"/>
                </w:tcPr>
                <w:p>
                  <w:pPr>
                    <w:pStyle w:val="28"/>
                    <w:spacing w:line="360" w:lineRule="exact"/>
                    <w:rPr>
                      <w:color w:val="auto"/>
                      <w:szCs w:val="21"/>
                    </w:rPr>
                  </w:pPr>
                  <w:r>
                    <w:rPr>
                      <w:rFonts w:hint="eastAsia"/>
                      <w:color w:val="auto"/>
                      <w:szCs w:val="21"/>
                    </w:rPr>
                    <w:t>8</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869" w:type="pct"/>
                  <w:gridSpan w:val="3"/>
                  <w:vMerge w:val="continue"/>
                  <w:vAlign w:val="center"/>
                </w:tcPr>
                <w:p>
                  <w:pPr>
                    <w:pStyle w:val="28"/>
                    <w:spacing w:line="360" w:lineRule="exact"/>
                    <w:rPr>
                      <w:color w:val="auto"/>
                      <w:szCs w:val="21"/>
                    </w:rPr>
                  </w:pPr>
                </w:p>
              </w:tc>
              <w:tc>
                <w:tcPr>
                  <w:tcW w:w="776" w:type="pct"/>
                  <w:vAlign w:val="center"/>
                </w:tcPr>
                <w:p>
                  <w:pPr>
                    <w:pStyle w:val="28"/>
                    <w:spacing w:line="360" w:lineRule="exact"/>
                    <w:rPr>
                      <w:color w:val="auto"/>
                      <w:szCs w:val="21"/>
                    </w:rPr>
                  </w:pPr>
                  <w:r>
                    <w:rPr>
                      <w:color w:val="auto"/>
                      <w:szCs w:val="21"/>
                    </w:rPr>
                    <w:t>通风系统</w:t>
                  </w:r>
                </w:p>
              </w:tc>
              <w:tc>
                <w:tcPr>
                  <w:tcW w:w="2144" w:type="pct"/>
                  <w:vAlign w:val="center"/>
                </w:tcPr>
                <w:p>
                  <w:pPr>
                    <w:pStyle w:val="28"/>
                    <w:spacing w:line="360" w:lineRule="exact"/>
                    <w:ind w:firstLine="210" w:firstLineChars="100"/>
                    <w:jc w:val="both"/>
                    <w:rPr>
                      <w:color w:val="auto"/>
                      <w:szCs w:val="21"/>
                    </w:rPr>
                  </w:pPr>
                  <w:r>
                    <w:rPr>
                      <w:color w:val="auto"/>
                      <w:szCs w:val="21"/>
                    </w:rPr>
                    <w:t>项目在满足全封闭厂房 “防风、防雨、防晒”要求的条件下，设置</w:t>
                  </w:r>
                  <w:r>
                    <w:rPr>
                      <w:rFonts w:hint="eastAsia"/>
                      <w:color w:val="auto"/>
                      <w:szCs w:val="21"/>
                    </w:rPr>
                    <w:t>了</w:t>
                  </w:r>
                  <w:r>
                    <w:rPr>
                      <w:color w:val="auto"/>
                      <w:szCs w:val="21"/>
                    </w:rPr>
                    <w:t>通风系统。</w:t>
                  </w:r>
                </w:p>
              </w:tc>
              <w:tc>
                <w:tcPr>
                  <w:tcW w:w="411" w:type="pct"/>
                  <w:vAlign w:val="center"/>
                </w:tcPr>
                <w:p>
                  <w:pPr>
                    <w:pStyle w:val="28"/>
                    <w:spacing w:line="360" w:lineRule="exact"/>
                    <w:rPr>
                      <w:color w:val="auto"/>
                      <w:szCs w:val="21"/>
                    </w:rPr>
                  </w:pPr>
                  <w:r>
                    <w:rPr>
                      <w:color w:val="auto"/>
                      <w:szCs w:val="21"/>
                    </w:rPr>
                    <w:t>“</w:t>
                  </w:r>
                  <w:r>
                    <w:rPr>
                      <w:rFonts w:hint="eastAsia"/>
                      <w:color w:val="auto"/>
                      <w:szCs w:val="21"/>
                    </w:rPr>
                    <w:t>12</w:t>
                  </w:r>
                  <w:r>
                    <w:rPr>
                      <w:color w:val="auto"/>
                      <w:szCs w:val="21"/>
                    </w:rPr>
                    <w:t>”</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Merge w:val="continue"/>
                  <w:vAlign w:val="center"/>
                </w:tcPr>
                <w:p>
                  <w:pPr>
                    <w:pStyle w:val="28"/>
                    <w:spacing w:line="360" w:lineRule="exact"/>
                    <w:rPr>
                      <w:color w:val="auto"/>
                      <w:szCs w:val="21"/>
                    </w:rPr>
                  </w:pPr>
                </w:p>
              </w:tc>
              <w:tc>
                <w:tcPr>
                  <w:tcW w:w="399" w:type="pct"/>
                  <w:vAlign w:val="center"/>
                </w:tcPr>
                <w:p>
                  <w:pPr>
                    <w:pStyle w:val="28"/>
                    <w:spacing w:line="360" w:lineRule="exact"/>
                    <w:rPr>
                      <w:color w:val="auto"/>
                      <w:szCs w:val="21"/>
                    </w:rPr>
                  </w:pPr>
                  <w:r>
                    <w:rPr>
                      <w:color w:val="auto"/>
                      <w:szCs w:val="21"/>
                    </w:rPr>
                    <w:t>其他</w:t>
                  </w:r>
                </w:p>
              </w:tc>
              <w:tc>
                <w:tcPr>
                  <w:tcW w:w="1246" w:type="pct"/>
                  <w:gridSpan w:val="3"/>
                  <w:vAlign w:val="center"/>
                </w:tcPr>
                <w:p>
                  <w:pPr>
                    <w:pStyle w:val="28"/>
                    <w:spacing w:line="360" w:lineRule="exact"/>
                    <w:rPr>
                      <w:color w:val="auto"/>
                      <w:szCs w:val="21"/>
                    </w:rPr>
                  </w:pPr>
                  <w:r>
                    <w:rPr>
                      <w:color w:val="auto"/>
                      <w:szCs w:val="21"/>
                    </w:rPr>
                    <w:t>标识牌</w:t>
                  </w:r>
                </w:p>
              </w:tc>
              <w:tc>
                <w:tcPr>
                  <w:tcW w:w="2144" w:type="pct"/>
                  <w:vAlign w:val="center"/>
                </w:tcPr>
                <w:p>
                  <w:pPr>
                    <w:pStyle w:val="28"/>
                    <w:spacing w:line="360" w:lineRule="exact"/>
                    <w:ind w:firstLine="210" w:firstLineChars="100"/>
                    <w:jc w:val="left"/>
                    <w:rPr>
                      <w:color w:val="auto"/>
                      <w:szCs w:val="21"/>
                    </w:rPr>
                  </w:pPr>
                  <w:r>
                    <w:rPr>
                      <w:color w:val="auto"/>
                      <w:szCs w:val="21"/>
                    </w:rPr>
                    <w:t>--</w:t>
                  </w:r>
                </w:p>
              </w:tc>
              <w:tc>
                <w:tcPr>
                  <w:tcW w:w="411" w:type="pct"/>
                  <w:vAlign w:val="center"/>
                </w:tcPr>
                <w:p>
                  <w:pPr>
                    <w:pStyle w:val="28"/>
                    <w:spacing w:line="360" w:lineRule="exact"/>
                    <w:rPr>
                      <w:color w:val="auto"/>
                      <w:szCs w:val="21"/>
                    </w:rPr>
                  </w:pPr>
                  <w:r>
                    <w:rPr>
                      <w:color w:val="auto"/>
                      <w:szCs w:val="21"/>
                    </w:rPr>
                    <w:t>0.1</w:t>
                  </w:r>
                </w:p>
              </w:tc>
              <w:tc>
                <w:tcPr>
                  <w:tcW w:w="454" w:type="pct"/>
                  <w:vMerge w:val="continue"/>
                  <w:vAlign w:val="center"/>
                </w:tcPr>
                <w:p>
                  <w:pPr>
                    <w:pStyle w:val="2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pct"/>
                  <w:gridSpan w:val="6"/>
                  <w:vAlign w:val="center"/>
                </w:tcPr>
                <w:p>
                  <w:pPr>
                    <w:pStyle w:val="28"/>
                    <w:spacing w:line="360" w:lineRule="exact"/>
                    <w:rPr>
                      <w:color w:val="auto"/>
                      <w:szCs w:val="21"/>
                    </w:rPr>
                  </w:pPr>
                  <w:r>
                    <w:rPr>
                      <w:color w:val="auto"/>
                      <w:szCs w:val="21"/>
                    </w:rPr>
                    <w:t>合计</w:t>
                  </w:r>
                </w:p>
              </w:tc>
              <w:tc>
                <w:tcPr>
                  <w:tcW w:w="411" w:type="pct"/>
                  <w:vAlign w:val="center"/>
                </w:tcPr>
                <w:p>
                  <w:pPr>
                    <w:pStyle w:val="28"/>
                    <w:spacing w:line="360" w:lineRule="exact"/>
                    <w:rPr>
                      <w:color w:val="auto"/>
                      <w:szCs w:val="21"/>
                    </w:rPr>
                  </w:pPr>
                  <w:r>
                    <w:rPr>
                      <w:color w:val="auto"/>
                      <w:szCs w:val="21"/>
                    </w:rPr>
                    <w:t>31.4</w:t>
                  </w:r>
                </w:p>
              </w:tc>
              <w:tc>
                <w:tcPr>
                  <w:tcW w:w="454" w:type="pct"/>
                  <w:vAlign w:val="center"/>
                </w:tcPr>
                <w:p>
                  <w:pPr>
                    <w:pStyle w:val="2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pStyle w:val="28"/>
                    <w:spacing w:line="360" w:lineRule="exact"/>
                    <w:jc w:val="left"/>
                    <w:rPr>
                      <w:color w:val="auto"/>
                      <w:szCs w:val="21"/>
                    </w:rPr>
                  </w:pPr>
                  <w:r>
                    <w:rPr>
                      <w:rFonts w:hint="eastAsia"/>
                      <w:color w:val="auto"/>
                      <w:szCs w:val="21"/>
                    </w:rPr>
                    <w:t>备注：“”表示已投资，不再重复计算</w:t>
                  </w:r>
                </w:p>
              </w:tc>
            </w:tr>
          </w:tbl>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hint="eastAsia" w:eastAsiaTheme="minorEastAsia"/>
                <w:szCs w:val="24"/>
              </w:rPr>
            </w:pPr>
          </w:p>
          <w:p>
            <w:pPr>
              <w:pStyle w:val="36"/>
              <w:ind w:firstLine="480"/>
              <w:rPr>
                <w:rFonts w:hint="eastAsia" w:eastAsiaTheme="minorEastAsia"/>
                <w:szCs w:val="24"/>
              </w:rPr>
            </w:pPr>
          </w:p>
          <w:p>
            <w:pPr>
              <w:pStyle w:val="36"/>
              <w:ind w:firstLine="480"/>
              <w:rPr>
                <w:rFonts w:hint="eastAsia" w:eastAsiaTheme="minorEastAsia"/>
                <w:szCs w:val="24"/>
              </w:rPr>
            </w:pPr>
          </w:p>
          <w:p>
            <w:pPr>
              <w:pStyle w:val="36"/>
              <w:ind w:firstLine="480"/>
              <w:rPr>
                <w:rFonts w:hint="eastAsia" w:eastAsiaTheme="minorEastAsia"/>
                <w:szCs w:val="24"/>
              </w:rPr>
            </w:pPr>
          </w:p>
          <w:p>
            <w:pPr>
              <w:pStyle w:val="36"/>
              <w:ind w:firstLine="480"/>
              <w:rPr>
                <w:rFonts w:hint="eastAsia" w:eastAsiaTheme="minorEastAsia"/>
                <w:szCs w:val="24"/>
              </w:rPr>
            </w:pPr>
          </w:p>
          <w:p>
            <w:pPr>
              <w:pStyle w:val="36"/>
              <w:ind w:firstLine="480"/>
              <w:rPr>
                <w:rFonts w:hint="eastAsia"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hint="eastAsia" w:eastAsiaTheme="minorEastAsia"/>
                <w:szCs w:val="24"/>
              </w:rPr>
            </w:pPr>
          </w:p>
          <w:p>
            <w:pPr>
              <w:pStyle w:val="36"/>
              <w:ind w:firstLine="480"/>
              <w:rPr>
                <w:rFonts w:hint="eastAsia" w:eastAsiaTheme="minorEastAsia"/>
                <w:szCs w:val="24"/>
              </w:rPr>
            </w:pPr>
          </w:p>
          <w:p>
            <w:pPr>
              <w:pStyle w:val="36"/>
              <w:ind w:firstLine="480"/>
              <w:rPr>
                <w:rFonts w:eastAsiaTheme="minorEastAsia"/>
                <w:szCs w:val="24"/>
              </w:rPr>
            </w:pPr>
          </w:p>
          <w:p>
            <w:pPr>
              <w:pStyle w:val="36"/>
              <w:ind w:firstLine="480"/>
              <w:rPr>
                <w:rFonts w:eastAsiaTheme="minorEastAsia"/>
                <w:szCs w:val="24"/>
              </w:rPr>
            </w:pPr>
          </w:p>
          <w:p>
            <w:pPr>
              <w:pStyle w:val="36"/>
              <w:ind w:firstLine="480"/>
              <w:rPr>
                <w:rFonts w:eastAsiaTheme="minorEastAsia"/>
                <w:szCs w:val="24"/>
              </w:rPr>
            </w:pPr>
          </w:p>
        </w:tc>
      </w:tr>
    </w:tbl>
    <w:p>
      <w:pPr>
        <w:spacing w:line="360" w:lineRule="auto"/>
        <w:jc w:val="left"/>
        <w:outlineLvl w:val="0"/>
        <w:rPr>
          <w:rFonts w:hint="eastAsia" w:ascii="Times New Roman" w:hAnsi="Times New Roman" w:cs="Times New Roman"/>
          <w:b/>
          <w:sz w:val="28"/>
          <w:szCs w:val="20"/>
        </w:rPr>
      </w:pPr>
      <w:r>
        <w:rPr>
          <w:rFonts w:ascii="Times New Roman" w:hAnsi="Times New Roman" w:cs="Times New Roman"/>
          <w:b/>
          <w:sz w:val="28"/>
          <w:szCs w:val="20"/>
        </w:rPr>
        <w:t>五、环境保护措施监督检查清单</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0"/>
        <w:gridCol w:w="704"/>
        <w:gridCol w:w="851"/>
        <w:gridCol w:w="1010"/>
        <w:gridCol w:w="1120"/>
        <w:gridCol w:w="2976"/>
        <w:gridCol w:w="1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内容</w:t>
            </w:r>
          </w:p>
          <w:p>
            <w:pPr>
              <w:spacing w:line="360" w:lineRule="exact"/>
              <w:jc w:val="left"/>
              <w:rPr>
                <w:rFonts w:ascii="Times New Roman" w:hAnsi="Times New Roman" w:cs="Times New Roman"/>
              </w:rPr>
            </w:pPr>
            <w:r>
              <w:rPr>
                <w:rFonts w:ascii="Times New Roman" w:hAnsi="Times New Roman" w:cs="Times New Roman"/>
              </w:rPr>
              <w:t>要素</w:t>
            </w:r>
          </w:p>
        </w:tc>
        <w:tc>
          <w:tcPr>
            <w:tcW w:w="2565"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120"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2976"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745"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704" w:type="dxa"/>
            <w:vMerge w:val="restart"/>
            <w:vAlign w:val="center"/>
          </w:tcPr>
          <w:p>
            <w:pPr>
              <w:pStyle w:val="28"/>
              <w:spacing w:line="360" w:lineRule="exact"/>
              <w:rPr>
                <w:color w:val="auto"/>
                <w:szCs w:val="21"/>
              </w:rPr>
            </w:pPr>
            <w:r>
              <w:rPr>
                <w:rFonts w:hint="eastAsia"/>
                <w:color w:val="auto"/>
                <w:szCs w:val="21"/>
              </w:rPr>
              <w:t>危险废物贮存</w:t>
            </w:r>
          </w:p>
        </w:tc>
        <w:tc>
          <w:tcPr>
            <w:tcW w:w="851" w:type="dxa"/>
            <w:vMerge w:val="restart"/>
            <w:tcBorders>
              <w:right w:val="single" w:color="auto" w:sz="4" w:space="0"/>
            </w:tcBorders>
            <w:vAlign w:val="center"/>
          </w:tcPr>
          <w:p>
            <w:pPr>
              <w:pStyle w:val="28"/>
              <w:spacing w:line="360" w:lineRule="exact"/>
              <w:rPr>
                <w:color w:val="auto"/>
                <w:szCs w:val="21"/>
              </w:rPr>
            </w:pPr>
            <w:r>
              <w:rPr>
                <w:rFonts w:hint="eastAsia"/>
                <w:color w:val="auto"/>
                <w:szCs w:val="21"/>
              </w:rPr>
              <w:t>贮存、转运</w:t>
            </w:r>
          </w:p>
        </w:tc>
        <w:tc>
          <w:tcPr>
            <w:tcW w:w="1010" w:type="dxa"/>
            <w:vMerge w:val="restart"/>
            <w:tcBorders>
              <w:left w:val="single" w:color="auto" w:sz="4" w:space="0"/>
            </w:tcBorders>
            <w:vAlign w:val="center"/>
          </w:tcPr>
          <w:p>
            <w:pPr>
              <w:pStyle w:val="28"/>
              <w:spacing w:line="360" w:lineRule="exact"/>
              <w:rPr>
                <w:color w:val="auto"/>
                <w:szCs w:val="21"/>
              </w:rPr>
            </w:pPr>
            <w:r>
              <w:rPr>
                <w:rFonts w:hint="eastAsia"/>
                <w:color w:val="auto"/>
                <w:szCs w:val="21"/>
              </w:rPr>
              <w:t>有组织</w:t>
            </w:r>
          </w:p>
        </w:tc>
        <w:tc>
          <w:tcPr>
            <w:tcW w:w="1120" w:type="dxa"/>
            <w:vAlign w:val="center"/>
          </w:tcPr>
          <w:p>
            <w:pPr>
              <w:pStyle w:val="28"/>
              <w:spacing w:line="360" w:lineRule="exact"/>
              <w:rPr>
                <w:color w:val="auto"/>
                <w:szCs w:val="21"/>
              </w:rPr>
            </w:pPr>
            <w:r>
              <w:rPr>
                <w:rFonts w:hint="eastAsia"/>
                <w:color w:val="auto"/>
                <w:szCs w:val="21"/>
              </w:rPr>
              <w:t>非甲烷总烃</w:t>
            </w:r>
          </w:p>
        </w:tc>
        <w:tc>
          <w:tcPr>
            <w:tcW w:w="2976" w:type="dxa"/>
            <w:vMerge w:val="restart"/>
            <w:vAlign w:val="center"/>
          </w:tcPr>
          <w:p>
            <w:pPr>
              <w:pStyle w:val="28"/>
              <w:spacing w:line="360" w:lineRule="exact"/>
              <w:ind w:firstLine="210" w:firstLineChars="100"/>
              <w:jc w:val="both"/>
              <w:rPr>
                <w:color w:val="auto"/>
                <w:szCs w:val="21"/>
              </w:rPr>
            </w:pPr>
            <w:r>
              <w:rPr>
                <w:color w:val="auto"/>
                <w:szCs w:val="21"/>
              </w:rPr>
              <w:t>根据实施方案，针对小微企业危险废物贮存库区产生的废气，通过1套负压收集系统对其收集后，拟设置1套废气处理装置对其进行处理，处理后通过1根Φ0.68、高15m的排气筒（DA001）外排。集气罩集气效率约为80%，风量为16000m³/h，废气处理装置由活性炭吸附+碱喷淋工艺组成，根据设计参数，</w:t>
            </w:r>
            <w:r>
              <w:rPr>
                <w:rFonts w:hint="eastAsia"/>
                <w:color w:val="auto"/>
                <w:szCs w:val="21"/>
              </w:rPr>
              <w:t>该装置有机废气（非甲烷总烃）的处理效率约为30%，</w:t>
            </w:r>
            <w:r>
              <w:rPr>
                <w:color w:val="auto"/>
                <w:szCs w:val="21"/>
              </w:rPr>
              <w:t>酸性</w:t>
            </w:r>
            <w:r>
              <w:rPr>
                <w:rFonts w:hint="eastAsia"/>
                <w:color w:val="auto"/>
                <w:szCs w:val="21"/>
              </w:rPr>
              <w:t>废气（HCl）处理效率约为95%，恶臭废气（氨、硫化氢和臭气浓度）处理效率约为60%。</w:t>
            </w:r>
          </w:p>
        </w:tc>
        <w:tc>
          <w:tcPr>
            <w:tcW w:w="1745" w:type="dxa"/>
            <w:vMerge w:val="restart"/>
            <w:vAlign w:val="center"/>
          </w:tcPr>
          <w:p>
            <w:pPr>
              <w:pStyle w:val="28"/>
              <w:spacing w:line="360" w:lineRule="exact"/>
              <w:ind w:firstLine="210" w:firstLineChars="100"/>
              <w:jc w:val="both"/>
              <w:rPr>
                <w:color w:val="auto"/>
                <w:szCs w:val="21"/>
              </w:rPr>
            </w:pPr>
            <w:r>
              <w:rPr>
                <w:rFonts w:hint="eastAsia"/>
                <w:color w:val="auto"/>
                <w:szCs w:val="21"/>
              </w:rPr>
              <w:t>非甲烷总烃、HCl达到</w:t>
            </w:r>
            <w:r>
              <w:rPr>
                <w:color w:val="auto"/>
                <w:szCs w:val="21"/>
              </w:rPr>
              <w:t>《大气污染物综合排放标准》（GB</w:t>
            </w:r>
            <w:r>
              <w:rPr>
                <w:rFonts w:hint="eastAsia"/>
                <w:color w:val="auto"/>
                <w:szCs w:val="21"/>
                <w:lang w:eastAsia="zh-CN"/>
              </w:rPr>
              <w:t>*****</w:t>
            </w:r>
            <w:r>
              <w:rPr>
                <w:color w:val="auto"/>
                <w:szCs w:val="21"/>
              </w:rPr>
              <w:t>-1996）</w:t>
            </w:r>
            <w:r>
              <w:rPr>
                <w:rFonts w:hint="eastAsia"/>
                <w:color w:val="auto"/>
                <w:szCs w:val="21"/>
              </w:rPr>
              <w:t>表2 标准；氨、硫化氢和臭气浓度达到</w:t>
            </w:r>
            <w:r>
              <w:rPr>
                <w:color w:val="auto"/>
                <w:szCs w:val="21"/>
              </w:rPr>
              <w:t>《恶臭污染物排放标准》（GB</w:t>
            </w:r>
            <w:r>
              <w:rPr>
                <w:rFonts w:hint="eastAsia"/>
                <w:color w:val="auto"/>
                <w:szCs w:val="21"/>
                <w:lang w:eastAsia="zh-CN"/>
              </w:rPr>
              <w:t>*****</w:t>
            </w:r>
            <w:r>
              <w:rPr>
                <w:color w:val="auto"/>
                <w:szCs w:val="21"/>
              </w:rPr>
              <w:t>-93）</w:t>
            </w:r>
            <w:r>
              <w:rPr>
                <w:rFonts w:hint="eastAsia"/>
                <w:color w:val="auto"/>
                <w:szCs w:val="21"/>
              </w:rPr>
              <w:t>标准限值；非甲烷总烃</w:t>
            </w:r>
            <w:r>
              <w:rPr>
                <w:color w:val="auto"/>
                <w:szCs w:val="21"/>
              </w:rPr>
              <w:t>厂界</w:t>
            </w:r>
            <w:r>
              <w:rPr>
                <w:rFonts w:hint="eastAsia"/>
                <w:color w:val="auto"/>
                <w:szCs w:val="21"/>
              </w:rPr>
              <w:t>达到</w:t>
            </w:r>
            <w:r>
              <w:rPr>
                <w:color w:val="auto"/>
                <w:szCs w:val="21"/>
              </w:rPr>
              <w:t>《挥发性有机物无组织排放控制标准》（GB</w:t>
            </w:r>
            <w:r>
              <w:rPr>
                <w:rFonts w:hint="eastAsia"/>
                <w:color w:val="auto"/>
                <w:szCs w:val="21"/>
                <w:lang w:eastAsia="zh-CN"/>
              </w:rPr>
              <w:t>*****</w:t>
            </w:r>
            <w:r>
              <w:rPr>
                <w:color w:val="auto"/>
                <w:szCs w:val="21"/>
              </w:rPr>
              <w:t>-2019）中附录A限值。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704" w:type="dxa"/>
            <w:vMerge w:val="continue"/>
            <w:vAlign w:val="center"/>
          </w:tcPr>
          <w:p>
            <w:pPr>
              <w:pStyle w:val="28"/>
              <w:spacing w:line="360" w:lineRule="exact"/>
              <w:rPr>
                <w:color w:val="auto"/>
                <w:szCs w:val="21"/>
              </w:rPr>
            </w:pPr>
          </w:p>
        </w:tc>
        <w:tc>
          <w:tcPr>
            <w:tcW w:w="851" w:type="dxa"/>
            <w:vMerge w:val="continue"/>
            <w:tcBorders>
              <w:right w:val="single" w:color="auto" w:sz="4" w:space="0"/>
            </w:tcBorders>
            <w:vAlign w:val="center"/>
          </w:tcPr>
          <w:p>
            <w:pPr>
              <w:pStyle w:val="28"/>
              <w:spacing w:line="360" w:lineRule="exact"/>
              <w:rPr>
                <w:color w:val="auto"/>
                <w:szCs w:val="21"/>
              </w:rPr>
            </w:pPr>
          </w:p>
        </w:tc>
        <w:tc>
          <w:tcPr>
            <w:tcW w:w="1010" w:type="dxa"/>
            <w:vMerge w:val="continue"/>
            <w:tcBorders>
              <w:left w:val="single" w:color="auto" w:sz="4" w:space="0"/>
            </w:tcBorders>
            <w:vAlign w:val="center"/>
          </w:tcPr>
          <w:p>
            <w:pPr>
              <w:pStyle w:val="28"/>
              <w:spacing w:line="360" w:lineRule="exact"/>
              <w:rPr>
                <w:color w:val="auto"/>
                <w:szCs w:val="21"/>
              </w:rPr>
            </w:pPr>
          </w:p>
        </w:tc>
        <w:tc>
          <w:tcPr>
            <w:tcW w:w="1120" w:type="dxa"/>
            <w:vAlign w:val="center"/>
          </w:tcPr>
          <w:p>
            <w:pPr>
              <w:pStyle w:val="28"/>
              <w:spacing w:line="360" w:lineRule="exact"/>
              <w:rPr>
                <w:color w:val="auto"/>
                <w:szCs w:val="21"/>
              </w:rPr>
            </w:pPr>
            <w:r>
              <w:rPr>
                <w:rFonts w:hint="eastAsia"/>
                <w:color w:val="auto"/>
                <w:szCs w:val="21"/>
              </w:rPr>
              <w:t>HCl</w:t>
            </w:r>
          </w:p>
        </w:tc>
        <w:tc>
          <w:tcPr>
            <w:tcW w:w="2976" w:type="dxa"/>
            <w:vMerge w:val="continue"/>
            <w:vAlign w:val="center"/>
          </w:tcPr>
          <w:p>
            <w:pPr>
              <w:pStyle w:val="28"/>
              <w:spacing w:line="360" w:lineRule="exact"/>
              <w:ind w:firstLine="210" w:firstLineChars="100"/>
              <w:jc w:val="both"/>
              <w:rPr>
                <w:color w:val="auto"/>
                <w:szCs w:val="21"/>
              </w:rPr>
            </w:pPr>
          </w:p>
        </w:tc>
        <w:tc>
          <w:tcPr>
            <w:tcW w:w="1745" w:type="dxa"/>
            <w:vMerge w:val="continue"/>
            <w:vAlign w:val="center"/>
          </w:tcPr>
          <w:p>
            <w:pPr>
              <w:pStyle w:val="28"/>
              <w:spacing w:line="360" w:lineRule="exact"/>
              <w:ind w:firstLine="210" w:firstLineChars="100"/>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704" w:type="dxa"/>
            <w:vMerge w:val="continue"/>
            <w:vAlign w:val="center"/>
          </w:tcPr>
          <w:p>
            <w:pPr>
              <w:pStyle w:val="28"/>
              <w:spacing w:line="360" w:lineRule="exact"/>
              <w:rPr>
                <w:color w:val="auto"/>
                <w:szCs w:val="21"/>
              </w:rPr>
            </w:pPr>
          </w:p>
        </w:tc>
        <w:tc>
          <w:tcPr>
            <w:tcW w:w="851" w:type="dxa"/>
            <w:vMerge w:val="continue"/>
            <w:tcBorders>
              <w:right w:val="single" w:color="auto" w:sz="4" w:space="0"/>
            </w:tcBorders>
            <w:vAlign w:val="center"/>
          </w:tcPr>
          <w:p>
            <w:pPr>
              <w:pStyle w:val="28"/>
              <w:spacing w:line="360" w:lineRule="exact"/>
              <w:rPr>
                <w:color w:val="auto"/>
                <w:szCs w:val="21"/>
              </w:rPr>
            </w:pPr>
          </w:p>
        </w:tc>
        <w:tc>
          <w:tcPr>
            <w:tcW w:w="1010" w:type="dxa"/>
            <w:vMerge w:val="continue"/>
            <w:tcBorders>
              <w:left w:val="single" w:color="auto" w:sz="4" w:space="0"/>
            </w:tcBorders>
            <w:vAlign w:val="center"/>
          </w:tcPr>
          <w:p>
            <w:pPr>
              <w:pStyle w:val="28"/>
              <w:spacing w:line="360" w:lineRule="exact"/>
              <w:rPr>
                <w:color w:val="auto"/>
                <w:szCs w:val="21"/>
              </w:rPr>
            </w:pPr>
          </w:p>
        </w:tc>
        <w:tc>
          <w:tcPr>
            <w:tcW w:w="1120" w:type="dxa"/>
            <w:vAlign w:val="center"/>
          </w:tcPr>
          <w:p>
            <w:pPr>
              <w:pStyle w:val="28"/>
              <w:spacing w:line="360" w:lineRule="exact"/>
              <w:rPr>
                <w:color w:val="auto"/>
                <w:szCs w:val="21"/>
              </w:rPr>
            </w:pPr>
            <w:r>
              <w:rPr>
                <w:rFonts w:hint="eastAsia"/>
                <w:color w:val="auto"/>
                <w:szCs w:val="21"/>
              </w:rPr>
              <w:t>氨</w:t>
            </w:r>
          </w:p>
        </w:tc>
        <w:tc>
          <w:tcPr>
            <w:tcW w:w="2976" w:type="dxa"/>
            <w:vMerge w:val="continue"/>
            <w:vAlign w:val="center"/>
          </w:tcPr>
          <w:p>
            <w:pPr>
              <w:pStyle w:val="28"/>
              <w:spacing w:line="360" w:lineRule="exact"/>
              <w:ind w:firstLine="210" w:firstLineChars="100"/>
              <w:jc w:val="both"/>
              <w:rPr>
                <w:color w:val="auto"/>
                <w:szCs w:val="21"/>
              </w:rPr>
            </w:pPr>
          </w:p>
        </w:tc>
        <w:tc>
          <w:tcPr>
            <w:tcW w:w="1745" w:type="dxa"/>
            <w:vMerge w:val="continue"/>
            <w:vAlign w:val="center"/>
          </w:tcPr>
          <w:p>
            <w:pPr>
              <w:pStyle w:val="28"/>
              <w:spacing w:line="360" w:lineRule="exact"/>
              <w:ind w:firstLine="210" w:firstLineChars="100"/>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704" w:type="dxa"/>
            <w:vMerge w:val="continue"/>
            <w:vAlign w:val="center"/>
          </w:tcPr>
          <w:p>
            <w:pPr>
              <w:pStyle w:val="28"/>
              <w:spacing w:line="360" w:lineRule="exact"/>
              <w:rPr>
                <w:color w:val="auto"/>
                <w:szCs w:val="21"/>
              </w:rPr>
            </w:pPr>
          </w:p>
        </w:tc>
        <w:tc>
          <w:tcPr>
            <w:tcW w:w="851" w:type="dxa"/>
            <w:vMerge w:val="continue"/>
            <w:tcBorders>
              <w:right w:val="single" w:color="auto" w:sz="4" w:space="0"/>
            </w:tcBorders>
            <w:vAlign w:val="center"/>
          </w:tcPr>
          <w:p>
            <w:pPr>
              <w:pStyle w:val="28"/>
              <w:spacing w:line="360" w:lineRule="exact"/>
              <w:rPr>
                <w:color w:val="auto"/>
                <w:szCs w:val="30"/>
                <w:lang w:val="en-US"/>
              </w:rPr>
            </w:pPr>
          </w:p>
        </w:tc>
        <w:tc>
          <w:tcPr>
            <w:tcW w:w="1010" w:type="dxa"/>
            <w:vMerge w:val="continue"/>
            <w:tcBorders>
              <w:left w:val="single" w:color="auto" w:sz="4" w:space="0"/>
              <w:bottom w:val="single" w:color="auto" w:sz="4" w:space="0"/>
            </w:tcBorders>
            <w:vAlign w:val="center"/>
          </w:tcPr>
          <w:p>
            <w:pPr>
              <w:pStyle w:val="28"/>
              <w:spacing w:line="360" w:lineRule="exact"/>
              <w:rPr>
                <w:color w:val="auto"/>
                <w:szCs w:val="30"/>
                <w:lang w:val="en-US"/>
              </w:rPr>
            </w:pPr>
          </w:p>
        </w:tc>
        <w:tc>
          <w:tcPr>
            <w:tcW w:w="1120" w:type="dxa"/>
            <w:vAlign w:val="center"/>
          </w:tcPr>
          <w:p>
            <w:pPr>
              <w:pStyle w:val="28"/>
              <w:spacing w:line="360" w:lineRule="exact"/>
              <w:rPr>
                <w:color w:val="auto"/>
                <w:szCs w:val="21"/>
              </w:rPr>
            </w:pPr>
            <w:r>
              <w:rPr>
                <w:rFonts w:hint="eastAsia"/>
                <w:color w:val="auto"/>
                <w:szCs w:val="21"/>
              </w:rPr>
              <w:t>硫化氢</w:t>
            </w:r>
          </w:p>
        </w:tc>
        <w:tc>
          <w:tcPr>
            <w:tcW w:w="2976" w:type="dxa"/>
            <w:vMerge w:val="continue"/>
            <w:vAlign w:val="center"/>
          </w:tcPr>
          <w:p>
            <w:pPr>
              <w:pStyle w:val="28"/>
              <w:spacing w:line="360" w:lineRule="exact"/>
              <w:ind w:firstLine="210" w:firstLineChars="100"/>
              <w:jc w:val="both"/>
              <w:rPr>
                <w:color w:val="auto"/>
                <w:szCs w:val="21"/>
              </w:rPr>
            </w:pPr>
          </w:p>
        </w:tc>
        <w:tc>
          <w:tcPr>
            <w:tcW w:w="1745" w:type="dxa"/>
            <w:vMerge w:val="continue"/>
            <w:vAlign w:val="center"/>
          </w:tcPr>
          <w:p>
            <w:pPr>
              <w:pStyle w:val="28"/>
              <w:spacing w:line="360" w:lineRule="exact"/>
              <w:ind w:firstLine="210" w:firstLineChars="100"/>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704" w:type="dxa"/>
            <w:vMerge w:val="continue"/>
            <w:tcBorders>
              <w:bottom w:val="single" w:color="auto" w:sz="4" w:space="0"/>
            </w:tcBorders>
            <w:vAlign w:val="center"/>
          </w:tcPr>
          <w:p>
            <w:pPr>
              <w:pStyle w:val="28"/>
              <w:spacing w:line="360" w:lineRule="exact"/>
              <w:rPr>
                <w:color w:val="auto"/>
                <w:szCs w:val="21"/>
              </w:rPr>
            </w:pPr>
          </w:p>
        </w:tc>
        <w:tc>
          <w:tcPr>
            <w:tcW w:w="851" w:type="dxa"/>
            <w:vMerge w:val="continue"/>
            <w:tcBorders>
              <w:right w:val="single" w:color="auto" w:sz="4" w:space="0"/>
            </w:tcBorders>
            <w:vAlign w:val="center"/>
          </w:tcPr>
          <w:p>
            <w:pPr>
              <w:pStyle w:val="28"/>
              <w:spacing w:line="360" w:lineRule="exact"/>
              <w:rPr>
                <w:color w:val="auto"/>
                <w:szCs w:val="30"/>
                <w:lang w:val="en-US"/>
              </w:rPr>
            </w:pPr>
          </w:p>
        </w:tc>
        <w:tc>
          <w:tcPr>
            <w:tcW w:w="5106" w:type="dxa"/>
            <w:gridSpan w:val="3"/>
            <w:tcBorders>
              <w:top w:val="single" w:color="auto" w:sz="4" w:space="0"/>
              <w:left w:val="single" w:color="auto" w:sz="4" w:space="0"/>
            </w:tcBorders>
            <w:vAlign w:val="center"/>
          </w:tcPr>
          <w:p>
            <w:pPr>
              <w:pStyle w:val="28"/>
              <w:spacing w:line="360" w:lineRule="exact"/>
              <w:ind w:firstLine="210" w:firstLineChars="100"/>
              <w:jc w:val="both"/>
              <w:rPr>
                <w:color w:val="auto"/>
                <w:szCs w:val="21"/>
              </w:rPr>
            </w:pPr>
            <w:r>
              <w:rPr>
                <w:rFonts w:hint="eastAsia"/>
                <w:color w:val="auto"/>
                <w:szCs w:val="21"/>
              </w:rPr>
              <w:t>未收集部分无组织排放。</w:t>
            </w:r>
          </w:p>
        </w:tc>
        <w:tc>
          <w:tcPr>
            <w:tcW w:w="1745" w:type="dxa"/>
            <w:vMerge w:val="continue"/>
            <w:vAlign w:val="center"/>
          </w:tcPr>
          <w:p>
            <w:pPr>
              <w:pStyle w:val="28"/>
              <w:spacing w:line="360" w:lineRule="exact"/>
              <w:ind w:firstLine="210" w:firstLineChars="100"/>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1555" w:type="dxa"/>
            <w:gridSpan w:val="2"/>
            <w:vMerge w:val="restart"/>
            <w:vAlign w:val="center"/>
          </w:tcPr>
          <w:p>
            <w:pPr>
              <w:pStyle w:val="28"/>
              <w:spacing w:line="360" w:lineRule="exact"/>
              <w:rPr>
                <w:color w:val="auto"/>
                <w:szCs w:val="21"/>
              </w:rPr>
            </w:pPr>
            <w:r>
              <w:rPr>
                <w:rFonts w:hint="eastAsia"/>
                <w:color w:val="auto"/>
                <w:szCs w:val="21"/>
              </w:rPr>
              <w:t>厂区范围</w:t>
            </w:r>
          </w:p>
        </w:tc>
        <w:tc>
          <w:tcPr>
            <w:tcW w:w="1010" w:type="dxa"/>
            <w:vAlign w:val="center"/>
          </w:tcPr>
          <w:p>
            <w:pPr>
              <w:pStyle w:val="28"/>
              <w:spacing w:line="360" w:lineRule="exact"/>
              <w:rPr>
                <w:color w:val="auto"/>
                <w:szCs w:val="21"/>
              </w:rPr>
            </w:pPr>
            <w:r>
              <w:rPr>
                <w:rFonts w:hint="eastAsia"/>
                <w:color w:val="auto"/>
                <w:szCs w:val="21"/>
              </w:rPr>
              <w:t>不外排</w:t>
            </w:r>
          </w:p>
        </w:tc>
        <w:tc>
          <w:tcPr>
            <w:tcW w:w="1120" w:type="dxa"/>
            <w:vAlign w:val="center"/>
          </w:tcPr>
          <w:p>
            <w:pPr>
              <w:pStyle w:val="28"/>
              <w:rPr>
                <w:color w:val="auto"/>
                <w:szCs w:val="21"/>
              </w:rPr>
            </w:pPr>
            <w:r>
              <w:rPr>
                <w:rFonts w:hint="eastAsia"/>
                <w:color w:val="auto"/>
                <w:szCs w:val="21"/>
              </w:rPr>
              <w:t>初期雨水（</w:t>
            </w:r>
            <w:r>
              <w:rPr>
                <w:rFonts w:eastAsiaTheme="minorEastAsia"/>
                <w:color w:val="auto"/>
                <w:szCs w:val="21"/>
              </w:rPr>
              <w:t>CODcr</w:t>
            </w:r>
            <w:r>
              <w:rPr>
                <w:rFonts w:hint="eastAsia" w:eastAsiaTheme="minorEastAsia"/>
                <w:color w:val="auto"/>
                <w:szCs w:val="21"/>
              </w:rPr>
              <w:t>、</w:t>
            </w:r>
            <w:r>
              <w:rPr>
                <w:rFonts w:eastAsiaTheme="minorEastAsia"/>
                <w:color w:val="auto"/>
                <w:szCs w:val="21"/>
              </w:rPr>
              <w:t>SS</w:t>
            </w:r>
            <w:r>
              <w:rPr>
                <w:rFonts w:hint="eastAsia"/>
                <w:color w:val="auto"/>
                <w:szCs w:val="21"/>
              </w:rPr>
              <w:t>）</w:t>
            </w:r>
          </w:p>
        </w:tc>
        <w:tc>
          <w:tcPr>
            <w:tcW w:w="2976" w:type="dxa"/>
            <w:vAlign w:val="center"/>
          </w:tcPr>
          <w:p>
            <w:pPr>
              <w:pStyle w:val="28"/>
              <w:spacing w:line="360" w:lineRule="exact"/>
              <w:ind w:firstLine="210" w:firstLineChars="100"/>
              <w:jc w:val="both"/>
              <w:rPr>
                <w:color w:val="auto"/>
                <w:szCs w:val="21"/>
              </w:rPr>
            </w:pPr>
            <w:r>
              <w:rPr>
                <w:rFonts w:hint="eastAsia"/>
                <w:color w:val="auto"/>
                <w:szCs w:val="21"/>
              </w:rPr>
              <w:t>厂区内已设置了雨水沟和在厂区东北侧地势最低处建设了1座容积为6</w:t>
            </w:r>
            <w:r>
              <w:rPr>
                <w:color w:val="auto"/>
                <w:szCs w:val="21"/>
              </w:rPr>
              <w:t>80m³初期雨水收集池</w:t>
            </w:r>
            <w:r>
              <w:rPr>
                <w:rFonts w:hint="eastAsia"/>
                <w:color w:val="auto"/>
                <w:szCs w:val="21"/>
              </w:rPr>
              <w:t>。初期雨水收集疏导后进入</w:t>
            </w:r>
            <w:r>
              <w:rPr>
                <w:color w:val="auto"/>
                <w:szCs w:val="21"/>
              </w:rPr>
              <w:t>初期雨水收集池</w:t>
            </w:r>
            <w:r>
              <w:rPr>
                <w:rFonts w:hint="eastAsia"/>
                <w:color w:val="auto"/>
                <w:szCs w:val="21"/>
              </w:rPr>
              <w:t>并处理后回用于厂区生产</w:t>
            </w:r>
            <w:r>
              <w:rPr>
                <w:color w:val="auto"/>
                <w:szCs w:val="21"/>
              </w:rPr>
              <w:t>。</w:t>
            </w:r>
          </w:p>
        </w:tc>
        <w:tc>
          <w:tcPr>
            <w:tcW w:w="1745" w:type="dxa"/>
            <w:vAlign w:val="center"/>
          </w:tcPr>
          <w:p>
            <w:pPr>
              <w:pStyle w:val="28"/>
              <w:spacing w:line="360" w:lineRule="exact"/>
              <w:ind w:firstLine="210" w:firstLineChars="100"/>
              <w:jc w:val="both"/>
              <w:rPr>
                <w:color w:val="auto"/>
                <w:szCs w:val="21"/>
              </w:rPr>
            </w:pPr>
            <w:r>
              <w:rPr>
                <w:rFonts w:hint="eastAsia"/>
                <w:color w:val="auto"/>
                <w:szCs w:val="21"/>
              </w:rPr>
              <w:t>不外排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1555" w:type="dxa"/>
            <w:gridSpan w:val="2"/>
            <w:vMerge w:val="continue"/>
            <w:vAlign w:val="center"/>
          </w:tcPr>
          <w:p>
            <w:pPr>
              <w:pStyle w:val="28"/>
              <w:spacing w:line="360" w:lineRule="exact"/>
              <w:rPr>
                <w:color w:val="auto"/>
                <w:szCs w:val="21"/>
              </w:rPr>
            </w:pPr>
          </w:p>
        </w:tc>
        <w:tc>
          <w:tcPr>
            <w:tcW w:w="1010" w:type="dxa"/>
            <w:tcBorders>
              <w:bottom w:val="single" w:color="auto" w:sz="4" w:space="0"/>
            </w:tcBorders>
            <w:vAlign w:val="center"/>
          </w:tcPr>
          <w:p>
            <w:pPr>
              <w:pStyle w:val="28"/>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雨水口</w:t>
            </w:r>
          </w:p>
        </w:tc>
        <w:tc>
          <w:tcPr>
            <w:tcW w:w="1120" w:type="dxa"/>
            <w:vAlign w:val="center"/>
          </w:tcPr>
          <w:p>
            <w:pPr>
              <w:pStyle w:val="28"/>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w:t>
            </w:r>
          </w:p>
        </w:tc>
        <w:tc>
          <w:tcPr>
            <w:tcW w:w="2976" w:type="dxa"/>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雨水外排。</w:t>
            </w:r>
          </w:p>
        </w:tc>
        <w:tc>
          <w:tcPr>
            <w:tcW w:w="1745" w:type="dxa"/>
            <w:vAlign w:val="center"/>
          </w:tcPr>
          <w:p>
            <w:pPr>
              <w:pStyle w:val="28"/>
              <w:spacing w:line="360" w:lineRule="exact"/>
              <w:ind w:firstLine="210" w:firstLineChars="100"/>
              <w:jc w:val="both"/>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Align w:val="center"/>
          </w:tcPr>
          <w:p>
            <w:pPr>
              <w:spacing w:line="360" w:lineRule="exact"/>
              <w:jc w:val="center"/>
              <w:rPr>
                <w:rFonts w:hint="eastAsia" w:ascii="Times New Roman" w:hAnsi="Times New Roman" w:cs="Times New Roman"/>
              </w:rPr>
            </w:pPr>
          </w:p>
          <w:p>
            <w:pPr>
              <w:spacing w:line="360" w:lineRule="exact"/>
              <w:jc w:val="center"/>
              <w:rPr>
                <w:rFonts w:hint="eastAsia" w:ascii="Times New Roman" w:hAnsi="Times New Roman" w:cs="Times New Roman"/>
              </w:rPr>
            </w:pPr>
          </w:p>
          <w:p>
            <w:pPr>
              <w:spacing w:line="360" w:lineRule="exact"/>
              <w:jc w:val="center"/>
              <w:rPr>
                <w:rFonts w:hint="eastAsia" w:ascii="Times New Roman" w:hAnsi="Times New Roman" w:cs="Times New Roman"/>
              </w:rPr>
            </w:pPr>
          </w:p>
          <w:p>
            <w:pPr>
              <w:spacing w:line="360" w:lineRule="exact"/>
              <w:jc w:val="center"/>
              <w:rPr>
                <w:rFonts w:hint="eastAsia" w:ascii="Times New Roman" w:hAnsi="Times New Roman" w:cs="Times New Roman"/>
              </w:rPr>
            </w:pPr>
          </w:p>
          <w:p>
            <w:pPr>
              <w:spacing w:line="360" w:lineRule="exact"/>
              <w:jc w:val="center"/>
              <w:rPr>
                <w:rFonts w:ascii="Times New Roman" w:hAnsi="Times New Roman" w:cs="Times New Roman"/>
              </w:rPr>
            </w:pPr>
          </w:p>
        </w:tc>
        <w:tc>
          <w:tcPr>
            <w:tcW w:w="1555" w:type="dxa"/>
            <w:gridSpan w:val="2"/>
            <w:vAlign w:val="center"/>
          </w:tcPr>
          <w:p>
            <w:pPr>
              <w:pStyle w:val="28"/>
              <w:spacing w:line="360" w:lineRule="exact"/>
              <w:rPr>
                <w:color w:val="auto"/>
                <w:szCs w:val="21"/>
              </w:rPr>
            </w:pPr>
          </w:p>
        </w:tc>
        <w:tc>
          <w:tcPr>
            <w:tcW w:w="1010" w:type="dxa"/>
            <w:tcBorders>
              <w:bottom w:val="single" w:color="auto" w:sz="4" w:space="0"/>
            </w:tcBorders>
            <w:vAlign w:val="center"/>
          </w:tcPr>
          <w:p>
            <w:pPr>
              <w:pStyle w:val="28"/>
              <w:spacing w:line="360" w:lineRule="exact"/>
              <w:rPr>
                <w:rFonts w:eastAsiaTheme="minorEastAsia"/>
                <w:bCs w:val="0"/>
                <w:snapToGrid/>
                <w:color w:val="auto"/>
                <w:kern w:val="0"/>
                <w:szCs w:val="21"/>
                <w:lang w:val="en-US"/>
              </w:rPr>
            </w:pPr>
          </w:p>
        </w:tc>
        <w:tc>
          <w:tcPr>
            <w:tcW w:w="1120" w:type="dxa"/>
            <w:vAlign w:val="center"/>
          </w:tcPr>
          <w:p>
            <w:pPr>
              <w:pStyle w:val="28"/>
              <w:spacing w:line="360" w:lineRule="exact"/>
              <w:rPr>
                <w:rFonts w:eastAsiaTheme="minorEastAsia"/>
                <w:bCs w:val="0"/>
                <w:snapToGrid/>
                <w:color w:val="auto"/>
                <w:kern w:val="0"/>
                <w:szCs w:val="21"/>
                <w:lang w:val="en-US"/>
              </w:rPr>
            </w:pPr>
          </w:p>
        </w:tc>
        <w:tc>
          <w:tcPr>
            <w:tcW w:w="2976" w:type="dxa"/>
            <w:vAlign w:val="center"/>
          </w:tcPr>
          <w:p>
            <w:pPr>
              <w:pStyle w:val="28"/>
              <w:spacing w:line="360" w:lineRule="exact"/>
              <w:ind w:firstLine="210" w:firstLineChars="100"/>
              <w:jc w:val="both"/>
              <w:rPr>
                <w:rFonts w:eastAsiaTheme="minorEastAsia"/>
                <w:color w:val="auto"/>
                <w:szCs w:val="21"/>
              </w:rPr>
            </w:pPr>
          </w:p>
        </w:tc>
        <w:tc>
          <w:tcPr>
            <w:tcW w:w="1745" w:type="dxa"/>
            <w:vAlign w:val="center"/>
          </w:tcPr>
          <w:p>
            <w:pPr>
              <w:pStyle w:val="28"/>
              <w:spacing w:line="360" w:lineRule="exact"/>
              <w:ind w:firstLine="210" w:firstLineChars="100"/>
              <w:jc w:val="both"/>
              <w:rPr>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声环境</w:t>
            </w:r>
          </w:p>
        </w:tc>
        <w:tc>
          <w:tcPr>
            <w:tcW w:w="704" w:type="dxa"/>
            <w:vAlign w:val="center"/>
          </w:tcPr>
          <w:p>
            <w:pPr>
              <w:pStyle w:val="28"/>
              <w:spacing w:line="360" w:lineRule="exact"/>
              <w:rPr>
                <w:color w:val="auto"/>
                <w:szCs w:val="21"/>
              </w:rPr>
            </w:pPr>
            <w:r>
              <w:rPr>
                <w:rFonts w:hint="eastAsia"/>
                <w:color w:val="auto"/>
                <w:szCs w:val="21"/>
              </w:rPr>
              <w:t>危险废物贮存库</w:t>
            </w:r>
          </w:p>
        </w:tc>
        <w:tc>
          <w:tcPr>
            <w:tcW w:w="1861" w:type="dxa"/>
            <w:gridSpan w:val="2"/>
            <w:vAlign w:val="center"/>
          </w:tcPr>
          <w:p>
            <w:pPr>
              <w:pStyle w:val="28"/>
              <w:spacing w:line="360" w:lineRule="exact"/>
              <w:rPr>
                <w:color w:val="auto"/>
                <w:szCs w:val="21"/>
              </w:rPr>
            </w:pPr>
            <w:r>
              <w:rPr>
                <w:color w:val="auto"/>
                <w:szCs w:val="21"/>
              </w:rPr>
              <w:t>自吸泵</w:t>
            </w:r>
          </w:p>
        </w:tc>
        <w:tc>
          <w:tcPr>
            <w:tcW w:w="1120"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2976" w:type="dxa"/>
            <w:vMerge w:val="restart"/>
            <w:vAlign w:val="center"/>
          </w:tcPr>
          <w:p>
            <w:pPr>
              <w:pStyle w:val="28"/>
              <w:spacing w:line="360" w:lineRule="exact"/>
              <w:ind w:firstLine="210" w:firstLineChars="100"/>
              <w:jc w:val="both"/>
              <w:rPr>
                <w:rFonts w:eastAsiaTheme="minorEastAsia"/>
                <w:color w:val="auto"/>
                <w:szCs w:val="21"/>
              </w:rPr>
            </w:pPr>
            <w:r>
              <w:rPr>
                <w:color w:val="auto"/>
                <w:szCs w:val="21"/>
              </w:rPr>
              <w:t>隔音房、减震垫、消声器、墙体阻隔等</w:t>
            </w:r>
          </w:p>
        </w:tc>
        <w:tc>
          <w:tcPr>
            <w:tcW w:w="1745"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达到《工业企业厂界环境噪声排放标准》（GB</w:t>
            </w:r>
            <w:r>
              <w:rPr>
                <w:rFonts w:hint="eastAsia" w:eastAsiaTheme="minorEastAsia"/>
                <w:color w:val="auto"/>
                <w:szCs w:val="21"/>
                <w:lang w:eastAsia="zh-CN"/>
              </w:rPr>
              <w:t>*****</w:t>
            </w:r>
            <w:r>
              <w:rPr>
                <w:rFonts w:eastAsiaTheme="minorEastAsia"/>
                <w:color w:val="auto"/>
                <w:szCs w:val="21"/>
              </w:rPr>
              <w:t>-2008）</w:t>
            </w:r>
            <w:r>
              <w:rPr>
                <w:rFonts w:hint="eastAsia" w:eastAsiaTheme="minorEastAsia"/>
                <w:color w:val="auto"/>
                <w:szCs w:val="21"/>
              </w:rPr>
              <w:t>3</w:t>
            </w:r>
            <w:r>
              <w:rPr>
                <w:rFonts w:eastAsiaTheme="minorEastAsia"/>
                <w:color w:val="auto"/>
                <w:szCs w:val="21"/>
              </w:rPr>
              <w:t>类</w:t>
            </w:r>
            <w:r>
              <w:rPr>
                <w:rFonts w:hint="eastAsia" w:eastAsiaTheme="minorEastAsia"/>
                <w:color w:val="auto"/>
                <w:szCs w:val="21"/>
              </w:rPr>
              <w:t>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704" w:type="dxa"/>
            <w:vAlign w:val="center"/>
          </w:tcPr>
          <w:p>
            <w:pPr>
              <w:pStyle w:val="28"/>
              <w:spacing w:line="360" w:lineRule="exact"/>
              <w:rPr>
                <w:color w:val="auto"/>
                <w:szCs w:val="21"/>
              </w:rPr>
            </w:pPr>
            <w:r>
              <w:rPr>
                <w:rFonts w:hint="eastAsia"/>
                <w:color w:val="auto"/>
                <w:szCs w:val="21"/>
              </w:rPr>
              <w:t>运输</w:t>
            </w:r>
          </w:p>
        </w:tc>
        <w:tc>
          <w:tcPr>
            <w:tcW w:w="1861" w:type="dxa"/>
            <w:gridSpan w:val="2"/>
            <w:vAlign w:val="center"/>
          </w:tcPr>
          <w:p>
            <w:pPr>
              <w:pStyle w:val="28"/>
              <w:spacing w:line="360" w:lineRule="exact"/>
              <w:rPr>
                <w:color w:val="auto"/>
                <w:szCs w:val="21"/>
              </w:rPr>
            </w:pPr>
            <w:r>
              <w:rPr>
                <w:color w:val="auto"/>
                <w:szCs w:val="21"/>
              </w:rPr>
              <w:t>叉车</w:t>
            </w:r>
          </w:p>
        </w:tc>
        <w:tc>
          <w:tcPr>
            <w:tcW w:w="1120" w:type="dxa"/>
            <w:vMerge w:val="continue"/>
            <w:vAlign w:val="center"/>
          </w:tcPr>
          <w:p>
            <w:pPr>
              <w:spacing w:line="360" w:lineRule="exact"/>
              <w:jc w:val="center"/>
              <w:rPr>
                <w:rFonts w:ascii="Times New Roman" w:hAnsi="Times New Roman" w:cs="Times New Roman"/>
                <w:kern w:val="0"/>
              </w:rPr>
            </w:pPr>
          </w:p>
        </w:tc>
        <w:tc>
          <w:tcPr>
            <w:tcW w:w="2976" w:type="dxa"/>
            <w:vMerge w:val="continue"/>
            <w:vAlign w:val="center"/>
          </w:tcPr>
          <w:p>
            <w:pPr>
              <w:pStyle w:val="28"/>
              <w:spacing w:line="360" w:lineRule="exact"/>
              <w:rPr>
                <w:rFonts w:eastAsiaTheme="minorEastAsia"/>
                <w:color w:val="auto"/>
                <w:szCs w:val="21"/>
              </w:rPr>
            </w:pPr>
          </w:p>
        </w:tc>
        <w:tc>
          <w:tcPr>
            <w:tcW w:w="1745"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704" w:type="dxa"/>
            <w:vAlign w:val="center"/>
          </w:tcPr>
          <w:p>
            <w:pPr>
              <w:pStyle w:val="28"/>
              <w:spacing w:line="360" w:lineRule="exact"/>
              <w:rPr>
                <w:color w:val="auto"/>
                <w:szCs w:val="21"/>
              </w:rPr>
            </w:pPr>
            <w:r>
              <w:rPr>
                <w:rFonts w:hint="eastAsia"/>
                <w:color w:val="auto"/>
                <w:szCs w:val="21"/>
              </w:rPr>
              <w:t>环保设施</w:t>
            </w:r>
          </w:p>
        </w:tc>
        <w:tc>
          <w:tcPr>
            <w:tcW w:w="1861" w:type="dxa"/>
            <w:gridSpan w:val="2"/>
            <w:vAlign w:val="center"/>
          </w:tcPr>
          <w:p>
            <w:pPr>
              <w:pStyle w:val="28"/>
              <w:spacing w:line="360" w:lineRule="exact"/>
              <w:rPr>
                <w:color w:val="auto"/>
                <w:szCs w:val="21"/>
              </w:rPr>
            </w:pPr>
            <w:r>
              <w:rPr>
                <w:rFonts w:hint="eastAsia"/>
                <w:color w:val="auto"/>
                <w:szCs w:val="21"/>
              </w:rPr>
              <w:t>负压收集系统（风机）</w:t>
            </w:r>
          </w:p>
        </w:tc>
        <w:tc>
          <w:tcPr>
            <w:tcW w:w="1120" w:type="dxa"/>
            <w:vMerge w:val="continue"/>
            <w:vAlign w:val="center"/>
          </w:tcPr>
          <w:p>
            <w:pPr>
              <w:spacing w:line="360" w:lineRule="exact"/>
              <w:jc w:val="center"/>
              <w:rPr>
                <w:rFonts w:ascii="Times New Roman" w:hAnsi="Times New Roman" w:cs="Times New Roman"/>
                <w:kern w:val="0"/>
              </w:rPr>
            </w:pPr>
          </w:p>
        </w:tc>
        <w:tc>
          <w:tcPr>
            <w:tcW w:w="2976" w:type="dxa"/>
            <w:vMerge w:val="continue"/>
            <w:vAlign w:val="center"/>
          </w:tcPr>
          <w:p>
            <w:pPr>
              <w:pStyle w:val="28"/>
              <w:spacing w:line="360" w:lineRule="exact"/>
              <w:rPr>
                <w:rFonts w:eastAsiaTheme="minorEastAsia"/>
                <w:color w:val="auto"/>
                <w:szCs w:val="21"/>
              </w:rPr>
            </w:pPr>
          </w:p>
        </w:tc>
        <w:tc>
          <w:tcPr>
            <w:tcW w:w="1745"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2565" w:type="dxa"/>
            <w:gridSpan w:val="3"/>
            <w:vAlign w:val="center"/>
          </w:tcPr>
          <w:p>
            <w:pPr>
              <w:spacing w:line="360" w:lineRule="exact"/>
              <w:jc w:val="center"/>
              <w:rPr>
                <w:rFonts w:ascii="Times New Roman" w:hAnsi="Times New Roman" w:eastAsia="宋体" w:cs="Times New Roman"/>
                <w:bCs/>
                <w:snapToGrid w:val="0"/>
                <w:kern w:val="32"/>
                <w:lang w:val="zh-CN"/>
              </w:rPr>
            </w:pPr>
            <w:r>
              <w:t>贮存</w:t>
            </w:r>
          </w:p>
        </w:tc>
        <w:tc>
          <w:tcPr>
            <w:tcW w:w="1120" w:type="dxa"/>
            <w:tcBorders>
              <w:bottom w:val="single" w:color="auto" w:sz="4" w:space="0"/>
            </w:tcBorders>
            <w:vAlign w:val="center"/>
          </w:tcPr>
          <w:p>
            <w:pPr>
              <w:pStyle w:val="28"/>
              <w:spacing w:line="360" w:lineRule="exact"/>
              <w:rPr>
                <w:color w:val="auto"/>
                <w:szCs w:val="21"/>
              </w:rPr>
            </w:pPr>
            <w:r>
              <w:rPr>
                <w:rFonts w:hint="eastAsia" w:eastAsiaTheme="minorEastAsia"/>
                <w:color w:val="auto"/>
                <w:szCs w:val="21"/>
              </w:rPr>
              <w:t>渗滤液</w:t>
            </w:r>
          </w:p>
        </w:tc>
        <w:tc>
          <w:tcPr>
            <w:tcW w:w="2976" w:type="dxa"/>
            <w:vAlign w:val="center"/>
          </w:tcPr>
          <w:p>
            <w:pPr>
              <w:pStyle w:val="28"/>
              <w:spacing w:line="360" w:lineRule="exact"/>
              <w:ind w:firstLine="210" w:firstLineChars="100"/>
              <w:jc w:val="both"/>
              <w:rPr>
                <w:rFonts w:eastAsiaTheme="minorEastAsia"/>
                <w:color w:val="auto"/>
                <w:szCs w:val="24"/>
              </w:rPr>
            </w:pPr>
            <w:r>
              <w:rPr>
                <w:rFonts w:eastAsiaTheme="minorEastAsia"/>
                <w:color w:val="auto"/>
                <w:szCs w:val="24"/>
              </w:rPr>
              <w:t>渗滤液收集池</w:t>
            </w:r>
            <w:r>
              <w:rPr>
                <w:rFonts w:hint="eastAsia" w:eastAsiaTheme="minorEastAsia"/>
                <w:color w:val="auto"/>
                <w:szCs w:val="24"/>
              </w:rPr>
              <w:t>收集后和</w:t>
            </w:r>
            <w:r>
              <w:rPr>
                <w:rFonts w:eastAsiaTheme="minorEastAsia"/>
                <w:color w:val="auto"/>
                <w:szCs w:val="24"/>
              </w:rPr>
              <w:t>产生渗滤液源的危险废物</w:t>
            </w:r>
            <w:r>
              <w:rPr>
                <w:rFonts w:hint="eastAsia" w:eastAsiaTheme="minorEastAsia"/>
                <w:color w:val="auto"/>
                <w:szCs w:val="24"/>
              </w:rPr>
              <w:t>一同委托有资质的单位处置。</w:t>
            </w:r>
          </w:p>
        </w:tc>
        <w:tc>
          <w:tcPr>
            <w:tcW w:w="1745" w:type="dxa"/>
            <w:vMerge w:val="restart"/>
            <w:vAlign w:val="center"/>
          </w:tcPr>
          <w:p>
            <w:pPr>
              <w:pStyle w:val="28"/>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2565" w:type="dxa"/>
            <w:gridSpan w:val="3"/>
            <w:vAlign w:val="center"/>
          </w:tcPr>
          <w:p>
            <w:pPr>
              <w:spacing w:line="360" w:lineRule="exact"/>
              <w:jc w:val="center"/>
              <w:rPr>
                <w:rFonts w:ascii="Times New Roman" w:hAnsi="Times New Roman" w:eastAsia="宋体" w:cs="Times New Roman"/>
                <w:bCs/>
                <w:snapToGrid w:val="0"/>
                <w:kern w:val="32"/>
                <w:lang w:val="zh-CN"/>
              </w:rPr>
            </w:pPr>
            <w:r>
              <w:rPr>
                <w:rFonts w:hint="eastAsia"/>
              </w:rPr>
              <w:t>员工防护</w:t>
            </w:r>
          </w:p>
        </w:tc>
        <w:tc>
          <w:tcPr>
            <w:tcW w:w="1120" w:type="dxa"/>
            <w:tcBorders>
              <w:bottom w:val="single" w:color="auto" w:sz="4" w:space="0"/>
            </w:tcBorders>
            <w:vAlign w:val="center"/>
          </w:tcPr>
          <w:p>
            <w:pPr>
              <w:pStyle w:val="28"/>
              <w:spacing w:line="360" w:lineRule="exact"/>
              <w:rPr>
                <w:color w:val="auto"/>
                <w:szCs w:val="21"/>
              </w:rPr>
            </w:pPr>
            <w:r>
              <w:rPr>
                <w:rFonts w:hint="eastAsia" w:eastAsiaTheme="minorEastAsia"/>
                <w:color w:val="auto"/>
                <w:szCs w:val="21"/>
              </w:rPr>
              <w:t>废劳保用品</w:t>
            </w:r>
          </w:p>
        </w:tc>
        <w:tc>
          <w:tcPr>
            <w:tcW w:w="2976"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贮存于5#贮存区对应区域，定期委托有资质的单位处置。</w:t>
            </w:r>
          </w:p>
        </w:tc>
        <w:tc>
          <w:tcPr>
            <w:tcW w:w="1745"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2565" w:type="dxa"/>
            <w:gridSpan w:val="3"/>
            <w:vAlign w:val="center"/>
          </w:tcPr>
          <w:p>
            <w:pPr>
              <w:spacing w:line="360" w:lineRule="exact"/>
              <w:jc w:val="center"/>
              <w:rPr>
                <w:rFonts w:ascii="Times New Roman" w:hAnsi="Times New Roman" w:eastAsia="宋体" w:cs="Times New Roman"/>
                <w:bCs/>
                <w:snapToGrid w:val="0"/>
                <w:kern w:val="32"/>
                <w:lang w:val="zh-CN"/>
              </w:rPr>
            </w:pPr>
            <w:r>
              <w:rPr>
                <w:rFonts w:hint="eastAsia"/>
              </w:rPr>
              <w:t>贮存、运输</w:t>
            </w:r>
          </w:p>
        </w:tc>
        <w:tc>
          <w:tcPr>
            <w:tcW w:w="1120" w:type="dxa"/>
            <w:tcBorders>
              <w:bottom w:val="single" w:color="auto" w:sz="4" w:space="0"/>
            </w:tcBorders>
            <w:vAlign w:val="center"/>
          </w:tcPr>
          <w:p>
            <w:pPr>
              <w:pStyle w:val="28"/>
              <w:spacing w:line="360" w:lineRule="exact"/>
              <w:rPr>
                <w:color w:val="auto"/>
                <w:szCs w:val="21"/>
              </w:rPr>
            </w:pPr>
            <w:r>
              <w:rPr>
                <w:rFonts w:hint="eastAsia" w:eastAsiaTheme="minorEastAsia"/>
                <w:color w:val="auto"/>
                <w:szCs w:val="21"/>
              </w:rPr>
              <w:t>废包装物</w:t>
            </w:r>
          </w:p>
        </w:tc>
        <w:tc>
          <w:tcPr>
            <w:tcW w:w="2976"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贮存于5#贮存区对应区域，定期委托有资质的单位处置。</w:t>
            </w:r>
          </w:p>
        </w:tc>
        <w:tc>
          <w:tcPr>
            <w:tcW w:w="1745"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2565" w:type="dxa"/>
            <w:gridSpan w:val="3"/>
            <w:vMerge w:val="restart"/>
            <w:vAlign w:val="center"/>
          </w:tcPr>
          <w:p>
            <w:pPr>
              <w:spacing w:line="360" w:lineRule="exact"/>
              <w:jc w:val="center"/>
              <w:rPr>
                <w:rFonts w:ascii="Times New Roman" w:hAnsi="Times New Roman" w:eastAsia="宋体" w:cs="Times New Roman"/>
                <w:bCs/>
                <w:snapToGrid w:val="0"/>
                <w:kern w:val="32"/>
                <w:lang w:val="zh-CN"/>
              </w:rPr>
            </w:pPr>
            <w:r>
              <w:rPr>
                <w:rFonts w:hint="eastAsia"/>
              </w:rPr>
              <w:t>废气处理</w:t>
            </w:r>
          </w:p>
        </w:tc>
        <w:tc>
          <w:tcPr>
            <w:tcW w:w="1120" w:type="dxa"/>
            <w:tcBorders>
              <w:bottom w:val="single" w:color="auto" w:sz="4" w:space="0"/>
            </w:tcBorders>
            <w:vAlign w:val="center"/>
          </w:tcPr>
          <w:p>
            <w:pPr>
              <w:pStyle w:val="28"/>
              <w:spacing w:line="360" w:lineRule="exact"/>
              <w:rPr>
                <w:color w:val="auto"/>
                <w:szCs w:val="21"/>
              </w:rPr>
            </w:pPr>
            <w:r>
              <w:rPr>
                <w:rFonts w:hint="eastAsia" w:eastAsiaTheme="minorEastAsia"/>
                <w:color w:val="auto"/>
                <w:szCs w:val="21"/>
              </w:rPr>
              <w:t>废活性炭</w:t>
            </w:r>
          </w:p>
        </w:tc>
        <w:tc>
          <w:tcPr>
            <w:tcW w:w="2976" w:type="dxa"/>
            <w:vAlign w:val="center"/>
          </w:tcPr>
          <w:p>
            <w:pPr>
              <w:pStyle w:val="28"/>
              <w:spacing w:line="360" w:lineRule="exact"/>
              <w:ind w:firstLine="210" w:firstLineChars="100"/>
              <w:jc w:val="both"/>
              <w:rPr>
                <w:rFonts w:eastAsiaTheme="minorEastAsia"/>
                <w:color w:val="auto"/>
                <w:szCs w:val="24"/>
              </w:rPr>
            </w:pPr>
            <w:r>
              <w:rPr>
                <w:rFonts w:hint="eastAsia" w:eastAsiaTheme="minorEastAsia"/>
                <w:color w:val="auto"/>
                <w:szCs w:val="24"/>
              </w:rPr>
              <w:t>贮存于5#贮存区对应区域，定期委托有资质的单位处置。</w:t>
            </w:r>
          </w:p>
        </w:tc>
        <w:tc>
          <w:tcPr>
            <w:tcW w:w="1745"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Merge w:val="continue"/>
            <w:vAlign w:val="center"/>
          </w:tcPr>
          <w:p>
            <w:pPr>
              <w:spacing w:line="360" w:lineRule="exact"/>
              <w:jc w:val="center"/>
              <w:rPr>
                <w:rFonts w:ascii="Times New Roman" w:hAnsi="Times New Roman" w:cs="Times New Roman"/>
              </w:rPr>
            </w:pPr>
          </w:p>
        </w:tc>
        <w:tc>
          <w:tcPr>
            <w:tcW w:w="2565" w:type="dxa"/>
            <w:gridSpan w:val="3"/>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20" w:type="dxa"/>
            <w:tcBorders>
              <w:bottom w:val="single" w:color="auto" w:sz="4" w:space="0"/>
            </w:tcBorders>
            <w:vAlign w:val="center"/>
          </w:tcPr>
          <w:p>
            <w:pPr>
              <w:pStyle w:val="28"/>
              <w:spacing w:line="360" w:lineRule="exact"/>
              <w:rPr>
                <w:color w:val="auto"/>
                <w:szCs w:val="21"/>
              </w:rPr>
            </w:pPr>
            <w:r>
              <w:rPr>
                <w:rFonts w:hint="eastAsia" w:eastAsiaTheme="minorEastAsia"/>
                <w:color w:val="auto"/>
                <w:szCs w:val="21"/>
              </w:rPr>
              <w:t>碱喷淋废液</w:t>
            </w:r>
          </w:p>
        </w:tc>
        <w:tc>
          <w:tcPr>
            <w:tcW w:w="2976" w:type="dxa"/>
            <w:vAlign w:val="center"/>
          </w:tcPr>
          <w:p>
            <w:pPr>
              <w:pStyle w:val="28"/>
              <w:spacing w:line="360" w:lineRule="exact"/>
              <w:ind w:firstLine="210" w:firstLineChars="100"/>
              <w:jc w:val="both"/>
              <w:rPr>
                <w:rFonts w:hint="eastAsia" w:eastAsiaTheme="minorEastAsia"/>
                <w:color w:val="auto"/>
                <w:szCs w:val="24"/>
              </w:rPr>
            </w:pPr>
            <w:r>
              <w:rPr>
                <w:rFonts w:hint="eastAsia" w:eastAsiaTheme="minorEastAsia"/>
                <w:color w:val="auto"/>
                <w:szCs w:val="24"/>
              </w:rPr>
              <w:t>贮存于5#贮存区对应区域，定期委托有资质的单位处置。</w:t>
            </w:r>
          </w:p>
        </w:tc>
        <w:tc>
          <w:tcPr>
            <w:tcW w:w="1745" w:type="dxa"/>
            <w:vMerge w:val="continue"/>
            <w:vAlign w:val="center"/>
          </w:tcPr>
          <w:p>
            <w:pPr>
              <w:pStyle w:val="28"/>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Align w:val="center"/>
          </w:tcPr>
          <w:p>
            <w:pPr>
              <w:spacing w:line="360" w:lineRule="exact"/>
              <w:jc w:val="center"/>
              <w:rPr>
                <w:rFonts w:ascii="Times New Roman" w:hAnsi="Times New Roman" w:cs="Times New Roman"/>
              </w:rPr>
            </w:pPr>
            <w:r>
              <w:rPr>
                <w:rFonts w:ascii="Times New Roman" w:hAnsi="Times New Roman" w:cs="Times New Roman"/>
              </w:rPr>
              <w:t>土壤及地下水污染防治措施</w:t>
            </w:r>
          </w:p>
        </w:tc>
        <w:tc>
          <w:tcPr>
            <w:tcW w:w="8406" w:type="dxa"/>
            <w:gridSpan w:val="6"/>
            <w:vAlign w:val="center"/>
          </w:tcPr>
          <w:p>
            <w:pPr>
              <w:pStyle w:val="36"/>
              <w:ind w:firstLine="480"/>
              <w:rPr>
                <w:rFonts w:hint="eastAsia"/>
                <w:szCs w:val="24"/>
              </w:rPr>
            </w:pPr>
            <w:r>
              <w:rPr>
                <w:rFonts w:hint="eastAsia"/>
                <w:szCs w:val="24"/>
              </w:rPr>
              <w:t>项目整个区域均属于重点防渗区，具体</w:t>
            </w:r>
            <w:r>
              <w:rPr>
                <w:szCs w:val="24"/>
              </w:rPr>
              <w:t>控制措施</w:t>
            </w:r>
            <w:r>
              <w:rPr>
                <w:rFonts w:hint="eastAsia"/>
                <w:szCs w:val="24"/>
              </w:rPr>
              <w:t>如下：</w:t>
            </w:r>
          </w:p>
          <w:p>
            <w:pPr>
              <w:pStyle w:val="36"/>
              <w:ind w:firstLine="480"/>
              <w:rPr>
                <w:szCs w:val="24"/>
              </w:rPr>
            </w:pPr>
            <w:r>
              <w:rPr>
                <w:szCs w:val="24"/>
              </w:rPr>
              <w:fldChar w:fldCharType="begin"/>
            </w:r>
            <w:r>
              <w:rPr>
                <w:szCs w:val="24"/>
              </w:rPr>
              <w:instrText xml:space="preserve"> </w:instrText>
            </w:r>
            <w:r>
              <w:rPr>
                <w:rFonts w:hint="eastAsia"/>
                <w:szCs w:val="24"/>
              </w:rPr>
              <w:instrText xml:space="preserve">= 1 \* GB2</w:instrText>
            </w:r>
            <w:r>
              <w:rPr>
                <w:szCs w:val="24"/>
              </w:rPr>
              <w:instrText xml:space="preserve"> </w:instrText>
            </w:r>
            <w:r>
              <w:rPr>
                <w:szCs w:val="24"/>
              </w:rPr>
              <w:fldChar w:fldCharType="separate"/>
            </w:r>
            <w:r>
              <w:rPr>
                <w:rFonts w:hint="eastAsia"/>
                <w:szCs w:val="24"/>
              </w:rPr>
              <w:t>⑴</w:t>
            </w:r>
            <w:r>
              <w:rPr>
                <w:szCs w:val="24"/>
              </w:rPr>
              <w:fldChar w:fldCharType="end"/>
            </w:r>
            <w:r>
              <w:rPr>
                <w:rFonts w:hint="eastAsia"/>
                <w:szCs w:val="24"/>
              </w:rPr>
              <w:t>地面防渗：根据分区防渗规范要求，项目整个区域均属于重点防渗区，根据调查，项目全部区域均采用复合土工膜防渗后，再浇筑混凝土；该复合土工膜防渗云南睿利能工程材料制造有限公司生产的土工膜，根据其检测报告，其防渗系数达到渗透系数≤2.3×10</w:t>
            </w:r>
            <w:r>
              <w:rPr>
                <w:rFonts w:hint="eastAsia"/>
                <w:szCs w:val="24"/>
                <w:vertAlign w:val="superscript"/>
              </w:rPr>
              <w:t>-12</w:t>
            </w:r>
            <w:r>
              <w:rPr>
                <w:szCs w:val="24"/>
              </w:rPr>
              <w:t>cm/s</w:t>
            </w:r>
            <w:r>
              <w:rPr>
                <w:rFonts w:hint="eastAsia"/>
                <w:szCs w:val="24"/>
              </w:rPr>
              <w:t>，满足渗透系数≤</w:t>
            </w:r>
            <w:r>
              <w:rPr>
                <w:szCs w:val="24"/>
              </w:rPr>
              <w:t>10</w:t>
            </w:r>
            <w:r>
              <w:rPr>
                <w:rFonts w:hint="eastAsia"/>
                <w:szCs w:val="24"/>
                <w:vertAlign w:val="superscript"/>
              </w:rPr>
              <w:t>-10</w:t>
            </w:r>
            <w:r>
              <w:rPr>
                <w:szCs w:val="24"/>
              </w:rPr>
              <w:t>cm/s</w:t>
            </w:r>
            <w:r>
              <w:rPr>
                <w:rFonts w:hint="eastAsia"/>
                <w:szCs w:val="24"/>
              </w:rPr>
              <w:t>的要求。</w:t>
            </w:r>
          </w:p>
          <w:p>
            <w:pPr>
              <w:pStyle w:val="36"/>
              <w:ind w:firstLine="480"/>
              <w:rPr>
                <w:szCs w:val="24"/>
              </w:rPr>
            </w:pPr>
            <w:r>
              <w:rPr>
                <w:rFonts w:hint="eastAsia"/>
                <w:szCs w:val="24"/>
              </w:rPr>
              <w:t>根据调查，项目</w:t>
            </w:r>
            <w:r>
              <w:rPr>
                <w:szCs w:val="24"/>
              </w:rPr>
              <w:t>该项目</w:t>
            </w:r>
            <w:r>
              <w:rPr>
                <w:rFonts w:hint="eastAsia"/>
                <w:szCs w:val="24"/>
              </w:rPr>
              <w:t>拟</w:t>
            </w:r>
            <w:r>
              <w:rPr>
                <w:szCs w:val="24"/>
              </w:rPr>
              <w:t>利用</w:t>
            </w:r>
            <w:r>
              <w:rPr>
                <w:rFonts w:hint="eastAsia"/>
                <w:szCs w:val="24"/>
              </w:rPr>
              <w:t>的</w:t>
            </w:r>
            <w:r>
              <w:rPr>
                <w:szCs w:val="24"/>
              </w:rPr>
              <w:t>昆明旭鑫环保科技有限公司</w:t>
            </w:r>
            <w:r>
              <w:rPr>
                <w:rFonts w:hint="eastAsia"/>
                <w:szCs w:val="24"/>
              </w:rPr>
              <w:t>现有</w:t>
            </w:r>
            <w:r>
              <w:rPr>
                <w:szCs w:val="24"/>
              </w:rPr>
              <w:t>原料暂存库</w:t>
            </w:r>
            <w:r>
              <w:rPr>
                <w:rFonts w:hint="eastAsia"/>
                <w:szCs w:val="24"/>
              </w:rPr>
              <w:t>已可满足重点防渗要求，但根据实施方案，项目拟对含油类及腐蚀性类液态类贮存区再次铺设土工防渗膜，确保危险废物在贮存及储运过程不对现有厂区地面进行污染。</w:t>
            </w:r>
          </w:p>
          <w:p>
            <w:pPr>
              <w:pStyle w:val="36"/>
              <w:ind w:firstLine="480"/>
              <w:rPr>
                <w:szCs w:val="24"/>
              </w:rPr>
            </w:pPr>
            <w:r>
              <w:rPr>
                <w:szCs w:val="24"/>
              </w:rPr>
              <w:fldChar w:fldCharType="begin"/>
            </w:r>
            <w:r>
              <w:rPr>
                <w:szCs w:val="24"/>
              </w:rPr>
              <w:instrText xml:space="preserve"> </w:instrText>
            </w:r>
            <w:r>
              <w:rPr>
                <w:rFonts w:hint="eastAsia"/>
                <w:szCs w:val="24"/>
              </w:rPr>
              <w:instrText xml:space="preserve">= 2 \* GB2</w:instrText>
            </w:r>
            <w:r>
              <w:rPr>
                <w:szCs w:val="24"/>
              </w:rPr>
              <w:instrText xml:space="preserve"> </w:instrText>
            </w:r>
            <w:r>
              <w:rPr>
                <w:szCs w:val="24"/>
              </w:rPr>
              <w:fldChar w:fldCharType="separate"/>
            </w:r>
            <w:r>
              <w:rPr>
                <w:rFonts w:hint="eastAsia"/>
                <w:szCs w:val="24"/>
              </w:rPr>
              <w:t>⑵</w:t>
            </w:r>
            <w:r>
              <w:rPr>
                <w:szCs w:val="24"/>
              </w:rPr>
              <w:fldChar w:fldCharType="end"/>
            </w:r>
            <w:r>
              <w:rPr>
                <w:rFonts w:hint="eastAsia"/>
                <w:szCs w:val="24"/>
              </w:rPr>
              <w:t>裙脚防渗：根据实施方案，项目危险废物贮存库内裙脚拟采用不低于2mm后的HDPE膜或其他人工防渗材料进行防渗，使其渗透系数≤</w:t>
            </w:r>
            <w:r>
              <w:rPr>
                <w:szCs w:val="24"/>
              </w:rPr>
              <w:t>10</w:t>
            </w:r>
            <w:r>
              <w:rPr>
                <w:rFonts w:hint="eastAsia"/>
                <w:szCs w:val="24"/>
              </w:rPr>
              <w:t>-10</w:t>
            </w:r>
            <w:r>
              <w:rPr>
                <w:szCs w:val="24"/>
              </w:rPr>
              <w:t>cm/s</w:t>
            </w:r>
            <w:r>
              <w:rPr>
                <w:rFonts w:hint="eastAsia"/>
                <w:szCs w:val="24"/>
              </w:rPr>
              <w:t>，防渗高度不低于库内原料总堆高的1/5。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Align w:val="center"/>
          </w:tcPr>
          <w:p>
            <w:pPr>
              <w:spacing w:line="360" w:lineRule="exact"/>
              <w:jc w:val="center"/>
              <w:rPr>
                <w:rFonts w:ascii="Times New Roman" w:hAnsi="Times New Roman" w:cs="Times New Roman"/>
              </w:rPr>
            </w:pPr>
            <w:r>
              <w:rPr>
                <w:rFonts w:ascii="Times New Roman" w:hAnsi="Times New Roman" w:cs="Times New Roman"/>
              </w:rPr>
              <w:t>生态保护措施</w:t>
            </w:r>
          </w:p>
        </w:tc>
        <w:tc>
          <w:tcPr>
            <w:tcW w:w="8406" w:type="dxa"/>
            <w:gridSpan w:val="6"/>
            <w:vAlign w:val="center"/>
          </w:tcPr>
          <w:p>
            <w:pPr>
              <w:pStyle w:val="28"/>
              <w:spacing w:line="360" w:lineRule="auto"/>
              <w:ind w:firstLine="240" w:firstLineChars="100"/>
              <w:jc w:val="both"/>
              <w:rPr>
                <w:rFonts w:eastAsiaTheme="minorEastAsia"/>
                <w:color w:val="auto"/>
                <w:szCs w:val="21"/>
              </w:rPr>
            </w:pPr>
            <w:r>
              <w:rPr>
                <w:rFonts w:eastAsiaTheme="minorEastAsia"/>
                <w:color w:val="auto"/>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Align w:val="center"/>
          </w:tcPr>
          <w:p>
            <w:pPr>
              <w:spacing w:line="360" w:lineRule="exact"/>
              <w:jc w:val="center"/>
              <w:rPr>
                <w:rFonts w:ascii="Times New Roman" w:hAnsi="Times New Roman" w:cs="Times New Roman"/>
              </w:rPr>
            </w:pPr>
            <w:r>
              <w:rPr>
                <w:rFonts w:ascii="Times New Roman" w:hAnsi="Times New Roman" w:cs="Times New Roman"/>
              </w:rPr>
              <w:t>环境风险防范措施</w:t>
            </w:r>
          </w:p>
        </w:tc>
        <w:tc>
          <w:tcPr>
            <w:tcW w:w="8406" w:type="dxa"/>
            <w:gridSpan w:val="6"/>
            <w:vAlign w:val="center"/>
          </w:tcPr>
          <w:p>
            <w:pPr>
              <w:pStyle w:val="36"/>
              <w:ind w:firstLine="480"/>
              <w:rPr>
                <w:szCs w:val="24"/>
              </w:rPr>
            </w:pPr>
            <w:r>
              <w:rPr>
                <w:szCs w:val="24"/>
              </w:rPr>
              <w:t>根据该项目环境影响途经，提出以下风险防范措施：</w:t>
            </w:r>
          </w:p>
          <w:p>
            <w:pPr>
              <w:pStyle w:val="36"/>
              <w:ind w:firstLine="482"/>
              <w:rPr>
                <w:b/>
                <w:szCs w:val="24"/>
              </w:rPr>
            </w:pPr>
            <w:bookmarkStart w:id="20" w:name="_Toc146210233"/>
            <w:r>
              <w:rPr>
                <w:rFonts w:hint="eastAsia"/>
                <w:b/>
                <w:szCs w:val="24"/>
              </w:rPr>
              <w:t>一、大气环境风险防范</w:t>
            </w:r>
            <w:bookmarkEnd w:id="20"/>
          </w:p>
          <w:p>
            <w:pPr>
              <w:pStyle w:val="36"/>
              <w:ind w:firstLine="480"/>
              <w:rPr>
                <w:szCs w:val="24"/>
              </w:rPr>
            </w:pPr>
            <w:r>
              <w:rPr>
                <w:rFonts w:hint="eastAsia"/>
                <w:szCs w:val="24"/>
              </w:rPr>
              <w:t>项目严格执行相关规范要求进行平面布置，所有建、构筑物之问或与其它场所之间留有足够的防火间距，防止在火灾或爆炸时相互影响；严格按工艺处理物料特性，对厂区进行危险区划分。</w:t>
            </w:r>
          </w:p>
          <w:p>
            <w:pPr>
              <w:pStyle w:val="36"/>
              <w:ind w:firstLine="480"/>
              <w:rPr>
                <w:szCs w:val="24"/>
              </w:rPr>
            </w:pPr>
            <w:r>
              <w:rPr>
                <w:rFonts w:hint="eastAsia"/>
                <w:szCs w:val="24"/>
              </w:rPr>
              <w:t>根据火灾危险性 等级和防火、防爆要求，建筑物的防火等级均采用国家现行规范要求的耐火等级设计，满足建筑防火要求。</w:t>
            </w:r>
          </w:p>
          <w:p>
            <w:pPr>
              <w:pStyle w:val="36"/>
              <w:ind w:firstLine="480"/>
              <w:rPr>
                <w:szCs w:val="24"/>
              </w:rPr>
            </w:pPr>
            <w:r>
              <w:rPr>
                <w:szCs w:val="24"/>
              </w:rPr>
              <w:t>为控制仓储区内</w:t>
            </w:r>
            <w:r>
              <w:rPr>
                <w:rFonts w:hint="eastAsia"/>
                <w:szCs w:val="24"/>
              </w:rPr>
              <w:t>有机废气、刺激性废气</w:t>
            </w:r>
            <w:r>
              <w:rPr>
                <w:szCs w:val="24"/>
              </w:rPr>
              <w:t>的质量浓度，防止其发生环境风险，项目在满足全封闭厂房 “防风、防雨、防晒”要求的条件下，设置</w:t>
            </w:r>
            <w:r>
              <w:rPr>
                <w:rFonts w:hint="eastAsia"/>
                <w:szCs w:val="24"/>
              </w:rPr>
              <w:t>了</w:t>
            </w:r>
            <w:r>
              <w:rPr>
                <w:szCs w:val="24"/>
              </w:rPr>
              <w:t>通风系统。</w:t>
            </w:r>
          </w:p>
          <w:p>
            <w:pPr>
              <w:pStyle w:val="36"/>
              <w:ind w:firstLine="482"/>
              <w:rPr>
                <w:b/>
                <w:szCs w:val="24"/>
              </w:rPr>
            </w:pPr>
            <w:bookmarkStart w:id="21" w:name="_Toc146210234"/>
            <w:r>
              <w:rPr>
                <w:rFonts w:hint="eastAsia"/>
                <w:b/>
                <w:szCs w:val="24"/>
              </w:rPr>
              <w:t>二、运输风险防范措施</w:t>
            </w:r>
            <w:bookmarkEnd w:id="21"/>
          </w:p>
          <w:p>
            <w:pPr>
              <w:pStyle w:val="36"/>
              <w:ind w:firstLine="480"/>
              <w:rPr>
                <w:szCs w:val="24"/>
              </w:rPr>
            </w:pPr>
            <w:r>
              <w:rPr>
                <w:rFonts w:hint="eastAsia"/>
                <w:szCs w:val="24"/>
              </w:rPr>
              <w:t>①危险废物运输单位必须具有相应道路运输经营许可证，运输过程严格遵守《中华人民共和国固体废物污染环境防治法》、参照《危险废物收集贮存运输技术规范》（</w:t>
            </w:r>
            <w:r>
              <w:rPr>
                <w:szCs w:val="24"/>
              </w:rPr>
              <w:t>HJ2025-2012</w:t>
            </w:r>
            <w:r>
              <w:rPr>
                <w:rFonts w:hint="eastAsia"/>
                <w:szCs w:val="24"/>
              </w:rPr>
              <w:t>）等相关规定。危险废物的运输严格按照《危险化学品安全管理条例》、《道路危险货物运输管理规定》、《汽车危险货物运输规则》和《危险废物收集贮存运输技术规范》等有关危险品运输管理规定执行。人员和运输工具均应满足相关要求，做到预防为主、防患于未然。</w:t>
            </w:r>
          </w:p>
          <w:p>
            <w:pPr>
              <w:pStyle w:val="36"/>
              <w:ind w:firstLine="480"/>
              <w:rPr>
                <w:szCs w:val="24"/>
              </w:rPr>
            </w:pPr>
            <w:r>
              <w:rPr>
                <w:rFonts w:hint="eastAsia"/>
                <w:szCs w:val="24"/>
              </w:rPr>
              <w:t>②危险废物运输车辆必须在车辆前部和后部、车厢两侧设置专用危险化学品警示标识。对运输危险废物的车辆使用密闭、结实的容器，并配有明显标志和灭火工具。</w:t>
            </w:r>
          </w:p>
          <w:p>
            <w:pPr>
              <w:pStyle w:val="36"/>
              <w:ind w:firstLine="480"/>
              <w:rPr>
                <w:szCs w:val="24"/>
              </w:rPr>
            </w:pPr>
            <w:r>
              <w:rPr>
                <w:rFonts w:hint="eastAsia"/>
                <w:szCs w:val="24"/>
              </w:rPr>
              <w:t>③配备专门的危险废物运输车辆，统一配备</w:t>
            </w:r>
            <w:r>
              <w:rPr>
                <w:szCs w:val="24"/>
              </w:rPr>
              <w:t>GPRS</w:t>
            </w:r>
            <w:r>
              <w:rPr>
                <w:rFonts w:hint="eastAsia"/>
                <w:szCs w:val="24"/>
              </w:rPr>
              <w:t>系统，由指挥中心即时监控每辆运输车辆的行驶路线，出现偏差时迅速与司机联系、及时纠正。</w:t>
            </w:r>
          </w:p>
          <w:p>
            <w:pPr>
              <w:pStyle w:val="36"/>
              <w:ind w:firstLine="480"/>
              <w:rPr>
                <w:szCs w:val="24"/>
              </w:rPr>
            </w:pPr>
            <w:r>
              <w:rPr>
                <w:rFonts w:hint="eastAsia"/>
                <w:szCs w:val="24"/>
              </w:rPr>
              <w:t>④指挥中心通过车载</w:t>
            </w:r>
            <w:r>
              <w:rPr>
                <w:szCs w:val="24"/>
              </w:rPr>
              <w:t>GPRS</w:t>
            </w:r>
            <w:r>
              <w:rPr>
                <w:rFonts w:hint="eastAsia"/>
                <w:szCs w:val="24"/>
              </w:rPr>
              <w:t>系统监控车辆行驶速度、连续行驶时间等，一旦超过限值，则迅速与当值司机取得联系、进行纠正，对车辆实行动态监测，以便在出现事故时迅速做出反应。</w:t>
            </w:r>
          </w:p>
          <w:p>
            <w:pPr>
              <w:pStyle w:val="36"/>
              <w:ind w:firstLine="480"/>
              <w:rPr>
                <w:szCs w:val="24"/>
              </w:rPr>
            </w:pPr>
            <w:r>
              <w:rPr>
                <w:rFonts w:hint="eastAsia"/>
                <w:szCs w:val="24"/>
              </w:rPr>
              <w:t>⑤在运输途中，由于各种意外原因，产生汽车翻车、装船或沉船等，危险货物有可能散落、拋出至大气、水体或陆域，造成重大环境灾害，对于这类风险事故，要求采取应急措施，包括工程应念措施和社会救援应急预案。运输车辆上配备应急器材，在出现事故等导致危险废物泄漏时，可以第一时间采取措施控制影响范围。</w:t>
            </w:r>
          </w:p>
          <w:p>
            <w:pPr>
              <w:pStyle w:val="36"/>
              <w:ind w:firstLine="480"/>
              <w:rPr>
                <w:szCs w:val="24"/>
              </w:rPr>
            </w:pPr>
            <w:r>
              <w:rPr>
                <w:rFonts w:hint="eastAsia"/>
                <w:szCs w:val="24"/>
              </w:rPr>
              <w:t>⑥定期组织培训，强化对司机的安全、风险防范与应急的教育，培训合格后才可以进行下一次的运输工作。</w:t>
            </w:r>
          </w:p>
          <w:p>
            <w:pPr>
              <w:pStyle w:val="36"/>
              <w:ind w:firstLine="480"/>
              <w:rPr>
                <w:szCs w:val="24"/>
              </w:rPr>
            </w:pPr>
            <w:r>
              <w:rPr>
                <w:rFonts w:hint="eastAsia"/>
                <w:szCs w:val="24"/>
              </w:rPr>
              <w:t>⑦运输前应事先作出周密的运输计划，安排好运输车辆经过各路段的时间，尽量避免运输车辆通过人口密集区域。危险货物运输中，由于经受多次搬运装卸，因温度、压力的变化：重装重卸，操作不当：容器多次回收利用，强度下降，桶盖垫圈失落没有拧紧，安全阀开启，阀门变形断裂等原因，均易造成气体扩散、液体滴漏、固体散落，出现不同程度的渗漏，甚至可能引起火灾、爆炸或污染环境等事故。对这类事故的应急，按照应急就近的原则，运输操作人员首先采取相应的应急措施，进行渗漏处理，防止危险物质扩散至环境。</w:t>
            </w:r>
          </w:p>
          <w:p>
            <w:pPr>
              <w:pStyle w:val="36"/>
              <w:ind w:firstLine="480"/>
              <w:rPr>
                <w:szCs w:val="24"/>
              </w:rPr>
            </w:pPr>
            <w:r>
              <w:rPr>
                <w:rFonts w:hint="eastAsia"/>
                <w:szCs w:val="24"/>
              </w:rPr>
              <w:t>⑧运输车辆在每次运输前都必须对车辆的车况进行检查，确保车况良好后方可出车，运输车辆负责人应对每辆运输车必须配备的辅助物品进行检查，确保完备，定期对运输车辆进行全面检查，减少和防止危险废物发生泄漏和交通事故的发生。</w:t>
            </w:r>
          </w:p>
          <w:p>
            <w:pPr>
              <w:pStyle w:val="36"/>
              <w:ind w:firstLine="480"/>
              <w:rPr>
                <w:szCs w:val="24"/>
              </w:rPr>
            </w:pPr>
            <w:r>
              <w:rPr>
                <w:rFonts w:hint="eastAsia"/>
                <w:szCs w:val="24"/>
              </w:rPr>
              <w:t>⑨合理安排运输频次，在气象条件不好的天气，如暴雨、台风等，不能运输危险废物；小雨天可运输，但应小心驾驶并加强安全措施。</w:t>
            </w:r>
          </w:p>
          <w:p>
            <w:pPr>
              <w:pStyle w:val="36"/>
              <w:ind w:firstLine="480"/>
              <w:rPr>
                <w:szCs w:val="24"/>
              </w:rPr>
            </w:pPr>
            <w:r>
              <w:rPr>
                <w:szCs w:val="24"/>
              </w:rPr>
              <w:fldChar w:fldCharType="begin"/>
            </w:r>
            <w:r>
              <w:rPr>
                <w:szCs w:val="24"/>
              </w:rPr>
              <w:instrText xml:space="preserve"> </w:instrText>
            </w:r>
            <w:r>
              <w:rPr>
                <w:rFonts w:hint="eastAsia"/>
                <w:szCs w:val="24"/>
              </w:rPr>
              <w:instrText xml:space="preserve">= 10 \* GB3</w:instrText>
            </w:r>
            <w:r>
              <w:rPr>
                <w:szCs w:val="24"/>
              </w:rPr>
              <w:instrText xml:space="preserve"> </w:instrText>
            </w:r>
            <w:r>
              <w:rPr>
                <w:szCs w:val="24"/>
              </w:rPr>
              <w:fldChar w:fldCharType="separate"/>
            </w:r>
            <w:r>
              <w:rPr>
                <w:rFonts w:hint="eastAsia"/>
                <w:szCs w:val="24"/>
              </w:rPr>
              <w:t>⑩</w:t>
            </w:r>
            <w:r>
              <w:rPr>
                <w:szCs w:val="24"/>
              </w:rPr>
              <w:fldChar w:fldCharType="end"/>
            </w:r>
            <w:r>
              <w:rPr>
                <w:rFonts w:hint="eastAsia"/>
                <w:szCs w:val="24"/>
              </w:rPr>
              <w:t>在跨越水体时减速慢行，确保安全通过。承运人员应接受过必要的业务培训。加强跨越地表水体的桥梁运营管理，设置限速标志、划分行车道等，做好日常检修和维护工作，确保桥面路况状态良好，防撞栏安装牢固。</w:t>
            </w:r>
          </w:p>
          <w:p>
            <w:pPr>
              <w:pStyle w:val="36"/>
              <w:ind w:firstLine="482"/>
              <w:rPr>
                <w:b/>
                <w:szCs w:val="24"/>
              </w:rPr>
            </w:pPr>
            <w:bookmarkStart w:id="22" w:name="_Toc146210235"/>
            <w:r>
              <w:rPr>
                <w:rFonts w:hint="eastAsia"/>
                <w:b/>
                <w:szCs w:val="24"/>
              </w:rPr>
              <w:t>三、贮存过程风险防范</w:t>
            </w:r>
            <w:bookmarkEnd w:id="22"/>
          </w:p>
          <w:p>
            <w:pPr>
              <w:pStyle w:val="36"/>
              <w:ind w:firstLine="480"/>
              <w:rPr>
                <w:szCs w:val="24"/>
              </w:rPr>
            </w:pPr>
            <w:r>
              <w:rPr>
                <w:rFonts w:hint="eastAsia"/>
                <w:szCs w:val="24"/>
              </w:rPr>
              <w:t>贮存过程事故风险主要是因设备泄漏而造成的火灾爆炸、毒气释放和水质污染等事故，是安全生产的重要方面。</w:t>
            </w:r>
          </w:p>
          <w:p>
            <w:pPr>
              <w:pStyle w:val="36"/>
              <w:ind w:firstLine="480"/>
              <w:rPr>
                <w:szCs w:val="24"/>
              </w:rPr>
            </w:pPr>
            <w:r>
              <w:rPr>
                <w:rFonts w:hint="eastAsia"/>
                <w:szCs w:val="24"/>
              </w:rPr>
              <w:t>①根据物料的易燃、易爆、易挥发性等性质进行储存。</w:t>
            </w:r>
          </w:p>
          <w:p>
            <w:pPr>
              <w:pStyle w:val="36"/>
              <w:ind w:firstLine="480"/>
              <w:rPr>
                <w:szCs w:val="24"/>
              </w:rPr>
            </w:pPr>
            <w:r>
              <w:rPr>
                <w:rFonts w:hint="eastAsia"/>
                <w:szCs w:val="24"/>
              </w:rPr>
              <w:t>②暂存库应按消防要求配置消防灭火系统。包括泡沫消防设施和水泡消防设施，制定严格的作业制度。</w:t>
            </w:r>
          </w:p>
          <w:p>
            <w:pPr>
              <w:pStyle w:val="36"/>
              <w:ind w:firstLine="480"/>
              <w:rPr>
                <w:szCs w:val="24"/>
              </w:rPr>
            </w:pPr>
            <w:r>
              <w:rPr>
                <w:rFonts w:hint="eastAsia"/>
                <w:szCs w:val="24"/>
              </w:rPr>
              <w:t>③暂存库管理人员，必须经过专业知识培训，熟悉贮存物品的特性、事故处理办法和防护知识，持证上岗，同时，必须配备有关的个人防护用品。</w:t>
            </w:r>
          </w:p>
          <w:p>
            <w:pPr>
              <w:pStyle w:val="36"/>
              <w:ind w:firstLine="480"/>
              <w:rPr>
                <w:szCs w:val="24"/>
              </w:rPr>
            </w:pPr>
            <w:r>
              <w:rPr>
                <w:rFonts w:hint="eastAsia"/>
                <w:szCs w:val="24"/>
              </w:rPr>
              <w:t>④贮存的危险废物必须设有明显的标志，并按国家规定标淮控制不同单位面积的最大贮存限量。</w:t>
            </w:r>
          </w:p>
          <w:p>
            <w:pPr>
              <w:pStyle w:val="36"/>
              <w:ind w:firstLine="480"/>
              <w:rPr>
                <w:szCs w:val="24"/>
              </w:rPr>
            </w:pPr>
            <w:r>
              <w:rPr>
                <w:rFonts w:hint="eastAsia"/>
                <w:szCs w:val="24"/>
              </w:rPr>
              <w:t>⑤暂存库的消防设施、用电设施、防雷防静电设施等必须符合国家规定的安全要求。</w:t>
            </w:r>
          </w:p>
          <w:p>
            <w:pPr>
              <w:pStyle w:val="36"/>
              <w:ind w:firstLine="480"/>
              <w:rPr>
                <w:szCs w:val="24"/>
              </w:rPr>
            </w:pPr>
            <w:r>
              <w:rPr>
                <w:rFonts w:hint="eastAsia"/>
                <w:szCs w:val="24"/>
              </w:rPr>
              <w:t>⑥危险皮物出入库必须检杳验收登记，贮存期问定期养护，控制好贮存场所的温度和湿度：装卸、搬运时应轻装轻卸，注意自我防护。</w:t>
            </w:r>
          </w:p>
          <w:p>
            <w:pPr>
              <w:pStyle w:val="36"/>
              <w:ind w:firstLine="480"/>
              <w:rPr>
                <w:szCs w:val="24"/>
              </w:rPr>
            </w:pPr>
            <w:r>
              <w:rPr>
                <w:rFonts w:hint="eastAsia"/>
                <w:szCs w:val="24"/>
              </w:rPr>
              <w:t>⑦要严格遵守有关贮-存的安全规定，具体包括《仓库防火安全管理规则》《建筑设计防火规范》、《易燃易爆化学物品消防安全监督管理办法》等。</w:t>
            </w:r>
          </w:p>
          <w:p>
            <w:pPr>
              <w:pStyle w:val="36"/>
              <w:ind w:firstLine="482"/>
              <w:rPr>
                <w:b/>
                <w:szCs w:val="24"/>
              </w:rPr>
            </w:pPr>
            <w:bookmarkStart w:id="23" w:name="_Toc146210236"/>
            <w:r>
              <w:rPr>
                <w:rFonts w:hint="eastAsia"/>
                <w:b/>
                <w:szCs w:val="24"/>
              </w:rPr>
              <w:t>四、设备维护及泄漏防范措施</w:t>
            </w:r>
            <w:bookmarkEnd w:id="23"/>
          </w:p>
          <w:p>
            <w:pPr>
              <w:pStyle w:val="36"/>
              <w:ind w:firstLine="480"/>
              <w:rPr>
                <w:szCs w:val="24"/>
              </w:rPr>
            </w:pPr>
            <w:r>
              <w:rPr>
                <w:rFonts w:hint="eastAsia"/>
                <w:szCs w:val="24"/>
              </w:rPr>
              <w:t>环境风险的防范重点是设备维护和泄漏防范，设备故障及设备泄漏既是火灾爆炸等重大事故的主要原因，同时也是大气污染的主要原因。</w:t>
            </w:r>
          </w:p>
          <w:p>
            <w:pPr>
              <w:pStyle w:val="36"/>
              <w:ind w:firstLine="480"/>
              <w:rPr>
                <w:szCs w:val="24"/>
              </w:rPr>
            </w:pPr>
            <w:r>
              <w:rPr>
                <w:rFonts w:hint="eastAsia"/>
                <w:szCs w:val="24"/>
              </w:rPr>
              <w:t>（1）质量控制和维护</w:t>
            </w:r>
          </w:p>
          <w:p>
            <w:pPr>
              <w:pStyle w:val="36"/>
              <w:ind w:firstLine="480"/>
              <w:rPr>
                <w:szCs w:val="24"/>
              </w:rPr>
            </w:pPr>
            <w:r>
              <w:rPr>
                <w:rFonts w:hint="eastAsia"/>
                <w:szCs w:val="24"/>
              </w:rPr>
              <w:t>设备的质量控制过程就是要做好设备的管理，采取“五个相结合” 的指施，即设计、制造与使用相结合：维护与计划检修相结合：修理、改造与更新相结合；</w:t>
            </w:r>
          </w:p>
          <w:p>
            <w:pPr>
              <w:pStyle w:val="36"/>
              <w:ind w:firstLine="480"/>
              <w:rPr>
                <w:szCs w:val="24"/>
              </w:rPr>
            </w:pPr>
            <w:r>
              <w:rPr>
                <w:rFonts w:hint="eastAsia"/>
                <w:szCs w:val="24"/>
              </w:rPr>
              <w:t>专业管理与车间管理相结合；技术管理与经济管理相结合。</w:t>
            </w:r>
          </w:p>
          <w:p>
            <w:pPr>
              <w:pStyle w:val="36"/>
              <w:ind w:firstLine="480"/>
              <w:rPr>
                <w:szCs w:val="24"/>
              </w:rPr>
            </w:pPr>
            <w:r>
              <w:rPr>
                <w:rFonts w:hint="eastAsia"/>
                <w:szCs w:val="24"/>
              </w:rPr>
              <w:t>①设计、制造与使用相结合就是在本项目设备设计过程中，必须充分考虑全寿命周期内设备的可靠性、维修性、经济性冷指标，合理选林、方便维修，选择信誉好、售后服务好的供货企业，最大限度地满足本项目的需要。</w:t>
            </w:r>
          </w:p>
          <w:p>
            <w:pPr>
              <w:pStyle w:val="36"/>
              <w:ind w:firstLine="480"/>
              <w:rPr>
                <w:szCs w:val="24"/>
              </w:rPr>
            </w:pPr>
            <w:r>
              <w:rPr>
                <w:rFonts w:hint="eastAsia"/>
                <w:szCs w:val="24"/>
              </w:rPr>
              <w:t>②维护与计划维修相结合，是保证设各持续安全经济运行的重要措施。车间要对设备进行定期的维护保养，设各管理部门要计划安排设备的定期大中修，提高设备的使用寿命。</w:t>
            </w:r>
          </w:p>
          <w:p>
            <w:pPr>
              <w:pStyle w:val="36"/>
              <w:ind w:firstLine="480"/>
              <w:rPr>
                <w:szCs w:val="24"/>
              </w:rPr>
            </w:pPr>
            <w:r>
              <w:rPr>
                <w:rFonts w:hint="eastAsia"/>
                <w:szCs w:val="24"/>
              </w:rPr>
              <w:t>③修理、改造与更新相结合是提高企业技术装各素质的有效措施。要建立改造、白我发展的设备更新改造的运行机制，依靠技术进步，采用高新技术，至方筹集资金改造更新日设备。以技术经济分析为手段和依据，进行设备大修、更新改造的决策。</w:t>
            </w:r>
          </w:p>
          <w:p>
            <w:pPr>
              <w:pStyle w:val="36"/>
              <w:ind w:firstLine="480"/>
              <w:rPr>
                <w:szCs w:val="24"/>
              </w:rPr>
            </w:pPr>
            <w:r>
              <w:rPr>
                <w:rFonts w:hint="eastAsia"/>
                <w:szCs w:val="24"/>
              </w:rPr>
              <w:t>（2）防泄漏措施</w:t>
            </w:r>
          </w:p>
          <w:p>
            <w:pPr>
              <w:pStyle w:val="36"/>
              <w:ind w:firstLine="480"/>
              <w:rPr>
                <w:szCs w:val="24"/>
              </w:rPr>
            </w:pPr>
            <w:r>
              <w:rPr>
                <w:rFonts w:hint="eastAsia"/>
                <w:szCs w:val="24"/>
              </w:rPr>
              <w:t>为加强密封管理，减少跑、冒、滴、漏现象，做好清洁生产工作，在日常生产中，采取如下措施：</w:t>
            </w:r>
          </w:p>
          <w:p>
            <w:pPr>
              <w:pStyle w:val="36"/>
              <w:ind w:firstLine="480"/>
              <w:rPr>
                <w:szCs w:val="24"/>
              </w:rPr>
            </w:pPr>
            <w:r>
              <w:rPr>
                <w:rFonts w:hint="eastAsia"/>
                <w:szCs w:val="24"/>
              </w:rPr>
              <w:t>①认真贯彻执行公司制定的设备密封管理制度，对操作工进行技术培训，掌握动静密封方面的知识，树立清洁生产的观念。开展创造和巩固无泄漏工厂活动，消漏、堵漏工作经常化、具体化、制度化。各车间静密封泄漏率常保持在0.5%以下，动密封点泄漏率在2%0以下。</w:t>
            </w:r>
          </w:p>
          <w:p>
            <w:pPr>
              <w:pStyle w:val="36"/>
              <w:ind w:firstLine="480"/>
              <w:rPr>
                <w:szCs w:val="24"/>
              </w:rPr>
            </w:pPr>
            <w:r>
              <w:rPr>
                <w:rFonts w:hint="eastAsia"/>
                <w:szCs w:val="24"/>
              </w:rPr>
              <w:t>②建立动静密封点管理责任制</w:t>
            </w:r>
          </w:p>
          <w:p>
            <w:pPr>
              <w:pStyle w:val="36"/>
              <w:ind w:firstLine="480"/>
              <w:rPr>
                <w:szCs w:val="24"/>
              </w:rPr>
            </w:pPr>
            <w:r>
              <w:rPr>
                <w:rFonts w:hint="eastAsia"/>
                <w:szCs w:val="24"/>
              </w:rPr>
              <w:t>要将动静密封点的管理分解到班组、岗位。机修人员每天定时进行巡检，发现泄漏点，及时进行消缺。对动静密封点进行统计，生产装置、设备、管路都必须建立静、动密封档案和台帐。</w:t>
            </w:r>
          </w:p>
          <w:p>
            <w:pPr>
              <w:pStyle w:val="36"/>
              <w:ind w:firstLine="480"/>
              <w:rPr>
                <w:szCs w:val="24"/>
              </w:rPr>
            </w:pPr>
            <w:r>
              <w:rPr>
                <w:rFonts w:hint="eastAsia"/>
                <w:szCs w:val="24"/>
              </w:rPr>
              <w:t>设备动力科每月组织对车问进漏情况进行检查、评比。对动静密封点进行统计，生产装置、设备、管路都必须建立静、动密封档案和台帐。做好密封技术研究，推广应用密封新技术、新材料。</w:t>
            </w:r>
          </w:p>
          <w:p>
            <w:pPr>
              <w:pStyle w:val="36"/>
              <w:ind w:firstLine="480"/>
              <w:rPr>
                <w:szCs w:val="24"/>
              </w:rPr>
            </w:pPr>
            <w:r>
              <w:rPr>
                <w:rFonts w:hint="eastAsia"/>
                <w:szCs w:val="24"/>
              </w:rPr>
              <w:t>③建设导流渠和渗滤液收集池</w:t>
            </w:r>
          </w:p>
          <w:p>
            <w:pPr>
              <w:pStyle w:val="36"/>
              <w:ind w:firstLine="480"/>
              <w:rPr>
                <w:szCs w:val="24"/>
              </w:rPr>
            </w:pPr>
            <w:r>
              <w:rPr>
                <w:rFonts w:hint="eastAsia"/>
                <w:szCs w:val="24"/>
              </w:rPr>
              <w:t>项目拟对每个贮存分区均配套设置导流渠对非正常情况下可能产生的废液进行导流。项目每个分区均配套设置1个1</w:t>
            </w:r>
            <w:r>
              <w:rPr>
                <w:szCs w:val="24"/>
              </w:rPr>
              <w:t>m³</w:t>
            </w:r>
            <w:r>
              <w:rPr>
                <w:rFonts w:hint="eastAsia"/>
                <w:szCs w:val="24"/>
              </w:rPr>
              <w:t>渗滤液收集池对非正常情况可能产生的渗滤液进行收集，共设置8个渗滤液收集池，防治泄漏。</w:t>
            </w:r>
          </w:p>
          <w:p>
            <w:pPr>
              <w:pStyle w:val="36"/>
              <w:ind w:firstLine="482"/>
              <w:rPr>
                <w:b/>
                <w:szCs w:val="24"/>
              </w:rPr>
            </w:pPr>
            <w:bookmarkStart w:id="24" w:name="_Toc146210237"/>
            <w:r>
              <w:rPr>
                <w:rFonts w:hint="eastAsia"/>
                <w:b/>
                <w:szCs w:val="24"/>
              </w:rPr>
              <w:t>五、管理措施</w:t>
            </w:r>
            <w:bookmarkEnd w:id="24"/>
          </w:p>
          <w:p>
            <w:pPr>
              <w:pStyle w:val="36"/>
              <w:ind w:firstLine="480"/>
              <w:rPr>
                <w:szCs w:val="24"/>
              </w:rPr>
            </w:pPr>
            <w:r>
              <w:rPr>
                <w:rFonts w:hint="eastAsia"/>
                <w:szCs w:val="24"/>
              </w:rPr>
              <w:t>①</w:t>
            </w:r>
            <w:r>
              <w:rPr>
                <w:szCs w:val="24"/>
              </w:rPr>
              <w:t>项目配备有专业知识的技术人员，仓库及场所应设专人管理，管理人员必须配备可靠的个人安全防护用品。</w:t>
            </w:r>
          </w:p>
          <w:p>
            <w:pPr>
              <w:pStyle w:val="36"/>
              <w:ind w:firstLine="480"/>
              <w:rPr>
                <w:szCs w:val="24"/>
              </w:rPr>
            </w:pPr>
            <w:r>
              <w:rPr>
                <w:rFonts w:hint="eastAsia"/>
                <w:szCs w:val="24"/>
              </w:rPr>
              <w:t>②</w:t>
            </w:r>
            <w:r>
              <w:rPr>
                <w:szCs w:val="24"/>
              </w:rPr>
              <w:t>入库时，严格检验物品质量、数量、包装情况、有无泄漏。入库后应采取适当的养护措施，在贮存期内，定期检查，发现其品质变化、包装破损、渗漏等，应及时处理。</w:t>
            </w:r>
          </w:p>
          <w:p>
            <w:pPr>
              <w:pStyle w:val="36"/>
              <w:ind w:firstLine="480"/>
              <w:rPr>
                <w:szCs w:val="24"/>
              </w:rPr>
            </w:pPr>
            <w:r>
              <w:rPr>
                <w:rFonts w:hint="eastAsia"/>
                <w:szCs w:val="24"/>
              </w:rPr>
              <w:t>③</w:t>
            </w:r>
            <w:r>
              <w:rPr>
                <w:szCs w:val="24"/>
              </w:rPr>
              <w:t>严格按照安全、消防部门以及安全预评价的要求存储区出入口处设置消防设备。</w:t>
            </w:r>
          </w:p>
          <w:p>
            <w:pPr>
              <w:pStyle w:val="36"/>
              <w:ind w:firstLine="480"/>
              <w:rPr>
                <w:szCs w:val="24"/>
              </w:rPr>
            </w:pPr>
            <w:r>
              <w:rPr>
                <w:rFonts w:hint="eastAsia"/>
                <w:szCs w:val="24"/>
              </w:rPr>
              <w:t>④</w:t>
            </w:r>
            <w:r>
              <w:rPr>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0" w:type="dxa"/>
            <w:vAlign w:val="center"/>
          </w:tcPr>
          <w:p>
            <w:pPr>
              <w:spacing w:line="360" w:lineRule="exact"/>
              <w:jc w:val="center"/>
              <w:rPr>
                <w:rFonts w:ascii="Times New Roman" w:hAnsi="Times New Roman" w:cs="Times New Roman"/>
              </w:rPr>
            </w:pPr>
            <w:r>
              <w:rPr>
                <w:rFonts w:ascii="Times New Roman" w:hAnsi="Times New Roman" w:cs="Times New Roman"/>
              </w:rPr>
              <w:t>其他环境管理要求</w:t>
            </w:r>
          </w:p>
        </w:tc>
        <w:tc>
          <w:tcPr>
            <w:tcW w:w="8406" w:type="dxa"/>
            <w:gridSpan w:val="6"/>
            <w:vAlign w:val="center"/>
          </w:tcPr>
          <w:p>
            <w:pPr>
              <w:pStyle w:val="28"/>
              <w:spacing w:line="360" w:lineRule="auto"/>
              <w:ind w:firstLine="240" w:firstLineChars="100"/>
              <w:jc w:val="both"/>
              <w:rPr>
                <w:rFonts w:eastAsiaTheme="minorEastAsia"/>
                <w:color w:val="auto"/>
                <w:sz w:val="24"/>
                <w:szCs w:val="21"/>
              </w:rPr>
            </w:pPr>
            <w:r>
              <w:rPr>
                <w:rFonts w:hint="eastAsia" w:ascii="宋体" w:hAnsi="宋体" w:cs="宋体"/>
                <w:color w:val="auto"/>
                <w:sz w:val="24"/>
                <w:szCs w:val="21"/>
              </w:rPr>
              <w:t>①</w:t>
            </w:r>
            <w:r>
              <w:rPr>
                <w:rFonts w:eastAsiaTheme="minorEastAsia"/>
                <w:color w:val="auto"/>
                <w:sz w:val="24"/>
                <w:szCs w:val="21"/>
              </w:rPr>
              <w:t>建设单位按照规范要求，设置环境保护图形标志。</w:t>
            </w:r>
          </w:p>
          <w:p>
            <w:pPr>
              <w:pStyle w:val="28"/>
              <w:spacing w:line="360" w:lineRule="auto"/>
              <w:ind w:firstLine="240" w:firstLineChars="100"/>
              <w:jc w:val="both"/>
              <w:rPr>
                <w:rFonts w:eastAsiaTheme="minorEastAsia"/>
                <w:color w:val="auto"/>
                <w:sz w:val="24"/>
                <w:szCs w:val="21"/>
              </w:rPr>
            </w:pPr>
            <w:r>
              <w:rPr>
                <w:rFonts w:hint="eastAsia" w:ascii="宋体" w:hAnsi="宋体" w:cs="宋体"/>
                <w:color w:val="auto"/>
                <w:sz w:val="24"/>
                <w:szCs w:val="21"/>
              </w:rPr>
              <w:t>②</w:t>
            </w:r>
            <w:r>
              <w:rPr>
                <w:rFonts w:eastAsiaTheme="minorEastAsia"/>
                <w:color w:val="auto"/>
                <w:sz w:val="24"/>
                <w:szCs w:val="21"/>
              </w:rPr>
              <w:t>要求建设单位制定突发环境事件应急预案，报所在地县级以上环境保护行政主管部门备案并按照预案要求每年组织演练。</w:t>
            </w: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ind w:firstLine="240" w:firstLineChars="100"/>
              <w:jc w:val="both"/>
              <w:rPr>
                <w:rFonts w:eastAsiaTheme="minorEastAsia"/>
                <w:color w:val="auto"/>
                <w:sz w:val="24"/>
                <w:szCs w:val="21"/>
              </w:rPr>
            </w:pPr>
          </w:p>
          <w:p>
            <w:pPr>
              <w:pStyle w:val="28"/>
              <w:spacing w:line="360" w:lineRule="auto"/>
              <w:jc w:val="both"/>
              <w:rPr>
                <w:rFonts w:eastAsiaTheme="minorEastAsia"/>
                <w:color w:val="auto"/>
                <w:szCs w:val="21"/>
              </w:rPr>
            </w:pPr>
            <w:r>
              <w:rPr>
                <w:rFonts w:hint="eastAsia" w:eastAsiaTheme="minorEastAsia"/>
                <w:color w:val="auto"/>
                <w:sz w:val="24"/>
                <w:szCs w:val="21"/>
              </w:rPr>
              <w:t xml:space="preserve">  </w:t>
            </w: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六、结论</w:t>
      </w:r>
    </w:p>
    <w:tbl>
      <w:tblPr>
        <w:tblStyle w:val="18"/>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开展小微企业危险废物收集试点东川网点项目符合国家产业政策，符合相关规划，选址合理，项目建设满足“三线一单”的管理要求，项目选址区域环境空气、地表水环境和声环境质量现状均可达到相应的质量标准要求，该项目采取</w:t>
            </w:r>
            <w:r>
              <w:rPr>
                <w:rFonts w:hint="eastAsia" w:ascii="Times New Roman" w:hAnsi="Times New Roman" w:cs="Times New Roman"/>
                <w:sz w:val="24"/>
                <w:szCs w:val="24"/>
              </w:rPr>
              <w:t>环保</w:t>
            </w:r>
            <w:r>
              <w:rPr>
                <w:rFonts w:ascii="Times New Roman" w:hAnsi="Times New Roman" w:cs="Times New Roman"/>
                <w:sz w:val="24"/>
                <w:szCs w:val="24"/>
              </w:rPr>
              <w:t>措施后，污染物均可得到合理处置，建设单位在项目运行过程中严格执行环境管理和监测计划，项目对外环境影响较小，环境风险可控；从环境影响的角度分析，项目建设可行。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rPr>
          <w:rFonts w:ascii="Times New Roman" w:hAnsi="Times New Roman" w:cs="Times New Roman"/>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附表</w:t>
      </w:r>
    </w:p>
    <w:p>
      <w:pPr>
        <w:jc w:val="center"/>
        <w:rPr>
          <w:rFonts w:ascii="Times New Roman" w:hAnsi="Times New Roman" w:cs="Times New Roman"/>
          <w:b/>
        </w:rPr>
      </w:pPr>
      <w:r>
        <w:rPr>
          <w:rFonts w:ascii="Times New Roman" w:hAnsi="Times New Roman" w:cs="Times New Roman"/>
          <w:b/>
        </w:rPr>
        <w:t>建设项目污染物排放量汇总表</w:t>
      </w:r>
    </w:p>
    <w:tbl>
      <w:tblPr>
        <w:tblStyle w:val="1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w:t>
            </w:r>
          </w:p>
          <w:p>
            <w:pPr>
              <w:spacing w:line="360" w:lineRule="exact"/>
              <w:jc w:val="left"/>
              <w:rPr>
                <w:rFonts w:ascii="Times New Roman" w:hAnsi="Times New Roman" w:cs="Times New Roman"/>
              </w:rPr>
            </w:pPr>
            <w:r>
              <w:rPr>
                <w:rFonts w:ascii="Times New Roman" w:hAnsi="Times New Roman" w:cs="Times New Roman"/>
              </w:rPr>
              <w:t>分类</w:t>
            </w:r>
          </w:p>
        </w:tc>
        <w:tc>
          <w:tcPr>
            <w:tcW w:w="2126" w:type="dxa"/>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559"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ascii="宋体" w:hAnsi="Times New Roman" w:eastAsia="宋体" w:cs="Times New Roman"/>
              </w:rPr>
              <w:t>①</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ascii="宋体" w:hAnsi="Times New Roman" w:eastAsia="宋体" w:cs="Times New Roman"/>
              </w:rPr>
              <w:t>②</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ascii="宋体" w:hAnsi="Times New Roman" w:eastAsia="宋体" w:cs="Times New Roman"/>
              </w:rPr>
              <w:t>③</w:t>
            </w:r>
          </w:p>
        </w:tc>
        <w:tc>
          <w:tcPr>
            <w:tcW w:w="1828" w:type="dxa"/>
            <w:vAlign w:val="center"/>
          </w:tcPr>
          <w:p>
            <w:pPr>
              <w:spacing w:line="360" w:lineRule="exact"/>
              <w:jc w:val="center"/>
              <w:rPr>
                <w:rFonts w:ascii="Times New Roman" w:hAnsi="Times New Roman" w:cs="Times New Roman"/>
              </w:rPr>
            </w:pPr>
            <w:r>
              <w:rPr>
                <w:rFonts w:ascii="Times New Roman" w:hAnsi="Times New Roman" w:cs="Times New Roman"/>
              </w:rPr>
              <w:t>该项目排放量（固体废物产生量）</w:t>
            </w:r>
            <w:r>
              <w:rPr>
                <w:rFonts w:ascii="宋体" w:hAnsi="Times New Roman" w:eastAsia="宋体" w:cs="Times New Roman"/>
              </w:rPr>
              <w:t>④</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以新带老削减量（已建项目不填）</w:t>
            </w:r>
            <w:r>
              <w:rPr>
                <w:rFonts w:ascii="宋体" w:hAnsi="Times New Roman" w:eastAsia="宋体" w:cs="Times New Roman"/>
              </w:rPr>
              <w:t>⑤</w:t>
            </w:r>
          </w:p>
        </w:tc>
        <w:tc>
          <w:tcPr>
            <w:tcW w:w="1842" w:type="dxa"/>
            <w:vAlign w:val="center"/>
          </w:tcPr>
          <w:p>
            <w:pPr>
              <w:spacing w:line="360" w:lineRule="exact"/>
              <w:jc w:val="center"/>
              <w:rPr>
                <w:rFonts w:ascii="Times New Roman" w:hAnsi="Times New Roman" w:cs="Times New Roman"/>
              </w:rPr>
            </w:pPr>
            <w:r>
              <w:rPr>
                <w:rFonts w:ascii="Times New Roman" w:hAnsi="Times New Roman" w:cs="Times New Roman"/>
              </w:rPr>
              <w:t>该项目建成后全厂排放量（固体废物产生量）</w:t>
            </w:r>
            <w:r>
              <w:rPr>
                <w:rFonts w:ascii="宋体" w:hAnsi="Times New Roman" w:eastAsia="宋体" w:cs="Times New Roman"/>
              </w:rPr>
              <w:t>⑥</w:t>
            </w:r>
          </w:p>
        </w:tc>
        <w:tc>
          <w:tcPr>
            <w:tcW w:w="1308"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ascii="宋体" w:hAnsi="Times New Roman" w:eastAsia="宋体" w:cs="Times New Roman"/>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8"/>
              <w:spacing w:line="360" w:lineRule="exact"/>
              <w:rPr>
                <w:color w:val="auto"/>
                <w:szCs w:val="21"/>
              </w:rPr>
            </w:pPr>
            <w:r>
              <w:rPr>
                <w:color w:val="auto"/>
                <w:szCs w:val="21"/>
              </w:rPr>
              <w:t>废气</w:t>
            </w:r>
          </w:p>
        </w:tc>
        <w:tc>
          <w:tcPr>
            <w:tcW w:w="2126" w:type="dxa"/>
            <w:vAlign w:val="center"/>
          </w:tcPr>
          <w:p>
            <w:pPr>
              <w:pStyle w:val="28"/>
              <w:spacing w:line="360" w:lineRule="exact"/>
              <w:rPr>
                <w:color w:val="auto"/>
                <w:szCs w:val="21"/>
              </w:rPr>
            </w:pPr>
            <w:r>
              <w:rPr>
                <w:rFonts w:hint="eastAsia"/>
                <w:color w:val="auto"/>
                <w:szCs w:val="21"/>
              </w:rPr>
              <w:t>非甲烷总烃（有组织）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0.38t/a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0.38 t/a</w:t>
            </w:r>
          </w:p>
        </w:tc>
        <w:tc>
          <w:tcPr>
            <w:tcW w:w="1308" w:type="dxa"/>
            <w:vAlign w:val="center"/>
          </w:tcPr>
          <w:p>
            <w:pPr>
              <w:pStyle w:val="28"/>
              <w:spacing w:line="360" w:lineRule="exact"/>
              <w:rPr>
                <w:color w:val="auto"/>
                <w:szCs w:val="21"/>
              </w:rPr>
            </w:pPr>
            <w:r>
              <w:rPr>
                <w:color w:val="auto"/>
                <w:szCs w:val="21"/>
              </w:rPr>
              <w:t>0.38t/a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非甲烷总烃（无组织）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0.14t/a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0.14t/a</w:t>
            </w:r>
          </w:p>
        </w:tc>
        <w:tc>
          <w:tcPr>
            <w:tcW w:w="1308" w:type="dxa"/>
            <w:vAlign w:val="center"/>
          </w:tcPr>
          <w:p>
            <w:pPr>
              <w:pStyle w:val="28"/>
              <w:spacing w:line="360" w:lineRule="exact"/>
              <w:rPr>
                <w:color w:val="auto"/>
                <w:szCs w:val="21"/>
              </w:rPr>
            </w:pPr>
            <w:r>
              <w:rPr>
                <w:color w:val="auto"/>
                <w:szCs w:val="21"/>
              </w:rPr>
              <w:t>0.14t/a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color w:val="auto"/>
                <w:szCs w:val="21"/>
              </w:rPr>
              <w:t>HCl</w:t>
            </w:r>
            <w:r>
              <w:rPr>
                <w:rFonts w:hint="eastAsia"/>
                <w:color w:val="auto"/>
                <w:szCs w:val="21"/>
              </w:rPr>
              <w:t>（有组织）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0.01t/a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0.01t/a</w:t>
            </w:r>
          </w:p>
        </w:tc>
        <w:tc>
          <w:tcPr>
            <w:tcW w:w="1308" w:type="dxa"/>
            <w:vAlign w:val="center"/>
          </w:tcPr>
          <w:p>
            <w:pPr>
              <w:pStyle w:val="28"/>
              <w:spacing w:line="360" w:lineRule="exact"/>
              <w:rPr>
                <w:color w:val="auto"/>
                <w:szCs w:val="21"/>
              </w:rPr>
            </w:pPr>
            <w:r>
              <w:rPr>
                <w:color w:val="auto"/>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color w:val="auto"/>
                <w:szCs w:val="21"/>
              </w:rPr>
              <w:t>HCl</w:t>
            </w:r>
            <w:r>
              <w:rPr>
                <w:rFonts w:hint="eastAsia"/>
                <w:color w:val="auto"/>
                <w:szCs w:val="21"/>
              </w:rPr>
              <w:t>（无组织）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0.056t/a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0.056t/a</w:t>
            </w:r>
          </w:p>
        </w:tc>
        <w:tc>
          <w:tcPr>
            <w:tcW w:w="1308" w:type="dxa"/>
            <w:vAlign w:val="center"/>
          </w:tcPr>
          <w:p>
            <w:pPr>
              <w:pStyle w:val="28"/>
              <w:spacing w:line="360" w:lineRule="exact"/>
              <w:rPr>
                <w:color w:val="auto"/>
                <w:szCs w:val="21"/>
              </w:rPr>
            </w:pPr>
            <w:r>
              <w:rPr>
                <w:color w:val="auto"/>
                <w:szCs w:val="21"/>
              </w:rPr>
              <w:t>0.056t/a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氨（有组织）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0.0</w:t>
            </w:r>
            <w:r>
              <w:rPr>
                <w:rFonts w:hint="eastAsia"/>
                <w:color w:val="auto"/>
                <w:szCs w:val="21"/>
              </w:rPr>
              <w:t>8</w:t>
            </w:r>
            <w:r>
              <w:rPr>
                <w:color w:val="auto"/>
                <w:szCs w:val="21"/>
              </w:rPr>
              <w:t>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0.0</w:t>
            </w:r>
            <w:r>
              <w:rPr>
                <w:rFonts w:hint="eastAsia"/>
                <w:color w:val="auto"/>
                <w:szCs w:val="21"/>
              </w:rPr>
              <w:t>8</w:t>
            </w:r>
            <w:r>
              <w:rPr>
                <w:color w:val="auto"/>
                <w:szCs w:val="21"/>
              </w:rPr>
              <w:t>t/a</w:t>
            </w:r>
          </w:p>
        </w:tc>
        <w:tc>
          <w:tcPr>
            <w:tcW w:w="1308" w:type="dxa"/>
            <w:vAlign w:val="center"/>
          </w:tcPr>
          <w:p>
            <w:pPr>
              <w:pStyle w:val="28"/>
              <w:spacing w:line="360" w:lineRule="exact"/>
              <w:rPr>
                <w:color w:val="auto"/>
                <w:szCs w:val="21"/>
              </w:rPr>
            </w:pPr>
            <w:r>
              <w:rPr>
                <w:color w:val="auto"/>
                <w:szCs w:val="21"/>
              </w:rPr>
              <w:t>0.0</w:t>
            </w:r>
            <w:r>
              <w:rPr>
                <w:rFonts w:hint="eastAsia"/>
                <w:color w:val="auto"/>
                <w:szCs w:val="21"/>
              </w:rPr>
              <w:t>8</w:t>
            </w:r>
            <w:r>
              <w:rPr>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氨（无组织）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0.05t/a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0.05t/a</w:t>
            </w:r>
          </w:p>
        </w:tc>
        <w:tc>
          <w:tcPr>
            <w:tcW w:w="1308" w:type="dxa"/>
            <w:vAlign w:val="center"/>
          </w:tcPr>
          <w:p>
            <w:pPr>
              <w:pStyle w:val="28"/>
              <w:spacing w:line="360" w:lineRule="exact"/>
              <w:rPr>
                <w:color w:val="auto"/>
                <w:szCs w:val="21"/>
              </w:rPr>
            </w:pPr>
            <w:r>
              <w:rPr>
                <w:color w:val="auto"/>
                <w:szCs w:val="21"/>
              </w:rPr>
              <w:t>0.05t/a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硫化氢（有组织）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0.0</w:t>
            </w:r>
            <w:r>
              <w:rPr>
                <w:rFonts w:hint="eastAsia"/>
                <w:color w:val="auto"/>
                <w:szCs w:val="21"/>
              </w:rPr>
              <w:t>006</w:t>
            </w:r>
            <w:r>
              <w:rPr>
                <w:color w:val="auto"/>
                <w:szCs w:val="21"/>
              </w:rPr>
              <w:t>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0.0</w:t>
            </w:r>
            <w:r>
              <w:rPr>
                <w:rFonts w:hint="eastAsia"/>
                <w:color w:val="auto"/>
                <w:szCs w:val="21"/>
              </w:rPr>
              <w:t>006</w:t>
            </w:r>
            <w:r>
              <w:rPr>
                <w:color w:val="auto"/>
                <w:szCs w:val="21"/>
              </w:rPr>
              <w:t>t/a</w:t>
            </w:r>
          </w:p>
        </w:tc>
        <w:tc>
          <w:tcPr>
            <w:tcW w:w="1308" w:type="dxa"/>
            <w:vAlign w:val="center"/>
          </w:tcPr>
          <w:p>
            <w:pPr>
              <w:pStyle w:val="28"/>
              <w:spacing w:line="360" w:lineRule="exact"/>
              <w:rPr>
                <w:color w:val="auto"/>
                <w:szCs w:val="21"/>
              </w:rPr>
            </w:pPr>
            <w:r>
              <w:rPr>
                <w:color w:val="auto"/>
                <w:szCs w:val="21"/>
              </w:rPr>
              <w:t>0.0</w:t>
            </w:r>
            <w:r>
              <w:rPr>
                <w:rFonts w:hint="eastAsia"/>
                <w:color w:val="auto"/>
                <w:szCs w:val="21"/>
              </w:rPr>
              <w:t>006</w:t>
            </w:r>
            <w:r>
              <w:rPr>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硫化氢（无组织）</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0.0</w:t>
            </w:r>
            <w:r>
              <w:rPr>
                <w:rFonts w:hint="eastAsia"/>
                <w:color w:val="auto"/>
                <w:szCs w:val="21"/>
              </w:rPr>
              <w:t>004</w:t>
            </w:r>
            <w:r>
              <w:rPr>
                <w:color w:val="auto"/>
                <w:szCs w:val="21"/>
              </w:rPr>
              <w:t>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0.0</w:t>
            </w:r>
            <w:r>
              <w:rPr>
                <w:rFonts w:hint="eastAsia"/>
                <w:color w:val="auto"/>
                <w:szCs w:val="21"/>
              </w:rPr>
              <w:t>004</w:t>
            </w:r>
            <w:r>
              <w:rPr>
                <w:color w:val="auto"/>
                <w:szCs w:val="21"/>
              </w:rPr>
              <w:t>t/a</w:t>
            </w:r>
          </w:p>
        </w:tc>
        <w:tc>
          <w:tcPr>
            <w:tcW w:w="1308" w:type="dxa"/>
            <w:vAlign w:val="center"/>
          </w:tcPr>
          <w:p>
            <w:pPr>
              <w:pStyle w:val="28"/>
              <w:spacing w:line="360" w:lineRule="exact"/>
              <w:rPr>
                <w:color w:val="auto"/>
                <w:szCs w:val="21"/>
              </w:rPr>
            </w:pPr>
            <w:r>
              <w:rPr>
                <w:color w:val="auto"/>
                <w:szCs w:val="21"/>
              </w:rPr>
              <w:t>0.0</w:t>
            </w:r>
            <w:r>
              <w:rPr>
                <w:rFonts w:hint="eastAsia"/>
                <w:color w:val="auto"/>
                <w:szCs w:val="21"/>
              </w:rPr>
              <w:t>004</w:t>
            </w:r>
            <w:r>
              <w:rPr>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8"/>
              <w:spacing w:line="360" w:lineRule="exact"/>
              <w:rPr>
                <w:color w:val="auto"/>
                <w:szCs w:val="21"/>
              </w:rPr>
            </w:pPr>
            <w:r>
              <w:rPr>
                <w:color w:val="auto"/>
                <w:szCs w:val="21"/>
              </w:rPr>
              <w:t>废水</w:t>
            </w:r>
          </w:p>
        </w:tc>
        <w:tc>
          <w:tcPr>
            <w:tcW w:w="2126" w:type="dxa"/>
            <w:vAlign w:val="center"/>
          </w:tcPr>
          <w:p>
            <w:pPr>
              <w:pStyle w:val="28"/>
              <w:spacing w:line="360" w:lineRule="exact"/>
              <w:rPr>
                <w:color w:val="auto"/>
                <w:szCs w:val="21"/>
              </w:rPr>
            </w:pPr>
            <w:r>
              <w:rPr>
                <w:color w:val="auto"/>
                <w:szCs w:val="21"/>
              </w:rPr>
              <w:t>CODcr</w:t>
            </w:r>
          </w:p>
        </w:tc>
        <w:tc>
          <w:tcPr>
            <w:tcW w:w="1559" w:type="dxa"/>
            <w:vAlign w:val="center"/>
          </w:tcPr>
          <w:p>
            <w:pPr>
              <w:pStyle w:val="28"/>
              <w:spacing w:line="360" w:lineRule="exact"/>
              <w:rPr>
                <w:color w:val="auto"/>
                <w:szCs w:val="21"/>
              </w:rPr>
            </w:pPr>
            <w:r>
              <w:rPr>
                <w:color w:val="auto"/>
                <w:szCs w:val="21"/>
              </w:rPr>
              <w:t>0</w:t>
            </w:r>
          </w:p>
        </w:tc>
        <w:tc>
          <w:tcPr>
            <w:tcW w:w="1276" w:type="dxa"/>
            <w:vAlign w:val="center"/>
          </w:tcPr>
          <w:p>
            <w:pPr>
              <w:pStyle w:val="28"/>
              <w:spacing w:line="360" w:lineRule="exact"/>
              <w:rPr>
                <w:color w:val="auto"/>
                <w:szCs w:val="21"/>
              </w:rPr>
            </w:pPr>
            <w:r>
              <w:rPr>
                <w:color w:val="auto"/>
                <w:szCs w:val="21"/>
              </w:rPr>
              <w:t>0</w:t>
            </w:r>
          </w:p>
        </w:tc>
        <w:tc>
          <w:tcPr>
            <w:tcW w:w="1701" w:type="dxa"/>
            <w:vAlign w:val="center"/>
          </w:tcPr>
          <w:p>
            <w:pPr>
              <w:pStyle w:val="28"/>
              <w:spacing w:line="360" w:lineRule="exact"/>
              <w:rPr>
                <w:color w:val="auto"/>
                <w:szCs w:val="21"/>
              </w:rPr>
            </w:pPr>
            <w:r>
              <w:rPr>
                <w:color w:val="auto"/>
                <w:szCs w:val="21"/>
              </w:rPr>
              <w:t>0</w:t>
            </w:r>
          </w:p>
        </w:tc>
        <w:tc>
          <w:tcPr>
            <w:tcW w:w="1828" w:type="dxa"/>
            <w:vAlign w:val="center"/>
          </w:tcPr>
          <w:p>
            <w:pPr>
              <w:pStyle w:val="28"/>
              <w:spacing w:line="360" w:lineRule="exact"/>
              <w:rPr>
                <w:color w:val="auto"/>
                <w:szCs w:val="21"/>
              </w:rPr>
            </w:pPr>
            <w:r>
              <w:rPr>
                <w:color w:val="auto"/>
                <w:szCs w:val="21"/>
              </w:rPr>
              <w:t>0</w:t>
            </w:r>
          </w:p>
        </w:tc>
        <w:tc>
          <w:tcPr>
            <w:tcW w:w="1575" w:type="dxa"/>
            <w:vAlign w:val="center"/>
          </w:tcPr>
          <w:p>
            <w:pPr>
              <w:pStyle w:val="28"/>
              <w:spacing w:line="360" w:lineRule="exact"/>
              <w:rPr>
                <w:color w:val="auto"/>
                <w:szCs w:val="21"/>
              </w:rPr>
            </w:pPr>
            <w:r>
              <w:rPr>
                <w:color w:val="auto"/>
                <w:szCs w:val="21"/>
              </w:rPr>
              <w:t>0</w:t>
            </w:r>
          </w:p>
        </w:tc>
        <w:tc>
          <w:tcPr>
            <w:tcW w:w="1842" w:type="dxa"/>
            <w:vAlign w:val="center"/>
          </w:tcPr>
          <w:p>
            <w:pPr>
              <w:pStyle w:val="28"/>
              <w:spacing w:line="360" w:lineRule="exact"/>
              <w:rPr>
                <w:color w:val="auto"/>
                <w:szCs w:val="21"/>
              </w:rPr>
            </w:pPr>
            <w:r>
              <w:rPr>
                <w:color w:val="auto"/>
                <w:szCs w:val="21"/>
              </w:rPr>
              <w:t>0</w:t>
            </w:r>
          </w:p>
        </w:tc>
        <w:tc>
          <w:tcPr>
            <w:tcW w:w="1308" w:type="dxa"/>
            <w:vAlign w:val="center"/>
          </w:tcPr>
          <w:p>
            <w:pPr>
              <w:pStyle w:val="28"/>
              <w:spacing w:line="360" w:lineRule="exact"/>
              <w:rPr>
                <w:color w:val="auto"/>
                <w:szCs w:val="21"/>
              </w:rPr>
            </w:pPr>
            <w:r>
              <w:rPr>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color w:val="auto"/>
                <w:szCs w:val="21"/>
              </w:rPr>
              <w:t>NH</w:t>
            </w:r>
            <w:r>
              <w:rPr>
                <w:color w:val="auto"/>
                <w:szCs w:val="21"/>
                <w:vertAlign w:val="subscript"/>
              </w:rPr>
              <w:t>3</w:t>
            </w:r>
            <w:r>
              <w:rPr>
                <w:color w:val="auto"/>
                <w:szCs w:val="21"/>
              </w:rPr>
              <w:t>-N</w:t>
            </w:r>
          </w:p>
        </w:tc>
        <w:tc>
          <w:tcPr>
            <w:tcW w:w="1559" w:type="dxa"/>
            <w:vAlign w:val="center"/>
          </w:tcPr>
          <w:p>
            <w:pPr>
              <w:pStyle w:val="28"/>
              <w:spacing w:line="360" w:lineRule="exact"/>
              <w:rPr>
                <w:color w:val="auto"/>
                <w:szCs w:val="21"/>
              </w:rPr>
            </w:pPr>
            <w:r>
              <w:rPr>
                <w:color w:val="auto"/>
                <w:szCs w:val="21"/>
              </w:rPr>
              <w:t>0</w:t>
            </w:r>
          </w:p>
        </w:tc>
        <w:tc>
          <w:tcPr>
            <w:tcW w:w="1276" w:type="dxa"/>
            <w:vAlign w:val="center"/>
          </w:tcPr>
          <w:p>
            <w:pPr>
              <w:pStyle w:val="28"/>
              <w:spacing w:line="360" w:lineRule="exact"/>
              <w:rPr>
                <w:color w:val="auto"/>
                <w:szCs w:val="21"/>
              </w:rPr>
            </w:pPr>
            <w:r>
              <w:rPr>
                <w:color w:val="auto"/>
                <w:szCs w:val="21"/>
              </w:rPr>
              <w:t>0</w:t>
            </w:r>
          </w:p>
        </w:tc>
        <w:tc>
          <w:tcPr>
            <w:tcW w:w="1701" w:type="dxa"/>
            <w:vAlign w:val="center"/>
          </w:tcPr>
          <w:p>
            <w:pPr>
              <w:pStyle w:val="28"/>
              <w:spacing w:line="360" w:lineRule="exact"/>
              <w:rPr>
                <w:color w:val="auto"/>
                <w:szCs w:val="21"/>
              </w:rPr>
            </w:pPr>
            <w:r>
              <w:rPr>
                <w:color w:val="auto"/>
                <w:szCs w:val="21"/>
              </w:rPr>
              <w:t>0</w:t>
            </w:r>
          </w:p>
        </w:tc>
        <w:tc>
          <w:tcPr>
            <w:tcW w:w="1828" w:type="dxa"/>
            <w:vAlign w:val="center"/>
          </w:tcPr>
          <w:p>
            <w:pPr>
              <w:pStyle w:val="28"/>
              <w:spacing w:line="360" w:lineRule="exact"/>
              <w:rPr>
                <w:color w:val="auto"/>
                <w:szCs w:val="21"/>
              </w:rPr>
            </w:pPr>
            <w:r>
              <w:rPr>
                <w:color w:val="auto"/>
                <w:szCs w:val="21"/>
              </w:rPr>
              <w:t>0</w:t>
            </w:r>
          </w:p>
        </w:tc>
        <w:tc>
          <w:tcPr>
            <w:tcW w:w="1575" w:type="dxa"/>
            <w:vAlign w:val="center"/>
          </w:tcPr>
          <w:p>
            <w:pPr>
              <w:pStyle w:val="28"/>
              <w:spacing w:line="360" w:lineRule="exact"/>
              <w:rPr>
                <w:color w:val="auto"/>
                <w:szCs w:val="21"/>
              </w:rPr>
            </w:pPr>
            <w:r>
              <w:rPr>
                <w:color w:val="auto"/>
                <w:szCs w:val="21"/>
              </w:rPr>
              <w:t>0</w:t>
            </w:r>
          </w:p>
        </w:tc>
        <w:tc>
          <w:tcPr>
            <w:tcW w:w="1842" w:type="dxa"/>
            <w:vAlign w:val="center"/>
          </w:tcPr>
          <w:p>
            <w:pPr>
              <w:pStyle w:val="28"/>
              <w:spacing w:line="360" w:lineRule="exact"/>
              <w:rPr>
                <w:color w:val="auto"/>
                <w:szCs w:val="21"/>
              </w:rPr>
            </w:pPr>
            <w:r>
              <w:rPr>
                <w:color w:val="auto"/>
                <w:szCs w:val="21"/>
              </w:rPr>
              <w:t>0</w:t>
            </w:r>
          </w:p>
        </w:tc>
        <w:tc>
          <w:tcPr>
            <w:tcW w:w="1308" w:type="dxa"/>
            <w:vAlign w:val="center"/>
          </w:tcPr>
          <w:p>
            <w:pPr>
              <w:pStyle w:val="28"/>
              <w:spacing w:line="360" w:lineRule="exact"/>
              <w:rPr>
                <w:color w:val="auto"/>
                <w:szCs w:val="21"/>
              </w:rPr>
            </w:pPr>
            <w:r>
              <w:rPr>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8"/>
              <w:spacing w:line="360" w:lineRule="exact"/>
              <w:rPr>
                <w:color w:val="auto"/>
                <w:szCs w:val="21"/>
              </w:rPr>
            </w:pPr>
            <w:r>
              <w:rPr>
                <w:color w:val="auto"/>
                <w:szCs w:val="21"/>
              </w:rPr>
              <w:t>危险废物</w:t>
            </w:r>
          </w:p>
        </w:tc>
        <w:tc>
          <w:tcPr>
            <w:tcW w:w="2126" w:type="dxa"/>
            <w:vAlign w:val="center"/>
          </w:tcPr>
          <w:p>
            <w:pPr>
              <w:pStyle w:val="28"/>
              <w:spacing w:line="360" w:lineRule="exact"/>
              <w:rPr>
                <w:color w:val="auto"/>
                <w:szCs w:val="21"/>
              </w:rPr>
            </w:pPr>
            <w:r>
              <w:rPr>
                <w:rFonts w:hint="eastAsia"/>
                <w:color w:val="auto"/>
                <w:szCs w:val="21"/>
              </w:rPr>
              <w:t>渗滤液</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color w:val="auto"/>
                <w:szCs w:val="21"/>
              </w:rPr>
              <w:t>1.5t/a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color w:val="auto"/>
                <w:szCs w:val="21"/>
              </w:rPr>
              <w:t>1.5t/a</w:t>
            </w:r>
          </w:p>
        </w:tc>
        <w:tc>
          <w:tcPr>
            <w:tcW w:w="1308" w:type="dxa"/>
            <w:vAlign w:val="center"/>
          </w:tcPr>
          <w:p>
            <w:pPr>
              <w:pStyle w:val="28"/>
              <w:spacing w:line="360" w:lineRule="exact"/>
              <w:rPr>
                <w:color w:val="auto"/>
                <w:szCs w:val="21"/>
              </w:rPr>
            </w:pPr>
            <w:r>
              <w:rPr>
                <w:color w:val="auto"/>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废劳保用品</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rFonts w:hint="eastAsia"/>
                <w:color w:val="auto"/>
                <w:szCs w:val="21"/>
              </w:rPr>
              <w:t>0.6t/a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rFonts w:hint="eastAsia"/>
                <w:color w:val="auto"/>
                <w:szCs w:val="21"/>
              </w:rPr>
              <w:t>0.6t/a</w:t>
            </w:r>
          </w:p>
        </w:tc>
        <w:tc>
          <w:tcPr>
            <w:tcW w:w="1308" w:type="dxa"/>
            <w:vAlign w:val="center"/>
          </w:tcPr>
          <w:p>
            <w:pPr>
              <w:pStyle w:val="28"/>
              <w:spacing w:line="360" w:lineRule="exact"/>
              <w:rPr>
                <w:color w:val="auto"/>
                <w:szCs w:val="21"/>
              </w:rPr>
            </w:pPr>
            <w:r>
              <w:rPr>
                <w:rFonts w:hint="eastAsia"/>
                <w:color w:val="auto"/>
                <w:szCs w:val="21"/>
              </w:rPr>
              <w:t>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废包装物</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rFonts w:hint="eastAsia"/>
                <w:color w:val="auto"/>
                <w:szCs w:val="21"/>
              </w:rPr>
              <w:t>0.8t/a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rFonts w:hint="eastAsia"/>
                <w:color w:val="auto"/>
                <w:szCs w:val="21"/>
              </w:rPr>
              <w:t>0.8t/a</w:t>
            </w:r>
          </w:p>
        </w:tc>
        <w:tc>
          <w:tcPr>
            <w:tcW w:w="1308" w:type="dxa"/>
            <w:vAlign w:val="center"/>
          </w:tcPr>
          <w:p>
            <w:pPr>
              <w:pStyle w:val="28"/>
              <w:spacing w:line="360" w:lineRule="exact"/>
              <w:rPr>
                <w:color w:val="auto"/>
                <w:szCs w:val="21"/>
              </w:rPr>
            </w:pPr>
            <w:r>
              <w:rPr>
                <w:rFonts w:hint="eastAsia"/>
                <w:color w:val="auto"/>
                <w:szCs w:val="21"/>
              </w:rPr>
              <w:t>0.8t/a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废活性炭</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rFonts w:hint="eastAsia"/>
                <w:color w:val="auto"/>
                <w:szCs w:val="21"/>
              </w:rPr>
              <w:t>1.44t/a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rFonts w:hint="eastAsia"/>
                <w:color w:val="auto"/>
                <w:szCs w:val="21"/>
              </w:rPr>
              <w:t>1.44t/a</w:t>
            </w:r>
          </w:p>
        </w:tc>
        <w:tc>
          <w:tcPr>
            <w:tcW w:w="1308" w:type="dxa"/>
            <w:vAlign w:val="center"/>
          </w:tcPr>
          <w:p>
            <w:pPr>
              <w:pStyle w:val="28"/>
              <w:spacing w:line="360" w:lineRule="exact"/>
              <w:rPr>
                <w:color w:val="auto"/>
                <w:szCs w:val="21"/>
              </w:rPr>
            </w:pPr>
            <w:r>
              <w:rPr>
                <w:rFonts w:hint="eastAsia"/>
                <w:color w:val="auto"/>
                <w:szCs w:val="21"/>
              </w:rPr>
              <w:t>1.44t/a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8"/>
              <w:spacing w:line="360" w:lineRule="exact"/>
              <w:rPr>
                <w:color w:val="auto"/>
                <w:szCs w:val="21"/>
              </w:rPr>
            </w:pPr>
          </w:p>
        </w:tc>
        <w:tc>
          <w:tcPr>
            <w:tcW w:w="2126" w:type="dxa"/>
            <w:vAlign w:val="center"/>
          </w:tcPr>
          <w:p>
            <w:pPr>
              <w:pStyle w:val="28"/>
              <w:spacing w:line="360" w:lineRule="exact"/>
              <w:rPr>
                <w:color w:val="auto"/>
                <w:szCs w:val="21"/>
              </w:rPr>
            </w:pPr>
            <w:r>
              <w:rPr>
                <w:rFonts w:hint="eastAsia"/>
                <w:color w:val="auto"/>
                <w:szCs w:val="21"/>
              </w:rPr>
              <w:t>碱喷淋废液</w:t>
            </w:r>
          </w:p>
        </w:tc>
        <w:tc>
          <w:tcPr>
            <w:tcW w:w="1559"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276"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701" w:type="dxa"/>
            <w:vAlign w:val="center"/>
          </w:tcPr>
          <w:p>
            <w:pPr>
              <w:pStyle w:val="55"/>
              <w:spacing w:line="360" w:lineRule="atLeast"/>
              <w:jc w:val="center"/>
              <w:rPr>
                <w:rFonts w:eastAsia="宋体"/>
                <w:bCs/>
                <w:snapToGrid w:val="0"/>
                <w:color w:val="auto"/>
                <w:kern w:val="32"/>
                <w:sz w:val="21"/>
                <w:szCs w:val="21"/>
                <w:lang w:val="zh-CN"/>
              </w:rPr>
            </w:pPr>
            <w:r>
              <w:rPr>
                <w:rFonts w:hint="eastAsia" w:eastAsia="宋体"/>
                <w:bCs/>
                <w:snapToGrid w:val="0"/>
                <w:color w:val="auto"/>
                <w:kern w:val="32"/>
                <w:sz w:val="21"/>
                <w:szCs w:val="21"/>
                <w:lang w:val="zh-CN"/>
              </w:rPr>
              <w:t>0</w:t>
            </w:r>
          </w:p>
        </w:tc>
        <w:tc>
          <w:tcPr>
            <w:tcW w:w="1828" w:type="dxa"/>
            <w:vAlign w:val="center"/>
          </w:tcPr>
          <w:p>
            <w:pPr>
              <w:pStyle w:val="28"/>
              <w:spacing w:line="360" w:lineRule="exact"/>
              <w:rPr>
                <w:color w:val="auto"/>
                <w:szCs w:val="21"/>
              </w:rPr>
            </w:pPr>
            <w:r>
              <w:rPr>
                <w:rFonts w:hint="eastAsia"/>
                <w:color w:val="auto"/>
                <w:szCs w:val="21"/>
              </w:rPr>
              <w:t>4</w:t>
            </w:r>
            <w:r>
              <w:rPr>
                <w:color w:val="auto"/>
                <w:szCs w:val="21"/>
              </w:rPr>
              <w:t>m³</w:t>
            </w:r>
            <w:r>
              <w:rPr>
                <w:rFonts w:hint="eastAsia"/>
                <w:color w:val="auto"/>
                <w:szCs w:val="21"/>
              </w:rPr>
              <w:t>/a</w:t>
            </w:r>
          </w:p>
        </w:tc>
        <w:tc>
          <w:tcPr>
            <w:tcW w:w="1575" w:type="dxa"/>
            <w:vAlign w:val="center"/>
          </w:tcPr>
          <w:p>
            <w:pPr>
              <w:pStyle w:val="55"/>
              <w:spacing w:line="360" w:lineRule="atLeast"/>
              <w:jc w:val="center"/>
              <w:rPr>
                <w:rFonts w:eastAsia="宋体"/>
                <w:bCs/>
                <w:snapToGrid w:val="0"/>
                <w:color w:val="auto"/>
                <w:kern w:val="32"/>
                <w:sz w:val="21"/>
                <w:szCs w:val="21"/>
                <w:lang w:val="zh-CN"/>
              </w:rPr>
            </w:pPr>
            <w:r>
              <w:rPr>
                <w:rFonts w:eastAsia="宋体"/>
                <w:bCs/>
                <w:snapToGrid w:val="0"/>
                <w:color w:val="auto"/>
                <w:kern w:val="32"/>
                <w:sz w:val="21"/>
                <w:szCs w:val="21"/>
                <w:lang w:val="zh-CN"/>
              </w:rPr>
              <w:t>0</w:t>
            </w:r>
          </w:p>
        </w:tc>
        <w:tc>
          <w:tcPr>
            <w:tcW w:w="1842" w:type="dxa"/>
            <w:vAlign w:val="center"/>
          </w:tcPr>
          <w:p>
            <w:pPr>
              <w:pStyle w:val="28"/>
              <w:spacing w:line="360" w:lineRule="exact"/>
              <w:rPr>
                <w:color w:val="auto"/>
                <w:szCs w:val="21"/>
              </w:rPr>
            </w:pPr>
            <w:r>
              <w:rPr>
                <w:rFonts w:hint="eastAsia"/>
                <w:color w:val="auto"/>
                <w:szCs w:val="21"/>
              </w:rPr>
              <w:t>4</w:t>
            </w:r>
            <w:r>
              <w:rPr>
                <w:color w:val="auto"/>
                <w:szCs w:val="21"/>
              </w:rPr>
              <w:t>m³</w:t>
            </w:r>
            <w:r>
              <w:rPr>
                <w:rFonts w:hint="eastAsia"/>
                <w:color w:val="auto"/>
                <w:szCs w:val="21"/>
              </w:rPr>
              <w:t>/a</w:t>
            </w:r>
          </w:p>
        </w:tc>
        <w:tc>
          <w:tcPr>
            <w:tcW w:w="1308" w:type="dxa"/>
            <w:vAlign w:val="center"/>
          </w:tcPr>
          <w:p>
            <w:pPr>
              <w:pStyle w:val="28"/>
              <w:spacing w:line="360" w:lineRule="exact"/>
              <w:rPr>
                <w:color w:val="auto"/>
                <w:szCs w:val="21"/>
              </w:rPr>
            </w:pPr>
            <w:r>
              <w:rPr>
                <w:rFonts w:hint="eastAsia"/>
                <w:color w:val="auto"/>
                <w:szCs w:val="21"/>
              </w:rPr>
              <w:t>4</w:t>
            </w:r>
            <w:r>
              <w:rPr>
                <w:color w:val="auto"/>
                <w:szCs w:val="21"/>
              </w:rPr>
              <w:t>m³</w:t>
            </w:r>
            <w:r>
              <w:rPr>
                <w:rFonts w:hint="eastAsia"/>
                <w:color w:val="auto"/>
                <w:szCs w:val="21"/>
              </w:rPr>
              <w:t>/a</w:t>
            </w:r>
          </w:p>
        </w:tc>
      </w:tr>
    </w:tbl>
    <w:p>
      <w:pPr>
        <w:ind w:firstLine="420" w:firstLineChars="200"/>
        <w:jc w:val="left"/>
        <w:rPr>
          <w:rFonts w:ascii="宋体" w:hAnsi="Times New Roman" w:eastAsia="宋体" w:cs="Times New Roman"/>
          <w:b/>
        </w:rPr>
      </w:pPr>
      <w:r>
        <w:rPr>
          <w:rFonts w:ascii="Times New Roman" w:hAnsi="Times New Roman" w:cs="Times New Roman"/>
          <w:b/>
        </w:rPr>
        <w:t>注：</w:t>
      </w:r>
      <w:r>
        <w:rPr>
          <w:rFonts w:ascii="宋体" w:hAnsi="Times New Roman" w:eastAsia="宋体" w:cs="Times New Roman"/>
          <w:b/>
        </w:rPr>
        <w:t>⑥</w:t>
      </w:r>
      <w:r>
        <w:rPr>
          <w:rFonts w:ascii="Times New Roman" w:hAnsi="Times New Roman" w:cs="Times New Roman"/>
          <w:b/>
        </w:rPr>
        <w:t>=</w:t>
      </w:r>
      <w:r>
        <w:rPr>
          <w:rFonts w:ascii="宋体" w:hAnsi="Times New Roman" w:eastAsia="宋体" w:cs="Times New Roman"/>
          <w:b/>
        </w:rPr>
        <w:t>①</w:t>
      </w:r>
      <w:r>
        <w:rPr>
          <w:rFonts w:ascii="Times New Roman" w:hAnsi="Times New Roman" w:cs="Times New Roman"/>
          <w:b/>
        </w:rPr>
        <w:t>+</w:t>
      </w:r>
      <w:r>
        <w:rPr>
          <w:rFonts w:ascii="宋体" w:hAnsi="Times New Roman" w:eastAsia="宋体" w:cs="Times New Roman"/>
          <w:b/>
        </w:rPr>
        <w:t>③</w:t>
      </w:r>
      <w:r>
        <w:rPr>
          <w:rFonts w:ascii="Times New Roman" w:hAnsi="Times New Roman" w:cs="Times New Roman"/>
          <w:b/>
        </w:rPr>
        <w:t>+</w:t>
      </w:r>
      <w:r>
        <w:rPr>
          <w:rFonts w:ascii="宋体" w:hAnsi="Times New Roman" w:eastAsia="宋体" w:cs="Times New Roman"/>
          <w:b/>
        </w:rPr>
        <w:t>④</w:t>
      </w:r>
      <w:r>
        <w:rPr>
          <w:rFonts w:ascii="Times New Roman" w:hAnsi="Times New Roman" w:cs="Times New Roman"/>
          <w:b/>
        </w:rPr>
        <w:t>-</w:t>
      </w:r>
      <w:r>
        <w:rPr>
          <w:rFonts w:ascii="宋体" w:hAnsi="Times New Roman" w:eastAsia="宋体" w:cs="Times New Roman"/>
          <w:b/>
        </w:rPr>
        <w:t>⑤</w:t>
      </w:r>
      <w:r>
        <w:rPr>
          <w:rFonts w:ascii="Times New Roman" w:hAnsi="Times New Roman" w:cs="Times New Roman"/>
          <w:b/>
        </w:rPr>
        <w:t>；</w:t>
      </w:r>
      <w:r>
        <w:rPr>
          <w:rFonts w:ascii="宋体" w:hAnsi="Times New Roman" w:eastAsia="宋体" w:cs="Times New Roman"/>
          <w:b/>
        </w:rPr>
        <w:t>⑦</w:t>
      </w:r>
      <w:r>
        <w:rPr>
          <w:rFonts w:ascii="Times New Roman" w:hAnsi="Times New Roman" w:cs="Times New Roman"/>
          <w:b/>
        </w:rPr>
        <w:t>=</w:t>
      </w:r>
      <w:r>
        <w:rPr>
          <w:rFonts w:ascii="宋体" w:hAnsi="Times New Roman" w:eastAsia="宋体" w:cs="Times New Roman"/>
          <w:b/>
        </w:rPr>
        <w:t>⑥</w:t>
      </w:r>
      <w:r>
        <w:rPr>
          <w:rFonts w:ascii="Times New Roman" w:hAnsi="Times New Roman" w:cs="Times New Roman"/>
          <w:b/>
        </w:rPr>
        <w:t>-</w:t>
      </w:r>
      <w:r>
        <w:rPr>
          <w:rFonts w:ascii="宋体" w:hAnsi="Times New Roman" w:eastAsia="宋体" w:cs="Times New Roman"/>
          <w:b/>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437B5"/>
    <w:multiLevelType w:val="multilevel"/>
    <w:tmpl w:val="46B437B5"/>
    <w:lvl w:ilvl="0" w:tentative="0">
      <w:start w:val="1"/>
      <w:numFmt w:val="decimal"/>
      <w:pStyle w:val="60"/>
      <w:lvlText w:val="表%1 "/>
      <w:lvlJc w:val="left"/>
      <w:pPr>
        <w:ind w:left="420"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N6WD5VGMzX7Jv3UjMlxUUw2Mvo8=" w:salt="bag/ttlSCprG+eWkMJkOD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0D41"/>
    <w:rsid w:val="00001460"/>
    <w:rsid w:val="00001C9A"/>
    <w:rsid w:val="00006DA2"/>
    <w:rsid w:val="00007A30"/>
    <w:rsid w:val="000103D6"/>
    <w:rsid w:val="00010A49"/>
    <w:rsid w:val="00012C80"/>
    <w:rsid w:val="00013833"/>
    <w:rsid w:val="00017C92"/>
    <w:rsid w:val="000204F7"/>
    <w:rsid w:val="00021721"/>
    <w:rsid w:val="0002285A"/>
    <w:rsid w:val="00022ADC"/>
    <w:rsid w:val="00031A59"/>
    <w:rsid w:val="00032B08"/>
    <w:rsid w:val="000344EF"/>
    <w:rsid w:val="00034809"/>
    <w:rsid w:val="00035576"/>
    <w:rsid w:val="00036444"/>
    <w:rsid w:val="00036A49"/>
    <w:rsid w:val="00040A28"/>
    <w:rsid w:val="00040D99"/>
    <w:rsid w:val="00046446"/>
    <w:rsid w:val="000467DD"/>
    <w:rsid w:val="00046D9B"/>
    <w:rsid w:val="00047895"/>
    <w:rsid w:val="00050E55"/>
    <w:rsid w:val="000529F0"/>
    <w:rsid w:val="00054507"/>
    <w:rsid w:val="00054F28"/>
    <w:rsid w:val="00055E0A"/>
    <w:rsid w:val="000564D0"/>
    <w:rsid w:val="000564E4"/>
    <w:rsid w:val="0005744F"/>
    <w:rsid w:val="00061858"/>
    <w:rsid w:val="00062FAD"/>
    <w:rsid w:val="000636D1"/>
    <w:rsid w:val="00064EAA"/>
    <w:rsid w:val="00067BF4"/>
    <w:rsid w:val="00070F66"/>
    <w:rsid w:val="000711D8"/>
    <w:rsid w:val="00075754"/>
    <w:rsid w:val="0007579E"/>
    <w:rsid w:val="00075CFD"/>
    <w:rsid w:val="00075FFD"/>
    <w:rsid w:val="000760FE"/>
    <w:rsid w:val="00081A6B"/>
    <w:rsid w:val="00082602"/>
    <w:rsid w:val="00082CBE"/>
    <w:rsid w:val="00084D00"/>
    <w:rsid w:val="000868F4"/>
    <w:rsid w:val="00093C79"/>
    <w:rsid w:val="000954A9"/>
    <w:rsid w:val="00095C65"/>
    <w:rsid w:val="00097D50"/>
    <w:rsid w:val="000A0D26"/>
    <w:rsid w:val="000A4031"/>
    <w:rsid w:val="000A40EB"/>
    <w:rsid w:val="000A4E88"/>
    <w:rsid w:val="000A5056"/>
    <w:rsid w:val="000A55DD"/>
    <w:rsid w:val="000B04E4"/>
    <w:rsid w:val="000B0564"/>
    <w:rsid w:val="000B0AA8"/>
    <w:rsid w:val="000B35C4"/>
    <w:rsid w:val="000B38ED"/>
    <w:rsid w:val="000B48AB"/>
    <w:rsid w:val="000B4E2B"/>
    <w:rsid w:val="000B6EE8"/>
    <w:rsid w:val="000B7547"/>
    <w:rsid w:val="000C76DB"/>
    <w:rsid w:val="000D0C2B"/>
    <w:rsid w:val="000D1B94"/>
    <w:rsid w:val="000D345D"/>
    <w:rsid w:val="000D4D91"/>
    <w:rsid w:val="000E500A"/>
    <w:rsid w:val="000E5BE7"/>
    <w:rsid w:val="000E6B3E"/>
    <w:rsid w:val="000E6F05"/>
    <w:rsid w:val="000F3B34"/>
    <w:rsid w:val="000F48E5"/>
    <w:rsid w:val="000F51F2"/>
    <w:rsid w:val="000F5D7E"/>
    <w:rsid w:val="000F5DE9"/>
    <w:rsid w:val="000F68C5"/>
    <w:rsid w:val="000F68FC"/>
    <w:rsid w:val="0010024E"/>
    <w:rsid w:val="00101077"/>
    <w:rsid w:val="0010241D"/>
    <w:rsid w:val="00103EA2"/>
    <w:rsid w:val="00105901"/>
    <w:rsid w:val="00105B5A"/>
    <w:rsid w:val="001068B5"/>
    <w:rsid w:val="00111F14"/>
    <w:rsid w:val="00113087"/>
    <w:rsid w:val="00113A8B"/>
    <w:rsid w:val="00116200"/>
    <w:rsid w:val="00116CF1"/>
    <w:rsid w:val="00117070"/>
    <w:rsid w:val="0011761F"/>
    <w:rsid w:val="001201E0"/>
    <w:rsid w:val="001218DF"/>
    <w:rsid w:val="00121AAE"/>
    <w:rsid w:val="00122036"/>
    <w:rsid w:val="001250CA"/>
    <w:rsid w:val="00125B5D"/>
    <w:rsid w:val="00126836"/>
    <w:rsid w:val="001307E7"/>
    <w:rsid w:val="001314D6"/>
    <w:rsid w:val="0013560A"/>
    <w:rsid w:val="00137141"/>
    <w:rsid w:val="001453A1"/>
    <w:rsid w:val="0014721C"/>
    <w:rsid w:val="00150F0D"/>
    <w:rsid w:val="0015174D"/>
    <w:rsid w:val="001535AB"/>
    <w:rsid w:val="0015464F"/>
    <w:rsid w:val="00163524"/>
    <w:rsid w:val="00163F3D"/>
    <w:rsid w:val="001659FD"/>
    <w:rsid w:val="00165F39"/>
    <w:rsid w:val="0017180C"/>
    <w:rsid w:val="001719D1"/>
    <w:rsid w:val="00171AF4"/>
    <w:rsid w:val="00172C6A"/>
    <w:rsid w:val="00172D3E"/>
    <w:rsid w:val="001731F9"/>
    <w:rsid w:val="001750E1"/>
    <w:rsid w:val="0017574F"/>
    <w:rsid w:val="00176356"/>
    <w:rsid w:val="001801DD"/>
    <w:rsid w:val="0018089D"/>
    <w:rsid w:val="001820B6"/>
    <w:rsid w:val="00182D5B"/>
    <w:rsid w:val="001845EC"/>
    <w:rsid w:val="001864CE"/>
    <w:rsid w:val="00187327"/>
    <w:rsid w:val="00187B44"/>
    <w:rsid w:val="00190D63"/>
    <w:rsid w:val="00191C25"/>
    <w:rsid w:val="00191D41"/>
    <w:rsid w:val="00197070"/>
    <w:rsid w:val="001977B7"/>
    <w:rsid w:val="00197C78"/>
    <w:rsid w:val="001A56EA"/>
    <w:rsid w:val="001A70EF"/>
    <w:rsid w:val="001B0138"/>
    <w:rsid w:val="001B13AC"/>
    <w:rsid w:val="001B4D27"/>
    <w:rsid w:val="001B668C"/>
    <w:rsid w:val="001B689E"/>
    <w:rsid w:val="001C0A81"/>
    <w:rsid w:val="001C11D1"/>
    <w:rsid w:val="001C1BD1"/>
    <w:rsid w:val="001C3758"/>
    <w:rsid w:val="001C3FC6"/>
    <w:rsid w:val="001C5EB3"/>
    <w:rsid w:val="001C7F90"/>
    <w:rsid w:val="001D2BAC"/>
    <w:rsid w:val="001D3CCB"/>
    <w:rsid w:val="001D546D"/>
    <w:rsid w:val="001D62EC"/>
    <w:rsid w:val="001D7618"/>
    <w:rsid w:val="001E1D94"/>
    <w:rsid w:val="001E23A6"/>
    <w:rsid w:val="001E507A"/>
    <w:rsid w:val="001E5DB5"/>
    <w:rsid w:val="001E6338"/>
    <w:rsid w:val="001E6D75"/>
    <w:rsid w:val="001F03FE"/>
    <w:rsid w:val="001F0A05"/>
    <w:rsid w:val="001F0DFA"/>
    <w:rsid w:val="001F2DED"/>
    <w:rsid w:val="001F522D"/>
    <w:rsid w:val="001F6C9A"/>
    <w:rsid w:val="00203A93"/>
    <w:rsid w:val="0021020E"/>
    <w:rsid w:val="00211089"/>
    <w:rsid w:val="00211854"/>
    <w:rsid w:val="00220D68"/>
    <w:rsid w:val="002210A0"/>
    <w:rsid w:val="00222744"/>
    <w:rsid w:val="00223D91"/>
    <w:rsid w:val="002249E4"/>
    <w:rsid w:val="00227012"/>
    <w:rsid w:val="0023054C"/>
    <w:rsid w:val="002305AE"/>
    <w:rsid w:val="00233527"/>
    <w:rsid w:val="002350B4"/>
    <w:rsid w:val="00237A1B"/>
    <w:rsid w:val="00240067"/>
    <w:rsid w:val="00243824"/>
    <w:rsid w:val="00245CA3"/>
    <w:rsid w:val="00252D41"/>
    <w:rsid w:val="00262FAF"/>
    <w:rsid w:val="00263589"/>
    <w:rsid w:val="002652D4"/>
    <w:rsid w:val="00265BD3"/>
    <w:rsid w:val="0026617B"/>
    <w:rsid w:val="002666BE"/>
    <w:rsid w:val="00266FFA"/>
    <w:rsid w:val="002735A4"/>
    <w:rsid w:val="002746CB"/>
    <w:rsid w:val="002750D5"/>
    <w:rsid w:val="002752A0"/>
    <w:rsid w:val="00277862"/>
    <w:rsid w:val="00281E49"/>
    <w:rsid w:val="00283568"/>
    <w:rsid w:val="0028395D"/>
    <w:rsid w:val="0028492E"/>
    <w:rsid w:val="00292269"/>
    <w:rsid w:val="002931E6"/>
    <w:rsid w:val="002963A7"/>
    <w:rsid w:val="00296512"/>
    <w:rsid w:val="00297486"/>
    <w:rsid w:val="00297C94"/>
    <w:rsid w:val="002A07FC"/>
    <w:rsid w:val="002A1028"/>
    <w:rsid w:val="002A1BFA"/>
    <w:rsid w:val="002A1DB1"/>
    <w:rsid w:val="002A2FB3"/>
    <w:rsid w:val="002A3B80"/>
    <w:rsid w:val="002A59DF"/>
    <w:rsid w:val="002A718C"/>
    <w:rsid w:val="002B2BE4"/>
    <w:rsid w:val="002B333A"/>
    <w:rsid w:val="002B3E5C"/>
    <w:rsid w:val="002B40E5"/>
    <w:rsid w:val="002B4685"/>
    <w:rsid w:val="002B4AB8"/>
    <w:rsid w:val="002B4EA6"/>
    <w:rsid w:val="002B5B05"/>
    <w:rsid w:val="002B6EBF"/>
    <w:rsid w:val="002C07C0"/>
    <w:rsid w:val="002C0C4F"/>
    <w:rsid w:val="002C0F39"/>
    <w:rsid w:val="002C1823"/>
    <w:rsid w:val="002C2901"/>
    <w:rsid w:val="002C3853"/>
    <w:rsid w:val="002C4C59"/>
    <w:rsid w:val="002C5842"/>
    <w:rsid w:val="002C5E0B"/>
    <w:rsid w:val="002C7F62"/>
    <w:rsid w:val="002D0187"/>
    <w:rsid w:val="002D63B6"/>
    <w:rsid w:val="002E25DE"/>
    <w:rsid w:val="002E3C02"/>
    <w:rsid w:val="002E3E71"/>
    <w:rsid w:val="002E3F5D"/>
    <w:rsid w:val="002E4EE2"/>
    <w:rsid w:val="002E5628"/>
    <w:rsid w:val="002F052A"/>
    <w:rsid w:val="002F37F6"/>
    <w:rsid w:val="002F6763"/>
    <w:rsid w:val="003012BB"/>
    <w:rsid w:val="003015F9"/>
    <w:rsid w:val="0030400F"/>
    <w:rsid w:val="00307121"/>
    <w:rsid w:val="003078BC"/>
    <w:rsid w:val="003105F3"/>
    <w:rsid w:val="00310B64"/>
    <w:rsid w:val="003126D3"/>
    <w:rsid w:val="00312DF2"/>
    <w:rsid w:val="00315F53"/>
    <w:rsid w:val="0031765F"/>
    <w:rsid w:val="00317F26"/>
    <w:rsid w:val="003203D0"/>
    <w:rsid w:val="00322DCE"/>
    <w:rsid w:val="00323170"/>
    <w:rsid w:val="003316F0"/>
    <w:rsid w:val="00332BCA"/>
    <w:rsid w:val="0033556B"/>
    <w:rsid w:val="00341DB8"/>
    <w:rsid w:val="00341FB3"/>
    <w:rsid w:val="0034317D"/>
    <w:rsid w:val="00350F31"/>
    <w:rsid w:val="003515D4"/>
    <w:rsid w:val="003519CC"/>
    <w:rsid w:val="0035309D"/>
    <w:rsid w:val="00354B52"/>
    <w:rsid w:val="0035599F"/>
    <w:rsid w:val="0035773D"/>
    <w:rsid w:val="00361CF9"/>
    <w:rsid w:val="00364F79"/>
    <w:rsid w:val="00367873"/>
    <w:rsid w:val="00370B08"/>
    <w:rsid w:val="00371986"/>
    <w:rsid w:val="00371B13"/>
    <w:rsid w:val="00372247"/>
    <w:rsid w:val="00372641"/>
    <w:rsid w:val="003815E2"/>
    <w:rsid w:val="00384017"/>
    <w:rsid w:val="003852E6"/>
    <w:rsid w:val="00385DE6"/>
    <w:rsid w:val="00386D49"/>
    <w:rsid w:val="003879AF"/>
    <w:rsid w:val="00390401"/>
    <w:rsid w:val="003929C4"/>
    <w:rsid w:val="00392EF5"/>
    <w:rsid w:val="00393433"/>
    <w:rsid w:val="00394E91"/>
    <w:rsid w:val="003A04F9"/>
    <w:rsid w:val="003A1020"/>
    <w:rsid w:val="003A1A97"/>
    <w:rsid w:val="003A2C94"/>
    <w:rsid w:val="003A4F39"/>
    <w:rsid w:val="003B149E"/>
    <w:rsid w:val="003B234B"/>
    <w:rsid w:val="003B3B69"/>
    <w:rsid w:val="003B6B9D"/>
    <w:rsid w:val="003C12EC"/>
    <w:rsid w:val="003C3D79"/>
    <w:rsid w:val="003C4D0F"/>
    <w:rsid w:val="003C621D"/>
    <w:rsid w:val="003C675C"/>
    <w:rsid w:val="003C782B"/>
    <w:rsid w:val="003D03A2"/>
    <w:rsid w:val="003D15BD"/>
    <w:rsid w:val="003D17DA"/>
    <w:rsid w:val="003D23AF"/>
    <w:rsid w:val="003D25E7"/>
    <w:rsid w:val="003D356D"/>
    <w:rsid w:val="003D3947"/>
    <w:rsid w:val="003D4831"/>
    <w:rsid w:val="003D4A65"/>
    <w:rsid w:val="003E053B"/>
    <w:rsid w:val="003E1314"/>
    <w:rsid w:val="003E1A39"/>
    <w:rsid w:val="003E24A1"/>
    <w:rsid w:val="003E2878"/>
    <w:rsid w:val="003E4647"/>
    <w:rsid w:val="003E4DB9"/>
    <w:rsid w:val="003E61EE"/>
    <w:rsid w:val="003F0CB4"/>
    <w:rsid w:val="003F4B40"/>
    <w:rsid w:val="003F5310"/>
    <w:rsid w:val="003F59F5"/>
    <w:rsid w:val="003F6C3F"/>
    <w:rsid w:val="00405981"/>
    <w:rsid w:val="00405A54"/>
    <w:rsid w:val="00405DB9"/>
    <w:rsid w:val="004105BB"/>
    <w:rsid w:val="00411E9A"/>
    <w:rsid w:val="00412056"/>
    <w:rsid w:val="00413D65"/>
    <w:rsid w:val="004164F1"/>
    <w:rsid w:val="0042165D"/>
    <w:rsid w:val="00421F0A"/>
    <w:rsid w:val="00422BB5"/>
    <w:rsid w:val="0042483F"/>
    <w:rsid w:val="00425256"/>
    <w:rsid w:val="00425EB3"/>
    <w:rsid w:val="0043099F"/>
    <w:rsid w:val="00431819"/>
    <w:rsid w:val="004329BC"/>
    <w:rsid w:val="00434DCB"/>
    <w:rsid w:val="004369B4"/>
    <w:rsid w:val="00441CFD"/>
    <w:rsid w:val="004431BA"/>
    <w:rsid w:val="004459AB"/>
    <w:rsid w:val="00445CD5"/>
    <w:rsid w:val="004512FE"/>
    <w:rsid w:val="004521CF"/>
    <w:rsid w:val="00452F00"/>
    <w:rsid w:val="00453A24"/>
    <w:rsid w:val="0045440C"/>
    <w:rsid w:val="00454F7E"/>
    <w:rsid w:val="00455894"/>
    <w:rsid w:val="004620B1"/>
    <w:rsid w:val="0046314B"/>
    <w:rsid w:val="00465080"/>
    <w:rsid w:val="00467692"/>
    <w:rsid w:val="004720B1"/>
    <w:rsid w:val="004729DC"/>
    <w:rsid w:val="00473220"/>
    <w:rsid w:val="004752A5"/>
    <w:rsid w:val="004760CF"/>
    <w:rsid w:val="00476FFB"/>
    <w:rsid w:val="00477A89"/>
    <w:rsid w:val="004813EA"/>
    <w:rsid w:val="004840C4"/>
    <w:rsid w:val="00484777"/>
    <w:rsid w:val="00484BFF"/>
    <w:rsid w:val="00490ECA"/>
    <w:rsid w:val="004914DB"/>
    <w:rsid w:val="00495033"/>
    <w:rsid w:val="00495EA8"/>
    <w:rsid w:val="00496DB6"/>
    <w:rsid w:val="004A06CC"/>
    <w:rsid w:val="004A0E4C"/>
    <w:rsid w:val="004A1EEA"/>
    <w:rsid w:val="004A2FFF"/>
    <w:rsid w:val="004A37C5"/>
    <w:rsid w:val="004A4A91"/>
    <w:rsid w:val="004A4E36"/>
    <w:rsid w:val="004A7486"/>
    <w:rsid w:val="004B318F"/>
    <w:rsid w:val="004C78EB"/>
    <w:rsid w:val="004C7D2E"/>
    <w:rsid w:val="004D3DA8"/>
    <w:rsid w:val="004D5133"/>
    <w:rsid w:val="004D7E5A"/>
    <w:rsid w:val="004E0B6A"/>
    <w:rsid w:val="004E10CB"/>
    <w:rsid w:val="004E470E"/>
    <w:rsid w:val="004E70CB"/>
    <w:rsid w:val="004F046C"/>
    <w:rsid w:val="004F0C05"/>
    <w:rsid w:val="004F79F0"/>
    <w:rsid w:val="004F7ED7"/>
    <w:rsid w:val="00502A28"/>
    <w:rsid w:val="00505002"/>
    <w:rsid w:val="00507B3F"/>
    <w:rsid w:val="00511B6E"/>
    <w:rsid w:val="005137BB"/>
    <w:rsid w:val="005149C5"/>
    <w:rsid w:val="005164B3"/>
    <w:rsid w:val="00516F69"/>
    <w:rsid w:val="00523338"/>
    <w:rsid w:val="00525306"/>
    <w:rsid w:val="00530963"/>
    <w:rsid w:val="00531AD8"/>
    <w:rsid w:val="00531E5D"/>
    <w:rsid w:val="00531ED9"/>
    <w:rsid w:val="00532280"/>
    <w:rsid w:val="00532AAE"/>
    <w:rsid w:val="00533467"/>
    <w:rsid w:val="005339FC"/>
    <w:rsid w:val="005340F1"/>
    <w:rsid w:val="005344D8"/>
    <w:rsid w:val="00535E4F"/>
    <w:rsid w:val="00535FE2"/>
    <w:rsid w:val="00542078"/>
    <w:rsid w:val="00543C10"/>
    <w:rsid w:val="00544F28"/>
    <w:rsid w:val="00546B9F"/>
    <w:rsid w:val="0055140E"/>
    <w:rsid w:val="00551B30"/>
    <w:rsid w:val="00551E76"/>
    <w:rsid w:val="005528F5"/>
    <w:rsid w:val="0055331A"/>
    <w:rsid w:val="00555B1C"/>
    <w:rsid w:val="0055687A"/>
    <w:rsid w:val="005568AC"/>
    <w:rsid w:val="005571AA"/>
    <w:rsid w:val="005604B1"/>
    <w:rsid w:val="00561F16"/>
    <w:rsid w:val="00562E6B"/>
    <w:rsid w:val="005638B5"/>
    <w:rsid w:val="00564756"/>
    <w:rsid w:val="0056587C"/>
    <w:rsid w:val="00570AC5"/>
    <w:rsid w:val="00570B7C"/>
    <w:rsid w:val="00572A09"/>
    <w:rsid w:val="005749CF"/>
    <w:rsid w:val="00575638"/>
    <w:rsid w:val="0057715C"/>
    <w:rsid w:val="00581E46"/>
    <w:rsid w:val="00586942"/>
    <w:rsid w:val="00586D50"/>
    <w:rsid w:val="00587139"/>
    <w:rsid w:val="0059041A"/>
    <w:rsid w:val="00592AED"/>
    <w:rsid w:val="0059583C"/>
    <w:rsid w:val="00595DFB"/>
    <w:rsid w:val="00595DFF"/>
    <w:rsid w:val="005A040B"/>
    <w:rsid w:val="005A0EA5"/>
    <w:rsid w:val="005A34BF"/>
    <w:rsid w:val="005A468F"/>
    <w:rsid w:val="005A5AE2"/>
    <w:rsid w:val="005A61AD"/>
    <w:rsid w:val="005A796A"/>
    <w:rsid w:val="005B122D"/>
    <w:rsid w:val="005B179F"/>
    <w:rsid w:val="005B4FE8"/>
    <w:rsid w:val="005B5075"/>
    <w:rsid w:val="005B60E2"/>
    <w:rsid w:val="005C2743"/>
    <w:rsid w:val="005C3240"/>
    <w:rsid w:val="005C358A"/>
    <w:rsid w:val="005C38F9"/>
    <w:rsid w:val="005C498A"/>
    <w:rsid w:val="005C5209"/>
    <w:rsid w:val="005C6ECF"/>
    <w:rsid w:val="005C7462"/>
    <w:rsid w:val="005C76AA"/>
    <w:rsid w:val="005D1BB5"/>
    <w:rsid w:val="005D2014"/>
    <w:rsid w:val="005D2878"/>
    <w:rsid w:val="005D2DAC"/>
    <w:rsid w:val="005D3ABE"/>
    <w:rsid w:val="005D400C"/>
    <w:rsid w:val="005D40A7"/>
    <w:rsid w:val="005D5A43"/>
    <w:rsid w:val="005D6D94"/>
    <w:rsid w:val="005E0B49"/>
    <w:rsid w:val="005E189B"/>
    <w:rsid w:val="005E43DF"/>
    <w:rsid w:val="005E45C0"/>
    <w:rsid w:val="005E5244"/>
    <w:rsid w:val="005E7578"/>
    <w:rsid w:val="005F1A7F"/>
    <w:rsid w:val="005F67AF"/>
    <w:rsid w:val="005F6DE9"/>
    <w:rsid w:val="006000D0"/>
    <w:rsid w:val="006020B4"/>
    <w:rsid w:val="00606B48"/>
    <w:rsid w:val="00607B6F"/>
    <w:rsid w:val="00611350"/>
    <w:rsid w:val="00611E27"/>
    <w:rsid w:val="00613C50"/>
    <w:rsid w:val="00617A01"/>
    <w:rsid w:val="0062045F"/>
    <w:rsid w:val="0062070A"/>
    <w:rsid w:val="00621AE4"/>
    <w:rsid w:val="00623A6B"/>
    <w:rsid w:val="0062535E"/>
    <w:rsid w:val="00625765"/>
    <w:rsid w:val="00626057"/>
    <w:rsid w:val="0063583F"/>
    <w:rsid w:val="00636BF7"/>
    <w:rsid w:val="006379C6"/>
    <w:rsid w:val="006472ED"/>
    <w:rsid w:val="00647344"/>
    <w:rsid w:val="00660A67"/>
    <w:rsid w:val="00663A36"/>
    <w:rsid w:val="0066431F"/>
    <w:rsid w:val="00670600"/>
    <w:rsid w:val="00671B26"/>
    <w:rsid w:val="006723BB"/>
    <w:rsid w:val="0067422A"/>
    <w:rsid w:val="006826DF"/>
    <w:rsid w:val="00684A44"/>
    <w:rsid w:val="00685451"/>
    <w:rsid w:val="0068738A"/>
    <w:rsid w:val="00687D0A"/>
    <w:rsid w:val="006908E2"/>
    <w:rsid w:val="00690F9C"/>
    <w:rsid w:val="0069133B"/>
    <w:rsid w:val="00694640"/>
    <w:rsid w:val="006946BA"/>
    <w:rsid w:val="006952F9"/>
    <w:rsid w:val="006952FD"/>
    <w:rsid w:val="0069622D"/>
    <w:rsid w:val="006A0148"/>
    <w:rsid w:val="006A310F"/>
    <w:rsid w:val="006A5256"/>
    <w:rsid w:val="006A7586"/>
    <w:rsid w:val="006B219A"/>
    <w:rsid w:val="006B30E2"/>
    <w:rsid w:val="006B557F"/>
    <w:rsid w:val="006C0272"/>
    <w:rsid w:val="006C0B93"/>
    <w:rsid w:val="006C1364"/>
    <w:rsid w:val="006C1666"/>
    <w:rsid w:val="006C1D02"/>
    <w:rsid w:val="006C28A2"/>
    <w:rsid w:val="006C3F36"/>
    <w:rsid w:val="006C52A7"/>
    <w:rsid w:val="006C58CF"/>
    <w:rsid w:val="006C58DC"/>
    <w:rsid w:val="006C5D8A"/>
    <w:rsid w:val="006C640B"/>
    <w:rsid w:val="006D1F47"/>
    <w:rsid w:val="006D40DB"/>
    <w:rsid w:val="006D449A"/>
    <w:rsid w:val="006D469B"/>
    <w:rsid w:val="006E20AC"/>
    <w:rsid w:val="006E2C47"/>
    <w:rsid w:val="006E3A98"/>
    <w:rsid w:val="006E3BBE"/>
    <w:rsid w:val="006E4148"/>
    <w:rsid w:val="006E5529"/>
    <w:rsid w:val="006E69D9"/>
    <w:rsid w:val="006F23E0"/>
    <w:rsid w:val="006F2742"/>
    <w:rsid w:val="006F31A9"/>
    <w:rsid w:val="006F404F"/>
    <w:rsid w:val="006F6817"/>
    <w:rsid w:val="00702658"/>
    <w:rsid w:val="00702A5D"/>
    <w:rsid w:val="00703019"/>
    <w:rsid w:val="00705962"/>
    <w:rsid w:val="00710575"/>
    <w:rsid w:val="00712452"/>
    <w:rsid w:val="00715081"/>
    <w:rsid w:val="00717009"/>
    <w:rsid w:val="00717FE2"/>
    <w:rsid w:val="007205B9"/>
    <w:rsid w:val="00720F23"/>
    <w:rsid w:val="00723F16"/>
    <w:rsid w:val="007313B1"/>
    <w:rsid w:val="00733EA7"/>
    <w:rsid w:val="007344FC"/>
    <w:rsid w:val="00734F3E"/>
    <w:rsid w:val="0073558A"/>
    <w:rsid w:val="00735823"/>
    <w:rsid w:val="00736750"/>
    <w:rsid w:val="00740A4F"/>
    <w:rsid w:val="00741628"/>
    <w:rsid w:val="007431C8"/>
    <w:rsid w:val="00743547"/>
    <w:rsid w:val="00744126"/>
    <w:rsid w:val="00745C1E"/>
    <w:rsid w:val="007502C2"/>
    <w:rsid w:val="00751732"/>
    <w:rsid w:val="00754067"/>
    <w:rsid w:val="0075551E"/>
    <w:rsid w:val="00756F3F"/>
    <w:rsid w:val="0075717F"/>
    <w:rsid w:val="00760397"/>
    <w:rsid w:val="0076139C"/>
    <w:rsid w:val="007620A6"/>
    <w:rsid w:val="00762EF3"/>
    <w:rsid w:val="00765E93"/>
    <w:rsid w:val="00766AE0"/>
    <w:rsid w:val="00766D22"/>
    <w:rsid w:val="0077006B"/>
    <w:rsid w:val="00771CD1"/>
    <w:rsid w:val="007752A9"/>
    <w:rsid w:val="0077780B"/>
    <w:rsid w:val="007809B0"/>
    <w:rsid w:val="00780BCD"/>
    <w:rsid w:val="00784301"/>
    <w:rsid w:val="00785FBC"/>
    <w:rsid w:val="00786705"/>
    <w:rsid w:val="007867D4"/>
    <w:rsid w:val="00790330"/>
    <w:rsid w:val="0079096A"/>
    <w:rsid w:val="007923CD"/>
    <w:rsid w:val="00793033"/>
    <w:rsid w:val="00793C8B"/>
    <w:rsid w:val="00797D3A"/>
    <w:rsid w:val="007A17E9"/>
    <w:rsid w:val="007A1811"/>
    <w:rsid w:val="007A1BE4"/>
    <w:rsid w:val="007A2B02"/>
    <w:rsid w:val="007A4B48"/>
    <w:rsid w:val="007A5B59"/>
    <w:rsid w:val="007A6586"/>
    <w:rsid w:val="007A7299"/>
    <w:rsid w:val="007A7A0B"/>
    <w:rsid w:val="007B296B"/>
    <w:rsid w:val="007B741C"/>
    <w:rsid w:val="007C037E"/>
    <w:rsid w:val="007C0DE2"/>
    <w:rsid w:val="007C2A20"/>
    <w:rsid w:val="007C3397"/>
    <w:rsid w:val="007C48B8"/>
    <w:rsid w:val="007C7A65"/>
    <w:rsid w:val="007D01C3"/>
    <w:rsid w:val="007D01EC"/>
    <w:rsid w:val="007D1307"/>
    <w:rsid w:val="007D35F3"/>
    <w:rsid w:val="007D440B"/>
    <w:rsid w:val="007D66D8"/>
    <w:rsid w:val="007D68CC"/>
    <w:rsid w:val="007D7ADE"/>
    <w:rsid w:val="007E29CE"/>
    <w:rsid w:val="007E5568"/>
    <w:rsid w:val="007E739C"/>
    <w:rsid w:val="007E7C0F"/>
    <w:rsid w:val="007F01D2"/>
    <w:rsid w:val="007F3912"/>
    <w:rsid w:val="007F4217"/>
    <w:rsid w:val="007F74E6"/>
    <w:rsid w:val="00800713"/>
    <w:rsid w:val="008016E1"/>
    <w:rsid w:val="0080313A"/>
    <w:rsid w:val="008037FF"/>
    <w:rsid w:val="00804005"/>
    <w:rsid w:val="00810317"/>
    <w:rsid w:val="0081057B"/>
    <w:rsid w:val="00814387"/>
    <w:rsid w:val="00814FC0"/>
    <w:rsid w:val="00817F59"/>
    <w:rsid w:val="00820052"/>
    <w:rsid w:val="00820EEF"/>
    <w:rsid w:val="00821766"/>
    <w:rsid w:val="008278FC"/>
    <w:rsid w:val="0083501A"/>
    <w:rsid w:val="00835C00"/>
    <w:rsid w:val="008404CF"/>
    <w:rsid w:val="0084109A"/>
    <w:rsid w:val="00842631"/>
    <w:rsid w:val="00842D93"/>
    <w:rsid w:val="00844558"/>
    <w:rsid w:val="00845525"/>
    <w:rsid w:val="00847A3B"/>
    <w:rsid w:val="00853681"/>
    <w:rsid w:val="0085491C"/>
    <w:rsid w:val="00856A7C"/>
    <w:rsid w:val="008572F9"/>
    <w:rsid w:val="00857DB7"/>
    <w:rsid w:val="00862146"/>
    <w:rsid w:val="00862994"/>
    <w:rsid w:val="00862A78"/>
    <w:rsid w:val="0086311F"/>
    <w:rsid w:val="008669F5"/>
    <w:rsid w:val="00870E57"/>
    <w:rsid w:val="00876278"/>
    <w:rsid w:val="0087758A"/>
    <w:rsid w:val="00877DC6"/>
    <w:rsid w:val="00880D03"/>
    <w:rsid w:val="008814BA"/>
    <w:rsid w:val="00884880"/>
    <w:rsid w:val="008870BC"/>
    <w:rsid w:val="00887B10"/>
    <w:rsid w:val="008902AE"/>
    <w:rsid w:val="00891912"/>
    <w:rsid w:val="0089344B"/>
    <w:rsid w:val="008948EB"/>
    <w:rsid w:val="00897E97"/>
    <w:rsid w:val="008A0660"/>
    <w:rsid w:val="008A10D6"/>
    <w:rsid w:val="008A1159"/>
    <w:rsid w:val="008A2139"/>
    <w:rsid w:val="008A34B3"/>
    <w:rsid w:val="008A41AD"/>
    <w:rsid w:val="008A611D"/>
    <w:rsid w:val="008A6FD6"/>
    <w:rsid w:val="008A72EB"/>
    <w:rsid w:val="008B21E0"/>
    <w:rsid w:val="008B4A7B"/>
    <w:rsid w:val="008B4A93"/>
    <w:rsid w:val="008B631C"/>
    <w:rsid w:val="008B702B"/>
    <w:rsid w:val="008B75AC"/>
    <w:rsid w:val="008C08AB"/>
    <w:rsid w:val="008C1FB7"/>
    <w:rsid w:val="008C50F0"/>
    <w:rsid w:val="008C6399"/>
    <w:rsid w:val="008C7652"/>
    <w:rsid w:val="008D15CE"/>
    <w:rsid w:val="008D164F"/>
    <w:rsid w:val="008D492D"/>
    <w:rsid w:val="008E375A"/>
    <w:rsid w:val="008E56A4"/>
    <w:rsid w:val="008F4CE6"/>
    <w:rsid w:val="008F5F3E"/>
    <w:rsid w:val="008F74C5"/>
    <w:rsid w:val="008F7660"/>
    <w:rsid w:val="008F7AE0"/>
    <w:rsid w:val="00900C70"/>
    <w:rsid w:val="00903A8B"/>
    <w:rsid w:val="00903F87"/>
    <w:rsid w:val="00904F18"/>
    <w:rsid w:val="009050A1"/>
    <w:rsid w:val="0090787D"/>
    <w:rsid w:val="00911177"/>
    <w:rsid w:val="009113A0"/>
    <w:rsid w:val="00913BBF"/>
    <w:rsid w:val="009206AC"/>
    <w:rsid w:val="00923A5E"/>
    <w:rsid w:val="00924B13"/>
    <w:rsid w:val="009252EF"/>
    <w:rsid w:val="00925B74"/>
    <w:rsid w:val="00925E63"/>
    <w:rsid w:val="009265A3"/>
    <w:rsid w:val="00927433"/>
    <w:rsid w:val="009279CD"/>
    <w:rsid w:val="00927C70"/>
    <w:rsid w:val="00931F67"/>
    <w:rsid w:val="00935E07"/>
    <w:rsid w:val="00936AFA"/>
    <w:rsid w:val="009371D8"/>
    <w:rsid w:val="0094052B"/>
    <w:rsid w:val="00942786"/>
    <w:rsid w:val="00942A0D"/>
    <w:rsid w:val="00954268"/>
    <w:rsid w:val="00954504"/>
    <w:rsid w:val="009545F8"/>
    <w:rsid w:val="00955FBB"/>
    <w:rsid w:val="00957082"/>
    <w:rsid w:val="00957969"/>
    <w:rsid w:val="00966221"/>
    <w:rsid w:val="00972E8E"/>
    <w:rsid w:val="00973DC5"/>
    <w:rsid w:val="009745FC"/>
    <w:rsid w:val="00974646"/>
    <w:rsid w:val="009800F5"/>
    <w:rsid w:val="00980F29"/>
    <w:rsid w:val="0098142F"/>
    <w:rsid w:val="0098205D"/>
    <w:rsid w:val="00982B4F"/>
    <w:rsid w:val="00987D4A"/>
    <w:rsid w:val="0099113A"/>
    <w:rsid w:val="0099279E"/>
    <w:rsid w:val="00993FE0"/>
    <w:rsid w:val="0099505A"/>
    <w:rsid w:val="00997853"/>
    <w:rsid w:val="009A1446"/>
    <w:rsid w:val="009A28F3"/>
    <w:rsid w:val="009A30DC"/>
    <w:rsid w:val="009A3486"/>
    <w:rsid w:val="009A570D"/>
    <w:rsid w:val="009A637B"/>
    <w:rsid w:val="009A6B88"/>
    <w:rsid w:val="009B3E0E"/>
    <w:rsid w:val="009B7740"/>
    <w:rsid w:val="009C00B3"/>
    <w:rsid w:val="009C091A"/>
    <w:rsid w:val="009C166B"/>
    <w:rsid w:val="009C37FA"/>
    <w:rsid w:val="009C4D6C"/>
    <w:rsid w:val="009D0DBD"/>
    <w:rsid w:val="009D26CB"/>
    <w:rsid w:val="009D27CC"/>
    <w:rsid w:val="009D368A"/>
    <w:rsid w:val="009D38CB"/>
    <w:rsid w:val="009D41A3"/>
    <w:rsid w:val="009E137E"/>
    <w:rsid w:val="009E20A5"/>
    <w:rsid w:val="009E329B"/>
    <w:rsid w:val="009E33D7"/>
    <w:rsid w:val="009E45EA"/>
    <w:rsid w:val="009E461F"/>
    <w:rsid w:val="009E4666"/>
    <w:rsid w:val="009F1793"/>
    <w:rsid w:val="009F2273"/>
    <w:rsid w:val="009F2D07"/>
    <w:rsid w:val="009F322A"/>
    <w:rsid w:val="009F337D"/>
    <w:rsid w:val="009F760C"/>
    <w:rsid w:val="00A020AE"/>
    <w:rsid w:val="00A0564F"/>
    <w:rsid w:val="00A05998"/>
    <w:rsid w:val="00A06B38"/>
    <w:rsid w:val="00A12758"/>
    <w:rsid w:val="00A158CC"/>
    <w:rsid w:val="00A16157"/>
    <w:rsid w:val="00A21FD8"/>
    <w:rsid w:val="00A22965"/>
    <w:rsid w:val="00A249A6"/>
    <w:rsid w:val="00A307AD"/>
    <w:rsid w:val="00A327E4"/>
    <w:rsid w:val="00A333AC"/>
    <w:rsid w:val="00A37D8D"/>
    <w:rsid w:val="00A4202F"/>
    <w:rsid w:val="00A4354F"/>
    <w:rsid w:val="00A4616E"/>
    <w:rsid w:val="00A46859"/>
    <w:rsid w:val="00A4694B"/>
    <w:rsid w:val="00A46F3A"/>
    <w:rsid w:val="00A472AA"/>
    <w:rsid w:val="00A475BE"/>
    <w:rsid w:val="00A52AFE"/>
    <w:rsid w:val="00A53E67"/>
    <w:rsid w:val="00A57886"/>
    <w:rsid w:val="00A619DC"/>
    <w:rsid w:val="00A61AE2"/>
    <w:rsid w:val="00A61D6B"/>
    <w:rsid w:val="00A65C04"/>
    <w:rsid w:val="00A707E4"/>
    <w:rsid w:val="00A719DE"/>
    <w:rsid w:val="00A75EA2"/>
    <w:rsid w:val="00A77714"/>
    <w:rsid w:val="00A80846"/>
    <w:rsid w:val="00A80A3E"/>
    <w:rsid w:val="00A834F6"/>
    <w:rsid w:val="00A8429D"/>
    <w:rsid w:val="00A9140D"/>
    <w:rsid w:val="00A923EE"/>
    <w:rsid w:val="00A92F34"/>
    <w:rsid w:val="00A92FB1"/>
    <w:rsid w:val="00A94F19"/>
    <w:rsid w:val="00A96334"/>
    <w:rsid w:val="00A963F0"/>
    <w:rsid w:val="00A96F07"/>
    <w:rsid w:val="00AA4585"/>
    <w:rsid w:val="00AA4994"/>
    <w:rsid w:val="00AA5A9C"/>
    <w:rsid w:val="00AA66DB"/>
    <w:rsid w:val="00AA6787"/>
    <w:rsid w:val="00AA7709"/>
    <w:rsid w:val="00AB1B94"/>
    <w:rsid w:val="00AB2712"/>
    <w:rsid w:val="00AB571D"/>
    <w:rsid w:val="00AB58ED"/>
    <w:rsid w:val="00AB68A8"/>
    <w:rsid w:val="00AB6D1E"/>
    <w:rsid w:val="00AB6D48"/>
    <w:rsid w:val="00AC07DE"/>
    <w:rsid w:val="00AC351A"/>
    <w:rsid w:val="00AC36F8"/>
    <w:rsid w:val="00AC5327"/>
    <w:rsid w:val="00AC554C"/>
    <w:rsid w:val="00AC5A69"/>
    <w:rsid w:val="00AC6D60"/>
    <w:rsid w:val="00AD1259"/>
    <w:rsid w:val="00AD1483"/>
    <w:rsid w:val="00AD1B30"/>
    <w:rsid w:val="00AD21FC"/>
    <w:rsid w:val="00AD33DB"/>
    <w:rsid w:val="00AD3B4D"/>
    <w:rsid w:val="00AD5A01"/>
    <w:rsid w:val="00AD5C73"/>
    <w:rsid w:val="00AD6B15"/>
    <w:rsid w:val="00AD70C8"/>
    <w:rsid w:val="00AE15C1"/>
    <w:rsid w:val="00AE1FB4"/>
    <w:rsid w:val="00AE2950"/>
    <w:rsid w:val="00AE48A8"/>
    <w:rsid w:val="00AE6373"/>
    <w:rsid w:val="00AE7A65"/>
    <w:rsid w:val="00AE7BD0"/>
    <w:rsid w:val="00AF0DF7"/>
    <w:rsid w:val="00AF4582"/>
    <w:rsid w:val="00AF58D5"/>
    <w:rsid w:val="00AF623F"/>
    <w:rsid w:val="00AF684B"/>
    <w:rsid w:val="00AF69EB"/>
    <w:rsid w:val="00AF7020"/>
    <w:rsid w:val="00AF76FD"/>
    <w:rsid w:val="00B00849"/>
    <w:rsid w:val="00B017F3"/>
    <w:rsid w:val="00B0436F"/>
    <w:rsid w:val="00B0633D"/>
    <w:rsid w:val="00B10414"/>
    <w:rsid w:val="00B11487"/>
    <w:rsid w:val="00B11780"/>
    <w:rsid w:val="00B11E79"/>
    <w:rsid w:val="00B12184"/>
    <w:rsid w:val="00B1473D"/>
    <w:rsid w:val="00B1487D"/>
    <w:rsid w:val="00B1596E"/>
    <w:rsid w:val="00B16021"/>
    <w:rsid w:val="00B200EF"/>
    <w:rsid w:val="00B2010D"/>
    <w:rsid w:val="00B20232"/>
    <w:rsid w:val="00B21142"/>
    <w:rsid w:val="00B21DB0"/>
    <w:rsid w:val="00B25E95"/>
    <w:rsid w:val="00B26557"/>
    <w:rsid w:val="00B26AB9"/>
    <w:rsid w:val="00B31206"/>
    <w:rsid w:val="00B31882"/>
    <w:rsid w:val="00B3202B"/>
    <w:rsid w:val="00B327F0"/>
    <w:rsid w:val="00B33013"/>
    <w:rsid w:val="00B33570"/>
    <w:rsid w:val="00B36D8A"/>
    <w:rsid w:val="00B43C74"/>
    <w:rsid w:val="00B45645"/>
    <w:rsid w:val="00B4575C"/>
    <w:rsid w:val="00B45987"/>
    <w:rsid w:val="00B45CFC"/>
    <w:rsid w:val="00B465AA"/>
    <w:rsid w:val="00B46E0F"/>
    <w:rsid w:val="00B5125D"/>
    <w:rsid w:val="00B53D4D"/>
    <w:rsid w:val="00B54497"/>
    <w:rsid w:val="00B545A5"/>
    <w:rsid w:val="00B56333"/>
    <w:rsid w:val="00B56D87"/>
    <w:rsid w:val="00B613A3"/>
    <w:rsid w:val="00B620DD"/>
    <w:rsid w:val="00B6219D"/>
    <w:rsid w:val="00B63451"/>
    <w:rsid w:val="00B636CF"/>
    <w:rsid w:val="00B65517"/>
    <w:rsid w:val="00B7079A"/>
    <w:rsid w:val="00B7259A"/>
    <w:rsid w:val="00B77F51"/>
    <w:rsid w:val="00B80331"/>
    <w:rsid w:val="00B80511"/>
    <w:rsid w:val="00B8119B"/>
    <w:rsid w:val="00B8386A"/>
    <w:rsid w:val="00B8599C"/>
    <w:rsid w:val="00B87833"/>
    <w:rsid w:val="00B907BE"/>
    <w:rsid w:val="00B92AC0"/>
    <w:rsid w:val="00B92B24"/>
    <w:rsid w:val="00B9657F"/>
    <w:rsid w:val="00BA2032"/>
    <w:rsid w:val="00BA232B"/>
    <w:rsid w:val="00BA39DB"/>
    <w:rsid w:val="00BA4DC1"/>
    <w:rsid w:val="00BA5F3E"/>
    <w:rsid w:val="00BA6601"/>
    <w:rsid w:val="00BA79D2"/>
    <w:rsid w:val="00BB0027"/>
    <w:rsid w:val="00BB5F36"/>
    <w:rsid w:val="00BB623D"/>
    <w:rsid w:val="00BB6894"/>
    <w:rsid w:val="00BB6C40"/>
    <w:rsid w:val="00BB79EE"/>
    <w:rsid w:val="00BC2C58"/>
    <w:rsid w:val="00BC40EB"/>
    <w:rsid w:val="00BC42B9"/>
    <w:rsid w:val="00BC4C15"/>
    <w:rsid w:val="00BC5093"/>
    <w:rsid w:val="00BC7907"/>
    <w:rsid w:val="00BD0523"/>
    <w:rsid w:val="00BD0B50"/>
    <w:rsid w:val="00BD0FFC"/>
    <w:rsid w:val="00BD2BAE"/>
    <w:rsid w:val="00BD317E"/>
    <w:rsid w:val="00BD3204"/>
    <w:rsid w:val="00BD3956"/>
    <w:rsid w:val="00BD53D5"/>
    <w:rsid w:val="00BE0032"/>
    <w:rsid w:val="00BE0C4F"/>
    <w:rsid w:val="00BE278E"/>
    <w:rsid w:val="00BE4393"/>
    <w:rsid w:val="00BE51CF"/>
    <w:rsid w:val="00BE6610"/>
    <w:rsid w:val="00BE6EF7"/>
    <w:rsid w:val="00BE716A"/>
    <w:rsid w:val="00BF02FA"/>
    <w:rsid w:val="00BF0309"/>
    <w:rsid w:val="00BF0650"/>
    <w:rsid w:val="00BF117C"/>
    <w:rsid w:val="00BF2B17"/>
    <w:rsid w:val="00BF3D60"/>
    <w:rsid w:val="00BF3D8B"/>
    <w:rsid w:val="00BF4408"/>
    <w:rsid w:val="00BF5489"/>
    <w:rsid w:val="00BF592F"/>
    <w:rsid w:val="00BF66E0"/>
    <w:rsid w:val="00BF7243"/>
    <w:rsid w:val="00BF739D"/>
    <w:rsid w:val="00BF78E6"/>
    <w:rsid w:val="00BF7A60"/>
    <w:rsid w:val="00BF7C1F"/>
    <w:rsid w:val="00C0148C"/>
    <w:rsid w:val="00C023BF"/>
    <w:rsid w:val="00C04EF0"/>
    <w:rsid w:val="00C05850"/>
    <w:rsid w:val="00C07A2B"/>
    <w:rsid w:val="00C11EC6"/>
    <w:rsid w:val="00C134A6"/>
    <w:rsid w:val="00C148D5"/>
    <w:rsid w:val="00C14AE4"/>
    <w:rsid w:val="00C21282"/>
    <w:rsid w:val="00C238AD"/>
    <w:rsid w:val="00C23BC4"/>
    <w:rsid w:val="00C23DA0"/>
    <w:rsid w:val="00C2445F"/>
    <w:rsid w:val="00C31F22"/>
    <w:rsid w:val="00C337D6"/>
    <w:rsid w:val="00C36564"/>
    <w:rsid w:val="00C36A53"/>
    <w:rsid w:val="00C37163"/>
    <w:rsid w:val="00C37B5B"/>
    <w:rsid w:val="00C37EB4"/>
    <w:rsid w:val="00C416AA"/>
    <w:rsid w:val="00C458C4"/>
    <w:rsid w:val="00C45ED1"/>
    <w:rsid w:val="00C466EA"/>
    <w:rsid w:val="00C46C54"/>
    <w:rsid w:val="00C50A57"/>
    <w:rsid w:val="00C51B28"/>
    <w:rsid w:val="00C549E6"/>
    <w:rsid w:val="00C5657F"/>
    <w:rsid w:val="00C5703D"/>
    <w:rsid w:val="00C6020A"/>
    <w:rsid w:val="00C62458"/>
    <w:rsid w:val="00C6321B"/>
    <w:rsid w:val="00C63515"/>
    <w:rsid w:val="00C635BA"/>
    <w:rsid w:val="00C63B71"/>
    <w:rsid w:val="00C64149"/>
    <w:rsid w:val="00C646B8"/>
    <w:rsid w:val="00C704E0"/>
    <w:rsid w:val="00C71B72"/>
    <w:rsid w:val="00C72737"/>
    <w:rsid w:val="00C72DAD"/>
    <w:rsid w:val="00C73584"/>
    <w:rsid w:val="00C73BC3"/>
    <w:rsid w:val="00C77C13"/>
    <w:rsid w:val="00C82B04"/>
    <w:rsid w:val="00C847C0"/>
    <w:rsid w:val="00C85C5E"/>
    <w:rsid w:val="00C85CB3"/>
    <w:rsid w:val="00C877B7"/>
    <w:rsid w:val="00C92CDF"/>
    <w:rsid w:val="00C92E7E"/>
    <w:rsid w:val="00C9314B"/>
    <w:rsid w:val="00C93160"/>
    <w:rsid w:val="00C938B0"/>
    <w:rsid w:val="00C94C27"/>
    <w:rsid w:val="00CA0C90"/>
    <w:rsid w:val="00CA1213"/>
    <w:rsid w:val="00CA32FF"/>
    <w:rsid w:val="00CA390D"/>
    <w:rsid w:val="00CA4BB4"/>
    <w:rsid w:val="00CA4DD5"/>
    <w:rsid w:val="00CA6CE9"/>
    <w:rsid w:val="00CB0E96"/>
    <w:rsid w:val="00CB20C7"/>
    <w:rsid w:val="00CB2F29"/>
    <w:rsid w:val="00CB570F"/>
    <w:rsid w:val="00CC05F0"/>
    <w:rsid w:val="00CC2BD0"/>
    <w:rsid w:val="00CC380A"/>
    <w:rsid w:val="00CC3974"/>
    <w:rsid w:val="00CC5962"/>
    <w:rsid w:val="00CC600C"/>
    <w:rsid w:val="00CC6A19"/>
    <w:rsid w:val="00CD10E5"/>
    <w:rsid w:val="00CD485D"/>
    <w:rsid w:val="00CD4883"/>
    <w:rsid w:val="00CD4905"/>
    <w:rsid w:val="00CD511C"/>
    <w:rsid w:val="00CD5A8F"/>
    <w:rsid w:val="00CD7634"/>
    <w:rsid w:val="00CE1754"/>
    <w:rsid w:val="00CE2306"/>
    <w:rsid w:val="00CE25BB"/>
    <w:rsid w:val="00CE3245"/>
    <w:rsid w:val="00CE32C0"/>
    <w:rsid w:val="00CE373F"/>
    <w:rsid w:val="00CE3B2B"/>
    <w:rsid w:val="00CE4D56"/>
    <w:rsid w:val="00CF217A"/>
    <w:rsid w:val="00CF2AC6"/>
    <w:rsid w:val="00CF31B0"/>
    <w:rsid w:val="00CF36FE"/>
    <w:rsid w:val="00CF467A"/>
    <w:rsid w:val="00CF46EC"/>
    <w:rsid w:val="00CF64FE"/>
    <w:rsid w:val="00CF7FB1"/>
    <w:rsid w:val="00D02159"/>
    <w:rsid w:val="00D11CB4"/>
    <w:rsid w:val="00D13852"/>
    <w:rsid w:val="00D1449F"/>
    <w:rsid w:val="00D207BB"/>
    <w:rsid w:val="00D2157C"/>
    <w:rsid w:val="00D21A6D"/>
    <w:rsid w:val="00D21E22"/>
    <w:rsid w:val="00D23738"/>
    <w:rsid w:val="00D2536F"/>
    <w:rsid w:val="00D25416"/>
    <w:rsid w:val="00D30069"/>
    <w:rsid w:val="00D303CE"/>
    <w:rsid w:val="00D31A2B"/>
    <w:rsid w:val="00D333A8"/>
    <w:rsid w:val="00D33CC5"/>
    <w:rsid w:val="00D33F3C"/>
    <w:rsid w:val="00D426F0"/>
    <w:rsid w:val="00D4472D"/>
    <w:rsid w:val="00D44F2C"/>
    <w:rsid w:val="00D50166"/>
    <w:rsid w:val="00D5080D"/>
    <w:rsid w:val="00D51D28"/>
    <w:rsid w:val="00D51EA8"/>
    <w:rsid w:val="00D52226"/>
    <w:rsid w:val="00D524C5"/>
    <w:rsid w:val="00D53199"/>
    <w:rsid w:val="00D54364"/>
    <w:rsid w:val="00D543D1"/>
    <w:rsid w:val="00D554A5"/>
    <w:rsid w:val="00D554CF"/>
    <w:rsid w:val="00D61240"/>
    <w:rsid w:val="00D620B0"/>
    <w:rsid w:val="00D62262"/>
    <w:rsid w:val="00D638B0"/>
    <w:rsid w:val="00D66B7D"/>
    <w:rsid w:val="00D7076F"/>
    <w:rsid w:val="00D707F7"/>
    <w:rsid w:val="00D708CF"/>
    <w:rsid w:val="00D718C2"/>
    <w:rsid w:val="00D71E9C"/>
    <w:rsid w:val="00D72434"/>
    <w:rsid w:val="00D731D2"/>
    <w:rsid w:val="00D73B45"/>
    <w:rsid w:val="00D81087"/>
    <w:rsid w:val="00D811ED"/>
    <w:rsid w:val="00D834F9"/>
    <w:rsid w:val="00D911B2"/>
    <w:rsid w:val="00D919F6"/>
    <w:rsid w:val="00D96026"/>
    <w:rsid w:val="00D965D5"/>
    <w:rsid w:val="00D96BB8"/>
    <w:rsid w:val="00D976CF"/>
    <w:rsid w:val="00DA1769"/>
    <w:rsid w:val="00DA2B65"/>
    <w:rsid w:val="00DA2FBA"/>
    <w:rsid w:val="00DA3BD5"/>
    <w:rsid w:val="00DA5C41"/>
    <w:rsid w:val="00DA64AB"/>
    <w:rsid w:val="00DA6C99"/>
    <w:rsid w:val="00DA707D"/>
    <w:rsid w:val="00DB4D33"/>
    <w:rsid w:val="00DB6353"/>
    <w:rsid w:val="00DB680A"/>
    <w:rsid w:val="00DC2BEC"/>
    <w:rsid w:val="00DC43FB"/>
    <w:rsid w:val="00DC67B5"/>
    <w:rsid w:val="00DD0426"/>
    <w:rsid w:val="00DD08FC"/>
    <w:rsid w:val="00DD5B4E"/>
    <w:rsid w:val="00DD62FF"/>
    <w:rsid w:val="00DD7A9F"/>
    <w:rsid w:val="00DE0E96"/>
    <w:rsid w:val="00DE1255"/>
    <w:rsid w:val="00DE1AA3"/>
    <w:rsid w:val="00DE2613"/>
    <w:rsid w:val="00DE4B23"/>
    <w:rsid w:val="00DE7250"/>
    <w:rsid w:val="00DF1B54"/>
    <w:rsid w:val="00DF50BB"/>
    <w:rsid w:val="00DF5A36"/>
    <w:rsid w:val="00DF6C02"/>
    <w:rsid w:val="00E02F11"/>
    <w:rsid w:val="00E042C0"/>
    <w:rsid w:val="00E04D09"/>
    <w:rsid w:val="00E10127"/>
    <w:rsid w:val="00E1063F"/>
    <w:rsid w:val="00E14E7F"/>
    <w:rsid w:val="00E16B65"/>
    <w:rsid w:val="00E16C74"/>
    <w:rsid w:val="00E21113"/>
    <w:rsid w:val="00E2185D"/>
    <w:rsid w:val="00E23940"/>
    <w:rsid w:val="00E27815"/>
    <w:rsid w:val="00E303D4"/>
    <w:rsid w:val="00E306AB"/>
    <w:rsid w:val="00E30DEA"/>
    <w:rsid w:val="00E32338"/>
    <w:rsid w:val="00E42EEE"/>
    <w:rsid w:val="00E42FBC"/>
    <w:rsid w:val="00E43714"/>
    <w:rsid w:val="00E43865"/>
    <w:rsid w:val="00E46858"/>
    <w:rsid w:val="00E478FA"/>
    <w:rsid w:val="00E50AA6"/>
    <w:rsid w:val="00E519CE"/>
    <w:rsid w:val="00E51BFD"/>
    <w:rsid w:val="00E52FDC"/>
    <w:rsid w:val="00E53B53"/>
    <w:rsid w:val="00E55CDE"/>
    <w:rsid w:val="00E61210"/>
    <w:rsid w:val="00E629E5"/>
    <w:rsid w:val="00E62BD3"/>
    <w:rsid w:val="00E63B58"/>
    <w:rsid w:val="00E6487F"/>
    <w:rsid w:val="00E66D1F"/>
    <w:rsid w:val="00E66F58"/>
    <w:rsid w:val="00E67620"/>
    <w:rsid w:val="00E740E0"/>
    <w:rsid w:val="00E7474A"/>
    <w:rsid w:val="00E750CE"/>
    <w:rsid w:val="00E75665"/>
    <w:rsid w:val="00E75E2F"/>
    <w:rsid w:val="00E763EC"/>
    <w:rsid w:val="00E76879"/>
    <w:rsid w:val="00E8129E"/>
    <w:rsid w:val="00E8453C"/>
    <w:rsid w:val="00E87BC1"/>
    <w:rsid w:val="00E914AF"/>
    <w:rsid w:val="00E9156B"/>
    <w:rsid w:val="00E91797"/>
    <w:rsid w:val="00E93158"/>
    <w:rsid w:val="00E93E09"/>
    <w:rsid w:val="00E94116"/>
    <w:rsid w:val="00E964EA"/>
    <w:rsid w:val="00E9735A"/>
    <w:rsid w:val="00E97413"/>
    <w:rsid w:val="00EA0CF8"/>
    <w:rsid w:val="00EA3639"/>
    <w:rsid w:val="00EA3913"/>
    <w:rsid w:val="00EA3994"/>
    <w:rsid w:val="00EA7D37"/>
    <w:rsid w:val="00EB0DD5"/>
    <w:rsid w:val="00EB0E32"/>
    <w:rsid w:val="00EB1B91"/>
    <w:rsid w:val="00EB1CB2"/>
    <w:rsid w:val="00EB297D"/>
    <w:rsid w:val="00EB3F38"/>
    <w:rsid w:val="00EB422C"/>
    <w:rsid w:val="00EB6CFB"/>
    <w:rsid w:val="00EC0172"/>
    <w:rsid w:val="00EC0446"/>
    <w:rsid w:val="00EC51CF"/>
    <w:rsid w:val="00ED13E2"/>
    <w:rsid w:val="00ED16BA"/>
    <w:rsid w:val="00ED2EC4"/>
    <w:rsid w:val="00ED35F4"/>
    <w:rsid w:val="00ED3A56"/>
    <w:rsid w:val="00ED71D0"/>
    <w:rsid w:val="00EE03F5"/>
    <w:rsid w:val="00EE14D0"/>
    <w:rsid w:val="00EF0D48"/>
    <w:rsid w:val="00EF2052"/>
    <w:rsid w:val="00EF36F5"/>
    <w:rsid w:val="00EF3BE4"/>
    <w:rsid w:val="00EF3C08"/>
    <w:rsid w:val="00EF3C0E"/>
    <w:rsid w:val="00EF4749"/>
    <w:rsid w:val="00EF5DEF"/>
    <w:rsid w:val="00EF62C3"/>
    <w:rsid w:val="00EF713A"/>
    <w:rsid w:val="00F00062"/>
    <w:rsid w:val="00F003D2"/>
    <w:rsid w:val="00F02976"/>
    <w:rsid w:val="00F02D22"/>
    <w:rsid w:val="00F03A5F"/>
    <w:rsid w:val="00F070EF"/>
    <w:rsid w:val="00F10A03"/>
    <w:rsid w:val="00F12E9C"/>
    <w:rsid w:val="00F137E7"/>
    <w:rsid w:val="00F13C2E"/>
    <w:rsid w:val="00F1433A"/>
    <w:rsid w:val="00F153FF"/>
    <w:rsid w:val="00F15C97"/>
    <w:rsid w:val="00F17044"/>
    <w:rsid w:val="00F20EF4"/>
    <w:rsid w:val="00F234D9"/>
    <w:rsid w:val="00F249CA"/>
    <w:rsid w:val="00F2526D"/>
    <w:rsid w:val="00F253EC"/>
    <w:rsid w:val="00F32629"/>
    <w:rsid w:val="00F32CE4"/>
    <w:rsid w:val="00F3592B"/>
    <w:rsid w:val="00F35C3F"/>
    <w:rsid w:val="00F41EA4"/>
    <w:rsid w:val="00F47B52"/>
    <w:rsid w:val="00F500E4"/>
    <w:rsid w:val="00F540CC"/>
    <w:rsid w:val="00F55C1A"/>
    <w:rsid w:val="00F600C0"/>
    <w:rsid w:val="00F6046E"/>
    <w:rsid w:val="00F60F88"/>
    <w:rsid w:val="00F6192B"/>
    <w:rsid w:val="00F624A7"/>
    <w:rsid w:val="00F63B25"/>
    <w:rsid w:val="00F66966"/>
    <w:rsid w:val="00F670D4"/>
    <w:rsid w:val="00F74FE8"/>
    <w:rsid w:val="00F75CC9"/>
    <w:rsid w:val="00F772AB"/>
    <w:rsid w:val="00F80C21"/>
    <w:rsid w:val="00F81460"/>
    <w:rsid w:val="00F82262"/>
    <w:rsid w:val="00F82308"/>
    <w:rsid w:val="00F82771"/>
    <w:rsid w:val="00F827AD"/>
    <w:rsid w:val="00F82C79"/>
    <w:rsid w:val="00F83B32"/>
    <w:rsid w:val="00F83F93"/>
    <w:rsid w:val="00F87342"/>
    <w:rsid w:val="00F91ABB"/>
    <w:rsid w:val="00F924C3"/>
    <w:rsid w:val="00F93088"/>
    <w:rsid w:val="00F93934"/>
    <w:rsid w:val="00F96298"/>
    <w:rsid w:val="00F968CF"/>
    <w:rsid w:val="00FA0B2F"/>
    <w:rsid w:val="00FA0C34"/>
    <w:rsid w:val="00FA1481"/>
    <w:rsid w:val="00FA5A35"/>
    <w:rsid w:val="00FA7D82"/>
    <w:rsid w:val="00FB01E5"/>
    <w:rsid w:val="00FB1246"/>
    <w:rsid w:val="00FB24A9"/>
    <w:rsid w:val="00FB484A"/>
    <w:rsid w:val="00FB5B45"/>
    <w:rsid w:val="00FB61EA"/>
    <w:rsid w:val="00FC1CBB"/>
    <w:rsid w:val="00FD064D"/>
    <w:rsid w:val="00FD20FF"/>
    <w:rsid w:val="00FD2BFA"/>
    <w:rsid w:val="00FD36E1"/>
    <w:rsid w:val="00FD4873"/>
    <w:rsid w:val="00FD5372"/>
    <w:rsid w:val="00FD5647"/>
    <w:rsid w:val="00FD5984"/>
    <w:rsid w:val="00FD675C"/>
    <w:rsid w:val="00FD7052"/>
    <w:rsid w:val="00FD7BFA"/>
    <w:rsid w:val="00FD7FF7"/>
    <w:rsid w:val="00FE27FD"/>
    <w:rsid w:val="00FE4015"/>
    <w:rsid w:val="00FE496B"/>
    <w:rsid w:val="00FE596E"/>
    <w:rsid w:val="00FE67B2"/>
    <w:rsid w:val="00FE7D49"/>
    <w:rsid w:val="00FF2CB3"/>
    <w:rsid w:val="00FF727E"/>
    <w:rsid w:val="107D3F61"/>
    <w:rsid w:val="6F067A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4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5"/>
    <w:semiHidden/>
    <w:unhideWhenUsed/>
    <w:qFormat/>
    <w:uiPriority w:val="99"/>
    <w:rPr>
      <w:rFonts w:ascii="宋体" w:eastAsia="宋体"/>
      <w:sz w:val="20"/>
      <w:szCs w:val="18"/>
    </w:rPr>
  </w:style>
  <w:style w:type="paragraph" w:styleId="8">
    <w:name w:val="annotation text"/>
    <w:basedOn w:val="1"/>
    <w:link w:val="32"/>
    <w:semiHidden/>
    <w:unhideWhenUsed/>
    <w:qFormat/>
    <w:uiPriority w:val="99"/>
    <w:pPr>
      <w:jc w:val="left"/>
    </w:pPr>
  </w:style>
  <w:style w:type="paragraph" w:styleId="9">
    <w:name w:val="Body Text"/>
    <w:basedOn w:val="1"/>
    <w:link w:val="41"/>
    <w:semiHidden/>
    <w:unhideWhenUsed/>
    <w:qFormat/>
    <w:uiPriority w:val="99"/>
    <w:pPr>
      <w:spacing w:after="120"/>
    </w:pPr>
  </w:style>
  <w:style w:type="paragraph" w:styleId="10">
    <w:name w:val="Balloon Text"/>
    <w:basedOn w:val="1"/>
    <w:link w:val="24"/>
    <w:unhideWhenUsed/>
    <w:qFormat/>
    <w:uiPriority w:val="99"/>
    <w:rPr>
      <w:sz w:val="18"/>
      <w:szCs w:val="18"/>
    </w:rPr>
  </w:style>
  <w:style w:type="paragraph" w:styleId="11">
    <w:name w:val="footer"/>
    <w:basedOn w:val="1"/>
    <w:link w:val="27"/>
    <w:semiHidden/>
    <w:unhideWhenUsed/>
    <w:qFormat/>
    <w:uiPriority w:val="99"/>
    <w:pPr>
      <w:tabs>
        <w:tab w:val="center" w:pos="4153"/>
        <w:tab w:val="right" w:pos="8306"/>
      </w:tabs>
      <w:snapToGrid w:val="0"/>
      <w:jc w:val="left"/>
    </w:pPr>
    <w:rPr>
      <w:sz w:val="18"/>
      <w:szCs w:val="18"/>
    </w:rPr>
  </w:style>
  <w:style w:type="paragraph" w:styleId="12">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szCs w:val="22"/>
    </w:rPr>
  </w:style>
  <w:style w:type="paragraph" w:styleId="14">
    <w:name w:val="Body Text Indent 3"/>
    <w:basedOn w:val="1"/>
    <w:link w:val="29"/>
    <w:qFormat/>
    <w:uiPriority w:val="0"/>
    <w:pPr>
      <w:spacing w:after="120"/>
      <w:ind w:left="420" w:leftChars="200"/>
    </w:pPr>
    <w:rPr>
      <w:rFonts w:ascii="Times New Roman" w:hAnsi="Times New Roman" w:eastAsia="宋体" w:cs="Times New Roman"/>
      <w:sz w:val="16"/>
      <w:szCs w:val="16"/>
    </w:rPr>
  </w:style>
  <w:style w:type="paragraph" w:styleId="15">
    <w:name w:val="Title"/>
    <w:basedOn w:val="1"/>
    <w:next w:val="1"/>
    <w:link w:val="52"/>
    <w:qFormat/>
    <w:uiPriority w:val="0"/>
    <w:pPr>
      <w:spacing w:before="300" w:after="300" w:line="520" w:lineRule="exact"/>
      <w:jc w:val="center"/>
      <w:outlineLvl w:val="0"/>
    </w:pPr>
    <w:rPr>
      <w:rFonts w:ascii="Times New Roman" w:hAnsi="Times New Roman" w:eastAsia="黑体" w:cs="Times New Roman"/>
      <w:b/>
      <w:bCs/>
      <w:sz w:val="36"/>
      <w:szCs w:val="32"/>
    </w:rPr>
  </w:style>
  <w:style w:type="paragraph" w:styleId="16">
    <w:name w:val="annotation subject"/>
    <w:basedOn w:val="8"/>
    <w:next w:val="8"/>
    <w:link w:val="33"/>
    <w:semiHidden/>
    <w:unhideWhenUsed/>
    <w:qFormat/>
    <w:uiPriority w:val="99"/>
    <w:rPr>
      <w:b/>
      <w:bCs/>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20"/>
    <w:rPr>
      <w:i/>
    </w:rPr>
  </w:style>
  <w:style w:type="character" w:styleId="22">
    <w:name w:val="Hyperlink"/>
    <w:basedOn w:val="19"/>
    <w:semiHidden/>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customStyle="1" w:styleId="24">
    <w:name w:val="批注框文本 Char"/>
    <w:basedOn w:val="19"/>
    <w:link w:val="10"/>
    <w:qFormat/>
    <w:uiPriority w:val="99"/>
    <w:rPr>
      <w:sz w:val="18"/>
      <w:szCs w:val="18"/>
    </w:rPr>
  </w:style>
  <w:style w:type="character" w:customStyle="1" w:styleId="25">
    <w:name w:val="文档结构图 Char"/>
    <w:basedOn w:val="19"/>
    <w:link w:val="7"/>
    <w:semiHidden/>
    <w:qFormat/>
    <w:uiPriority w:val="99"/>
    <w:rPr>
      <w:rFonts w:ascii="宋体" w:eastAsia="宋体"/>
      <w:sz w:val="20"/>
      <w:szCs w:val="18"/>
    </w:rPr>
  </w:style>
  <w:style w:type="character" w:customStyle="1" w:styleId="26">
    <w:name w:val="页眉 Char"/>
    <w:basedOn w:val="19"/>
    <w:link w:val="12"/>
    <w:semiHidden/>
    <w:qFormat/>
    <w:uiPriority w:val="99"/>
    <w:rPr>
      <w:sz w:val="18"/>
      <w:szCs w:val="18"/>
    </w:rPr>
  </w:style>
  <w:style w:type="character" w:customStyle="1" w:styleId="27">
    <w:name w:val="页脚 Char"/>
    <w:basedOn w:val="19"/>
    <w:link w:val="11"/>
    <w:semiHidden/>
    <w:qFormat/>
    <w:uiPriority w:val="99"/>
    <w:rPr>
      <w:sz w:val="18"/>
      <w:szCs w:val="18"/>
    </w:rPr>
  </w:style>
  <w:style w:type="paragraph" w:customStyle="1" w:styleId="28">
    <w:name w:val="表体"/>
    <w:basedOn w:val="1"/>
    <w:link w:val="40"/>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9">
    <w:name w:val="正文文本缩进 3 Char"/>
    <w:basedOn w:val="19"/>
    <w:link w:val="14"/>
    <w:qFormat/>
    <w:uiPriority w:val="0"/>
    <w:rPr>
      <w:rFonts w:ascii="Times New Roman" w:hAnsi="Times New Roman" w:eastAsia="宋体" w:cs="Times New Roman"/>
      <w:sz w:val="16"/>
      <w:szCs w:val="16"/>
    </w:rPr>
  </w:style>
  <w:style w:type="paragraph" w:customStyle="1" w:styleId="30">
    <w:name w:val="表头"/>
    <w:basedOn w:val="1"/>
    <w:link w:val="31"/>
    <w:qFormat/>
    <w:uiPriority w:val="0"/>
    <w:pPr>
      <w:adjustRightInd w:val="0"/>
      <w:snapToGrid w:val="0"/>
      <w:spacing w:beforeLines="25"/>
      <w:jc w:val="center"/>
      <w:textAlignment w:val="baseline"/>
    </w:pPr>
    <w:rPr>
      <w:rFonts w:ascii="Times New Roman" w:hAnsi="宋体" w:eastAsia="仿宋_GB2312" w:cs="Times New Roman"/>
      <w:b/>
      <w:kern w:val="0"/>
      <w:sz w:val="28"/>
      <w:szCs w:val="28"/>
    </w:rPr>
  </w:style>
  <w:style w:type="character" w:customStyle="1" w:styleId="31">
    <w:name w:val="表头 Char Char"/>
    <w:link w:val="30"/>
    <w:qFormat/>
    <w:uiPriority w:val="0"/>
    <w:rPr>
      <w:rFonts w:ascii="Times New Roman" w:hAnsi="宋体" w:eastAsia="仿宋_GB2312" w:cs="Times New Roman"/>
      <w:b/>
      <w:kern w:val="0"/>
      <w:sz w:val="28"/>
      <w:szCs w:val="28"/>
    </w:rPr>
  </w:style>
  <w:style w:type="character" w:customStyle="1" w:styleId="32">
    <w:name w:val="批注文字 Char"/>
    <w:basedOn w:val="19"/>
    <w:link w:val="8"/>
    <w:semiHidden/>
    <w:qFormat/>
    <w:uiPriority w:val="99"/>
  </w:style>
  <w:style w:type="character" w:customStyle="1" w:styleId="33">
    <w:name w:val="批注主题 Char"/>
    <w:basedOn w:val="32"/>
    <w:link w:val="16"/>
    <w:semiHidden/>
    <w:qFormat/>
    <w:uiPriority w:val="99"/>
    <w:rPr>
      <w:b/>
      <w:bCs/>
    </w:rPr>
  </w:style>
  <w:style w:type="character" w:customStyle="1" w:styleId="34">
    <w:name w:val="题注1 Char"/>
    <w:link w:val="35"/>
    <w:qFormat/>
    <w:uiPriority w:val="0"/>
    <w:rPr>
      <w:rFonts w:cs="宋体"/>
      <w:b/>
      <w:bCs/>
      <w:spacing w:val="10"/>
      <w:szCs w:val="24"/>
    </w:rPr>
  </w:style>
  <w:style w:type="paragraph" w:customStyle="1" w:styleId="35">
    <w:name w:val="题注1"/>
    <w:basedOn w:val="1"/>
    <w:link w:val="34"/>
    <w:qFormat/>
    <w:uiPriority w:val="0"/>
    <w:pPr>
      <w:spacing w:beforeLines="20" w:afterLines="20"/>
      <w:jc w:val="center"/>
    </w:pPr>
    <w:rPr>
      <w:rFonts w:cs="宋体"/>
      <w:b/>
      <w:bCs/>
      <w:spacing w:val="10"/>
      <w:szCs w:val="24"/>
    </w:rPr>
  </w:style>
  <w:style w:type="paragraph" w:customStyle="1" w:styleId="36">
    <w:name w:val="赵"/>
    <w:basedOn w:val="1"/>
    <w:link w:val="37"/>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7">
    <w:name w:val="赵 Char"/>
    <w:basedOn w:val="19"/>
    <w:link w:val="36"/>
    <w:qFormat/>
    <w:uiPriority w:val="0"/>
    <w:rPr>
      <w:rFonts w:ascii="Times New Roman" w:hAnsi="Times New Roman" w:eastAsia="宋体" w:cs="Times New Roman"/>
      <w:sz w:val="24"/>
      <w:szCs w:val="30"/>
    </w:rPr>
  </w:style>
  <w:style w:type="paragraph" w:customStyle="1" w:styleId="38">
    <w:name w:val="【表头】"/>
    <w:basedOn w:val="1"/>
    <w:link w:val="39"/>
    <w:qFormat/>
    <w:uiPriority w:val="0"/>
    <w:pPr>
      <w:jc w:val="center"/>
    </w:pPr>
    <w:rPr>
      <w:rFonts w:ascii="Times New Roman" w:hAnsi="Times New Roman" w:eastAsia="宋体" w:cs="Times New Roman"/>
      <w:b/>
      <w:szCs w:val="24"/>
    </w:rPr>
  </w:style>
  <w:style w:type="character" w:customStyle="1" w:styleId="39">
    <w:name w:val="【表头】 Char"/>
    <w:link w:val="38"/>
    <w:qFormat/>
    <w:uiPriority w:val="0"/>
    <w:rPr>
      <w:rFonts w:ascii="Times New Roman" w:hAnsi="Times New Roman" w:eastAsia="宋体" w:cs="Times New Roman"/>
      <w:b/>
      <w:szCs w:val="24"/>
    </w:rPr>
  </w:style>
  <w:style w:type="character" w:customStyle="1" w:styleId="40">
    <w:name w:val="表体 Char Char"/>
    <w:link w:val="28"/>
    <w:qFormat/>
    <w:locked/>
    <w:uiPriority w:val="0"/>
    <w:rPr>
      <w:rFonts w:ascii="Times New Roman" w:hAnsi="Times New Roman" w:eastAsia="宋体" w:cs="Times New Roman"/>
      <w:bCs/>
      <w:snapToGrid w:val="0"/>
      <w:color w:val="000000"/>
      <w:kern w:val="32"/>
      <w:szCs w:val="20"/>
      <w:lang w:val="zh-CN"/>
    </w:rPr>
  </w:style>
  <w:style w:type="character" w:customStyle="1" w:styleId="41">
    <w:name w:val="正文文本 Char"/>
    <w:basedOn w:val="19"/>
    <w:link w:val="9"/>
    <w:semiHidden/>
    <w:qFormat/>
    <w:uiPriority w:val="99"/>
  </w:style>
  <w:style w:type="character" w:customStyle="1" w:styleId="42">
    <w:name w:val="标题 2 Char"/>
    <w:basedOn w:val="19"/>
    <w:link w:val="3"/>
    <w:qFormat/>
    <w:uiPriority w:val="0"/>
    <w:rPr>
      <w:rFonts w:ascii="Times New Roman" w:hAnsi="Times New Roman" w:eastAsia="黑体" w:cs="Times New Roman"/>
      <w:color w:val="000000" w:themeColor="text1"/>
      <w:sz w:val="30"/>
      <w:szCs w:val="24"/>
    </w:rPr>
  </w:style>
  <w:style w:type="character" w:customStyle="1" w:styleId="43">
    <w:name w:val="表头 Char1"/>
    <w:basedOn w:val="19"/>
    <w:qFormat/>
    <w:uiPriority w:val="0"/>
    <w:rPr>
      <w:rFonts w:ascii="Times New Roman" w:hAnsi="Times New Roman" w:eastAsia="宋体" w:cs="Times New Roman"/>
      <w:b/>
      <w:bCs/>
      <w:kern w:val="0"/>
      <w:szCs w:val="28"/>
    </w:rPr>
  </w:style>
  <w:style w:type="character" w:customStyle="1" w:styleId="44">
    <w:name w:val="标题 3 Char"/>
    <w:basedOn w:val="19"/>
    <w:link w:val="4"/>
    <w:qFormat/>
    <w:uiPriority w:val="0"/>
    <w:rPr>
      <w:b/>
      <w:bCs/>
      <w:sz w:val="32"/>
      <w:szCs w:val="32"/>
    </w:rPr>
  </w:style>
  <w:style w:type="table" w:customStyle="1" w:styleId="45">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6">
    <w:name w:val="标题 8 Char"/>
    <w:basedOn w:val="19"/>
    <w:link w:val="5"/>
    <w:qFormat/>
    <w:uiPriority w:val="99"/>
    <w:rPr>
      <w:rFonts w:asciiTheme="majorHAnsi" w:hAnsiTheme="majorHAnsi" w:eastAsiaTheme="majorEastAsia" w:cstheme="majorBidi"/>
      <w:sz w:val="24"/>
      <w:szCs w:val="24"/>
    </w:rPr>
  </w:style>
  <w:style w:type="paragraph" w:customStyle="1" w:styleId="47">
    <w:name w:val="表格正文"/>
    <w:basedOn w:val="1"/>
    <w:link w:val="62"/>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48">
    <w:name w:val="正文缩进 Char1"/>
    <w:link w:val="6"/>
    <w:qFormat/>
    <w:uiPriority w:val="99"/>
    <w:rPr>
      <w:rFonts w:ascii="Calibri" w:hAnsi="Calibri" w:eastAsia="宋体" w:cs="Times New Roman"/>
      <w:sz w:val="28"/>
      <w:szCs w:val="20"/>
    </w:rPr>
  </w:style>
  <w:style w:type="paragraph" w:customStyle="1" w:styleId="49">
    <w:name w:val="样式1"/>
    <w:basedOn w:val="1"/>
    <w:link w:val="50"/>
    <w:qFormat/>
    <w:uiPriority w:val="0"/>
    <w:pPr>
      <w:spacing w:line="360" w:lineRule="auto"/>
      <w:ind w:firstLine="510"/>
    </w:pPr>
    <w:rPr>
      <w:rFonts w:ascii="Times New Roman" w:hAnsi="Times New Roman" w:eastAsia="宋体" w:cs="Times New Roman"/>
      <w:sz w:val="24"/>
      <w:szCs w:val="20"/>
    </w:rPr>
  </w:style>
  <w:style w:type="character" w:customStyle="1" w:styleId="50">
    <w:name w:val="样式1 Char"/>
    <w:link w:val="49"/>
    <w:qFormat/>
    <w:locked/>
    <w:uiPriority w:val="0"/>
    <w:rPr>
      <w:rFonts w:ascii="Times New Roman" w:hAnsi="Times New Roman" w:eastAsia="宋体" w:cs="Times New Roman"/>
      <w:sz w:val="24"/>
      <w:szCs w:val="20"/>
    </w:rPr>
  </w:style>
  <w:style w:type="paragraph" w:customStyle="1" w:styleId="51">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2">
    <w:name w:val="标题 Char"/>
    <w:basedOn w:val="19"/>
    <w:link w:val="15"/>
    <w:qFormat/>
    <w:uiPriority w:val="0"/>
    <w:rPr>
      <w:rFonts w:ascii="Times New Roman" w:hAnsi="Times New Roman" w:eastAsia="黑体" w:cs="Times New Roman"/>
      <w:b/>
      <w:bCs/>
      <w:sz w:val="36"/>
      <w:szCs w:val="32"/>
    </w:rPr>
  </w:style>
  <w:style w:type="character" w:customStyle="1" w:styleId="53">
    <w:name w:val="NormalCharacter"/>
    <w:qFormat/>
    <w:uiPriority w:val="0"/>
  </w:style>
  <w:style w:type="character" w:customStyle="1" w:styleId="54">
    <w:name w:val="表格 Char Char"/>
    <w:basedOn w:val="19"/>
    <w:qFormat/>
    <w:uiPriority w:val="0"/>
    <w:rPr>
      <w:sz w:val="21"/>
      <w:szCs w:val="21"/>
      <w:lang w:bidi="ar-SA"/>
    </w:rPr>
  </w:style>
  <w:style w:type="paragraph" w:customStyle="1" w:styleId="55">
    <w:name w:val="Default"/>
    <w:link w:val="56"/>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56">
    <w:name w:val="Default Char Char"/>
    <w:link w:val="55"/>
    <w:qFormat/>
    <w:uiPriority w:val="0"/>
    <w:rPr>
      <w:rFonts w:ascii="Times New Roman" w:hAnsi="Times New Roman" w:cs="Times New Roman"/>
      <w:color w:val="000000"/>
      <w:kern w:val="0"/>
      <w:sz w:val="24"/>
      <w:szCs w:val="24"/>
    </w:rPr>
  </w:style>
  <w:style w:type="paragraph" w:customStyle="1" w:styleId="57">
    <w:name w:val="内容"/>
    <w:basedOn w:val="1"/>
    <w:qFormat/>
    <w:uiPriority w:val="0"/>
    <w:pPr>
      <w:tabs>
        <w:tab w:val="left" w:pos="4404"/>
      </w:tabs>
      <w:spacing w:line="480" w:lineRule="exact"/>
      <w:ind w:firstLine="520" w:firstLineChars="200"/>
    </w:pPr>
    <w:rPr>
      <w:rFonts w:ascii="Times New Roman" w:hAnsi="宋体" w:eastAsia="宋体" w:cs="Times New Roman"/>
      <w:sz w:val="26"/>
      <w:szCs w:val="26"/>
    </w:rPr>
  </w:style>
  <w:style w:type="paragraph" w:customStyle="1" w:styleId="58">
    <w:name w:val="正文缩"/>
    <w:basedOn w:val="1"/>
    <w:link w:val="59"/>
    <w:qFormat/>
    <w:uiPriority w:val="0"/>
    <w:pPr>
      <w:adjustRightInd w:val="0"/>
      <w:snapToGrid w:val="0"/>
      <w:spacing w:line="360" w:lineRule="auto"/>
      <w:ind w:firstLine="720" w:firstLineChars="200"/>
    </w:pPr>
    <w:rPr>
      <w:rFonts w:ascii="Times New Roman" w:hAnsi="Times New Roman" w:eastAsia="宋体" w:cs="Times New Roman"/>
    </w:rPr>
  </w:style>
  <w:style w:type="character" w:customStyle="1" w:styleId="59">
    <w:name w:val="正文缩 Char"/>
    <w:link w:val="58"/>
    <w:qFormat/>
    <w:uiPriority w:val="0"/>
    <w:rPr>
      <w:rFonts w:ascii="Times New Roman" w:hAnsi="Times New Roman" w:eastAsia="宋体" w:cs="Times New Roman"/>
    </w:rPr>
  </w:style>
  <w:style w:type="paragraph" w:customStyle="1" w:styleId="60">
    <w:name w:val="lh-表题-报告表"/>
    <w:basedOn w:val="1"/>
    <w:next w:val="1"/>
    <w:qFormat/>
    <w:uiPriority w:val="0"/>
    <w:pPr>
      <w:numPr>
        <w:ilvl w:val="0"/>
        <w:numId w:val="1"/>
      </w:numPr>
      <w:spacing w:beforeLines="50"/>
      <w:ind w:firstLine="0"/>
      <w:jc w:val="center"/>
    </w:pPr>
    <w:rPr>
      <w:rFonts w:ascii="Times New Roman" w:hAnsi="Times New Roman" w:eastAsia="宋体" w:cs="Times New Roman"/>
      <w:kern w:val="0"/>
      <w:sz w:val="24"/>
      <w:szCs w:val="24"/>
    </w:rPr>
  </w:style>
  <w:style w:type="paragraph" w:customStyle="1" w:styleId="61">
    <w:name w:val="lh-正文-报告表"/>
    <w:basedOn w:val="1"/>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62">
    <w:name w:val="表格正文 Char"/>
    <w:link w:val="47"/>
    <w:qFormat/>
    <w:uiPriority w:val="0"/>
    <w:rPr>
      <w:rFonts w:ascii="Times New Roman" w:hAnsi="Times New Roman" w:eastAsia="宋体" w:cs="Times New Roman"/>
      <w:szCs w:val="20"/>
    </w:rPr>
  </w:style>
  <w:style w:type="paragraph" w:customStyle="1" w:styleId="63">
    <w:name w:val="lh-表格文字-报告表"/>
    <w:basedOn w:val="1"/>
    <w:link w:val="64"/>
    <w:qFormat/>
    <w:uiPriority w:val="0"/>
    <w:pPr>
      <w:spacing w:line="360" w:lineRule="auto"/>
      <w:jc w:val="center"/>
    </w:pPr>
    <w:rPr>
      <w:rFonts w:ascii="Times New Roman" w:hAnsi="Times New Roman" w:eastAsia="宋体" w:cs="Times New Roman"/>
      <w:kern w:val="0"/>
      <w:szCs w:val="24"/>
    </w:rPr>
  </w:style>
  <w:style w:type="character" w:customStyle="1" w:styleId="64">
    <w:name w:val="lh-表格文字-报告表 Char"/>
    <w:basedOn w:val="19"/>
    <w:link w:val="63"/>
    <w:qFormat/>
    <w:uiPriority w:val="0"/>
    <w:rPr>
      <w:rFonts w:ascii="Times New Roman" w:hAnsi="Times New Roman" w:eastAsia="宋体" w:cs="Times New Roman"/>
      <w:kern w:val="0"/>
      <w:szCs w:val="24"/>
    </w:rPr>
  </w:style>
  <w:style w:type="character" w:customStyle="1" w:styleId="65">
    <w:name w:val="标题 1 Char"/>
    <w:basedOn w:val="19"/>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6B80-D94B-4111-9348-969D03A53D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11842</Words>
  <Characters>67504</Characters>
  <Lines>562</Lines>
  <Paragraphs>158</Paragraphs>
  <TotalTime>27604</TotalTime>
  <ScaleCrop>false</ScaleCrop>
  <LinksUpToDate>false</LinksUpToDate>
  <CharactersWithSpaces>79188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周律</cp:lastModifiedBy>
  <cp:lastPrinted>2021-08-10T03:45:00Z</cp:lastPrinted>
  <dcterms:modified xsi:type="dcterms:W3CDTF">2023-09-26T08:23:54Z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9ABC9490C086406DB3B82E1B20A2BFA6</vt:lpwstr>
  </property>
</Properties>
</file>